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BBF0F">
      <w:pPr>
        <w:pStyle w:val="63"/>
        <w:rPr>
          <w:rFonts w:ascii="宋体" w:hAnsi="宋体"/>
          <w:color w:val="auto"/>
          <w:highlight w:val="none"/>
        </w:rPr>
      </w:pPr>
    </w:p>
    <w:p w14:paraId="137B1C5B">
      <w:pPr>
        <w:pStyle w:val="31"/>
        <w:keepNext w:val="0"/>
        <w:keepLines w:val="0"/>
        <w:widowControl/>
        <w:suppressLineNumbers w:val="0"/>
        <w:spacing w:line="240" w:lineRule="auto"/>
        <w:ind w:left="0" w:firstLine="2"/>
        <w:jc w:val="center"/>
        <w:textAlignment w:val="center"/>
        <w:rPr>
          <w:b/>
          <w:bCs/>
          <w:sz w:val="52"/>
          <w:szCs w:val="52"/>
        </w:rPr>
      </w:pPr>
      <w:r>
        <w:rPr>
          <w:rFonts w:hint="eastAsia" w:ascii="宋体" w:hAnsi="宋体" w:eastAsia="宋体" w:cs="宋体"/>
          <w:b/>
          <w:bCs/>
          <w:color w:val="000000"/>
          <w:spacing w:val="0"/>
          <w:position w:val="0"/>
          <w:sz w:val="52"/>
          <w:szCs w:val="52"/>
        </w:rPr>
        <w:t>禄劝彝族苗族自治县殡仪馆2026 —2028年遗体接运服务和殡仪业务服务</w:t>
      </w:r>
    </w:p>
    <w:p w14:paraId="660C5251">
      <w:pPr>
        <w:spacing w:line="276" w:lineRule="auto"/>
        <w:jc w:val="center"/>
        <w:rPr>
          <w:rFonts w:hint="eastAsia" w:ascii="宋体" w:hAnsi="宋体"/>
          <w:b/>
          <w:color w:val="auto"/>
          <w:sz w:val="72"/>
          <w:szCs w:val="72"/>
          <w:highlight w:val="none"/>
        </w:rPr>
      </w:pPr>
      <w:r>
        <w:rPr>
          <w:rFonts w:hint="eastAsia" w:ascii="宋体" w:hAnsi="宋体" w:eastAsia="宋体" w:cs="宋体"/>
          <w:b/>
          <w:bCs/>
          <w:spacing w:val="200"/>
          <w:sz w:val="52"/>
          <w:szCs w:val="52"/>
          <w:lang w:eastAsia="zh-CN"/>
        </w:rPr>
        <w:drawing>
          <wp:anchor distT="0" distB="0" distL="114300" distR="114300" simplePos="0" relativeHeight="251659264" behindDoc="1" locked="0" layoutInCell="1" allowOverlap="1">
            <wp:simplePos x="0" y="0"/>
            <wp:positionH relativeFrom="column">
              <wp:posOffset>1918970</wp:posOffset>
            </wp:positionH>
            <wp:positionV relativeFrom="paragraph">
              <wp:posOffset>142240</wp:posOffset>
            </wp:positionV>
            <wp:extent cx="2174240" cy="2209165"/>
            <wp:effectExtent l="0" t="0" r="0" b="0"/>
            <wp:wrapNone/>
            <wp:docPr id="2" name="图片 3" descr="a8ee652eb778f4e075d7267c9283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a8ee652eb778f4e075d7267c9283665"/>
                    <pic:cNvPicPr>
                      <a:picLocks noChangeAspect="1"/>
                    </pic:cNvPicPr>
                  </pic:nvPicPr>
                  <pic:blipFill>
                    <a:blip r:embed="rId5"/>
                    <a:stretch>
                      <a:fillRect/>
                    </a:stretch>
                  </pic:blipFill>
                  <pic:spPr>
                    <a:xfrm>
                      <a:off x="0" y="0"/>
                      <a:ext cx="2174240" cy="2209165"/>
                    </a:xfrm>
                    <a:prstGeom prst="rect">
                      <a:avLst/>
                    </a:prstGeom>
                    <a:noFill/>
                    <a:ln>
                      <a:noFill/>
                    </a:ln>
                  </pic:spPr>
                </pic:pic>
              </a:graphicData>
            </a:graphic>
          </wp:anchor>
        </w:drawing>
      </w:r>
    </w:p>
    <w:p w14:paraId="0182E617">
      <w:pPr>
        <w:wordWrap w:val="0"/>
        <w:adjustRightInd w:val="0"/>
        <w:snapToGrid w:val="0"/>
        <w:spacing w:line="360" w:lineRule="auto"/>
        <w:jc w:val="center"/>
        <w:rPr>
          <w:rFonts w:ascii="宋体" w:hAnsi="宋体" w:cs="宋体"/>
          <w:b/>
          <w:color w:val="auto"/>
          <w:sz w:val="24"/>
          <w:szCs w:val="22"/>
          <w:highlight w:val="none"/>
        </w:rPr>
      </w:pPr>
    </w:p>
    <w:p w14:paraId="63325569">
      <w:pPr>
        <w:pStyle w:val="63"/>
        <w:rPr>
          <w:color w:val="auto"/>
          <w:highlight w:val="none"/>
        </w:rPr>
      </w:pPr>
    </w:p>
    <w:p w14:paraId="6B1BA455">
      <w:pPr>
        <w:pStyle w:val="63"/>
        <w:rPr>
          <w:rFonts w:ascii="宋体" w:hAnsi="宋体"/>
          <w:color w:val="auto"/>
          <w:highlight w:val="none"/>
        </w:rPr>
      </w:pPr>
    </w:p>
    <w:p w14:paraId="7AEA70C9">
      <w:pPr>
        <w:pStyle w:val="63"/>
        <w:rPr>
          <w:rFonts w:ascii="宋体" w:hAnsi="宋体"/>
          <w:color w:val="auto"/>
          <w:highlight w:val="none"/>
        </w:rPr>
      </w:pPr>
    </w:p>
    <w:p w14:paraId="48E0DC2F">
      <w:pPr>
        <w:pStyle w:val="63"/>
        <w:rPr>
          <w:rFonts w:ascii="宋体" w:hAnsi="宋体"/>
          <w:color w:val="auto"/>
          <w:highlight w:val="none"/>
        </w:rPr>
      </w:pPr>
    </w:p>
    <w:p w14:paraId="7930D137">
      <w:pPr>
        <w:wordWrap w:val="0"/>
        <w:adjustRightInd w:val="0"/>
        <w:snapToGrid w:val="0"/>
        <w:spacing w:line="360" w:lineRule="auto"/>
        <w:jc w:val="both"/>
        <w:rPr>
          <w:rFonts w:ascii="宋体" w:hAnsi="宋体" w:cs="宋体"/>
          <w:b/>
          <w:color w:val="auto"/>
          <w:sz w:val="24"/>
          <w:szCs w:val="22"/>
          <w:highlight w:val="none"/>
        </w:rPr>
      </w:pPr>
    </w:p>
    <w:p w14:paraId="6FCE1517">
      <w:pPr>
        <w:spacing w:line="276" w:lineRule="auto"/>
        <w:jc w:val="center"/>
        <w:rPr>
          <w:rFonts w:hint="eastAsia" w:ascii="宋体" w:hAnsi="宋体"/>
          <w:b/>
          <w:color w:val="auto"/>
          <w:sz w:val="72"/>
          <w:szCs w:val="72"/>
          <w:highlight w:val="none"/>
        </w:rPr>
      </w:pPr>
    </w:p>
    <w:p w14:paraId="664D914A">
      <w:pPr>
        <w:spacing w:line="276" w:lineRule="auto"/>
        <w:jc w:val="center"/>
        <w:rPr>
          <w:rFonts w:ascii="宋体" w:hAnsi="宋体"/>
          <w:b/>
          <w:color w:val="auto"/>
          <w:sz w:val="72"/>
          <w:szCs w:val="72"/>
          <w:highlight w:val="none"/>
        </w:rPr>
      </w:pPr>
      <w:r>
        <w:rPr>
          <w:rFonts w:hint="eastAsia" w:ascii="宋体" w:hAnsi="宋体"/>
          <w:b/>
          <w:color w:val="auto"/>
          <w:sz w:val="72"/>
          <w:szCs w:val="72"/>
          <w:highlight w:val="none"/>
        </w:rPr>
        <w:t>招 标 文 件</w:t>
      </w:r>
    </w:p>
    <w:p w14:paraId="022828C6">
      <w:pPr>
        <w:spacing w:line="276" w:lineRule="auto"/>
        <w:jc w:val="center"/>
        <w:rPr>
          <w:rFonts w:ascii="宋体" w:hAnsi="宋体" w:cs="宋体"/>
          <w:color w:val="auto"/>
          <w:sz w:val="24"/>
          <w:szCs w:val="24"/>
          <w:highlight w:val="none"/>
        </w:rPr>
      </w:pPr>
      <w:r>
        <w:rPr>
          <w:rFonts w:hint="eastAsia" w:ascii="宋体" w:hAnsi="宋体"/>
          <w:b/>
          <w:color w:val="auto"/>
          <w:sz w:val="28"/>
          <w:szCs w:val="28"/>
          <w:highlight w:val="none"/>
        </w:rPr>
        <w:t>项目编号：KMZC2026-G3-00769-YNTX-0004</w:t>
      </w:r>
    </w:p>
    <w:p w14:paraId="170E8CEA">
      <w:pPr>
        <w:pStyle w:val="63"/>
        <w:rPr>
          <w:rFonts w:ascii="宋体" w:hAnsi="宋体"/>
          <w:color w:val="auto"/>
          <w:highlight w:val="none"/>
        </w:rPr>
      </w:pPr>
    </w:p>
    <w:p w14:paraId="61C045C2">
      <w:pPr>
        <w:tabs>
          <w:tab w:val="left" w:pos="4525"/>
        </w:tabs>
        <w:wordWrap w:val="0"/>
        <w:adjustRightInd w:val="0"/>
        <w:snapToGrid w:val="0"/>
        <w:spacing w:line="360" w:lineRule="auto"/>
        <w:jc w:val="center"/>
        <w:rPr>
          <w:rFonts w:ascii="宋体" w:hAnsi="宋体" w:cs="宋体"/>
          <w:color w:val="auto"/>
          <w:sz w:val="24"/>
          <w:szCs w:val="24"/>
          <w:highlight w:val="none"/>
        </w:rPr>
      </w:pPr>
    </w:p>
    <w:p w14:paraId="4697EC6A">
      <w:pPr>
        <w:tabs>
          <w:tab w:val="left" w:pos="4525"/>
        </w:tabs>
        <w:wordWrap w:val="0"/>
        <w:adjustRightInd w:val="0"/>
        <w:snapToGrid w:val="0"/>
        <w:spacing w:line="360" w:lineRule="auto"/>
        <w:jc w:val="center"/>
        <w:rPr>
          <w:rFonts w:ascii="宋体" w:hAnsi="宋体" w:cs="宋体"/>
          <w:color w:val="auto"/>
          <w:sz w:val="24"/>
          <w:szCs w:val="24"/>
          <w:highlight w:val="none"/>
        </w:rPr>
      </w:pPr>
    </w:p>
    <w:p w14:paraId="7D0E18F4">
      <w:pPr>
        <w:pStyle w:val="63"/>
        <w:ind w:left="0" w:leftChars="0" w:firstLine="0" w:firstLineChars="0"/>
        <w:rPr>
          <w:rFonts w:ascii="宋体" w:hAnsi="宋体"/>
          <w:color w:val="auto"/>
          <w:highlight w:val="none"/>
        </w:rPr>
      </w:pPr>
    </w:p>
    <w:p w14:paraId="19D433DF">
      <w:pPr>
        <w:pStyle w:val="63"/>
        <w:ind w:left="0" w:leftChars="0" w:firstLine="0" w:firstLineChars="0"/>
        <w:rPr>
          <w:rFonts w:ascii="宋体" w:hAnsi="宋体"/>
          <w:color w:val="auto"/>
          <w:highlight w:val="none"/>
        </w:rPr>
      </w:pPr>
    </w:p>
    <w:p w14:paraId="26CE9B70">
      <w:pPr>
        <w:pStyle w:val="16"/>
        <w:ind w:firstLine="1606" w:firstLineChars="500"/>
        <w:jc w:val="both"/>
        <w:rPr>
          <w:rFonts w:hint="eastAsia" w:ascii="宋体" w:hAnsi="宋体" w:eastAsia="宋体" w:cs="宋体"/>
          <w:b/>
          <w:sz w:val="32"/>
          <w:szCs w:val="32"/>
          <w:highlight w:val="none"/>
        </w:rPr>
      </w:pPr>
    </w:p>
    <w:p w14:paraId="34DB2E9D">
      <w:pPr>
        <w:pStyle w:val="16"/>
        <w:ind w:firstLine="1606" w:firstLineChars="500"/>
        <w:jc w:val="both"/>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采</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rPr>
        <w:t>购</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rPr>
        <w:t>人：</w:t>
      </w:r>
      <w:r>
        <w:rPr>
          <w:rFonts w:hint="eastAsia" w:ascii="宋体" w:hAnsi="宋体" w:eastAsia="宋体" w:cs="宋体"/>
          <w:b/>
          <w:sz w:val="32"/>
          <w:szCs w:val="32"/>
          <w:highlight w:val="none"/>
          <w:lang w:eastAsia="zh-CN"/>
        </w:rPr>
        <w:t>禄劝彝族苗族自治县民政局</w:t>
      </w:r>
    </w:p>
    <w:p w14:paraId="0CF20CFA">
      <w:pPr>
        <w:pStyle w:val="16"/>
        <w:ind w:firstLine="1606" w:firstLineChars="500"/>
        <w:jc w:val="both"/>
        <w:rPr>
          <w:rFonts w:hint="eastAsia" w:ascii="宋体" w:hAnsi="宋体" w:eastAsia="宋体" w:cs="宋体"/>
          <w:b/>
          <w:sz w:val="32"/>
          <w:szCs w:val="32"/>
          <w:highlight w:val="none"/>
        </w:rPr>
      </w:pPr>
      <w:r>
        <w:rPr>
          <w:rFonts w:hint="eastAsia" w:ascii="宋体" w:hAnsi="宋体" w:eastAsia="宋体" w:cs="宋体"/>
          <w:b/>
          <w:sz w:val="32"/>
          <w:szCs w:val="32"/>
          <w:highlight w:val="none"/>
        </w:rPr>
        <w:t>采购代理机构：</w:t>
      </w:r>
      <w:r>
        <w:rPr>
          <w:rFonts w:hint="eastAsia" w:ascii="宋体" w:hAnsi="宋体" w:eastAsia="宋体" w:cs="宋体"/>
          <w:b/>
          <w:sz w:val="32"/>
          <w:szCs w:val="32"/>
          <w:highlight w:val="none"/>
          <w:lang w:eastAsia="zh-CN"/>
        </w:rPr>
        <w:t>云南同西工程项目管理有限公司</w:t>
      </w:r>
    </w:p>
    <w:p w14:paraId="34CF624F">
      <w:pPr>
        <w:pStyle w:val="16"/>
        <w:ind w:firstLine="1606" w:firstLineChars="500"/>
        <w:jc w:val="both"/>
        <w:rPr>
          <w:rFonts w:hint="eastAsia" w:ascii="宋体" w:hAnsi="宋体" w:eastAsia="宋体" w:cs="宋体"/>
          <w:b/>
          <w:sz w:val="36"/>
          <w:szCs w:val="36"/>
          <w:highlight w:val="none"/>
        </w:rPr>
      </w:pPr>
      <w:r>
        <w:rPr>
          <w:rFonts w:hint="eastAsia" w:ascii="宋体" w:hAnsi="宋体" w:eastAsia="宋体" w:cs="宋体"/>
          <w:b/>
          <w:sz w:val="32"/>
          <w:szCs w:val="32"/>
          <w:highlight w:val="none"/>
        </w:rPr>
        <w:t>日</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rPr>
        <w:t>期：</w:t>
      </w:r>
      <w:r>
        <w:rPr>
          <w:rFonts w:hint="eastAsia" w:ascii="宋体" w:hAnsi="宋体" w:eastAsia="宋体" w:cs="宋体"/>
          <w:b/>
          <w:color w:val="auto"/>
          <w:sz w:val="30"/>
          <w:szCs w:val="30"/>
          <w:highlight w:val="none"/>
        </w:rPr>
        <w:t>二〇二</w:t>
      </w:r>
      <w:r>
        <w:rPr>
          <w:rFonts w:hint="eastAsia" w:ascii="宋体" w:hAnsi="宋体" w:eastAsia="宋体" w:cs="宋体"/>
          <w:b/>
          <w:color w:val="auto"/>
          <w:sz w:val="30"/>
          <w:szCs w:val="30"/>
          <w:highlight w:val="none"/>
          <w:lang w:val="en-US" w:eastAsia="zh-CN"/>
        </w:rPr>
        <w:t>六</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lang w:val="en-US" w:eastAsia="zh-CN"/>
        </w:rPr>
        <w:t>五</w:t>
      </w:r>
      <w:r>
        <w:rPr>
          <w:rFonts w:hint="eastAsia" w:ascii="宋体" w:hAnsi="宋体" w:eastAsia="宋体" w:cs="宋体"/>
          <w:b/>
          <w:color w:val="auto"/>
          <w:sz w:val="30"/>
          <w:szCs w:val="30"/>
          <w:highlight w:val="none"/>
        </w:rPr>
        <w:t>月</w:t>
      </w:r>
    </w:p>
    <w:p w14:paraId="6ED8BF93">
      <w:pPr>
        <w:pStyle w:val="63"/>
        <w:ind w:firstLine="0"/>
        <w:rPr>
          <w:color w:val="auto"/>
          <w:highlight w:val="none"/>
        </w:rPr>
        <w:sectPr>
          <w:headerReference r:id="rId3" w:type="default"/>
          <w:pgSz w:w="11907" w:h="16840"/>
          <w:pgMar w:top="1440" w:right="1080" w:bottom="1440" w:left="1080" w:header="850" w:footer="992" w:gutter="0"/>
          <w:cols w:space="720" w:num="1"/>
          <w:docGrid w:linePitch="286" w:charSpace="0"/>
        </w:sectPr>
      </w:pPr>
    </w:p>
    <w:p w14:paraId="77A89516">
      <w:pPr>
        <w:spacing w:line="480" w:lineRule="auto"/>
        <w:ind w:firstLine="426"/>
        <w:rPr>
          <w:rFonts w:ascii="宋体" w:hAnsi="宋体"/>
          <w:color w:val="auto"/>
          <w:sz w:val="24"/>
          <w:szCs w:val="24"/>
          <w:highlight w:val="none"/>
        </w:rPr>
      </w:pPr>
    </w:p>
    <w:p w14:paraId="1BC4A146">
      <w:pPr>
        <w:spacing w:line="360" w:lineRule="auto"/>
        <w:jc w:val="center"/>
        <w:rPr>
          <w:rFonts w:ascii="宋体" w:hAnsi="宋体"/>
          <w:b/>
          <w:color w:val="auto"/>
          <w:kern w:val="11"/>
          <w:sz w:val="32"/>
          <w:szCs w:val="32"/>
          <w:highlight w:val="none"/>
        </w:rPr>
      </w:pPr>
      <w:r>
        <w:rPr>
          <w:rFonts w:hint="eastAsia" w:ascii="宋体" w:hAnsi="宋体"/>
          <w:b/>
          <w:color w:val="auto"/>
          <w:kern w:val="11"/>
          <w:sz w:val="32"/>
          <w:szCs w:val="32"/>
          <w:highlight w:val="none"/>
        </w:rPr>
        <w:t>目录</w:t>
      </w:r>
    </w:p>
    <w:p w14:paraId="0880FCB1">
      <w:pPr>
        <w:pStyle w:val="63"/>
        <w:rPr>
          <w:color w:val="auto"/>
          <w:highlight w:val="none"/>
        </w:rPr>
      </w:pPr>
    </w:p>
    <w:p w14:paraId="0AFCBAF4">
      <w:pPr>
        <w:pStyle w:val="24"/>
        <w:keepNext w:val="0"/>
        <w:keepLines w:val="0"/>
        <w:pageBreakBefore w:val="0"/>
        <w:widowControl/>
        <w:tabs>
          <w:tab w:val="right" w:leader="dot" w:pos="9747"/>
        </w:tabs>
        <w:kinsoku/>
        <w:wordWrap/>
        <w:overflowPunct/>
        <w:topLinePunct w:val="0"/>
        <w:autoSpaceDE/>
        <w:autoSpaceDN/>
        <w:bidi w:val="0"/>
        <w:adjustRightInd/>
        <w:spacing w:line="336" w:lineRule="auto"/>
        <w:textAlignment w:val="auto"/>
        <w:rPr>
          <w:color w:val="auto"/>
          <w:highlight w:val="none"/>
        </w:rPr>
      </w:pPr>
      <w:r>
        <w:rPr>
          <w:rFonts w:hint="eastAsia" w:ascii="宋体" w:hAnsi="宋体" w:cs="宋体"/>
          <w:b w:val="0"/>
          <w:bCs w:val="0"/>
          <w:i/>
          <w:caps w:val="0"/>
          <w:smallCaps/>
          <w:color w:val="auto"/>
          <w:sz w:val="24"/>
          <w:szCs w:val="24"/>
          <w:highlight w:val="none"/>
        </w:rPr>
        <w:fldChar w:fldCharType="begin"/>
      </w:r>
      <w:r>
        <w:rPr>
          <w:rFonts w:hint="eastAsia" w:ascii="宋体" w:hAnsi="宋体" w:cs="宋体"/>
          <w:b w:val="0"/>
          <w:bCs w:val="0"/>
          <w:i/>
          <w:caps w:val="0"/>
          <w:smallCaps/>
          <w:color w:val="auto"/>
          <w:sz w:val="24"/>
          <w:szCs w:val="24"/>
          <w:highlight w:val="none"/>
        </w:rPr>
        <w:instrText xml:space="preserve"> TOC \o "1-2" \h \z \u </w:instrText>
      </w:r>
      <w:r>
        <w:rPr>
          <w:rFonts w:hint="eastAsia" w:ascii="宋体" w:hAnsi="宋体" w:cs="宋体"/>
          <w:b w:val="0"/>
          <w:bCs w:val="0"/>
          <w:i/>
          <w:caps w:val="0"/>
          <w:smallCaps/>
          <w:color w:val="auto"/>
          <w:sz w:val="24"/>
          <w:szCs w:val="24"/>
          <w:highlight w:val="none"/>
        </w:rPr>
        <w:fldChar w:fldCharType="separate"/>
      </w:r>
      <w:r>
        <w:rPr>
          <w:rFonts w:hint="eastAsia" w:ascii="宋体" w:hAnsi="宋体" w:cs="宋体"/>
          <w:bCs w:val="0"/>
          <w:i/>
          <w:caps w:val="0"/>
          <w:smallCaps/>
          <w:color w:val="auto"/>
          <w:szCs w:val="24"/>
          <w:highlight w:val="none"/>
        </w:rPr>
        <w:fldChar w:fldCharType="begin"/>
      </w:r>
      <w:r>
        <w:rPr>
          <w:rFonts w:hint="eastAsia" w:ascii="宋体" w:hAnsi="宋体" w:cs="宋体"/>
          <w:bCs w:val="0"/>
          <w:i/>
          <w:caps w:val="0"/>
          <w:smallCaps/>
          <w:color w:val="auto"/>
          <w:szCs w:val="24"/>
          <w:highlight w:val="none"/>
        </w:rPr>
        <w:instrText xml:space="preserve"> HYPERLINK \l _Toc4310 </w:instrText>
      </w:r>
      <w:r>
        <w:rPr>
          <w:rFonts w:hint="eastAsia" w:ascii="宋体" w:hAnsi="宋体" w:cs="宋体"/>
          <w:bCs w:val="0"/>
          <w:i/>
          <w:caps w:val="0"/>
          <w:smallCaps/>
          <w:color w:val="auto"/>
          <w:szCs w:val="24"/>
          <w:highlight w:val="none"/>
        </w:rPr>
        <w:fldChar w:fldCharType="separate"/>
      </w:r>
      <w:r>
        <w:rPr>
          <w:rFonts w:hint="eastAsia" w:ascii="宋体" w:hAnsi="宋体"/>
          <w:color w:val="auto"/>
          <w:szCs w:val="36"/>
          <w:highlight w:val="none"/>
          <w:lang w:val="zh-CN"/>
        </w:rPr>
        <w:t>第一章 招标公告</w:t>
      </w:r>
      <w:r>
        <w:rPr>
          <w:color w:val="auto"/>
          <w:highlight w:val="none"/>
        </w:rPr>
        <w:tab/>
      </w:r>
      <w:r>
        <w:rPr>
          <w:color w:val="auto"/>
          <w:highlight w:val="none"/>
        </w:rPr>
        <w:fldChar w:fldCharType="begin"/>
      </w:r>
      <w:r>
        <w:rPr>
          <w:color w:val="auto"/>
          <w:highlight w:val="none"/>
        </w:rPr>
        <w:instrText xml:space="preserve"> PAGEREF _Toc4310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bCs w:val="0"/>
          <w:i/>
          <w:caps w:val="0"/>
          <w:smallCaps/>
          <w:color w:val="auto"/>
          <w:szCs w:val="24"/>
          <w:highlight w:val="none"/>
        </w:rPr>
        <w:fldChar w:fldCharType="end"/>
      </w:r>
    </w:p>
    <w:p w14:paraId="3408FFED">
      <w:pPr>
        <w:pStyle w:val="24"/>
        <w:keepNext w:val="0"/>
        <w:keepLines w:val="0"/>
        <w:pageBreakBefore w:val="0"/>
        <w:widowControl/>
        <w:tabs>
          <w:tab w:val="right" w:leader="dot" w:pos="9747"/>
        </w:tabs>
        <w:kinsoku/>
        <w:wordWrap/>
        <w:overflowPunct/>
        <w:topLinePunct w:val="0"/>
        <w:autoSpaceDE/>
        <w:autoSpaceDN/>
        <w:bidi w:val="0"/>
        <w:adjustRightInd/>
        <w:spacing w:line="336"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_Toc11160 </w:instrText>
      </w:r>
      <w:r>
        <w:rPr>
          <w:rFonts w:hint="eastAsia"/>
          <w:color w:val="auto"/>
          <w:highlight w:val="none"/>
        </w:rPr>
        <w:fldChar w:fldCharType="separate"/>
      </w:r>
      <w:r>
        <w:rPr>
          <w:rFonts w:hint="eastAsia" w:ascii="宋体" w:hAnsi="宋体"/>
          <w:color w:val="auto"/>
          <w:szCs w:val="36"/>
          <w:highlight w:val="none"/>
          <w:lang w:val="zh-CN"/>
        </w:rPr>
        <w:t>第二章 投标人须知</w:t>
      </w:r>
      <w:r>
        <w:rPr>
          <w:color w:val="auto"/>
          <w:highlight w:val="none"/>
        </w:rPr>
        <w:tab/>
      </w:r>
      <w:r>
        <w:rPr>
          <w:color w:val="auto"/>
          <w:highlight w:val="none"/>
        </w:rPr>
        <w:fldChar w:fldCharType="begin"/>
      </w:r>
      <w:r>
        <w:rPr>
          <w:color w:val="auto"/>
          <w:highlight w:val="none"/>
        </w:rPr>
        <w:instrText xml:space="preserve"> PAGEREF _Toc11160 \h </w:instrText>
      </w:r>
      <w:r>
        <w:rPr>
          <w:color w:val="auto"/>
          <w:highlight w:val="none"/>
        </w:rPr>
        <w:fldChar w:fldCharType="separate"/>
      </w:r>
      <w:r>
        <w:rPr>
          <w:color w:val="auto"/>
          <w:highlight w:val="none"/>
        </w:rPr>
        <w:t>7</w:t>
      </w:r>
      <w:r>
        <w:rPr>
          <w:color w:val="auto"/>
          <w:highlight w:val="none"/>
        </w:rPr>
        <w:fldChar w:fldCharType="end"/>
      </w:r>
      <w:r>
        <w:rPr>
          <w:rFonts w:hint="eastAsia"/>
          <w:color w:val="auto"/>
          <w:highlight w:val="none"/>
        </w:rPr>
        <w:fldChar w:fldCharType="end"/>
      </w:r>
    </w:p>
    <w:p w14:paraId="34C5A959">
      <w:pPr>
        <w:pStyle w:val="29"/>
        <w:keepNext w:val="0"/>
        <w:keepLines w:val="0"/>
        <w:pageBreakBefore w:val="0"/>
        <w:widowControl/>
        <w:tabs>
          <w:tab w:val="right" w:leader="dot" w:pos="9747"/>
        </w:tabs>
        <w:kinsoku/>
        <w:wordWrap/>
        <w:overflowPunct/>
        <w:topLinePunct w:val="0"/>
        <w:autoSpaceDE/>
        <w:autoSpaceDN/>
        <w:bidi w:val="0"/>
        <w:adjustRightInd/>
        <w:spacing w:line="336"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_Toc25669 </w:instrText>
      </w:r>
      <w:r>
        <w:rPr>
          <w:rFonts w:hint="eastAsia"/>
          <w:color w:val="auto"/>
          <w:highlight w:val="none"/>
        </w:rPr>
        <w:fldChar w:fldCharType="separate"/>
      </w:r>
      <w:r>
        <w:rPr>
          <w:rFonts w:hint="eastAsia" w:ascii="宋体" w:hAnsi="宋体" w:eastAsia="宋体"/>
          <w:color w:val="auto"/>
          <w:kern w:val="2"/>
          <w:szCs w:val="28"/>
          <w:highlight w:val="none"/>
        </w:rPr>
        <w:t>一、投标人须知前附表</w:t>
      </w:r>
      <w:r>
        <w:rPr>
          <w:color w:val="auto"/>
          <w:highlight w:val="none"/>
        </w:rPr>
        <w:tab/>
      </w:r>
      <w:r>
        <w:rPr>
          <w:color w:val="auto"/>
          <w:highlight w:val="none"/>
        </w:rPr>
        <w:fldChar w:fldCharType="begin"/>
      </w:r>
      <w:r>
        <w:rPr>
          <w:color w:val="auto"/>
          <w:highlight w:val="none"/>
        </w:rPr>
        <w:instrText xml:space="preserve"> PAGEREF _Toc25669 \h </w:instrText>
      </w:r>
      <w:r>
        <w:rPr>
          <w:color w:val="auto"/>
          <w:highlight w:val="none"/>
        </w:rPr>
        <w:fldChar w:fldCharType="separate"/>
      </w:r>
      <w:r>
        <w:rPr>
          <w:color w:val="auto"/>
          <w:highlight w:val="none"/>
        </w:rPr>
        <w:t>7</w:t>
      </w:r>
      <w:r>
        <w:rPr>
          <w:color w:val="auto"/>
          <w:highlight w:val="none"/>
        </w:rPr>
        <w:fldChar w:fldCharType="end"/>
      </w:r>
      <w:r>
        <w:rPr>
          <w:rFonts w:hint="eastAsia"/>
          <w:color w:val="auto"/>
          <w:highlight w:val="none"/>
        </w:rPr>
        <w:fldChar w:fldCharType="end"/>
      </w:r>
    </w:p>
    <w:p w14:paraId="4D31AB01">
      <w:pPr>
        <w:pStyle w:val="29"/>
        <w:keepNext w:val="0"/>
        <w:keepLines w:val="0"/>
        <w:pageBreakBefore w:val="0"/>
        <w:widowControl/>
        <w:tabs>
          <w:tab w:val="right" w:leader="dot" w:pos="9747"/>
        </w:tabs>
        <w:kinsoku/>
        <w:wordWrap/>
        <w:overflowPunct/>
        <w:topLinePunct w:val="0"/>
        <w:autoSpaceDE/>
        <w:autoSpaceDN/>
        <w:bidi w:val="0"/>
        <w:adjustRightInd/>
        <w:spacing w:line="336"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_Toc16468 </w:instrText>
      </w:r>
      <w:r>
        <w:rPr>
          <w:rFonts w:hint="eastAsia"/>
          <w:color w:val="auto"/>
          <w:highlight w:val="none"/>
        </w:rPr>
        <w:fldChar w:fldCharType="separate"/>
      </w:r>
      <w:r>
        <w:rPr>
          <w:rFonts w:hint="eastAsia" w:ascii="宋体" w:hAnsi="宋体" w:eastAsia="宋体"/>
          <w:color w:val="auto"/>
          <w:kern w:val="2"/>
          <w:szCs w:val="28"/>
          <w:highlight w:val="none"/>
        </w:rPr>
        <w:t>二、投标人须知</w:t>
      </w:r>
      <w:r>
        <w:rPr>
          <w:color w:val="auto"/>
          <w:highlight w:val="none"/>
        </w:rPr>
        <w:tab/>
      </w:r>
      <w:r>
        <w:rPr>
          <w:color w:val="auto"/>
          <w:highlight w:val="none"/>
        </w:rPr>
        <w:fldChar w:fldCharType="begin"/>
      </w:r>
      <w:r>
        <w:rPr>
          <w:color w:val="auto"/>
          <w:highlight w:val="none"/>
        </w:rPr>
        <w:instrText xml:space="preserve"> PAGEREF _Toc16468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rPr>
        <w:fldChar w:fldCharType="end"/>
      </w:r>
    </w:p>
    <w:p w14:paraId="16EC2C41">
      <w:pPr>
        <w:pStyle w:val="29"/>
        <w:keepNext w:val="0"/>
        <w:keepLines w:val="0"/>
        <w:pageBreakBefore w:val="0"/>
        <w:widowControl/>
        <w:tabs>
          <w:tab w:val="right" w:leader="dot" w:pos="9747"/>
        </w:tabs>
        <w:kinsoku/>
        <w:wordWrap/>
        <w:overflowPunct/>
        <w:topLinePunct w:val="0"/>
        <w:autoSpaceDE/>
        <w:autoSpaceDN/>
        <w:bidi w:val="0"/>
        <w:adjustRightInd/>
        <w:spacing w:line="336"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_Toc30484 </w:instrText>
      </w:r>
      <w:r>
        <w:rPr>
          <w:rFonts w:hint="eastAsia"/>
          <w:color w:val="auto"/>
          <w:highlight w:val="none"/>
        </w:rPr>
        <w:fldChar w:fldCharType="separate"/>
      </w:r>
      <w:r>
        <w:rPr>
          <w:rFonts w:hint="eastAsia" w:ascii="宋体" w:hAnsi="宋体" w:eastAsia="宋体"/>
          <w:color w:val="auto"/>
          <w:highlight w:val="none"/>
          <w:lang w:val="zh-CN"/>
        </w:rPr>
        <w:t>（一）总则</w:t>
      </w:r>
      <w:r>
        <w:rPr>
          <w:color w:val="auto"/>
          <w:highlight w:val="none"/>
        </w:rPr>
        <w:tab/>
      </w:r>
      <w:r>
        <w:rPr>
          <w:color w:val="auto"/>
          <w:highlight w:val="none"/>
        </w:rPr>
        <w:fldChar w:fldCharType="begin"/>
      </w:r>
      <w:r>
        <w:rPr>
          <w:color w:val="auto"/>
          <w:highlight w:val="none"/>
        </w:rPr>
        <w:instrText xml:space="preserve"> PAGEREF _Toc30484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rPr>
        <w:fldChar w:fldCharType="end"/>
      </w:r>
    </w:p>
    <w:p w14:paraId="572D64E4">
      <w:pPr>
        <w:pStyle w:val="29"/>
        <w:keepNext w:val="0"/>
        <w:keepLines w:val="0"/>
        <w:pageBreakBefore w:val="0"/>
        <w:widowControl/>
        <w:tabs>
          <w:tab w:val="right" w:leader="dot" w:pos="9747"/>
        </w:tabs>
        <w:kinsoku/>
        <w:wordWrap/>
        <w:overflowPunct/>
        <w:topLinePunct w:val="0"/>
        <w:autoSpaceDE/>
        <w:autoSpaceDN/>
        <w:bidi w:val="0"/>
        <w:adjustRightInd/>
        <w:spacing w:line="336"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_Toc6775 </w:instrText>
      </w:r>
      <w:r>
        <w:rPr>
          <w:rFonts w:hint="eastAsia"/>
          <w:color w:val="auto"/>
          <w:highlight w:val="none"/>
        </w:rPr>
        <w:fldChar w:fldCharType="separate"/>
      </w:r>
      <w:r>
        <w:rPr>
          <w:rFonts w:hint="eastAsia" w:ascii="宋体" w:hAnsi="宋体" w:eastAsia="宋体"/>
          <w:color w:val="auto"/>
          <w:highlight w:val="none"/>
          <w:lang w:val="zh-CN"/>
        </w:rPr>
        <w:t>（二）招标文件</w:t>
      </w:r>
      <w:r>
        <w:rPr>
          <w:color w:val="auto"/>
          <w:highlight w:val="none"/>
        </w:rPr>
        <w:tab/>
      </w:r>
      <w:r>
        <w:rPr>
          <w:color w:val="auto"/>
          <w:highlight w:val="none"/>
        </w:rPr>
        <w:fldChar w:fldCharType="begin"/>
      </w:r>
      <w:r>
        <w:rPr>
          <w:color w:val="auto"/>
          <w:highlight w:val="none"/>
        </w:rPr>
        <w:instrText xml:space="preserve"> PAGEREF _Toc6775 \h </w:instrText>
      </w:r>
      <w:r>
        <w:rPr>
          <w:color w:val="auto"/>
          <w:highlight w:val="none"/>
        </w:rPr>
        <w:fldChar w:fldCharType="separate"/>
      </w:r>
      <w:r>
        <w:rPr>
          <w:color w:val="auto"/>
          <w:highlight w:val="none"/>
        </w:rPr>
        <w:t>15</w:t>
      </w:r>
      <w:r>
        <w:rPr>
          <w:color w:val="auto"/>
          <w:highlight w:val="none"/>
        </w:rPr>
        <w:fldChar w:fldCharType="end"/>
      </w:r>
      <w:r>
        <w:rPr>
          <w:rFonts w:hint="eastAsia"/>
          <w:color w:val="auto"/>
          <w:highlight w:val="none"/>
        </w:rPr>
        <w:fldChar w:fldCharType="end"/>
      </w:r>
    </w:p>
    <w:p w14:paraId="60F266B3">
      <w:pPr>
        <w:pStyle w:val="29"/>
        <w:keepNext w:val="0"/>
        <w:keepLines w:val="0"/>
        <w:pageBreakBefore w:val="0"/>
        <w:widowControl/>
        <w:tabs>
          <w:tab w:val="right" w:leader="dot" w:pos="9747"/>
        </w:tabs>
        <w:kinsoku/>
        <w:wordWrap/>
        <w:overflowPunct/>
        <w:topLinePunct w:val="0"/>
        <w:autoSpaceDE/>
        <w:autoSpaceDN/>
        <w:bidi w:val="0"/>
        <w:adjustRightInd/>
        <w:spacing w:line="336"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_Toc8217 </w:instrText>
      </w:r>
      <w:r>
        <w:rPr>
          <w:rFonts w:hint="eastAsia"/>
          <w:color w:val="auto"/>
          <w:highlight w:val="none"/>
        </w:rPr>
        <w:fldChar w:fldCharType="separate"/>
      </w:r>
      <w:r>
        <w:rPr>
          <w:rFonts w:hint="eastAsia" w:ascii="宋体" w:hAnsi="宋体" w:eastAsia="宋体"/>
          <w:color w:val="auto"/>
          <w:highlight w:val="none"/>
          <w:lang w:val="zh-CN"/>
        </w:rPr>
        <w:t>（三）投标文件</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16</w:t>
      </w:r>
      <w:r>
        <w:rPr>
          <w:color w:val="auto"/>
          <w:highlight w:val="none"/>
        </w:rPr>
        <w:fldChar w:fldCharType="end"/>
      </w:r>
      <w:r>
        <w:rPr>
          <w:rFonts w:hint="eastAsia"/>
          <w:color w:val="auto"/>
          <w:highlight w:val="none"/>
        </w:rPr>
        <w:fldChar w:fldCharType="end"/>
      </w:r>
    </w:p>
    <w:p w14:paraId="0356D545">
      <w:pPr>
        <w:pStyle w:val="29"/>
        <w:keepNext w:val="0"/>
        <w:keepLines w:val="0"/>
        <w:pageBreakBefore w:val="0"/>
        <w:widowControl/>
        <w:tabs>
          <w:tab w:val="right" w:leader="dot" w:pos="9747"/>
        </w:tabs>
        <w:kinsoku/>
        <w:wordWrap/>
        <w:overflowPunct/>
        <w:topLinePunct w:val="0"/>
        <w:autoSpaceDE/>
        <w:autoSpaceDN/>
        <w:bidi w:val="0"/>
        <w:adjustRightInd/>
        <w:spacing w:line="336"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_Toc11203 </w:instrText>
      </w:r>
      <w:r>
        <w:rPr>
          <w:rFonts w:hint="eastAsia"/>
          <w:color w:val="auto"/>
          <w:highlight w:val="none"/>
        </w:rPr>
        <w:fldChar w:fldCharType="separate"/>
      </w:r>
      <w:r>
        <w:rPr>
          <w:rFonts w:hint="eastAsia" w:ascii="宋体" w:hAnsi="宋体" w:eastAsia="宋体"/>
          <w:color w:val="auto"/>
          <w:highlight w:val="none"/>
          <w:lang w:val="zh-CN"/>
        </w:rPr>
        <w:t>（四）投标</w:t>
      </w:r>
      <w:r>
        <w:rPr>
          <w:color w:val="auto"/>
          <w:highlight w:val="none"/>
        </w:rPr>
        <w:tab/>
      </w:r>
      <w:r>
        <w:rPr>
          <w:color w:val="auto"/>
          <w:highlight w:val="none"/>
        </w:rPr>
        <w:fldChar w:fldCharType="begin"/>
      </w:r>
      <w:r>
        <w:rPr>
          <w:color w:val="auto"/>
          <w:highlight w:val="none"/>
        </w:rPr>
        <w:instrText xml:space="preserve"> PAGEREF _Toc11203 \h </w:instrText>
      </w:r>
      <w:r>
        <w:rPr>
          <w:color w:val="auto"/>
          <w:highlight w:val="none"/>
        </w:rPr>
        <w:fldChar w:fldCharType="separate"/>
      </w:r>
      <w:r>
        <w:rPr>
          <w:color w:val="auto"/>
          <w:highlight w:val="none"/>
        </w:rPr>
        <w:t>17</w:t>
      </w:r>
      <w:r>
        <w:rPr>
          <w:color w:val="auto"/>
          <w:highlight w:val="none"/>
        </w:rPr>
        <w:fldChar w:fldCharType="end"/>
      </w:r>
      <w:r>
        <w:rPr>
          <w:rFonts w:hint="eastAsia"/>
          <w:color w:val="auto"/>
          <w:highlight w:val="none"/>
        </w:rPr>
        <w:fldChar w:fldCharType="end"/>
      </w:r>
    </w:p>
    <w:p w14:paraId="0A6D54A0">
      <w:pPr>
        <w:pStyle w:val="29"/>
        <w:keepNext w:val="0"/>
        <w:keepLines w:val="0"/>
        <w:pageBreakBefore w:val="0"/>
        <w:widowControl/>
        <w:tabs>
          <w:tab w:val="right" w:leader="dot" w:pos="9747"/>
        </w:tabs>
        <w:kinsoku/>
        <w:wordWrap/>
        <w:overflowPunct/>
        <w:topLinePunct w:val="0"/>
        <w:autoSpaceDE/>
        <w:autoSpaceDN/>
        <w:bidi w:val="0"/>
        <w:adjustRightInd/>
        <w:spacing w:line="336"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_Toc12098 </w:instrText>
      </w:r>
      <w:r>
        <w:rPr>
          <w:rFonts w:hint="eastAsia"/>
          <w:color w:val="auto"/>
          <w:highlight w:val="none"/>
        </w:rPr>
        <w:fldChar w:fldCharType="separate"/>
      </w:r>
      <w:r>
        <w:rPr>
          <w:rFonts w:hint="eastAsia" w:ascii="宋体" w:hAnsi="宋体" w:eastAsia="宋体"/>
          <w:color w:val="auto"/>
          <w:highlight w:val="none"/>
          <w:lang w:val="zh-CN"/>
        </w:rPr>
        <w:t>（五）开标</w:t>
      </w:r>
      <w:r>
        <w:rPr>
          <w:color w:val="auto"/>
          <w:highlight w:val="none"/>
        </w:rPr>
        <w:tab/>
      </w:r>
      <w:r>
        <w:rPr>
          <w:color w:val="auto"/>
          <w:highlight w:val="none"/>
        </w:rPr>
        <w:fldChar w:fldCharType="begin"/>
      </w:r>
      <w:r>
        <w:rPr>
          <w:color w:val="auto"/>
          <w:highlight w:val="none"/>
        </w:rPr>
        <w:instrText xml:space="preserve"> PAGEREF _Toc12098 \h </w:instrText>
      </w:r>
      <w:r>
        <w:rPr>
          <w:color w:val="auto"/>
          <w:highlight w:val="none"/>
        </w:rPr>
        <w:fldChar w:fldCharType="separate"/>
      </w:r>
      <w:r>
        <w:rPr>
          <w:color w:val="auto"/>
          <w:highlight w:val="none"/>
        </w:rPr>
        <w:t>17</w:t>
      </w:r>
      <w:r>
        <w:rPr>
          <w:color w:val="auto"/>
          <w:highlight w:val="none"/>
        </w:rPr>
        <w:fldChar w:fldCharType="end"/>
      </w:r>
      <w:r>
        <w:rPr>
          <w:rFonts w:hint="eastAsia"/>
          <w:color w:val="auto"/>
          <w:highlight w:val="none"/>
        </w:rPr>
        <w:fldChar w:fldCharType="end"/>
      </w:r>
    </w:p>
    <w:p w14:paraId="0E1ED61C">
      <w:pPr>
        <w:pStyle w:val="29"/>
        <w:keepNext w:val="0"/>
        <w:keepLines w:val="0"/>
        <w:pageBreakBefore w:val="0"/>
        <w:widowControl/>
        <w:tabs>
          <w:tab w:val="right" w:leader="dot" w:pos="9747"/>
        </w:tabs>
        <w:kinsoku/>
        <w:wordWrap/>
        <w:overflowPunct/>
        <w:topLinePunct w:val="0"/>
        <w:autoSpaceDE/>
        <w:autoSpaceDN/>
        <w:bidi w:val="0"/>
        <w:adjustRightInd/>
        <w:spacing w:line="336"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_Toc31938 </w:instrText>
      </w:r>
      <w:r>
        <w:rPr>
          <w:rFonts w:hint="eastAsia"/>
          <w:color w:val="auto"/>
          <w:highlight w:val="none"/>
        </w:rPr>
        <w:fldChar w:fldCharType="separate"/>
      </w:r>
      <w:r>
        <w:rPr>
          <w:rFonts w:hint="eastAsia" w:ascii="宋体" w:hAnsi="宋体" w:eastAsia="宋体"/>
          <w:color w:val="auto"/>
          <w:highlight w:val="none"/>
          <w:lang w:val="zh-CN"/>
        </w:rPr>
        <w:t>（六）评标</w:t>
      </w:r>
      <w:r>
        <w:rPr>
          <w:color w:val="auto"/>
          <w:highlight w:val="none"/>
        </w:rPr>
        <w:tab/>
      </w:r>
      <w:r>
        <w:rPr>
          <w:color w:val="auto"/>
          <w:highlight w:val="none"/>
        </w:rPr>
        <w:fldChar w:fldCharType="begin"/>
      </w:r>
      <w:r>
        <w:rPr>
          <w:color w:val="auto"/>
          <w:highlight w:val="none"/>
        </w:rPr>
        <w:instrText xml:space="preserve"> PAGEREF _Toc31938 \h </w:instrText>
      </w:r>
      <w:r>
        <w:rPr>
          <w:color w:val="auto"/>
          <w:highlight w:val="none"/>
        </w:rPr>
        <w:fldChar w:fldCharType="separate"/>
      </w:r>
      <w:r>
        <w:rPr>
          <w:color w:val="auto"/>
          <w:highlight w:val="none"/>
        </w:rPr>
        <w:t>18</w:t>
      </w:r>
      <w:r>
        <w:rPr>
          <w:color w:val="auto"/>
          <w:highlight w:val="none"/>
        </w:rPr>
        <w:fldChar w:fldCharType="end"/>
      </w:r>
      <w:r>
        <w:rPr>
          <w:rFonts w:hint="eastAsia"/>
          <w:color w:val="auto"/>
          <w:highlight w:val="none"/>
        </w:rPr>
        <w:fldChar w:fldCharType="end"/>
      </w:r>
    </w:p>
    <w:p w14:paraId="7329B0BD">
      <w:pPr>
        <w:pStyle w:val="29"/>
        <w:keepNext w:val="0"/>
        <w:keepLines w:val="0"/>
        <w:pageBreakBefore w:val="0"/>
        <w:widowControl/>
        <w:tabs>
          <w:tab w:val="right" w:leader="dot" w:pos="9747"/>
        </w:tabs>
        <w:kinsoku/>
        <w:wordWrap/>
        <w:overflowPunct/>
        <w:topLinePunct w:val="0"/>
        <w:autoSpaceDE/>
        <w:autoSpaceDN/>
        <w:bidi w:val="0"/>
        <w:adjustRightInd/>
        <w:spacing w:line="336"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_Toc27135 </w:instrText>
      </w:r>
      <w:r>
        <w:rPr>
          <w:rFonts w:hint="eastAsia"/>
          <w:color w:val="auto"/>
          <w:highlight w:val="none"/>
        </w:rPr>
        <w:fldChar w:fldCharType="separate"/>
      </w:r>
      <w:r>
        <w:rPr>
          <w:rFonts w:hint="eastAsia" w:ascii="宋体" w:hAnsi="宋体" w:eastAsia="宋体"/>
          <w:color w:val="auto"/>
          <w:highlight w:val="none"/>
          <w:lang w:val="zh-CN"/>
        </w:rPr>
        <w:t>（七）中标及合同</w:t>
      </w:r>
      <w:r>
        <w:rPr>
          <w:color w:val="auto"/>
          <w:highlight w:val="none"/>
        </w:rPr>
        <w:tab/>
      </w:r>
      <w:r>
        <w:rPr>
          <w:color w:val="auto"/>
          <w:highlight w:val="none"/>
        </w:rPr>
        <w:fldChar w:fldCharType="begin"/>
      </w:r>
      <w:r>
        <w:rPr>
          <w:color w:val="auto"/>
          <w:highlight w:val="none"/>
        </w:rPr>
        <w:instrText xml:space="preserve"> PAGEREF _Toc27135 \h </w:instrText>
      </w:r>
      <w:r>
        <w:rPr>
          <w:color w:val="auto"/>
          <w:highlight w:val="none"/>
        </w:rPr>
        <w:fldChar w:fldCharType="separate"/>
      </w:r>
      <w:r>
        <w:rPr>
          <w:color w:val="auto"/>
          <w:highlight w:val="none"/>
        </w:rPr>
        <w:t>19</w:t>
      </w:r>
      <w:r>
        <w:rPr>
          <w:color w:val="auto"/>
          <w:highlight w:val="none"/>
        </w:rPr>
        <w:fldChar w:fldCharType="end"/>
      </w:r>
      <w:r>
        <w:rPr>
          <w:rFonts w:hint="eastAsia"/>
          <w:color w:val="auto"/>
          <w:highlight w:val="none"/>
        </w:rPr>
        <w:fldChar w:fldCharType="end"/>
      </w:r>
    </w:p>
    <w:p w14:paraId="6B277CE8">
      <w:pPr>
        <w:pStyle w:val="29"/>
        <w:keepNext w:val="0"/>
        <w:keepLines w:val="0"/>
        <w:pageBreakBefore w:val="0"/>
        <w:widowControl/>
        <w:tabs>
          <w:tab w:val="right" w:leader="dot" w:pos="9747"/>
        </w:tabs>
        <w:kinsoku/>
        <w:wordWrap/>
        <w:overflowPunct/>
        <w:topLinePunct w:val="0"/>
        <w:autoSpaceDE/>
        <w:autoSpaceDN/>
        <w:bidi w:val="0"/>
        <w:adjustRightInd/>
        <w:spacing w:line="336"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_Toc18432 </w:instrText>
      </w:r>
      <w:r>
        <w:rPr>
          <w:rFonts w:hint="eastAsia"/>
          <w:color w:val="auto"/>
          <w:highlight w:val="none"/>
        </w:rPr>
        <w:fldChar w:fldCharType="separate"/>
      </w:r>
      <w:r>
        <w:rPr>
          <w:rFonts w:hint="eastAsia" w:ascii="宋体" w:hAnsi="宋体" w:eastAsia="宋体"/>
          <w:color w:val="auto"/>
          <w:highlight w:val="none"/>
          <w:lang w:val="zh-CN"/>
        </w:rPr>
        <w:t>（八）重新采购</w:t>
      </w:r>
      <w:r>
        <w:rPr>
          <w:color w:val="auto"/>
          <w:highlight w:val="none"/>
        </w:rPr>
        <w:tab/>
      </w:r>
      <w:r>
        <w:rPr>
          <w:color w:val="auto"/>
          <w:highlight w:val="none"/>
        </w:rPr>
        <w:fldChar w:fldCharType="begin"/>
      </w:r>
      <w:r>
        <w:rPr>
          <w:color w:val="auto"/>
          <w:highlight w:val="none"/>
        </w:rPr>
        <w:instrText xml:space="preserve"> PAGEREF _Toc18432 \h </w:instrText>
      </w:r>
      <w:r>
        <w:rPr>
          <w:color w:val="auto"/>
          <w:highlight w:val="none"/>
        </w:rPr>
        <w:fldChar w:fldCharType="separate"/>
      </w:r>
      <w:r>
        <w:rPr>
          <w:color w:val="auto"/>
          <w:highlight w:val="none"/>
        </w:rPr>
        <w:t>20</w:t>
      </w:r>
      <w:r>
        <w:rPr>
          <w:color w:val="auto"/>
          <w:highlight w:val="none"/>
        </w:rPr>
        <w:fldChar w:fldCharType="end"/>
      </w:r>
      <w:r>
        <w:rPr>
          <w:rFonts w:hint="eastAsia"/>
          <w:color w:val="auto"/>
          <w:highlight w:val="none"/>
        </w:rPr>
        <w:fldChar w:fldCharType="end"/>
      </w:r>
    </w:p>
    <w:p w14:paraId="3E7AD103">
      <w:pPr>
        <w:pStyle w:val="29"/>
        <w:keepNext w:val="0"/>
        <w:keepLines w:val="0"/>
        <w:pageBreakBefore w:val="0"/>
        <w:widowControl/>
        <w:tabs>
          <w:tab w:val="right" w:leader="dot" w:pos="9747"/>
        </w:tabs>
        <w:kinsoku/>
        <w:wordWrap/>
        <w:overflowPunct/>
        <w:topLinePunct w:val="0"/>
        <w:autoSpaceDE/>
        <w:autoSpaceDN/>
        <w:bidi w:val="0"/>
        <w:adjustRightInd/>
        <w:spacing w:line="336"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_Toc2048 </w:instrText>
      </w:r>
      <w:r>
        <w:rPr>
          <w:rFonts w:hint="eastAsia"/>
          <w:color w:val="auto"/>
          <w:highlight w:val="none"/>
        </w:rPr>
        <w:fldChar w:fldCharType="separate"/>
      </w:r>
      <w:r>
        <w:rPr>
          <w:rFonts w:hint="eastAsia" w:ascii="宋体" w:hAnsi="宋体" w:eastAsia="宋体"/>
          <w:color w:val="auto"/>
          <w:highlight w:val="none"/>
          <w:lang w:val="zh-CN"/>
        </w:rPr>
        <w:t>（九）纪律和监督</w:t>
      </w:r>
      <w:r>
        <w:rPr>
          <w:color w:val="auto"/>
          <w:highlight w:val="none"/>
        </w:rPr>
        <w:tab/>
      </w:r>
      <w:r>
        <w:rPr>
          <w:color w:val="auto"/>
          <w:highlight w:val="none"/>
        </w:rPr>
        <w:fldChar w:fldCharType="begin"/>
      </w:r>
      <w:r>
        <w:rPr>
          <w:color w:val="auto"/>
          <w:highlight w:val="none"/>
        </w:rPr>
        <w:instrText xml:space="preserve"> PAGEREF _Toc2048 \h </w:instrText>
      </w:r>
      <w:r>
        <w:rPr>
          <w:color w:val="auto"/>
          <w:highlight w:val="none"/>
        </w:rPr>
        <w:fldChar w:fldCharType="separate"/>
      </w:r>
      <w:r>
        <w:rPr>
          <w:color w:val="auto"/>
          <w:highlight w:val="none"/>
        </w:rPr>
        <w:t>20</w:t>
      </w:r>
      <w:r>
        <w:rPr>
          <w:color w:val="auto"/>
          <w:highlight w:val="none"/>
        </w:rPr>
        <w:fldChar w:fldCharType="end"/>
      </w:r>
      <w:r>
        <w:rPr>
          <w:rFonts w:hint="eastAsia"/>
          <w:color w:val="auto"/>
          <w:highlight w:val="none"/>
        </w:rPr>
        <w:fldChar w:fldCharType="end"/>
      </w:r>
    </w:p>
    <w:p w14:paraId="2EB8873E">
      <w:pPr>
        <w:pStyle w:val="29"/>
        <w:keepNext w:val="0"/>
        <w:keepLines w:val="0"/>
        <w:pageBreakBefore w:val="0"/>
        <w:widowControl/>
        <w:tabs>
          <w:tab w:val="right" w:leader="dot" w:pos="9747"/>
        </w:tabs>
        <w:kinsoku/>
        <w:wordWrap/>
        <w:overflowPunct/>
        <w:topLinePunct w:val="0"/>
        <w:autoSpaceDE/>
        <w:autoSpaceDN/>
        <w:bidi w:val="0"/>
        <w:adjustRightInd/>
        <w:spacing w:line="336"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_Toc6242 </w:instrText>
      </w:r>
      <w:r>
        <w:rPr>
          <w:rFonts w:hint="eastAsia"/>
          <w:color w:val="auto"/>
          <w:highlight w:val="none"/>
        </w:rPr>
        <w:fldChar w:fldCharType="separate"/>
      </w:r>
      <w:r>
        <w:rPr>
          <w:rFonts w:hint="eastAsia" w:ascii="宋体" w:hAnsi="宋体" w:eastAsia="宋体"/>
          <w:color w:val="auto"/>
          <w:highlight w:val="none"/>
          <w:lang w:val="zh-CN"/>
        </w:rPr>
        <w:t>（十）需要补充的其他内容</w:t>
      </w:r>
      <w:r>
        <w:rPr>
          <w:color w:val="auto"/>
          <w:highlight w:val="none"/>
        </w:rPr>
        <w:tab/>
      </w:r>
      <w:r>
        <w:rPr>
          <w:color w:val="auto"/>
          <w:highlight w:val="none"/>
        </w:rPr>
        <w:fldChar w:fldCharType="begin"/>
      </w:r>
      <w:r>
        <w:rPr>
          <w:color w:val="auto"/>
          <w:highlight w:val="none"/>
        </w:rPr>
        <w:instrText xml:space="preserve"> PAGEREF _Toc6242 \h </w:instrText>
      </w:r>
      <w:r>
        <w:rPr>
          <w:color w:val="auto"/>
          <w:highlight w:val="none"/>
        </w:rPr>
        <w:fldChar w:fldCharType="separate"/>
      </w:r>
      <w:r>
        <w:rPr>
          <w:color w:val="auto"/>
          <w:highlight w:val="none"/>
        </w:rPr>
        <w:t>21</w:t>
      </w:r>
      <w:r>
        <w:rPr>
          <w:color w:val="auto"/>
          <w:highlight w:val="none"/>
        </w:rPr>
        <w:fldChar w:fldCharType="end"/>
      </w:r>
      <w:r>
        <w:rPr>
          <w:rFonts w:hint="eastAsia"/>
          <w:color w:val="auto"/>
          <w:highlight w:val="none"/>
        </w:rPr>
        <w:fldChar w:fldCharType="end"/>
      </w:r>
    </w:p>
    <w:p w14:paraId="0D767E53">
      <w:pPr>
        <w:pStyle w:val="24"/>
        <w:keepNext w:val="0"/>
        <w:keepLines w:val="0"/>
        <w:pageBreakBefore w:val="0"/>
        <w:widowControl/>
        <w:tabs>
          <w:tab w:val="right" w:leader="dot" w:pos="9747"/>
        </w:tabs>
        <w:kinsoku/>
        <w:wordWrap/>
        <w:overflowPunct/>
        <w:topLinePunct w:val="0"/>
        <w:autoSpaceDE/>
        <w:autoSpaceDN/>
        <w:bidi w:val="0"/>
        <w:adjustRightInd/>
        <w:spacing w:line="336"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_Toc6857 </w:instrText>
      </w:r>
      <w:r>
        <w:rPr>
          <w:rFonts w:hint="eastAsia"/>
          <w:color w:val="auto"/>
          <w:highlight w:val="none"/>
        </w:rPr>
        <w:fldChar w:fldCharType="separate"/>
      </w:r>
      <w:r>
        <w:rPr>
          <w:rFonts w:hint="eastAsia" w:ascii="宋体" w:hAnsi="宋体"/>
          <w:color w:val="auto"/>
          <w:szCs w:val="36"/>
          <w:highlight w:val="none"/>
          <w:lang w:val="zh-CN"/>
        </w:rPr>
        <w:t>第三章 资格审查</w:t>
      </w:r>
      <w:r>
        <w:rPr>
          <w:color w:val="auto"/>
          <w:highlight w:val="none"/>
        </w:rPr>
        <w:tab/>
      </w:r>
      <w:r>
        <w:rPr>
          <w:color w:val="auto"/>
          <w:highlight w:val="none"/>
        </w:rPr>
        <w:fldChar w:fldCharType="begin"/>
      </w:r>
      <w:r>
        <w:rPr>
          <w:color w:val="auto"/>
          <w:highlight w:val="none"/>
        </w:rPr>
        <w:instrText xml:space="preserve"> PAGEREF _Toc6857 \h </w:instrText>
      </w:r>
      <w:r>
        <w:rPr>
          <w:color w:val="auto"/>
          <w:highlight w:val="none"/>
        </w:rPr>
        <w:fldChar w:fldCharType="separate"/>
      </w:r>
      <w:r>
        <w:rPr>
          <w:color w:val="auto"/>
          <w:highlight w:val="none"/>
        </w:rPr>
        <w:t>22</w:t>
      </w:r>
      <w:r>
        <w:rPr>
          <w:color w:val="auto"/>
          <w:highlight w:val="none"/>
        </w:rPr>
        <w:fldChar w:fldCharType="end"/>
      </w:r>
      <w:r>
        <w:rPr>
          <w:rFonts w:hint="eastAsia"/>
          <w:color w:val="auto"/>
          <w:highlight w:val="none"/>
        </w:rPr>
        <w:fldChar w:fldCharType="end"/>
      </w:r>
    </w:p>
    <w:p w14:paraId="094B2854">
      <w:pPr>
        <w:pStyle w:val="24"/>
        <w:keepNext w:val="0"/>
        <w:keepLines w:val="0"/>
        <w:pageBreakBefore w:val="0"/>
        <w:widowControl/>
        <w:tabs>
          <w:tab w:val="right" w:leader="dot" w:pos="9747"/>
        </w:tabs>
        <w:kinsoku/>
        <w:wordWrap/>
        <w:overflowPunct/>
        <w:topLinePunct w:val="0"/>
        <w:autoSpaceDE/>
        <w:autoSpaceDN/>
        <w:bidi w:val="0"/>
        <w:adjustRightInd/>
        <w:spacing w:line="336"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_Toc19169 </w:instrText>
      </w:r>
      <w:r>
        <w:rPr>
          <w:rFonts w:hint="eastAsia"/>
          <w:color w:val="auto"/>
          <w:highlight w:val="none"/>
        </w:rPr>
        <w:fldChar w:fldCharType="separate"/>
      </w:r>
      <w:r>
        <w:rPr>
          <w:rFonts w:hint="eastAsia" w:ascii="宋体" w:hAnsi="宋体"/>
          <w:color w:val="auto"/>
          <w:szCs w:val="36"/>
          <w:highlight w:val="none"/>
          <w:lang w:val="zh-CN"/>
        </w:rPr>
        <w:t>第四章 评标办法（综合评分法）</w:t>
      </w:r>
      <w:r>
        <w:rPr>
          <w:color w:val="auto"/>
          <w:highlight w:val="none"/>
        </w:rPr>
        <w:tab/>
      </w:r>
      <w:r>
        <w:rPr>
          <w:color w:val="auto"/>
          <w:highlight w:val="none"/>
        </w:rPr>
        <w:fldChar w:fldCharType="begin"/>
      </w:r>
      <w:r>
        <w:rPr>
          <w:color w:val="auto"/>
          <w:highlight w:val="none"/>
        </w:rPr>
        <w:instrText xml:space="preserve"> PAGEREF _Toc19169 \h </w:instrText>
      </w:r>
      <w:r>
        <w:rPr>
          <w:color w:val="auto"/>
          <w:highlight w:val="none"/>
        </w:rPr>
        <w:fldChar w:fldCharType="separate"/>
      </w:r>
      <w:r>
        <w:rPr>
          <w:color w:val="auto"/>
          <w:highlight w:val="none"/>
        </w:rPr>
        <w:t>24</w:t>
      </w:r>
      <w:r>
        <w:rPr>
          <w:color w:val="auto"/>
          <w:highlight w:val="none"/>
        </w:rPr>
        <w:fldChar w:fldCharType="end"/>
      </w:r>
      <w:r>
        <w:rPr>
          <w:rFonts w:hint="eastAsia"/>
          <w:color w:val="auto"/>
          <w:highlight w:val="none"/>
        </w:rPr>
        <w:fldChar w:fldCharType="end"/>
      </w:r>
    </w:p>
    <w:p w14:paraId="4C0E6DFE">
      <w:pPr>
        <w:pStyle w:val="29"/>
        <w:keepNext w:val="0"/>
        <w:keepLines w:val="0"/>
        <w:pageBreakBefore w:val="0"/>
        <w:widowControl/>
        <w:tabs>
          <w:tab w:val="right" w:leader="dot" w:pos="9747"/>
        </w:tabs>
        <w:kinsoku/>
        <w:wordWrap/>
        <w:overflowPunct/>
        <w:topLinePunct w:val="0"/>
        <w:autoSpaceDE/>
        <w:autoSpaceDN/>
        <w:bidi w:val="0"/>
        <w:adjustRightInd/>
        <w:spacing w:line="336"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_Toc24291 </w:instrText>
      </w:r>
      <w:r>
        <w:rPr>
          <w:rFonts w:hint="eastAsia"/>
          <w:color w:val="auto"/>
          <w:highlight w:val="none"/>
        </w:rPr>
        <w:fldChar w:fldCharType="separate"/>
      </w:r>
      <w:r>
        <w:rPr>
          <w:rFonts w:hint="eastAsia" w:ascii="宋体" w:hAnsi="宋体" w:eastAsia="宋体"/>
          <w:color w:val="auto"/>
          <w:highlight w:val="none"/>
        </w:rPr>
        <w:t>一、评标办法前附表</w:t>
      </w:r>
      <w:r>
        <w:rPr>
          <w:color w:val="auto"/>
          <w:highlight w:val="none"/>
        </w:rPr>
        <w:tab/>
      </w:r>
      <w:r>
        <w:rPr>
          <w:color w:val="auto"/>
          <w:highlight w:val="none"/>
        </w:rPr>
        <w:fldChar w:fldCharType="begin"/>
      </w:r>
      <w:r>
        <w:rPr>
          <w:color w:val="auto"/>
          <w:highlight w:val="none"/>
        </w:rPr>
        <w:instrText xml:space="preserve"> PAGEREF _Toc24291 \h </w:instrText>
      </w:r>
      <w:r>
        <w:rPr>
          <w:color w:val="auto"/>
          <w:highlight w:val="none"/>
        </w:rPr>
        <w:fldChar w:fldCharType="separate"/>
      </w:r>
      <w:r>
        <w:rPr>
          <w:color w:val="auto"/>
          <w:highlight w:val="none"/>
        </w:rPr>
        <w:t>24</w:t>
      </w:r>
      <w:r>
        <w:rPr>
          <w:color w:val="auto"/>
          <w:highlight w:val="none"/>
        </w:rPr>
        <w:fldChar w:fldCharType="end"/>
      </w:r>
      <w:r>
        <w:rPr>
          <w:rFonts w:hint="eastAsia"/>
          <w:color w:val="auto"/>
          <w:highlight w:val="none"/>
        </w:rPr>
        <w:fldChar w:fldCharType="end"/>
      </w:r>
    </w:p>
    <w:p w14:paraId="321AD9BA">
      <w:pPr>
        <w:pStyle w:val="29"/>
        <w:keepNext w:val="0"/>
        <w:keepLines w:val="0"/>
        <w:pageBreakBefore w:val="0"/>
        <w:widowControl/>
        <w:tabs>
          <w:tab w:val="right" w:leader="dot" w:pos="9747"/>
        </w:tabs>
        <w:kinsoku/>
        <w:wordWrap/>
        <w:overflowPunct/>
        <w:topLinePunct w:val="0"/>
        <w:autoSpaceDE/>
        <w:autoSpaceDN/>
        <w:bidi w:val="0"/>
        <w:adjustRightInd/>
        <w:spacing w:line="336"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_Toc6000 </w:instrText>
      </w:r>
      <w:r>
        <w:rPr>
          <w:rFonts w:hint="eastAsia"/>
          <w:color w:val="auto"/>
          <w:highlight w:val="none"/>
        </w:rPr>
        <w:fldChar w:fldCharType="separate"/>
      </w:r>
      <w:r>
        <w:rPr>
          <w:rFonts w:hint="eastAsia" w:ascii="宋体" w:hAnsi="宋体" w:eastAsia="宋体"/>
          <w:color w:val="auto"/>
          <w:highlight w:val="none"/>
        </w:rPr>
        <w:t>二、评标方法</w:t>
      </w:r>
      <w:r>
        <w:rPr>
          <w:color w:val="auto"/>
          <w:highlight w:val="none"/>
        </w:rPr>
        <w:tab/>
      </w:r>
      <w:r>
        <w:rPr>
          <w:color w:val="auto"/>
          <w:highlight w:val="none"/>
        </w:rPr>
        <w:fldChar w:fldCharType="begin"/>
      </w:r>
      <w:r>
        <w:rPr>
          <w:color w:val="auto"/>
          <w:highlight w:val="none"/>
        </w:rPr>
        <w:instrText xml:space="preserve"> PAGEREF _Toc6000 \h </w:instrText>
      </w:r>
      <w:r>
        <w:rPr>
          <w:color w:val="auto"/>
          <w:highlight w:val="none"/>
        </w:rPr>
        <w:fldChar w:fldCharType="separate"/>
      </w:r>
      <w:r>
        <w:rPr>
          <w:color w:val="auto"/>
          <w:highlight w:val="none"/>
        </w:rPr>
        <w:t>27</w:t>
      </w:r>
      <w:r>
        <w:rPr>
          <w:color w:val="auto"/>
          <w:highlight w:val="none"/>
        </w:rPr>
        <w:fldChar w:fldCharType="end"/>
      </w:r>
      <w:r>
        <w:rPr>
          <w:rFonts w:hint="eastAsia"/>
          <w:color w:val="auto"/>
          <w:highlight w:val="none"/>
        </w:rPr>
        <w:fldChar w:fldCharType="end"/>
      </w:r>
    </w:p>
    <w:p w14:paraId="4014FAD0">
      <w:pPr>
        <w:pStyle w:val="29"/>
        <w:keepNext w:val="0"/>
        <w:keepLines w:val="0"/>
        <w:pageBreakBefore w:val="0"/>
        <w:widowControl/>
        <w:tabs>
          <w:tab w:val="right" w:leader="dot" w:pos="9747"/>
        </w:tabs>
        <w:kinsoku/>
        <w:wordWrap/>
        <w:overflowPunct/>
        <w:topLinePunct w:val="0"/>
        <w:autoSpaceDE/>
        <w:autoSpaceDN/>
        <w:bidi w:val="0"/>
        <w:adjustRightInd/>
        <w:spacing w:line="336"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_Toc11198 </w:instrText>
      </w:r>
      <w:r>
        <w:rPr>
          <w:rFonts w:hint="eastAsia"/>
          <w:color w:val="auto"/>
          <w:highlight w:val="none"/>
        </w:rPr>
        <w:fldChar w:fldCharType="separate"/>
      </w:r>
      <w:r>
        <w:rPr>
          <w:rFonts w:hint="eastAsia" w:ascii="宋体" w:hAnsi="宋体" w:eastAsia="宋体"/>
          <w:color w:val="auto"/>
          <w:highlight w:val="none"/>
        </w:rPr>
        <w:t>三、评标程序</w:t>
      </w:r>
      <w:r>
        <w:rPr>
          <w:color w:val="auto"/>
          <w:highlight w:val="none"/>
        </w:rPr>
        <w:tab/>
      </w:r>
      <w:r>
        <w:rPr>
          <w:color w:val="auto"/>
          <w:highlight w:val="none"/>
        </w:rPr>
        <w:fldChar w:fldCharType="begin"/>
      </w:r>
      <w:r>
        <w:rPr>
          <w:color w:val="auto"/>
          <w:highlight w:val="none"/>
        </w:rPr>
        <w:instrText xml:space="preserve"> PAGEREF _Toc11198 \h </w:instrText>
      </w:r>
      <w:r>
        <w:rPr>
          <w:color w:val="auto"/>
          <w:highlight w:val="none"/>
        </w:rPr>
        <w:fldChar w:fldCharType="separate"/>
      </w:r>
      <w:r>
        <w:rPr>
          <w:color w:val="auto"/>
          <w:highlight w:val="none"/>
        </w:rPr>
        <w:t>29</w:t>
      </w:r>
      <w:r>
        <w:rPr>
          <w:color w:val="auto"/>
          <w:highlight w:val="none"/>
        </w:rPr>
        <w:fldChar w:fldCharType="end"/>
      </w:r>
      <w:r>
        <w:rPr>
          <w:rFonts w:hint="eastAsia"/>
          <w:color w:val="auto"/>
          <w:highlight w:val="none"/>
        </w:rPr>
        <w:fldChar w:fldCharType="end"/>
      </w:r>
    </w:p>
    <w:p w14:paraId="151E8F56">
      <w:pPr>
        <w:pStyle w:val="29"/>
        <w:keepNext w:val="0"/>
        <w:keepLines w:val="0"/>
        <w:pageBreakBefore w:val="0"/>
        <w:widowControl/>
        <w:tabs>
          <w:tab w:val="right" w:leader="dot" w:pos="9747"/>
        </w:tabs>
        <w:kinsoku/>
        <w:wordWrap/>
        <w:overflowPunct/>
        <w:topLinePunct w:val="0"/>
        <w:autoSpaceDE/>
        <w:autoSpaceDN/>
        <w:bidi w:val="0"/>
        <w:adjustRightInd/>
        <w:spacing w:line="336"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_Toc8674 </w:instrText>
      </w:r>
      <w:r>
        <w:rPr>
          <w:rFonts w:hint="eastAsia"/>
          <w:color w:val="auto"/>
          <w:highlight w:val="none"/>
        </w:rPr>
        <w:fldChar w:fldCharType="separate"/>
      </w:r>
      <w:r>
        <w:rPr>
          <w:rFonts w:hint="eastAsia" w:ascii="宋体" w:hAnsi="宋体" w:eastAsia="宋体"/>
          <w:color w:val="auto"/>
          <w:highlight w:val="none"/>
        </w:rPr>
        <w:t>四、汇总评标结果</w:t>
      </w:r>
      <w:r>
        <w:rPr>
          <w:color w:val="auto"/>
          <w:highlight w:val="none"/>
        </w:rPr>
        <w:tab/>
      </w:r>
      <w:r>
        <w:rPr>
          <w:color w:val="auto"/>
          <w:highlight w:val="none"/>
        </w:rPr>
        <w:fldChar w:fldCharType="begin"/>
      </w:r>
      <w:r>
        <w:rPr>
          <w:color w:val="auto"/>
          <w:highlight w:val="none"/>
        </w:rPr>
        <w:instrText xml:space="preserve"> PAGEREF _Toc8674 \h </w:instrText>
      </w:r>
      <w:r>
        <w:rPr>
          <w:color w:val="auto"/>
          <w:highlight w:val="none"/>
        </w:rPr>
        <w:fldChar w:fldCharType="separate"/>
      </w:r>
      <w:r>
        <w:rPr>
          <w:color w:val="auto"/>
          <w:highlight w:val="none"/>
        </w:rPr>
        <w:t>35</w:t>
      </w:r>
      <w:r>
        <w:rPr>
          <w:color w:val="auto"/>
          <w:highlight w:val="none"/>
        </w:rPr>
        <w:fldChar w:fldCharType="end"/>
      </w:r>
      <w:r>
        <w:rPr>
          <w:rFonts w:hint="eastAsia"/>
          <w:color w:val="auto"/>
          <w:highlight w:val="none"/>
        </w:rPr>
        <w:fldChar w:fldCharType="end"/>
      </w:r>
    </w:p>
    <w:p w14:paraId="69D13F51">
      <w:pPr>
        <w:pStyle w:val="29"/>
        <w:keepNext w:val="0"/>
        <w:keepLines w:val="0"/>
        <w:pageBreakBefore w:val="0"/>
        <w:widowControl/>
        <w:tabs>
          <w:tab w:val="right" w:leader="dot" w:pos="9747"/>
        </w:tabs>
        <w:kinsoku/>
        <w:wordWrap/>
        <w:overflowPunct/>
        <w:topLinePunct w:val="0"/>
        <w:autoSpaceDE/>
        <w:autoSpaceDN/>
        <w:bidi w:val="0"/>
        <w:adjustRightInd/>
        <w:spacing w:line="336"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_Toc8063 </w:instrText>
      </w:r>
      <w:r>
        <w:rPr>
          <w:rFonts w:hint="eastAsia"/>
          <w:color w:val="auto"/>
          <w:highlight w:val="none"/>
        </w:rPr>
        <w:fldChar w:fldCharType="separate"/>
      </w:r>
      <w:r>
        <w:rPr>
          <w:rFonts w:hint="eastAsia" w:ascii="宋体" w:hAnsi="宋体" w:eastAsia="宋体"/>
          <w:color w:val="auto"/>
          <w:highlight w:val="none"/>
        </w:rPr>
        <w:t>五、推荐中标候选人</w:t>
      </w:r>
      <w:r>
        <w:rPr>
          <w:color w:val="auto"/>
          <w:highlight w:val="none"/>
        </w:rPr>
        <w:tab/>
      </w:r>
      <w:r>
        <w:rPr>
          <w:color w:val="auto"/>
          <w:highlight w:val="none"/>
        </w:rPr>
        <w:fldChar w:fldCharType="begin"/>
      </w:r>
      <w:r>
        <w:rPr>
          <w:color w:val="auto"/>
          <w:highlight w:val="none"/>
        </w:rPr>
        <w:instrText xml:space="preserve"> PAGEREF _Toc8063 \h </w:instrText>
      </w:r>
      <w:r>
        <w:rPr>
          <w:color w:val="auto"/>
          <w:highlight w:val="none"/>
        </w:rPr>
        <w:fldChar w:fldCharType="separate"/>
      </w:r>
      <w:r>
        <w:rPr>
          <w:color w:val="auto"/>
          <w:highlight w:val="none"/>
        </w:rPr>
        <w:t>35</w:t>
      </w:r>
      <w:r>
        <w:rPr>
          <w:color w:val="auto"/>
          <w:highlight w:val="none"/>
        </w:rPr>
        <w:fldChar w:fldCharType="end"/>
      </w:r>
      <w:r>
        <w:rPr>
          <w:rFonts w:hint="eastAsia"/>
          <w:color w:val="auto"/>
          <w:highlight w:val="none"/>
        </w:rPr>
        <w:fldChar w:fldCharType="end"/>
      </w:r>
    </w:p>
    <w:p w14:paraId="4F75A4FA">
      <w:pPr>
        <w:pStyle w:val="29"/>
        <w:keepNext w:val="0"/>
        <w:keepLines w:val="0"/>
        <w:pageBreakBefore w:val="0"/>
        <w:widowControl/>
        <w:tabs>
          <w:tab w:val="right" w:leader="dot" w:pos="9747"/>
        </w:tabs>
        <w:kinsoku/>
        <w:wordWrap/>
        <w:overflowPunct/>
        <w:topLinePunct w:val="0"/>
        <w:autoSpaceDE/>
        <w:autoSpaceDN/>
        <w:bidi w:val="0"/>
        <w:adjustRightInd/>
        <w:spacing w:line="336"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_Toc23289 </w:instrText>
      </w:r>
      <w:r>
        <w:rPr>
          <w:rFonts w:hint="eastAsia"/>
          <w:color w:val="auto"/>
          <w:highlight w:val="none"/>
        </w:rPr>
        <w:fldChar w:fldCharType="separate"/>
      </w:r>
      <w:r>
        <w:rPr>
          <w:rFonts w:hint="eastAsia" w:ascii="宋体" w:hAnsi="宋体" w:eastAsia="宋体"/>
          <w:color w:val="auto"/>
          <w:highlight w:val="none"/>
        </w:rPr>
        <w:t>六、特殊情况的处置程序</w:t>
      </w:r>
      <w:r>
        <w:rPr>
          <w:color w:val="auto"/>
          <w:highlight w:val="none"/>
        </w:rPr>
        <w:tab/>
      </w:r>
      <w:r>
        <w:rPr>
          <w:color w:val="auto"/>
          <w:highlight w:val="none"/>
        </w:rPr>
        <w:fldChar w:fldCharType="begin"/>
      </w:r>
      <w:r>
        <w:rPr>
          <w:color w:val="auto"/>
          <w:highlight w:val="none"/>
        </w:rPr>
        <w:instrText xml:space="preserve"> PAGEREF _Toc23289 \h </w:instrText>
      </w:r>
      <w:r>
        <w:rPr>
          <w:color w:val="auto"/>
          <w:highlight w:val="none"/>
        </w:rPr>
        <w:fldChar w:fldCharType="separate"/>
      </w:r>
      <w:r>
        <w:rPr>
          <w:color w:val="auto"/>
          <w:highlight w:val="none"/>
        </w:rPr>
        <w:t>35</w:t>
      </w:r>
      <w:r>
        <w:rPr>
          <w:color w:val="auto"/>
          <w:highlight w:val="none"/>
        </w:rPr>
        <w:fldChar w:fldCharType="end"/>
      </w:r>
      <w:r>
        <w:rPr>
          <w:rFonts w:hint="eastAsia"/>
          <w:color w:val="auto"/>
          <w:highlight w:val="none"/>
        </w:rPr>
        <w:fldChar w:fldCharType="end"/>
      </w:r>
    </w:p>
    <w:p w14:paraId="49FD805A">
      <w:pPr>
        <w:pStyle w:val="24"/>
        <w:keepNext w:val="0"/>
        <w:keepLines w:val="0"/>
        <w:pageBreakBefore w:val="0"/>
        <w:widowControl/>
        <w:tabs>
          <w:tab w:val="right" w:leader="dot" w:pos="9747"/>
        </w:tabs>
        <w:kinsoku/>
        <w:wordWrap/>
        <w:overflowPunct/>
        <w:topLinePunct w:val="0"/>
        <w:autoSpaceDE/>
        <w:autoSpaceDN/>
        <w:bidi w:val="0"/>
        <w:adjustRightInd/>
        <w:spacing w:line="336"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_Toc20042 </w:instrText>
      </w:r>
      <w:r>
        <w:rPr>
          <w:rFonts w:hint="eastAsia"/>
          <w:color w:val="auto"/>
          <w:highlight w:val="none"/>
        </w:rPr>
        <w:fldChar w:fldCharType="separate"/>
      </w:r>
      <w:r>
        <w:rPr>
          <w:rFonts w:hint="eastAsia" w:ascii="宋体" w:hAnsi="宋体"/>
          <w:color w:val="auto"/>
          <w:szCs w:val="36"/>
          <w:highlight w:val="none"/>
          <w:lang w:val="zh-CN"/>
        </w:rPr>
        <w:t>第五章 合同条款及格式</w:t>
      </w:r>
      <w:r>
        <w:rPr>
          <w:color w:val="auto"/>
          <w:highlight w:val="none"/>
        </w:rPr>
        <w:tab/>
      </w:r>
      <w:r>
        <w:rPr>
          <w:color w:val="auto"/>
          <w:highlight w:val="none"/>
        </w:rPr>
        <w:fldChar w:fldCharType="begin"/>
      </w:r>
      <w:r>
        <w:rPr>
          <w:color w:val="auto"/>
          <w:highlight w:val="none"/>
        </w:rPr>
        <w:instrText xml:space="preserve"> PAGEREF _Toc20042 \h </w:instrText>
      </w:r>
      <w:r>
        <w:rPr>
          <w:color w:val="auto"/>
          <w:highlight w:val="none"/>
        </w:rPr>
        <w:fldChar w:fldCharType="separate"/>
      </w:r>
      <w:r>
        <w:rPr>
          <w:color w:val="auto"/>
          <w:highlight w:val="none"/>
        </w:rPr>
        <w:t>37</w:t>
      </w:r>
      <w:r>
        <w:rPr>
          <w:color w:val="auto"/>
          <w:highlight w:val="none"/>
        </w:rPr>
        <w:fldChar w:fldCharType="end"/>
      </w:r>
      <w:r>
        <w:rPr>
          <w:rFonts w:hint="eastAsia"/>
          <w:color w:val="auto"/>
          <w:highlight w:val="none"/>
        </w:rPr>
        <w:fldChar w:fldCharType="end"/>
      </w:r>
    </w:p>
    <w:p w14:paraId="542A9106">
      <w:pPr>
        <w:pStyle w:val="24"/>
        <w:keepNext w:val="0"/>
        <w:keepLines w:val="0"/>
        <w:pageBreakBefore w:val="0"/>
        <w:widowControl/>
        <w:tabs>
          <w:tab w:val="right" w:leader="dot" w:pos="9747"/>
        </w:tabs>
        <w:kinsoku/>
        <w:wordWrap/>
        <w:overflowPunct/>
        <w:topLinePunct w:val="0"/>
        <w:autoSpaceDE/>
        <w:autoSpaceDN/>
        <w:bidi w:val="0"/>
        <w:adjustRightInd/>
        <w:spacing w:line="336"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_Toc14533 </w:instrText>
      </w:r>
      <w:r>
        <w:rPr>
          <w:rFonts w:hint="eastAsia"/>
          <w:color w:val="auto"/>
          <w:highlight w:val="none"/>
        </w:rPr>
        <w:fldChar w:fldCharType="separate"/>
      </w:r>
      <w:r>
        <w:rPr>
          <w:rFonts w:hint="eastAsia" w:ascii="宋体" w:hAnsi="宋体"/>
          <w:color w:val="auto"/>
          <w:szCs w:val="36"/>
          <w:highlight w:val="none"/>
          <w:lang w:val="zh-CN"/>
        </w:rPr>
        <w:t>第六章 采购需求</w:t>
      </w:r>
      <w:r>
        <w:rPr>
          <w:color w:val="auto"/>
          <w:highlight w:val="none"/>
        </w:rPr>
        <w:tab/>
      </w:r>
      <w:r>
        <w:rPr>
          <w:color w:val="auto"/>
          <w:highlight w:val="none"/>
        </w:rPr>
        <w:fldChar w:fldCharType="begin"/>
      </w:r>
      <w:r>
        <w:rPr>
          <w:color w:val="auto"/>
          <w:highlight w:val="none"/>
        </w:rPr>
        <w:instrText xml:space="preserve"> PAGEREF _Toc14533 \h </w:instrText>
      </w:r>
      <w:r>
        <w:rPr>
          <w:color w:val="auto"/>
          <w:highlight w:val="none"/>
        </w:rPr>
        <w:fldChar w:fldCharType="separate"/>
      </w:r>
      <w:r>
        <w:rPr>
          <w:color w:val="auto"/>
          <w:highlight w:val="none"/>
        </w:rPr>
        <w:t>43</w:t>
      </w:r>
      <w:r>
        <w:rPr>
          <w:color w:val="auto"/>
          <w:highlight w:val="none"/>
        </w:rPr>
        <w:fldChar w:fldCharType="end"/>
      </w:r>
      <w:r>
        <w:rPr>
          <w:rFonts w:hint="eastAsia"/>
          <w:color w:val="auto"/>
          <w:highlight w:val="none"/>
        </w:rPr>
        <w:fldChar w:fldCharType="end"/>
      </w:r>
    </w:p>
    <w:p w14:paraId="2F66B693">
      <w:pPr>
        <w:pStyle w:val="24"/>
        <w:keepNext w:val="0"/>
        <w:keepLines w:val="0"/>
        <w:pageBreakBefore w:val="0"/>
        <w:widowControl/>
        <w:tabs>
          <w:tab w:val="right" w:leader="dot" w:pos="9747"/>
        </w:tabs>
        <w:kinsoku/>
        <w:wordWrap/>
        <w:overflowPunct/>
        <w:topLinePunct w:val="0"/>
        <w:autoSpaceDE/>
        <w:autoSpaceDN/>
        <w:bidi w:val="0"/>
        <w:adjustRightInd/>
        <w:spacing w:line="336"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_Toc27390 </w:instrText>
      </w:r>
      <w:r>
        <w:rPr>
          <w:rFonts w:hint="eastAsia"/>
          <w:color w:val="auto"/>
          <w:highlight w:val="none"/>
        </w:rPr>
        <w:fldChar w:fldCharType="separate"/>
      </w:r>
      <w:r>
        <w:rPr>
          <w:rFonts w:hint="eastAsia" w:ascii="宋体" w:hAnsi="宋体"/>
          <w:color w:val="auto"/>
          <w:szCs w:val="36"/>
          <w:highlight w:val="none"/>
          <w:lang w:val="zh-CN"/>
        </w:rPr>
        <w:t>第七章 投标文件格式</w:t>
      </w:r>
      <w:r>
        <w:rPr>
          <w:color w:val="auto"/>
          <w:highlight w:val="none"/>
        </w:rPr>
        <w:tab/>
      </w:r>
      <w:r>
        <w:rPr>
          <w:color w:val="auto"/>
          <w:highlight w:val="none"/>
        </w:rPr>
        <w:fldChar w:fldCharType="begin"/>
      </w:r>
      <w:r>
        <w:rPr>
          <w:color w:val="auto"/>
          <w:highlight w:val="none"/>
        </w:rPr>
        <w:instrText xml:space="preserve"> PAGEREF _Toc27390 \h </w:instrText>
      </w:r>
      <w:r>
        <w:rPr>
          <w:color w:val="auto"/>
          <w:highlight w:val="none"/>
        </w:rPr>
        <w:fldChar w:fldCharType="separate"/>
      </w:r>
      <w:r>
        <w:rPr>
          <w:color w:val="auto"/>
          <w:highlight w:val="none"/>
        </w:rPr>
        <w:t>46</w:t>
      </w:r>
      <w:r>
        <w:rPr>
          <w:color w:val="auto"/>
          <w:highlight w:val="none"/>
        </w:rPr>
        <w:fldChar w:fldCharType="end"/>
      </w:r>
      <w:r>
        <w:rPr>
          <w:rFonts w:hint="eastAsia"/>
          <w:color w:val="auto"/>
          <w:highlight w:val="none"/>
        </w:rPr>
        <w:fldChar w:fldCharType="end"/>
      </w:r>
    </w:p>
    <w:p w14:paraId="3C2E1078">
      <w:pPr>
        <w:pStyle w:val="29"/>
        <w:keepNext w:val="0"/>
        <w:keepLines w:val="0"/>
        <w:pageBreakBefore w:val="0"/>
        <w:widowControl/>
        <w:tabs>
          <w:tab w:val="right" w:leader="dot" w:pos="9747"/>
        </w:tabs>
        <w:kinsoku/>
        <w:wordWrap/>
        <w:overflowPunct/>
        <w:topLinePunct w:val="0"/>
        <w:autoSpaceDE/>
        <w:autoSpaceDN/>
        <w:bidi w:val="0"/>
        <w:adjustRightInd/>
        <w:spacing w:line="336"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_Toc11251 </w:instrText>
      </w:r>
      <w:r>
        <w:rPr>
          <w:rFonts w:hint="eastAsia"/>
          <w:color w:val="auto"/>
          <w:highlight w:val="none"/>
        </w:rPr>
        <w:fldChar w:fldCharType="separate"/>
      </w:r>
      <w:r>
        <w:rPr>
          <w:rFonts w:hint="eastAsia" w:ascii="宋体" w:hAnsi="宋体" w:eastAsia="宋体"/>
          <w:color w:val="auto"/>
          <w:highlight w:val="none"/>
          <w:lang w:val="zh-CN"/>
        </w:rPr>
        <w:t>一、投标文件资格审查部分格式</w:t>
      </w:r>
      <w:r>
        <w:rPr>
          <w:color w:val="auto"/>
          <w:highlight w:val="none"/>
        </w:rPr>
        <w:tab/>
      </w:r>
      <w:r>
        <w:rPr>
          <w:color w:val="auto"/>
          <w:highlight w:val="none"/>
        </w:rPr>
        <w:fldChar w:fldCharType="begin"/>
      </w:r>
      <w:r>
        <w:rPr>
          <w:color w:val="auto"/>
          <w:highlight w:val="none"/>
        </w:rPr>
        <w:instrText xml:space="preserve"> PAGEREF _Toc11251 \h </w:instrText>
      </w:r>
      <w:r>
        <w:rPr>
          <w:color w:val="auto"/>
          <w:highlight w:val="none"/>
        </w:rPr>
        <w:fldChar w:fldCharType="separate"/>
      </w:r>
      <w:r>
        <w:rPr>
          <w:color w:val="auto"/>
          <w:highlight w:val="none"/>
        </w:rPr>
        <w:t>47</w:t>
      </w:r>
      <w:r>
        <w:rPr>
          <w:color w:val="auto"/>
          <w:highlight w:val="none"/>
        </w:rPr>
        <w:fldChar w:fldCharType="end"/>
      </w:r>
      <w:r>
        <w:rPr>
          <w:rFonts w:hint="eastAsia"/>
          <w:color w:val="auto"/>
          <w:highlight w:val="none"/>
        </w:rPr>
        <w:fldChar w:fldCharType="end"/>
      </w:r>
    </w:p>
    <w:p w14:paraId="645FF7E3">
      <w:pPr>
        <w:pStyle w:val="29"/>
        <w:keepNext w:val="0"/>
        <w:keepLines w:val="0"/>
        <w:pageBreakBefore w:val="0"/>
        <w:widowControl/>
        <w:tabs>
          <w:tab w:val="right" w:leader="dot" w:pos="9747"/>
        </w:tabs>
        <w:kinsoku/>
        <w:wordWrap/>
        <w:overflowPunct/>
        <w:topLinePunct w:val="0"/>
        <w:autoSpaceDE/>
        <w:autoSpaceDN/>
        <w:bidi w:val="0"/>
        <w:adjustRightInd/>
        <w:spacing w:line="336"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_Toc21797 </w:instrText>
      </w:r>
      <w:r>
        <w:rPr>
          <w:rFonts w:hint="eastAsia"/>
          <w:color w:val="auto"/>
          <w:highlight w:val="none"/>
        </w:rPr>
        <w:fldChar w:fldCharType="separate"/>
      </w:r>
      <w:r>
        <w:rPr>
          <w:rFonts w:hint="eastAsia" w:ascii="宋体" w:hAnsi="宋体" w:eastAsia="宋体"/>
          <w:color w:val="auto"/>
          <w:highlight w:val="none"/>
          <w:lang w:val="zh-CN"/>
        </w:rPr>
        <w:t>二、投标文件投标函部分格式</w:t>
      </w:r>
      <w:r>
        <w:rPr>
          <w:color w:val="auto"/>
          <w:highlight w:val="none"/>
        </w:rPr>
        <w:tab/>
      </w:r>
      <w:r>
        <w:rPr>
          <w:color w:val="auto"/>
          <w:highlight w:val="none"/>
        </w:rPr>
        <w:fldChar w:fldCharType="begin"/>
      </w:r>
      <w:r>
        <w:rPr>
          <w:color w:val="auto"/>
          <w:highlight w:val="none"/>
        </w:rPr>
        <w:instrText xml:space="preserve"> PAGEREF _Toc21797 \h </w:instrText>
      </w:r>
      <w:r>
        <w:rPr>
          <w:color w:val="auto"/>
          <w:highlight w:val="none"/>
        </w:rPr>
        <w:fldChar w:fldCharType="separate"/>
      </w:r>
      <w:r>
        <w:rPr>
          <w:color w:val="auto"/>
          <w:highlight w:val="none"/>
        </w:rPr>
        <w:t>51</w:t>
      </w:r>
      <w:r>
        <w:rPr>
          <w:color w:val="auto"/>
          <w:highlight w:val="none"/>
        </w:rPr>
        <w:fldChar w:fldCharType="end"/>
      </w:r>
      <w:r>
        <w:rPr>
          <w:rFonts w:hint="eastAsia"/>
          <w:color w:val="auto"/>
          <w:highlight w:val="none"/>
        </w:rPr>
        <w:fldChar w:fldCharType="end"/>
      </w:r>
    </w:p>
    <w:p w14:paraId="3B41264D">
      <w:pPr>
        <w:pStyle w:val="29"/>
        <w:keepNext w:val="0"/>
        <w:keepLines w:val="0"/>
        <w:pageBreakBefore w:val="0"/>
        <w:widowControl/>
        <w:tabs>
          <w:tab w:val="right" w:leader="dot" w:pos="9747"/>
        </w:tabs>
        <w:kinsoku/>
        <w:wordWrap/>
        <w:overflowPunct/>
        <w:topLinePunct w:val="0"/>
        <w:autoSpaceDE/>
        <w:autoSpaceDN/>
        <w:bidi w:val="0"/>
        <w:adjustRightInd/>
        <w:spacing w:line="336"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_Toc31888 </w:instrText>
      </w:r>
      <w:r>
        <w:rPr>
          <w:rFonts w:hint="eastAsia"/>
          <w:color w:val="auto"/>
          <w:highlight w:val="none"/>
        </w:rPr>
        <w:fldChar w:fldCharType="separate"/>
      </w:r>
      <w:r>
        <w:rPr>
          <w:rFonts w:hint="eastAsia" w:ascii="宋体" w:hAnsi="宋体" w:eastAsia="宋体"/>
          <w:color w:val="auto"/>
          <w:highlight w:val="none"/>
          <w:lang w:val="zh-CN"/>
        </w:rPr>
        <w:t>三、投标文件投标报价部分格式</w:t>
      </w:r>
      <w:r>
        <w:rPr>
          <w:color w:val="auto"/>
          <w:highlight w:val="none"/>
        </w:rPr>
        <w:tab/>
      </w:r>
      <w:r>
        <w:rPr>
          <w:color w:val="auto"/>
          <w:highlight w:val="none"/>
        </w:rPr>
        <w:fldChar w:fldCharType="begin"/>
      </w:r>
      <w:r>
        <w:rPr>
          <w:color w:val="auto"/>
          <w:highlight w:val="none"/>
        </w:rPr>
        <w:instrText xml:space="preserve"> PAGEREF _Toc31888 \h </w:instrText>
      </w:r>
      <w:r>
        <w:rPr>
          <w:color w:val="auto"/>
          <w:highlight w:val="none"/>
        </w:rPr>
        <w:fldChar w:fldCharType="separate"/>
      </w:r>
      <w:r>
        <w:rPr>
          <w:color w:val="auto"/>
          <w:highlight w:val="none"/>
        </w:rPr>
        <w:t>54</w:t>
      </w:r>
      <w:r>
        <w:rPr>
          <w:color w:val="auto"/>
          <w:highlight w:val="none"/>
        </w:rPr>
        <w:fldChar w:fldCharType="end"/>
      </w:r>
      <w:r>
        <w:rPr>
          <w:rFonts w:hint="eastAsia"/>
          <w:color w:val="auto"/>
          <w:highlight w:val="none"/>
        </w:rPr>
        <w:fldChar w:fldCharType="end"/>
      </w:r>
    </w:p>
    <w:p w14:paraId="7D2A1DE2">
      <w:pPr>
        <w:pStyle w:val="29"/>
        <w:keepNext w:val="0"/>
        <w:keepLines w:val="0"/>
        <w:pageBreakBefore w:val="0"/>
        <w:widowControl/>
        <w:tabs>
          <w:tab w:val="right" w:leader="dot" w:pos="9747"/>
        </w:tabs>
        <w:kinsoku/>
        <w:wordWrap/>
        <w:overflowPunct/>
        <w:topLinePunct w:val="0"/>
        <w:autoSpaceDE/>
        <w:autoSpaceDN/>
        <w:bidi w:val="0"/>
        <w:adjustRightInd/>
        <w:spacing w:line="336"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_Toc10175 </w:instrText>
      </w:r>
      <w:r>
        <w:rPr>
          <w:rFonts w:hint="eastAsia"/>
          <w:color w:val="auto"/>
          <w:highlight w:val="none"/>
        </w:rPr>
        <w:fldChar w:fldCharType="separate"/>
      </w:r>
      <w:r>
        <w:rPr>
          <w:rFonts w:hint="eastAsia" w:ascii="宋体" w:hAnsi="宋体" w:eastAsia="宋体"/>
          <w:color w:val="auto"/>
          <w:highlight w:val="none"/>
          <w:lang w:val="zh-CN"/>
        </w:rPr>
        <w:t>四、投标文件技术、商务部分格式</w:t>
      </w:r>
      <w:r>
        <w:rPr>
          <w:color w:val="auto"/>
          <w:highlight w:val="none"/>
        </w:rPr>
        <w:tab/>
      </w:r>
      <w:r>
        <w:rPr>
          <w:color w:val="auto"/>
          <w:highlight w:val="none"/>
        </w:rPr>
        <w:fldChar w:fldCharType="begin"/>
      </w:r>
      <w:r>
        <w:rPr>
          <w:color w:val="auto"/>
          <w:highlight w:val="none"/>
        </w:rPr>
        <w:instrText xml:space="preserve"> PAGEREF _Toc10175 \h </w:instrText>
      </w:r>
      <w:r>
        <w:rPr>
          <w:color w:val="auto"/>
          <w:highlight w:val="none"/>
        </w:rPr>
        <w:fldChar w:fldCharType="separate"/>
      </w:r>
      <w:r>
        <w:rPr>
          <w:color w:val="auto"/>
          <w:highlight w:val="none"/>
        </w:rPr>
        <w:t>59</w:t>
      </w:r>
      <w:r>
        <w:rPr>
          <w:color w:val="auto"/>
          <w:highlight w:val="none"/>
        </w:rPr>
        <w:fldChar w:fldCharType="end"/>
      </w:r>
      <w:r>
        <w:rPr>
          <w:rFonts w:hint="eastAsia"/>
          <w:color w:val="auto"/>
          <w:highlight w:val="none"/>
        </w:rPr>
        <w:fldChar w:fldCharType="end"/>
      </w:r>
    </w:p>
    <w:p w14:paraId="6291A727">
      <w:pPr>
        <w:bidi w:val="0"/>
        <w:rPr>
          <w:color w:val="auto"/>
          <w:highlight w:val="none"/>
        </w:rPr>
      </w:pPr>
      <w:r>
        <w:rPr>
          <w:rFonts w:hint="eastAsia"/>
          <w:color w:val="auto"/>
          <w:highlight w:val="none"/>
        </w:rPr>
        <w:fldChar w:fldCharType="end"/>
      </w:r>
      <w:bookmarkStart w:id="0" w:name="_Toc19815103"/>
      <w:bookmarkStart w:id="1" w:name="_Toc260908184"/>
      <w:bookmarkStart w:id="2" w:name="_Toc260907968"/>
      <w:bookmarkStart w:id="3" w:name="_Toc229583198"/>
    </w:p>
    <w:p w14:paraId="45FB94D1">
      <w:pPr>
        <w:rPr>
          <w:rFonts w:ascii="宋体" w:hAnsi="宋体" w:cs="宋体"/>
          <w:i/>
          <w:caps/>
          <w:smallCaps/>
          <w:color w:val="auto"/>
          <w:szCs w:val="21"/>
          <w:highlight w:val="none"/>
        </w:rPr>
      </w:pPr>
      <w:r>
        <w:rPr>
          <w:rFonts w:hint="eastAsia" w:ascii="宋体" w:hAnsi="宋体" w:cs="宋体"/>
          <w:i/>
          <w:caps/>
          <w:smallCaps/>
          <w:color w:val="auto"/>
          <w:szCs w:val="21"/>
          <w:highlight w:val="none"/>
        </w:rPr>
        <w:br w:type="page"/>
      </w:r>
    </w:p>
    <w:p w14:paraId="2A2B515C">
      <w:pPr>
        <w:pStyle w:val="2"/>
        <w:spacing w:before="240" w:after="240" w:line="360" w:lineRule="auto"/>
        <w:jc w:val="center"/>
        <w:rPr>
          <w:rFonts w:ascii="宋体" w:hAnsi="宋体"/>
          <w:color w:val="auto"/>
          <w:sz w:val="36"/>
          <w:szCs w:val="36"/>
          <w:highlight w:val="none"/>
          <w:lang w:val="zh-CN"/>
        </w:rPr>
      </w:pPr>
      <w:bookmarkStart w:id="4" w:name="_Toc4310"/>
      <w:r>
        <w:rPr>
          <w:rFonts w:hint="eastAsia" w:ascii="宋体" w:hAnsi="宋体"/>
          <w:color w:val="auto"/>
          <w:sz w:val="36"/>
          <w:szCs w:val="36"/>
          <w:highlight w:val="none"/>
          <w:lang w:val="zh-CN"/>
        </w:rPr>
        <w:t xml:space="preserve">第一章 </w:t>
      </w:r>
      <w:bookmarkEnd w:id="0"/>
      <w:r>
        <w:rPr>
          <w:rFonts w:hint="eastAsia" w:ascii="宋体" w:hAnsi="宋体"/>
          <w:color w:val="auto"/>
          <w:sz w:val="36"/>
          <w:szCs w:val="36"/>
          <w:highlight w:val="none"/>
          <w:lang w:val="zh-CN"/>
        </w:rPr>
        <w:t>招标公告</w:t>
      </w:r>
      <w:bookmarkEnd w:id="4"/>
    </w:p>
    <w:tbl>
      <w:tblPr>
        <w:tblStyle w:val="32"/>
        <w:tblW w:w="9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1"/>
      </w:tblGrid>
      <w:tr w14:paraId="60D3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1" w:type="dxa"/>
          </w:tcPr>
          <w:p w14:paraId="72C83928">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项目概况</w:t>
            </w:r>
          </w:p>
          <w:p w14:paraId="500F9192">
            <w:pPr>
              <w:spacing w:line="360" w:lineRule="auto"/>
              <w:ind w:firstLine="420" w:firstLineChars="200"/>
              <w:rPr>
                <w:color w:val="auto"/>
                <w:highlight w:val="none"/>
              </w:rPr>
            </w:pPr>
            <w:r>
              <w:rPr>
                <w:rFonts w:hint="eastAsia" w:ascii="宋体" w:hAnsi="宋体"/>
                <w:color w:val="auto"/>
                <w:sz w:val="21"/>
                <w:szCs w:val="21"/>
                <w:highlight w:val="none"/>
                <w:lang w:eastAsia="zh-CN"/>
              </w:rPr>
              <w:t>禄劝彝族苗族自治县殡仪馆2026 —2028年遗体接运服务和殡仪业务服务项目</w:t>
            </w:r>
            <w:r>
              <w:rPr>
                <w:rFonts w:hint="eastAsia" w:ascii="宋体" w:hAnsi="宋体"/>
                <w:color w:val="auto"/>
                <w:sz w:val="21"/>
                <w:szCs w:val="21"/>
                <w:highlight w:val="none"/>
              </w:rPr>
              <w:t>的潜在投标人应在</w:t>
            </w:r>
            <w:r>
              <w:rPr>
                <w:color w:val="auto"/>
                <w:highlight w:val="none"/>
                <w:u w:val="none"/>
              </w:rPr>
              <w:fldChar w:fldCharType="begin"/>
            </w:r>
            <w:r>
              <w:rPr>
                <w:color w:val="auto"/>
                <w:highlight w:val="none"/>
                <w:u w:val="none"/>
              </w:rPr>
              <w:instrText xml:space="preserve"> HYPERLINK "https://ggzy.yn.gov.cn/" \l "/homePage，切换至" </w:instrText>
            </w:r>
            <w:r>
              <w:rPr>
                <w:color w:val="auto"/>
                <w:highlight w:val="none"/>
                <w:u w:val="none"/>
              </w:rPr>
              <w:fldChar w:fldCharType="separate"/>
            </w:r>
            <w:r>
              <w:rPr>
                <w:rFonts w:hint="eastAsia" w:ascii="宋体" w:hAnsi="宋体"/>
                <w:color w:val="auto"/>
                <w:sz w:val="21"/>
                <w:szCs w:val="21"/>
                <w:highlight w:val="none"/>
                <w:u w:val="none"/>
              </w:rPr>
              <w:t>政采云平台（https://www.zcygov.cn/）</w:t>
            </w:r>
            <w:r>
              <w:rPr>
                <w:rStyle w:val="37"/>
                <w:rFonts w:hint="eastAsia" w:ascii="宋体" w:hAnsi="宋体"/>
                <w:color w:val="auto"/>
                <w:sz w:val="21"/>
                <w:szCs w:val="21"/>
                <w:highlight w:val="none"/>
                <w:u w:val="none"/>
              </w:rPr>
              <w:t>获取招标文件，并于202</w:t>
            </w:r>
            <w:r>
              <w:rPr>
                <w:rStyle w:val="37"/>
                <w:rFonts w:hint="eastAsia" w:ascii="宋体" w:hAnsi="宋体"/>
                <w:color w:val="auto"/>
                <w:sz w:val="21"/>
                <w:szCs w:val="21"/>
                <w:highlight w:val="none"/>
                <w:u w:val="none"/>
                <w:lang w:val="en-US" w:eastAsia="zh-CN"/>
              </w:rPr>
              <w:t>6</w:t>
            </w:r>
            <w:r>
              <w:rPr>
                <w:rStyle w:val="37"/>
                <w:rFonts w:hint="eastAsia" w:ascii="宋体" w:hAnsi="宋体"/>
                <w:color w:val="auto"/>
                <w:sz w:val="21"/>
                <w:szCs w:val="21"/>
                <w:highlight w:val="none"/>
                <w:u w:val="none"/>
              </w:rPr>
              <w:t>年</w:t>
            </w:r>
            <w:r>
              <w:rPr>
                <w:color w:val="auto"/>
                <w:highlight w:val="none"/>
                <w:u w:val="none"/>
              </w:rPr>
              <w:fldChar w:fldCharType="end"/>
            </w:r>
            <w:r>
              <w:rPr>
                <w:rFonts w:hint="eastAsia"/>
                <w:color w:val="auto"/>
                <w:highlight w:val="none"/>
                <w:u w:val="none"/>
                <w:lang w:val="en-US" w:eastAsia="zh-CN"/>
              </w:rPr>
              <w:t>6</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日</w:t>
            </w:r>
            <w:r>
              <w:rPr>
                <w:rFonts w:hint="eastAsia" w:ascii="宋体" w:hAnsi="宋体"/>
                <w:color w:val="auto"/>
                <w:sz w:val="21"/>
                <w:szCs w:val="21"/>
                <w:highlight w:val="none"/>
                <w:lang w:val="en-US" w:eastAsia="zh-CN"/>
              </w:rPr>
              <w:t xml:space="preserve"> 10时00</w:t>
            </w:r>
            <w:r>
              <w:rPr>
                <w:rFonts w:hint="eastAsia" w:ascii="宋体" w:hAnsi="宋体"/>
                <w:color w:val="auto"/>
                <w:sz w:val="21"/>
                <w:szCs w:val="21"/>
                <w:highlight w:val="none"/>
              </w:rPr>
              <w:t>分（北京时间）前上传投标文件。</w:t>
            </w:r>
          </w:p>
        </w:tc>
      </w:tr>
    </w:tbl>
    <w:p w14:paraId="1776AC11">
      <w:pPr>
        <w:pStyle w:val="150"/>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一、项目基本情况</w:t>
      </w:r>
    </w:p>
    <w:p w14:paraId="7C35549C">
      <w:pPr>
        <w:keepNext w:val="0"/>
        <w:keepLines w:val="0"/>
        <w:pageBreakBefore w:val="0"/>
        <w:widowControl/>
        <w:kinsoku/>
        <w:wordWrap/>
        <w:overflowPunct/>
        <w:topLinePunct w:val="0"/>
        <w:autoSpaceDE/>
        <w:autoSpaceDN/>
        <w:bidi w:val="0"/>
        <w:adjustRightInd/>
        <w:snapToGrid/>
        <w:spacing w:afterAutospacing="0" w:line="360" w:lineRule="auto"/>
        <w:ind w:firstLine="420" w:firstLineChars="200"/>
        <w:rPr>
          <w:rFonts w:hint="eastAsia" w:ascii="宋体" w:hAnsi="宋体"/>
          <w:color w:val="auto"/>
          <w:sz w:val="24"/>
          <w:szCs w:val="24"/>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lang w:eastAsia="zh-CN"/>
        </w:rPr>
        <w:t>）</w:t>
      </w:r>
      <w:r>
        <w:rPr>
          <w:rFonts w:hint="eastAsia" w:ascii="宋体" w:hAnsi="宋体"/>
          <w:color w:val="auto"/>
          <w:sz w:val="21"/>
          <w:szCs w:val="21"/>
          <w:highlight w:val="none"/>
        </w:rPr>
        <w:t>项目编号：</w:t>
      </w:r>
      <w:r>
        <w:rPr>
          <w:rFonts w:hint="eastAsia" w:ascii="宋体" w:hAnsi="宋体"/>
          <w:color w:val="auto"/>
          <w:sz w:val="24"/>
          <w:szCs w:val="24"/>
          <w:highlight w:val="none"/>
        </w:rPr>
        <w:t>KMZC2026-G3-00769-YNTX-0004</w:t>
      </w:r>
    </w:p>
    <w:p w14:paraId="26750FB3">
      <w:pPr>
        <w:keepNext w:val="0"/>
        <w:keepLines w:val="0"/>
        <w:pageBreakBefore w:val="0"/>
        <w:widowControl/>
        <w:kinsoku/>
        <w:wordWrap/>
        <w:overflowPunct/>
        <w:topLinePunct w:val="0"/>
        <w:autoSpaceDE/>
        <w:autoSpaceDN/>
        <w:bidi w:val="0"/>
        <w:adjustRightInd/>
        <w:snapToGrid/>
        <w:spacing w:afterAutospacing="0" w:line="360" w:lineRule="auto"/>
        <w:ind w:firstLine="420" w:firstLineChars="200"/>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lang w:eastAsia="zh-CN"/>
        </w:rPr>
        <w:t>）</w:t>
      </w:r>
      <w:r>
        <w:rPr>
          <w:rFonts w:hint="eastAsia" w:ascii="宋体" w:hAnsi="宋体"/>
          <w:color w:val="auto"/>
          <w:sz w:val="21"/>
          <w:szCs w:val="21"/>
          <w:highlight w:val="none"/>
        </w:rPr>
        <w:t>项目名称：</w:t>
      </w:r>
      <w:r>
        <w:rPr>
          <w:rFonts w:hint="eastAsia" w:ascii="宋体" w:hAnsi="宋体"/>
          <w:color w:val="auto"/>
          <w:sz w:val="21"/>
          <w:szCs w:val="21"/>
          <w:highlight w:val="none"/>
          <w:lang w:eastAsia="zh-CN"/>
        </w:rPr>
        <w:t>禄劝彝族苗族自治县殡仪馆2026 —2028年遗体接运服务和殡仪业务服务项目</w:t>
      </w:r>
    </w:p>
    <w:p w14:paraId="78484A94">
      <w:pPr>
        <w:keepNext w:val="0"/>
        <w:keepLines w:val="0"/>
        <w:pageBreakBefore w:val="0"/>
        <w:widowControl/>
        <w:kinsoku/>
        <w:wordWrap/>
        <w:overflowPunct/>
        <w:topLinePunct w:val="0"/>
        <w:autoSpaceDE/>
        <w:autoSpaceDN/>
        <w:bidi w:val="0"/>
        <w:adjustRightInd/>
        <w:snapToGrid/>
        <w:spacing w:afterAutospacing="0" w:line="360" w:lineRule="auto"/>
        <w:ind w:firstLine="420" w:firstLineChars="200"/>
        <w:rPr>
          <w:rFonts w:ascii="宋体" w:hAnsi="宋体"/>
          <w:color w:val="auto"/>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lang w:eastAsia="zh-CN"/>
        </w:rPr>
        <w:t>）</w:t>
      </w:r>
      <w:r>
        <w:rPr>
          <w:rFonts w:hint="eastAsia" w:ascii="宋体" w:hAnsi="宋体"/>
          <w:color w:val="auto"/>
          <w:sz w:val="21"/>
          <w:szCs w:val="21"/>
          <w:highlight w:val="none"/>
        </w:rPr>
        <w:t>预算金额：小写：￥</w:t>
      </w:r>
      <w:r>
        <w:rPr>
          <w:rFonts w:hint="eastAsia" w:ascii="宋体" w:hAnsi="宋体" w:eastAsia="宋体" w:cs="方正小标宋_GBK"/>
          <w:color w:val="auto"/>
          <w:kern w:val="2"/>
          <w:sz w:val="21"/>
          <w:szCs w:val="21"/>
          <w:highlight w:val="none"/>
          <w:lang w:val="en-US" w:eastAsia="zh-CN" w:bidi="ar-SA"/>
        </w:rPr>
        <w:t>4644600</w:t>
      </w:r>
      <w:r>
        <w:rPr>
          <w:rFonts w:hint="eastAsia" w:ascii="宋体" w:hAnsi="宋体" w:cs="方正小标宋_GBK"/>
          <w:color w:val="auto"/>
          <w:kern w:val="2"/>
          <w:sz w:val="21"/>
          <w:szCs w:val="21"/>
          <w:highlight w:val="none"/>
          <w:lang w:val="en-US" w:eastAsia="zh-CN" w:bidi="ar-SA"/>
        </w:rPr>
        <w:t>.00</w:t>
      </w:r>
      <w:r>
        <w:rPr>
          <w:rFonts w:hint="eastAsia" w:ascii="宋体" w:hAnsi="宋体"/>
          <w:color w:val="auto"/>
          <w:sz w:val="21"/>
          <w:szCs w:val="21"/>
          <w:highlight w:val="none"/>
        </w:rPr>
        <w:t>元（大写：人民币</w:t>
      </w:r>
      <w:r>
        <w:rPr>
          <w:rFonts w:hint="eastAsia" w:ascii="宋体" w:hAnsi="宋体"/>
          <w:color w:val="auto"/>
          <w:sz w:val="21"/>
          <w:szCs w:val="21"/>
          <w:highlight w:val="none"/>
          <w:lang w:val="en-US" w:eastAsia="zh-CN"/>
        </w:rPr>
        <w:t>肆佰陆拾肆万肆仟陆佰元整</w:t>
      </w:r>
      <w:r>
        <w:rPr>
          <w:rFonts w:hint="eastAsia" w:ascii="宋体" w:hAnsi="宋体"/>
          <w:color w:val="auto"/>
          <w:sz w:val="21"/>
          <w:szCs w:val="21"/>
          <w:highlight w:val="none"/>
        </w:rPr>
        <w:t>）</w:t>
      </w:r>
    </w:p>
    <w:p w14:paraId="31245263">
      <w:pPr>
        <w:keepNext w:val="0"/>
        <w:keepLines w:val="0"/>
        <w:pageBreakBefore w:val="0"/>
        <w:widowControl/>
        <w:kinsoku/>
        <w:wordWrap/>
        <w:overflowPunct/>
        <w:topLinePunct w:val="0"/>
        <w:autoSpaceDE/>
        <w:autoSpaceDN/>
        <w:bidi w:val="0"/>
        <w:adjustRightInd/>
        <w:snapToGrid/>
        <w:spacing w:afterAutospacing="0"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lang w:eastAsia="zh-CN"/>
        </w:rPr>
        <w:t>）</w:t>
      </w:r>
      <w:r>
        <w:rPr>
          <w:rFonts w:hint="eastAsia" w:ascii="宋体" w:hAnsi="宋体"/>
          <w:color w:val="auto"/>
          <w:sz w:val="21"/>
          <w:szCs w:val="21"/>
          <w:highlight w:val="none"/>
        </w:rPr>
        <w:t>最高限价：小写：￥</w:t>
      </w:r>
      <w:r>
        <w:rPr>
          <w:rFonts w:hint="eastAsia" w:ascii="宋体" w:hAnsi="宋体" w:eastAsia="宋体" w:cs="方正小标宋_GBK"/>
          <w:color w:val="auto"/>
          <w:kern w:val="2"/>
          <w:sz w:val="21"/>
          <w:szCs w:val="21"/>
          <w:highlight w:val="none"/>
          <w:lang w:val="en-US" w:eastAsia="zh-CN" w:bidi="ar-SA"/>
        </w:rPr>
        <w:t>4644600</w:t>
      </w:r>
      <w:r>
        <w:rPr>
          <w:rFonts w:hint="eastAsia" w:ascii="宋体" w:hAnsi="宋体" w:cs="方正小标宋_GBK"/>
          <w:color w:val="auto"/>
          <w:kern w:val="2"/>
          <w:sz w:val="21"/>
          <w:szCs w:val="21"/>
          <w:highlight w:val="none"/>
          <w:lang w:val="en-US" w:eastAsia="zh-CN" w:bidi="ar-SA"/>
        </w:rPr>
        <w:t>.00</w:t>
      </w:r>
      <w:r>
        <w:rPr>
          <w:rFonts w:hint="eastAsia" w:ascii="宋体" w:hAnsi="宋体"/>
          <w:color w:val="auto"/>
          <w:sz w:val="21"/>
          <w:szCs w:val="21"/>
          <w:highlight w:val="none"/>
        </w:rPr>
        <w:t>元（大写：人民币</w:t>
      </w:r>
      <w:r>
        <w:rPr>
          <w:rFonts w:hint="eastAsia" w:ascii="宋体" w:hAnsi="宋体"/>
          <w:color w:val="auto"/>
          <w:sz w:val="21"/>
          <w:szCs w:val="21"/>
          <w:highlight w:val="none"/>
          <w:lang w:val="en-US" w:eastAsia="zh-CN"/>
        </w:rPr>
        <w:t>肆佰陆拾肆万肆仟陆佰元整</w:t>
      </w:r>
      <w:r>
        <w:rPr>
          <w:rFonts w:hint="eastAsia" w:ascii="宋体" w:hAnsi="宋体"/>
          <w:color w:val="auto"/>
          <w:sz w:val="21"/>
          <w:szCs w:val="21"/>
          <w:highlight w:val="none"/>
        </w:rPr>
        <w:t>）</w:t>
      </w:r>
    </w:p>
    <w:p w14:paraId="6CC79A60">
      <w:pPr>
        <w:keepNext w:val="0"/>
        <w:keepLines w:val="0"/>
        <w:pageBreakBefore w:val="0"/>
        <w:widowControl/>
        <w:kinsoku/>
        <w:wordWrap/>
        <w:overflowPunct/>
        <w:topLinePunct w:val="0"/>
        <w:autoSpaceDE/>
        <w:autoSpaceDN/>
        <w:bidi w:val="0"/>
        <w:adjustRightInd/>
        <w:snapToGrid/>
        <w:spacing w:afterAutospacing="0" w:line="360" w:lineRule="auto"/>
        <w:ind w:firstLine="420" w:firstLineChars="200"/>
        <w:rPr>
          <w:rFonts w:hint="eastAsia" w:ascii="宋体" w:hAnsi="宋体" w:eastAsia="宋体" w:cs="Times New Roman"/>
          <w:color w:val="auto"/>
          <w:sz w:val="21"/>
          <w:szCs w:val="21"/>
          <w:highlight w:val="none"/>
          <w:lang w:val="en-US" w:eastAsia="zh-CN" w:bidi="ar-SA"/>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lang w:eastAsia="zh-CN"/>
        </w:rPr>
        <w:t>）</w:t>
      </w:r>
      <w:r>
        <w:rPr>
          <w:rFonts w:hint="eastAsia" w:ascii="宋体" w:hAnsi="宋体"/>
          <w:color w:val="auto"/>
          <w:sz w:val="21"/>
          <w:szCs w:val="21"/>
          <w:highlight w:val="none"/>
        </w:rPr>
        <w:t>采购需求：购买遗体接运服务</w:t>
      </w:r>
      <w:r>
        <w:rPr>
          <w:rFonts w:hint="eastAsia" w:ascii="宋体" w:hAnsi="宋体"/>
          <w:color w:val="auto"/>
          <w:sz w:val="21"/>
          <w:szCs w:val="21"/>
          <w:highlight w:val="none"/>
          <w:lang w:eastAsia="zh-CN"/>
        </w:rPr>
        <w:t>：</w:t>
      </w:r>
      <w:r>
        <w:rPr>
          <w:rFonts w:hint="eastAsia" w:ascii="宋体" w:hAnsi="宋体"/>
          <w:color w:val="auto"/>
          <w:sz w:val="21"/>
          <w:szCs w:val="21"/>
          <w:highlight w:val="none"/>
        </w:rPr>
        <w:t>需要</w:t>
      </w:r>
      <w:r>
        <w:rPr>
          <w:rFonts w:hint="eastAsia" w:ascii="宋体" w:hAnsi="宋体"/>
          <w:color w:val="auto"/>
          <w:sz w:val="21"/>
          <w:szCs w:val="21"/>
          <w:highlight w:val="none"/>
          <w:lang w:val="en-US" w:eastAsia="zh-CN"/>
        </w:rPr>
        <w:t>投标人</w:t>
      </w:r>
      <w:r>
        <w:rPr>
          <w:rFonts w:hint="eastAsia" w:ascii="宋体" w:hAnsi="宋体"/>
          <w:color w:val="auto"/>
          <w:sz w:val="21"/>
          <w:szCs w:val="21"/>
          <w:highlight w:val="none"/>
        </w:rPr>
        <w:t>提供17辆接运遗体的殡仪车和相应的驾驶员，确保能及时满足群众殡仪服务需求</w:t>
      </w:r>
      <w:r>
        <w:rPr>
          <w:rFonts w:hint="eastAsia" w:ascii="宋体" w:hAnsi="宋体"/>
          <w:color w:val="auto"/>
          <w:sz w:val="21"/>
          <w:szCs w:val="21"/>
          <w:highlight w:val="none"/>
          <w:lang w:eastAsia="zh-CN"/>
        </w:rPr>
        <w:t>；</w:t>
      </w:r>
      <w:r>
        <w:rPr>
          <w:rFonts w:hint="eastAsia" w:ascii="宋体" w:hAnsi="宋体"/>
          <w:color w:val="auto"/>
          <w:sz w:val="21"/>
          <w:szCs w:val="21"/>
          <w:highlight w:val="none"/>
        </w:rPr>
        <w:t>购买殡仪业务服务</w:t>
      </w:r>
      <w:r>
        <w:rPr>
          <w:rFonts w:hint="eastAsia" w:ascii="宋体" w:hAnsi="宋体"/>
          <w:color w:val="auto"/>
          <w:sz w:val="21"/>
          <w:szCs w:val="21"/>
          <w:highlight w:val="none"/>
          <w:lang w:eastAsia="zh-CN"/>
        </w:rPr>
        <w:t>；</w:t>
      </w:r>
      <w:r>
        <w:rPr>
          <w:rFonts w:hint="eastAsia" w:ascii="宋体" w:hAnsi="宋体"/>
          <w:color w:val="auto"/>
          <w:sz w:val="21"/>
          <w:szCs w:val="21"/>
          <w:highlight w:val="none"/>
        </w:rPr>
        <w:t>购买遗体收殓、火化、遗体（骨灰）管理等劳务服务人员19名</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具体要求</w:t>
      </w:r>
      <w:r>
        <w:rPr>
          <w:rFonts w:hint="eastAsia" w:ascii="宋体" w:hAnsi="宋体"/>
          <w:color w:val="auto"/>
          <w:sz w:val="21"/>
          <w:szCs w:val="21"/>
          <w:highlight w:val="none"/>
        </w:rPr>
        <w:t>详见招标文件</w:t>
      </w:r>
      <w:r>
        <w:rPr>
          <w:rFonts w:hint="eastAsia" w:ascii="宋体" w:hAnsi="宋体" w:eastAsia="宋体" w:cs="Times New Roman"/>
          <w:color w:val="auto"/>
          <w:sz w:val="21"/>
          <w:szCs w:val="21"/>
          <w:highlight w:val="none"/>
          <w:lang w:val="en-US" w:eastAsia="zh-CN" w:bidi="ar-SA"/>
        </w:rPr>
        <w:t>第六章“采购需求”。</w:t>
      </w:r>
    </w:p>
    <w:p w14:paraId="1151CA10">
      <w:pPr>
        <w:keepNext w:val="0"/>
        <w:keepLines w:val="0"/>
        <w:pageBreakBefore w:val="0"/>
        <w:widowControl/>
        <w:kinsoku/>
        <w:wordWrap/>
        <w:overflowPunct/>
        <w:topLinePunct w:val="0"/>
        <w:autoSpaceDE/>
        <w:autoSpaceDN/>
        <w:bidi w:val="0"/>
        <w:adjustRightInd/>
        <w:snapToGrid/>
        <w:spacing w:afterAutospacing="0" w:line="360" w:lineRule="auto"/>
        <w:ind w:firstLine="420" w:firstLineChars="200"/>
        <w:rPr>
          <w:rFonts w:hint="eastAsia" w:ascii="宋体" w:hAnsi="宋体" w:eastAsia="宋体" w:cs="Times New Roman"/>
          <w:color w:val="auto"/>
          <w:sz w:val="21"/>
          <w:szCs w:val="21"/>
          <w:highlight w:val="none"/>
          <w:lang w:val="en-US" w:eastAsia="zh-CN" w:bidi="ar-SA"/>
        </w:rPr>
      </w:pPr>
      <w:r>
        <w:rPr>
          <w:rFonts w:hint="eastAsia" w:ascii="宋体" w:hAnsi="宋体"/>
          <w:color w:val="auto"/>
          <w:sz w:val="21"/>
          <w:szCs w:val="21"/>
          <w:highlight w:val="none"/>
          <w:lang w:val="en-US" w:eastAsia="zh-CN"/>
        </w:rPr>
        <w:t>（6）服务标准：</w:t>
      </w:r>
      <w:r>
        <w:rPr>
          <w:rFonts w:hint="eastAsia" w:ascii="宋体" w:hAnsi="宋体"/>
          <w:color w:val="auto"/>
          <w:sz w:val="21"/>
          <w:szCs w:val="21"/>
          <w:highlight w:val="none"/>
        </w:rPr>
        <w:t>严格按照国家、云南省和昆明市相关法律法规、规章实施</w:t>
      </w:r>
      <w:r>
        <w:rPr>
          <w:rFonts w:hint="eastAsia" w:ascii="宋体" w:hAnsi="宋体"/>
          <w:color w:val="auto"/>
          <w:sz w:val="21"/>
          <w:szCs w:val="21"/>
          <w:highlight w:val="none"/>
          <w:lang w:val="en-US" w:eastAsia="zh-CN"/>
        </w:rPr>
        <w:t>相关</w:t>
      </w:r>
      <w:r>
        <w:rPr>
          <w:rFonts w:hint="eastAsia" w:ascii="宋体" w:hAnsi="宋体"/>
          <w:color w:val="auto"/>
          <w:sz w:val="21"/>
          <w:szCs w:val="21"/>
          <w:highlight w:val="none"/>
        </w:rPr>
        <w:t>工作。</w:t>
      </w:r>
      <w:r>
        <w:rPr>
          <w:rFonts w:hint="eastAsia" w:ascii="宋体" w:hAnsi="宋体"/>
          <w:color w:val="auto"/>
          <w:sz w:val="21"/>
          <w:szCs w:val="21"/>
          <w:highlight w:val="none"/>
          <w:lang w:val="en-US" w:eastAsia="zh-CN"/>
        </w:rPr>
        <w:t>服务到位，做好殡仪服务工作，并满足采购人的管理要求。</w:t>
      </w:r>
    </w:p>
    <w:p w14:paraId="71833ACC">
      <w:pPr>
        <w:numPr>
          <w:ilvl w:val="0"/>
          <w:numId w:val="0"/>
        </w:numPr>
        <w:spacing w:line="360" w:lineRule="auto"/>
        <w:ind w:firstLine="420" w:firstLineChars="200"/>
        <w:rPr>
          <w:rFonts w:hint="eastAsia" w:ascii="宋体" w:hAnsi="宋体"/>
          <w:color w:val="auto"/>
          <w:sz w:val="21"/>
          <w:szCs w:val="21"/>
          <w:highlight w:val="none"/>
        </w:rPr>
      </w:pPr>
      <w:r>
        <w:rPr>
          <w:rFonts w:hint="eastAsia" w:ascii="宋体" w:hAnsi="宋体" w:eastAsia="宋体" w:cs="Times New Roman"/>
          <w:color w:val="auto"/>
          <w:sz w:val="21"/>
          <w:szCs w:val="21"/>
          <w:highlight w:val="none"/>
          <w:lang w:val="en-US" w:eastAsia="zh-CN" w:bidi="ar-SA"/>
        </w:rPr>
        <w:t>（</w:t>
      </w:r>
      <w:r>
        <w:rPr>
          <w:rFonts w:hint="eastAsia" w:ascii="宋体" w:hAnsi="宋体" w:cs="Times New Roman"/>
          <w:color w:val="auto"/>
          <w:sz w:val="21"/>
          <w:szCs w:val="21"/>
          <w:highlight w:val="none"/>
          <w:lang w:val="en-US" w:eastAsia="zh-CN" w:bidi="ar-SA"/>
        </w:rPr>
        <w:t>7</w:t>
      </w:r>
      <w:r>
        <w:rPr>
          <w:rFonts w:hint="eastAsia" w:ascii="宋体" w:hAnsi="宋体" w:eastAsia="宋体" w:cs="Times New Roman"/>
          <w:color w:val="auto"/>
          <w:sz w:val="21"/>
          <w:szCs w:val="21"/>
          <w:highlight w:val="none"/>
          <w:lang w:val="en-US" w:eastAsia="zh-CN" w:bidi="ar-SA"/>
        </w:rPr>
        <w:t>）合同履约期限：</w:t>
      </w:r>
      <w:r>
        <w:rPr>
          <w:rFonts w:hint="eastAsia" w:ascii="宋体" w:hAnsi="宋体"/>
          <w:color w:val="auto"/>
          <w:sz w:val="21"/>
          <w:szCs w:val="21"/>
          <w:highlight w:val="none"/>
        </w:rPr>
        <w:t>自合同签订之日起</w:t>
      </w:r>
      <w:r>
        <w:rPr>
          <w:rFonts w:hint="eastAsia" w:ascii="宋体" w:hAnsi="宋体"/>
          <w:color w:val="auto"/>
          <w:sz w:val="21"/>
          <w:szCs w:val="21"/>
          <w:highlight w:val="none"/>
          <w:lang w:val="en-US" w:eastAsia="zh-CN"/>
        </w:rPr>
        <w:t>至2028年12月31日（合同一年一签，一招三年，分年度签订）</w:t>
      </w:r>
    </w:p>
    <w:p w14:paraId="4E0310AE">
      <w:pPr>
        <w:numPr>
          <w:ilvl w:val="0"/>
          <w:numId w:val="0"/>
        </w:numPr>
        <w:spacing w:line="360" w:lineRule="auto"/>
        <w:ind w:firstLine="420" w:firstLineChars="20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服务地点：</w:t>
      </w:r>
      <w:r>
        <w:rPr>
          <w:rFonts w:hint="eastAsia" w:ascii="宋体" w:hAnsi="宋体"/>
          <w:color w:val="auto"/>
          <w:sz w:val="21"/>
          <w:szCs w:val="21"/>
          <w:highlight w:val="none"/>
          <w:lang w:eastAsia="zh-CN"/>
        </w:rPr>
        <w:t>禄劝彝族苗族自治县</w:t>
      </w:r>
      <w:r>
        <w:rPr>
          <w:rFonts w:hint="eastAsia" w:ascii="宋体" w:hAnsi="宋体"/>
          <w:color w:val="auto"/>
          <w:sz w:val="21"/>
          <w:szCs w:val="21"/>
          <w:highlight w:val="none"/>
          <w:lang w:val="en-US" w:eastAsia="zh-CN"/>
        </w:rPr>
        <w:t>。</w:t>
      </w:r>
    </w:p>
    <w:p w14:paraId="6919227F">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）本项目</w:t>
      </w:r>
      <w:r>
        <w:rPr>
          <w:rFonts w:hint="eastAsia" w:ascii="宋体" w:hAnsi="宋体"/>
          <w:color w:val="auto"/>
          <w:sz w:val="21"/>
          <w:szCs w:val="21"/>
          <w:highlight w:val="none"/>
          <w:lang w:val="en-US" w:eastAsia="zh-CN"/>
        </w:rPr>
        <w:t>不</w:t>
      </w:r>
      <w:r>
        <w:rPr>
          <w:rFonts w:hint="eastAsia" w:ascii="宋体" w:hAnsi="宋体"/>
          <w:color w:val="auto"/>
          <w:sz w:val="21"/>
          <w:szCs w:val="21"/>
          <w:highlight w:val="none"/>
        </w:rPr>
        <w:t>接受联合体投标。</w:t>
      </w:r>
    </w:p>
    <w:p w14:paraId="3BE98833">
      <w:pPr>
        <w:pStyle w:val="150"/>
        <w:spacing w:line="360" w:lineRule="auto"/>
        <w:rPr>
          <w:rFonts w:ascii="宋体" w:hAnsi="宋体" w:eastAsia="宋体"/>
          <w:b/>
          <w:bCs/>
          <w:color w:val="auto"/>
          <w:highlight w:val="none"/>
          <w:lang w:val="zh-CN"/>
        </w:rPr>
      </w:pPr>
      <w:bookmarkStart w:id="5" w:name="_Toc35393791"/>
      <w:bookmarkStart w:id="6" w:name="_Toc28359003"/>
      <w:bookmarkStart w:id="7" w:name="_Toc35393622"/>
      <w:bookmarkStart w:id="8" w:name="_Toc28359080"/>
      <w:r>
        <w:rPr>
          <w:rFonts w:hint="eastAsia" w:ascii="宋体" w:hAnsi="宋体" w:eastAsia="宋体"/>
          <w:b/>
          <w:bCs/>
          <w:color w:val="auto"/>
          <w:highlight w:val="none"/>
          <w:lang w:val="zh-CN"/>
        </w:rPr>
        <w:t>二、申请人的资格要求</w:t>
      </w:r>
      <w:bookmarkEnd w:id="5"/>
      <w:bookmarkEnd w:id="6"/>
      <w:bookmarkEnd w:id="7"/>
      <w:bookmarkEnd w:id="8"/>
    </w:p>
    <w:p w14:paraId="32519B70">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投标人</w:t>
      </w:r>
      <w:r>
        <w:rPr>
          <w:rFonts w:hint="eastAsia" w:ascii="宋体" w:hAnsi="宋体"/>
          <w:color w:val="auto"/>
          <w:sz w:val="21"/>
          <w:szCs w:val="21"/>
          <w:highlight w:val="none"/>
        </w:rPr>
        <w:t>必须符合《中华人民共和国政府采购法》第二十二条规定；</w:t>
      </w:r>
    </w:p>
    <w:p w14:paraId="559D1672">
      <w:pPr>
        <w:spacing w:line="360" w:lineRule="auto"/>
        <w:ind w:firstLine="420" w:firstLineChars="200"/>
        <w:rPr>
          <w:rFonts w:hint="eastAsia" w:ascii="宋体" w:hAnsi="宋体" w:eastAsia="宋体" w:cs="Times New Roman"/>
          <w:color w:val="auto"/>
          <w:sz w:val="21"/>
          <w:szCs w:val="21"/>
          <w:highlight w:val="none"/>
        </w:rPr>
      </w:pPr>
      <w:bookmarkStart w:id="9" w:name="_Toc490305678"/>
      <w:bookmarkStart w:id="10" w:name="_Toc86124035"/>
      <w:bookmarkStart w:id="11" w:name="_Toc462330057"/>
      <w:r>
        <w:rPr>
          <w:rFonts w:hint="eastAsia" w:ascii="宋体" w:hAnsi="宋体"/>
          <w:color w:val="auto"/>
          <w:sz w:val="21"/>
          <w:szCs w:val="21"/>
          <w:highlight w:val="none"/>
        </w:rPr>
        <w:t>（1）具有独立承担民事责任的能力</w:t>
      </w:r>
      <w:r>
        <w:rPr>
          <w:rFonts w:hint="eastAsia" w:ascii="宋体" w:hAnsi="宋体"/>
          <w:color w:val="auto"/>
          <w:sz w:val="21"/>
          <w:szCs w:val="21"/>
          <w:highlight w:val="none"/>
          <w:lang w:eastAsia="zh-CN"/>
        </w:rPr>
        <w:t>：应为经行政管理部门登记注册的独立企业（事业）法人或其他组织或者自然人，具备有效的营业执照或事业单位法人证</w:t>
      </w:r>
      <w:r>
        <w:rPr>
          <w:rFonts w:hint="eastAsia" w:ascii="宋体" w:hAnsi="宋体" w:eastAsia="宋体" w:cs="Times New Roman"/>
          <w:color w:val="auto"/>
          <w:sz w:val="21"/>
          <w:szCs w:val="21"/>
          <w:highlight w:val="none"/>
          <w:lang w:eastAsia="zh-CN"/>
        </w:rPr>
        <w:t>书或自然人身份证或其他类似的法定凭证</w:t>
      </w:r>
      <w:r>
        <w:rPr>
          <w:rFonts w:hint="eastAsia" w:ascii="宋体" w:hAnsi="宋体" w:eastAsia="宋体" w:cs="Times New Roman"/>
          <w:color w:val="auto"/>
          <w:sz w:val="21"/>
          <w:szCs w:val="21"/>
          <w:highlight w:val="none"/>
        </w:rPr>
        <w:t xml:space="preserve">； </w:t>
      </w:r>
    </w:p>
    <w:p w14:paraId="57D65845">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（2）具有良好的商业信誉和健全的财务会计制度</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具有良好的商业信誉和健全的财务会计制度。供应商须提供财务状况报告，内容可为以下</w:t>
      </w:r>
      <w:r>
        <w:rPr>
          <w:rFonts w:hint="eastAsia" w:ascii="宋体" w:hAnsi="宋体" w:eastAsia="宋体" w:cs="Times New Roman"/>
          <w:color w:val="auto"/>
          <w:sz w:val="21"/>
          <w:szCs w:val="21"/>
          <w:highlight w:val="none"/>
          <w:lang w:eastAsia="zh-CN"/>
        </w:rPr>
        <w:t>三</w:t>
      </w:r>
      <w:r>
        <w:rPr>
          <w:rFonts w:hint="eastAsia" w:ascii="宋体" w:hAnsi="宋体" w:eastAsia="宋体" w:cs="Times New Roman"/>
          <w:color w:val="auto"/>
          <w:sz w:val="21"/>
          <w:szCs w:val="21"/>
          <w:highlight w:val="none"/>
        </w:rPr>
        <w:t>者之一：</w:t>
      </w:r>
    </w:p>
    <w:p w14:paraId="25C53873">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①提供202</w:t>
      </w: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年至今任意1年经审计的财务报告(包括资产负债表、利润表、现金流量表、所有者权益变动表及其附注)，新成立不满1年的供应商提供自成立至今的财务报表；</w:t>
      </w:r>
    </w:p>
    <w:p w14:paraId="5DFBD493">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②提供自响应文件提交截止时间前三个月内基本开户银行出具的资信证明。</w:t>
      </w:r>
    </w:p>
    <w:p w14:paraId="27DB14EE">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s="Times New Roman"/>
          <w:color w:val="auto"/>
          <w:sz w:val="21"/>
          <w:szCs w:val="21"/>
          <w:highlight w:val="none"/>
        </w:rPr>
        <w:t>③可提供财政部门认可的政府采购专业担保机构出具的投标担保函</w:t>
      </w:r>
      <w:r>
        <w:rPr>
          <w:rFonts w:hint="eastAsia" w:ascii="宋体" w:hAnsi="宋体" w:eastAsia="宋体" w:cs="Times New Roman"/>
          <w:color w:val="auto"/>
          <w:sz w:val="21"/>
          <w:szCs w:val="21"/>
          <w:highlight w:val="none"/>
          <w:lang w:eastAsia="zh-CN"/>
        </w:rPr>
        <w:t>。</w:t>
      </w:r>
    </w:p>
    <w:p w14:paraId="1D69334C">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（3）具有履行合同所必需的设备和专业技术能力</w:t>
      </w:r>
      <w:r>
        <w:rPr>
          <w:rFonts w:hint="eastAsia" w:ascii="宋体" w:hAnsi="宋体"/>
          <w:color w:val="auto"/>
          <w:sz w:val="21"/>
          <w:szCs w:val="21"/>
          <w:highlight w:val="none"/>
          <w:lang w:eastAsia="zh-CN"/>
        </w:rPr>
        <w:t>：</w:t>
      </w:r>
      <w:r>
        <w:rPr>
          <w:rFonts w:hint="eastAsia" w:ascii="宋体" w:hAnsi="宋体"/>
          <w:snapToGrid w:val="0"/>
          <w:color w:val="auto"/>
          <w:sz w:val="21"/>
          <w:szCs w:val="21"/>
          <w:highlight w:val="none"/>
        </w:rPr>
        <w:t>投标人须提供具有履行合同所必需的设备和专业技术能力的证明材料或书面声明</w:t>
      </w:r>
      <w:r>
        <w:rPr>
          <w:rFonts w:hint="eastAsia" w:ascii="宋体" w:hAnsi="宋体"/>
          <w:color w:val="auto"/>
          <w:sz w:val="21"/>
          <w:szCs w:val="21"/>
          <w:highlight w:val="none"/>
        </w:rPr>
        <w:t xml:space="preserve">； </w:t>
      </w:r>
    </w:p>
    <w:p w14:paraId="6148E04F">
      <w:pPr>
        <w:spacing w:line="360" w:lineRule="auto"/>
        <w:ind w:firstLine="420" w:firstLineChars="200"/>
        <w:rPr>
          <w:rFonts w:hint="eastAsia" w:ascii="宋体" w:hAnsi="宋体"/>
          <w:color w:val="auto"/>
          <w:sz w:val="21"/>
          <w:szCs w:val="21"/>
          <w:highlight w:val="none"/>
          <w:lang w:eastAsia="zh-CN"/>
        </w:rPr>
      </w:pPr>
      <w:r>
        <w:rPr>
          <w:rFonts w:hint="eastAsia" w:ascii="宋体" w:hAnsi="宋体"/>
          <w:color w:val="auto"/>
          <w:sz w:val="21"/>
          <w:szCs w:val="21"/>
          <w:highlight w:val="none"/>
        </w:rPr>
        <w:t>（4）有依法缴纳税收和社会保障资金的良好记录</w:t>
      </w:r>
      <w:r>
        <w:rPr>
          <w:rFonts w:hint="eastAsia" w:ascii="宋体" w:hAnsi="宋体"/>
          <w:color w:val="auto"/>
          <w:sz w:val="21"/>
          <w:szCs w:val="21"/>
          <w:highlight w:val="none"/>
          <w:lang w:eastAsia="zh-CN"/>
        </w:rPr>
        <w:t>：</w:t>
      </w:r>
    </w:p>
    <w:p w14:paraId="03E04AB7">
      <w:pPr>
        <w:spacing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提供202</w:t>
      </w: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年</w:t>
      </w: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lang w:eastAsia="zh-CN"/>
        </w:rPr>
        <w:t>月至投标文件提交截止时间（税款所属时期）任意3个月的税务局税收通用缴款书复印件或银行电子缴税（费）凭证或税务局出具纳税情况的相关证明；成立未满3个月的的提供成立以来的税收和社会保障资金缴纳凭证或相关情况说明。（依法免税或不需要缴纳社会保障资金的投标人，应提供相应文件证明其依法免税或不需要缴纳社会保障资金）</w:t>
      </w:r>
    </w:p>
    <w:p w14:paraId="2676D30D">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（5）参加政府采购活动前三年内，在经营活动中没有重大违法记录</w:t>
      </w:r>
      <w:r>
        <w:rPr>
          <w:rFonts w:hint="eastAsia" w:ascii="宋体" w:hAnsi="宋体"/>
          <w:color w:val="auto"/>
          <w:sz w:val="21"/>
          <w:szCs w:val="21"/>
          <w:highlight w:val="none"/>
          <w:lang w:eastAsia="zh-CN"/>
        </w:rPr>
        <w:t>：投标人须提供参加政府采购活动前三年内，在经营活动中没有重大违法记录（重大违法记录是指：投标人因违法经营受到刑事处罚或者责令停产停业、吊销许可证或者执照、较大数额罚款等行政处罚）的书面声明</w:t>
      </w:r>
      <w:r>
        <w:rPr>
          <w:rFonts w:hint="eastAsia" w:ascii="宋体" w:hAnsi="宋体"/>
          <w:color w:val="auto"/>
          <w:sz w:val="21"/>
          <w:szCs w:val="21"/>
          <w:highlight w:val="none"/>
        </w:rPr>
        <w:t xml:space="preserve">； </w:t>
      </w:r>
    </w:p>
    <w:p w14:paraId="4547987F">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（6）法律、行政法规规定的其他条件。 </w:t>
      </w:r>
    </w:p>
    <w:p w14:paraId="61921617">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color w:val="auto"/>
          <w:sz w:val="21"/>
          <w:szCs w:val="21"/>
          <w:highlight w:val="none"/>
        </w:rPr>
        <w:t>截至投标（响应）文件递交时间，未被“信用中国（www.creditchina.gov.cn）”</w:t>
      </w:r>
      <w:r>
        <w:rPr>
          <w:rFonts w:hint="eastAsia" w:ascii="宋体" w:hAnsi="宋体"/>
          <w:color w:val="auto"/>
          <w:sz w:val="21"/>
          <w:szCs w:val="21"/>
          <w:highlight w:val="none"/>
          <w:lang w:val="en-US" w:eastAsia="zh-CN"/>
        </w:rPr>
        <w:t>网站列入</w:t>
      </w:r>
      <w:r>
        <w:rPr>
          <w:rFonts w:hint="eastAsia" w:ascii="宋体" w:hAnsi="宋体"/>
          <w:color w:val="auto"/>
          <w:sz w:val="21"/>
          <w:szCs w:val="21"/>
          <w:highlight w:val="none"/>
        </w:rPr>
        <w:t>列入失信被执行人</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跳转“中国执行信息公开网：zxgk.court.gov.cn/shixin”</w:t>
      </w:r>
      <w:r>
        <w:rPr>
          <w:rFonts w:hint="eastAsia" w:ascii="宋体" w:hAnsi="宋体"/>
          <w:color w:val="auto"/>
          <w:sz w:val="21"/>
          <w:szCs w:val="21"/>
          <w:highlight w:val="none"/>
          <w:lang w:eastAsia="zh-CN"/>
        </w:rPr>
        <w:t>）</w:t>
      </w:r>
      <w:r>
        <w:rPr>
          <w:rFonts w:hint="eastAsia" w:ascii="宋体" w:hAnsi="宋体"/>
          <w:color w:val="auto"/>
          <w:sz w:val="21"/>
          <w:szCs w:val="21"/>
          <w:highlight w:val="none"/>
        </w:rPr>
        <w:t>、重大税收违法</w:t>
      </w:r>
      <w:r>
        <w:rPr>
          <w:rFonts w:hint="eastAsia" w:ascii="宋体" w:hAnsi="宋体"/>
          <w:color w:val="auto"/>
          <w:sz w:val="21"/>
          <w:szCs w:val="21"/>
          <w:highlight w:val="none"/>
          <w:lang w:val="en-US" w:eastAsia="zh-CN"/>
        </w:rPr>
        <w:t>失信主体</w:t>
      </w:r>
      <w:r>
        <w:rPr>
          <w:rFonts w:hint="eastAsia" w:ascii="宋体" w:hAnsi="宋体"/>
          <w:color w:val="auto"/>
          <w:sz w:val="21"/>
          <w:szCs w:val="21"/>
          <w:highlight w:val="none"/>
        </w:rPr>
        <w:t>、政府采购严重违法失信行为记录名单</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未被“</w:t>
      </w:r>
      <w:r>
        <w:rPr>
          <w:rFonts w:hint="eastAsia" w:ascii="宋体" w:hAnsi="宋体"/>
          <w:color w:val="auto"/>
          <w:sz w:val="21"/>
          <w:szCs w:val="21"/>
          <w:highlight w:val="none"/>
        </w:rPr>
        <w:t>中国政府采购网（www.ccgp.gov.cn）</w:t>
      </w:r>
      <w:r>
        <w:rPr>
          <w:rFonts w:hint="eastAsia" w:ascii="宋体" w:hAnsi="宋体"/>
          <w:color w:val="auto"/>
          <w:sz w:val="21"/>
          <w:szCs w:val="21"/>
          <w:highlight w:val="none"/>
          <w:lang w:val="en-US" w:eastAsia="zh-CN"/>
        </w:rPr>
        <w:t>”网站</w:t>
      </w:r>
      <w:r>
        <w:rPr>
          <w:rFonts w:hint="eastAsia" w:ascii="宋体" w:hAnsi="宋体"/>
          <w:color w:val="auto"/>
          <w:sz w:val="21"/>
          <w:szCs w:val="21"/>
          <w:highlight w:val="none"/>
        </w:rPr>
        <w:t>列入政府采购严重违法失信行为记录名单。</w:t>
      </w:r>
      <w:r>
        <w:rPr>
          <w:rFonts w:hint="eastAsia" w:ascii="宋体" w:hAnsi="宋体" w:eastAsia="宋体" w:cs="Times New Roman"/>
          <w:color w:val="auto"/>
          <w:sz w:val="21"/>
          <w:szCs w:val="21"/>
          <w:highlight w:val="none"/>
          <w:lang w:val="en-US" w:eastAsia="zh-CN"/>
        </w:rPr>
        <w:t>(采购人、采购代理机构将经查询存在不良信用记录的潜在投标人查询结果证明材料作为查询记录和证据，与其他采购文件一并保存）</w:t>
      </w:r>
    </w:p>
    <w:p w14:paraId="65ABDE7B">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落实政府采购政策需满足的资格要求：</w:t>
      </w:r>
    </w:p>
    <w:p w14:paraId="00C6DBFD">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本项目非专门面向中小微企业采购，执行价格评审优惠的扶持政策，评审时小型、微型企业提供的产品价格给予相应的10%扣除。</w:t>
      </w:r>
    </w:p>
    <w:p w14:paraId="6A12C82E">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（1）扶持中小企业政策：按照《政府采购促进中小企业发展管理办法》（财库〔2020〕46号）及《财政部关于进一步加大政府采购支持中小企业力度的通知》（财库〔2022〕19号）的规定执行。</w:t>
      </w:r>
    </w:p>
    <w:p w14:paraId="6DF16696">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（2）支持监狱企业政策：按照《财政部司法部关于政府采购支持监狱企业发展有关问题的通知》（财库〔2014〕68号）的规定执行。</w:t>
      </w:r>
    </w:p>
    <w:p w14:paraId="1E496706">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（3）支持残疾人福利性单位政策：按照《关于促进残疾人就业政府采购政策的通知》（财库〔2017〕141号）的规定执行。</w:t>
      </w:r>
    </w:p>
    <w:p w14:paraId="2B3176F3">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本项目的特定资格要求：</w:t>
      </w:r>
    </w:p>
    <w:p w14:paraId="45F438F0">
      <w:pPr>
        <w:spacing w:line="355" w:lineRule="auto"/>
        <w:ind w:firstLine="398" w:firstLineChars="200"/>
        <w:rPr>
          <w:rFonts w:ascii="宋体" w:hAnsi="宋体"/>
          <w:b/>
          <w:color w:val="auto"/>
          <w:spacing w:val="-6"/>
          <w:position w:val="6"/>
          <w:sz w:val="21"/>
          <w:szCs w:val="16"/>
          <w:highlight w:val="none"/>
        </w:rPr>
      </w:pPr>
      <w:r>
        <w:rPr>
          <w:rFonts w:hint="eastAsia" w:ascii="宋体" w:hAnsi="宋体"/>
          <w:b/>
          <w:color w:val="auto"/>
          <w:spacing w:val="-6"/>
          <w:position w:val="6"/>
          <w:sz w:val="21"/>
          <w:szCs w:val="16"/>
          <w:highlight w:val="none"/>
        </w:rPr>
        <w:t>法定代表人为同一人的两个及两个以上法人，母公司、全资子公司及其控股公司，都不得在同一招标项目中同时投标。</w:t>
      </w:r>
      <w:bookmarkEnd w:id="9"/>
      <w:bookmarkEnd w:id="10"/>
      <w:bookmarkEnd w:id="11"/>
    </w:p>
    <w:p w14:paraId="439772B0">
      <w:pPr>
        <w:pStyle w:val="150"/>
        <w:spacing w:line="360" w:lineRule="auto"/>
        <w:rPr>
          <w:rFonts w:ascii="宋体" w:hAnsi="宋体" w:eastAsia="宋体"/>
          <w:b/>
          <w:bCs/>
          <w:color w:val="auto"/>
          <w:sz w:val="21"/>
          <w:szCs w:val="16"/>
          <w:highlight w:val="none"/>
          <w:lang w:val="zh-CN"/>
        </w:rPr>
      </w:pPr>
      <w:bookmarkStart w:id="12" w:name="_Toc35393792"/>
      <w:bookmarkStart w:id="13" w:name="_Toc28359004"/>
      <w:bookmarkStart w:id="14" w:name="_Toc35393623"/>
      <w:bookmarkStart w:id="15" w:name="_Toc28359081"/>
      <w:r>
        <w:rPr>
          <w:rFonts w:hint="eastAsia" w:ascii="宋体" w:hAnsi="宋体" w:eastAsia="宋体"/>
          <w:b/>
          <w:bCs/>
          <w:color w:val="auto"/>
          <w:sz w:val="21"/>
          <w:szCs w:val="16"/>
          <w:highlight w:val="none"/>
          <w:lang w:val="zh-CN"/>
        </w:rPr>
        <w:t>三、获取招标文件</w:t>
      </w:r>
      <w:bookmarkEnd w:id="12"/>
      <w:bookmarkEnd w:id="13"/>
      <w:bookmarkEnd w:id="14"/>
      <w:bookmarkEnd w:id="15"/>
    </w:p>
    <w:p w14:paraId="60CE7D7A">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cs="宋体"/>
          <w:color w:val="auto"/>
          <w:sz w:val="21"/>
          <w:szCs w:val="21"/>
          <w:highlight w:val="none"/>
        </w:rPr>
        <w:t>时间：202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 xml:space="preserve">5 </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 xml:space="preserve"> 15 </w:t>
      </w:r>
      <w:r>
        <w:rPr>
          <w:rFonts w:hint="eastAsia" w:ascii="宋体" w:hAnsi="宋体" w:cs="宋体"/>
          <w:color w:val="auto"/>
          <w:sz w:val="21"/>
          <w:szCs w:val="21"/>
          <w:highlight w:val="none"/>
        </w:rPr>
        <w:t>日至202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 xml:space="preserve"> 5 </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 xml:space="preserve"> 22 </w:t>
      </w: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eastAsia="宋体" w:cs="Times New Roman"/>
          <w:color w:val="auto"/>
          <w:sz w:val="21"/>
          <w:szCs w:val="21"/>
          <w:highlight w:val="none"/>
        </w:rPr>
        <w:t>每天上午</w:t>
      </w:r>
      <w:r>
        <w:rPr>
          <w:rFonts w:hint="eastAsia" w:ascii="宋体" w:hAnsi="宋体" w:eastAsia="宋体" w:cs="Times New Roman"/>
          <w:color w:val="auto"/>
          <w:sz w:val="21"/>
          <w:szCs w:val="21"/>
          <w:highlight w:val="none"/>
          <w:lang w:val="en-US" w:eastAsia="zh-CN"/>
        </w:rPr>
        <w:t>06</w:t>
      </w:r>
      <w:r>
        <w:rPr>
          <w:rFonts w:hint="eastAsia" w:ascii="宋体" w:hAnsi="宋体" w:eastAsia="宋体" w:cs="Times New Roman"/>
          <w:color w:val="auto"/>
          <w:sz w:val="21"/>
          <w:szCs w:val="21"/>
          <w:highlight w:val="none"/>
        </w:rPr>
        <w:t>：00至12</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00，下午12：00至23</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59(北京时间，法定节假日除外)；</w:t>
      </w:r>
    </w:p>
    <w:p w14:paraId="7F326F5B">
      <w:pPr>
        <w:spacing w:line="372"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(提供期限自本公告发布之日起不得少于5个工作日,北京时间，法定节假日除外)。</w:t>
      </w:r>
    </w:p>
    <w:p w14:paraId="774DCA98">
      <w:pPr>
        <w:widowControl w:val="0"/>
        <w:spacing w:line="372"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地点（网址）：本项目不发放纸质</w:t>
      </w:r>
      <w:r>
        <w:rPr>
          <w:rFonts w:hint="eastAsia" w:ascii="宋体" w:hAnsi="宋体" w:cs="宋体"/>
          <w:color w:val="auto"/>
          <w:sz w:val="21"/>
          <w:szCs w:val="21"/>
          <w:highlight w:val="none"/>
          <w:lang w:val="en-US" w:eastAsia="zh-CN"/>
        </w:rPr>
        <w:t>招标</w:t>
      </w:r>
      <w:r>
        <w:rPr>
          <w:rFonts w:hint="eastAsia" w:ascii="宋体" w:hAnsi="宋体" w:cs="宋体"/>
          <w:color w:val="auto"/>
          <w:sz w:val="21"/>
          <w:szCs w:val="21"/>
          <w:highlight w:val="none"/>
        </w:rPr>
        <w:t>文件，</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可自行在“政采云”平台（ https://www.zcygov.cn/）下载采购文件（操作路径：登录“政采云”平台-项目采购-获取采购文件-找到本项目-点击“申请获取采购文件”），电子响应文件制作需要基于“政采云”平台（ https://www.zcygov.cn/）获取的采购文件编制</w:t>
      </w:r>
      <w:r>
        <w:rPr>
          <w:rFonts w:hint="eastAsia" w:ascii="宋体" w:hAnsi="宋体"/>
          <w:color w:val="auto"/>
          <w:sz w:val="21"/>
          <w:szCs w:val="21"/>
          <w:highlight w:val="none"/>
        </w:rPr>
        <w:t>。</w:t>
      </w:r>
    </w:p>
    <w:p w14:paraId="17BD203B">
      <w:pPr>
        <w:widowControl w:val="0"/>
        <w:spacing w:line="372"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方式：1.凡有意参加投标者，须在政采云平台办理数字证书（CA），CA申领链接：https://middle.zcygov.cn/ca/apply/list?_app_=zcy.sys，并在政采云绑定数字证书（CA）后在网上获取采购文件及其它采购资料，数字证书（CA）详见其办理流程。注：云南本地</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如之前已在云南CA在线数字证书办理网进行过注册并办理过企业数字证书（CA），直接绑定即可，无需重复办理（2022年1月1日前办理的云南CA需到云南CA办理处进行升级）。外省</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在政采云平台办理的其他CA可直接使用，无需重复办理。2.按上述要求获取文件的</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视为合法获取了本项目采购文件，具备本项目的投标资格，此为获取招标文件的唯一途径。</w:t>
      </w:r>
    </w:p>
    <w:p w14:paraId="677EE904">
      <w:pPr>
        <w:pStyle w:val="150"/>
        <w:spacing w:line="360" w:lineRule="auto"/>
        <w:rPr>
          <w:rFonts w:ascii="宋体" w:hAnsi="宋体" w:eastAsia="宋体"/>
          <w:b/>
          <w:bCs/>
          <w:color w:val="auto"/>
          <w:highlight w:val="none"/>
          <w:lang w:val="zh-CN"/>
        </w:rPr>
      </w:pPr>
      <w:bookmarkStart w:id="16" w:name="_Toc28359082"/>
      <w:bookmarkStart w:id="17" w:name="_Toc28359005"/>
      <w:bookmarkStart w:id="18" w:name="_Toc35393624"/>
      <w:bookmarkStart w:id="19" w:name="_Toc35393793"/>
      <w:r>
        <w:rPr>
          <w:rFonts w:hint="eastAsia" w:ascii="宋体" w:hAnsi="宋体" w:eastAsia="宋体"/>
          <w:b/>
          <w:bCs/>
          <w:color w:val="auto"/>
          <w:highlight w:val="none"/>
          <w:lang w:val="zh-CN"/>
        </w:rPr>
        <w:t>四、提交投标文件</w:t>
      </w:r>
      <w:bookmarkEnd w:id="16"/>
      <w:bookmarkEnd w:id="17"/>
      <w:r>
        <w:rPr>
          <w:rFonts w:hint="eastAsia" w:ascii="宋体" w:hAnsi="宋体" w:eastAsia="宋体"/>
          <w:b/>
          <w:bCs/>
          <w:color w:val="auto"/>
          <w:highlight w:val="none"/>
          <w:lang w:val="zh-CN"/>
        </w:rPr>
        <w:t>截止时间、开标时间和地点</w:t>
      </w:r>
      <w:bookmarkEnd w:id="18"/>
      <w:bookmarkEnd w:id="19"/>
    </w:p>
    <w:p w14:paraId="7FD15687">
      <w:pPr>
        <w:widowControl w:val="0"/>
        <w:spacing w:line="360" w:lineRule="auto"/>
        <w:ind w:firstLine="420" w:firstLineChars="200"/>
        <w:rPr>
          <w:rFonts w:ascii="宋体" w:hAnsi="宋体"/>
          <w:bCs/>
          <w:color w:val="auto"/>
          <w:sz w:val="21"/>
          <w:szCs w:val="21"/>
          <w:highlight w:val="none"/>
        </w:rPr>
      </w:pPr>
      <w:bookmarkStart w:id="20" w:name="_Toc28359007"/>
      <w:bookmarkStart w:id="21" w:name="_Toc35393794"/>
      <w:bookmarkStart w:id="22" w:name="_Toc28359084"/>
      <w:bookmarkStart w:id="23" w:name="_Toc35393625"/>
      <w:r>
        <w:rPr>
          <w:rFonts w:hint="eastAsia" w:ascii="宋体" w:hAnsi="宋体"/>
          <w:bCs/>
          <w:color w:val="auto"/>
          <w:sz w:val="21"/>
          <w:szCs w:val="21"/>
          <w:highlight w:val="none"/>
        </w:rPr>
        <w:t>提交投标文件截止时间：202</w:t>
      </w:r>
      <w:r>
        <w:rPr>
          <w:rFonts w:hint="eastAsia" w:ascii="宋体" w:hAnsi="宋体"/>
          <w:bCs/>
          <w:color w:val="auto"/>
          <w:sz w:val="21"/>
          <w:szCs w:val="21"/>
          <w:highlight w:val="none"/>
          <w:lang w:val="en-US" w:eastAsia="zh-CN"/>
        </w:rPr>
        <w:t>6</w:t>
      </w:r>
      <w:r>
        <w:rPr>
          <w:rFonts w:hint="eastAsia" w:ascii="宋体" w:hAnsi="宋体"/>
          <w:bCs/>
          <w:color w:val="auto"/>
          <w:sz w:val="21"/>
          <w:szCs w:val="21"/>
          <w:highlight w:val="none"/>
        </w:rPr>
        <w:t>年</w:t>
      </w:r>
      <w:r>
        <w:rPr>
          <w:rFonts w:hint="eastAsia" w:ascii="宋体" w:hAnsi="宋体"/>
          <w:bCs/>
          <w:color w:val="auto"/>
          <w:sz w:val="21"/>
          <w:szCs w:val="21"/>
          <w:highlight w:val="none"/>
          <w:lang w:val="en-US" w:eastAsia="zh-CN"/>
        </w:rPr>
        <w:t>6</w:t>
      </w:r>
      <w:r>
        <w:rPr>
          <w:rFonts w:hint="eastAsia" w:ascii="宋体" w:hAnsi="宋体"/>
          <w:bCs/>
          <w:color w:val="auto"/>
          <w:sz w:val="21"/>
          <w:szCs w:val="21"/>
          <w:highlight w:val="none"/>
        </w:rPr>
        <w:t>月</w:t>
      </w:r>
      <w:r>
        <w:rPr>
          <w:rFonts w:hint="eastAsia" w:ascii="宋体" w:hAnsi="宋体"/>
          <w:bCs/>
          <w:color w:val="auto"/>
          <w:sz w:val="21"/>
          <w:szCs w:val="21"/>
          <w:highlight w:val="none"/>
          <w:lang w:val="en-US" w:eastAsia="zh-CN"/>
        </w:rPr>
        <w:t>4</w:t>
      </w:r>
      <w:r>
        <w:rPr>
          <w:rFonts w:hint="eastAsia" w:ascii="宋体" w:hAnsi="宋体"/>
          <w:bCs/>
          <w:color w:val="auto"/>
          <w:sz w:val="21"/>
          <w:szCs w:val="21"/>
          <w:highlight w:val="none"/>
        </w:rPr>
        <w:t>日</w:t>
      </w:r>
      <w:r>
        <w:rPr>
          <w:rFonts w:hint="eastAsia" w:ascii="宋体" w:hAnsi="宋体"/>
          <w:bCs/>
          <w:color w:val="auto"/>
          <w:sz w:val="21"/>
          <w:szCs w:val="21"/>
          <w:highlight w:val="none"/>
          <w:lang w:val="en-US" w:eastAsia="zh-CN"/>
        </w:rPr>
        <w:t>10时00</w:t>
      </w:r>
      <w:r>
        <w:rPr>
          <w:rFonts w:hint="eastAsia" w:ascii="宋体" w:hAnsi="宋体"/>
          <w:bCs/>
          <w:color w:val="auto"/>
          <w:sz w:val="21"/>
          <w:szCs w:val="21"/>
          <w:highlight w:val="none"/>
        </w:rPr>
        <w:t>分（北京时间）</w:t>
      </w:r>
    </w:p>
    <w:p w14:paraId="7F66A217">
      <w:pPr>
        <w:pStyle w:val="41"/>
        <w:widowControl w:val="0"/>
        <w:spacing w:line="360" w:lineRule="auto"/>
        <w:ind w:firstLine="400"/>
        <w:rPr>
          <w:rFonts w:ascii="宋体" w:hAnsi="宋体"/>
          <w:color w:val="auto"/>
          <w:szCs w:val="21"/>
          <w:highlight w:val="none"/>
        </w:rPr>
      </w:pPr>
      <w:r>
        <w:rPr>
          <w:rFonts w:hint="eastAsia" w:ascii="宋体" w:hAnsi="宋体"/>
          <w:color w:val="auto"/>
          <w:szCs w:val="21"/>
          <w:highlight w:val="none"/>
        </w:rPr>
        <w:t>开标时间：</w:t>
      </w:r>
      <w:r>
        <w:rPr>
          <w:rFonts w:hint="eastAsia" w:ascii="宋体" w:hAnsi="宋体"/>
          <w:bCs/>
          <w:color w:val="auto"/>
          <w:sz w:val="21"/>
          <w:szCs w:val="21"/>
          <w:highlight w:val="none"/>
        </w:rPr>
        <w:t>202</w:t>
      </w:r>
      <w:r>
        <w:rPr>
          <w:rFonts w:hint="eastAsia" w:ascii="宋体" w:hAnsi="宋体"/>
          <w:bCs/>
          <w:color w:val="auto"/>
          <w:sz w:val="21"/>
          <w:szCs w:val="21"/>
          <w:highlight w:val="none"/>
          <w:lang w:val="en-US" w:eastAsia="zh-CN"/>
        </w:rPr>
        <w:t>6</w:t>
      </w:r>
      <w:r>
        <w:rPr>
          <w:rFonts w:hint="eastAsia" w:ascii="宋体" w:hAnsi="宋体"/>
          <w:bCs/>
          <w:color w:val="auto"/>
          <w:sz w:val="21"/>
          <w:szCs w:val="21"/>
          <w:highlight w:val="none"/>
        </w:rPr>
        <w:t>年</w:t>
      </w:r>
      <w:r>
        <w:rPr>
          <w:rFonts w:hint="eastAsia" w:ascii="宋体" w:hAnsi="宋体"/>
          <w:bCs/>
          <w:color w:val="auto"/>
          <w:sz w:val="21"/>
          <w:szCs w:val="21"/>
          <w:highlight w:val="none"/>
          <w:lang w:val="en-US" w:eastAsia="zh-CN"/>
        </w:rPr>
        <w:t>6</w:t>
      </w:r>
      <w:r>
        <w:rPr>
          <w:rFonts w:hint="eastAsia" w:ascii="宋体" w:hAnsi="宋体"/>
          <w:bCs/>
          <w:color w:val="auto"/>
          <w:sz w:val="21"/>
          <w:szCs w:val="21"/>
          <w:highlight w:val="none"/>
        </w:rPr>
        <w:t>月</w:t>
      </w:r>
      <w:r>
        <w:rPr>
          <w:rFonts w:hint="eastAsia" w:ascii="宋体" w:hAnsi="宋体"/>
          <w:bCs/>
          <w:color w:val="auto"/>
          <w:sz w:val="21"/>
          <w:szCs w:val="21"/>
          <w:highlight w:val="none"/>
          <w:lang w:val="en-US" w:eastAsia="zh-CN"/>
        </w:rPr>
        <w:t>4</w:t>
      </w:r>
      <w:r>
        <w:rPr>
          <w:rFonts w:hint="eastAsia" w:ascii="宋体" w:hAnsi="宋体"/>
          <w:bCs/>
          <w:color w:val="auto"/>
          <w:sz w:val="21"/>
          <w:szCs w:val="21"/>
          <w:highlight w:val="none"/>
        </w:rPr>
        <w:t>日</w:t>
      </w:r>
      <w:r>
        <w:rPr>
          <w:rFonts w:hint="eastAsia" w:ascii="宋体" w:hAnsi="宋体"/>
          <w:bCs/>
          <w:color w:val="auto"/>
          <w:sz w:val="21"/>
          <w:szCs w:val="21"/>
          <w:highlight w:val="none"/>
          <w:lang w:val="en-US" w:eastAsia="zh-CN"/>
        </w:rPr>
        <w:t>10时00</w:t>
      </w:r>
      <w:r>
        <w:rPr>
          <w:rFonts w:hint="eastAsia" w:ascii="宋体" w:hAnsi="宋体"/>
          <w:bCs/>
          <w:color w:val="auto"/>
          <w:sz w:val="21"/>
          <w:szCs w:val="21"/>
          <w:highlight w:val="none"/>
        </w:rPr>
        <w:t>分</w:t>
      </w:r>
      <w:r>
        <w:rPr>
          <w:rFonts w:hint="eastAsia" w:ascii="宋体" w:hAnsi="宋体"/>
          <w:bCs/>
          <w:color w:val="auto"/>
          <w:szCs w:val="21"/>
          <w:highlight w:val="none"/>
        </w:rPr>
        <w:t>（北京时间）</w:t>
      </w:r>
    </w:p>
    <w:p w14:paraId="49A00AA7">
      <w:pPr>
        <w:widowControl w:val="0"/>
        <w:spacing w:line="360" w:lineRule="auto"/>
        <w:ind w:firstLine="420" w:firstLineChars="200"/>
        <w:rPr>
          <w:rFonts w:ascii="宋体" w:hAnsi="宋体"/>
          <w:bCs/>
          <w:color w:val="auto"/>
          <w:sz w:val="21"/>
          <w:szCs w:val="21"/>
          <w:highlight w:val="none"/>
        </w:rPr>
      </w:pPr>
      <w:r>
        <w:rPr>
          <w:rFonts w:hint="eastAsia" w:ascii="宋体" w:hAnsi="宋体"/>
          <w:color w:val="auto"/>
          <w:sz w:val="21"/>
          <w:szCs w:val="21"/>
          <w:highlight w:val="none"/>
        </w:rPr>
        <w:t>开标地点：</w:t>
      </w:r>
      <w:bookmarkStart w:id="24" w:name="_Hlk127957141"/>
      <w:r>
        <w:rPr>
          <w:rFonts w:hint="eastAsia" w:ascii="宋体" w:hAnsi="宋体" w:cs="宋体"/>
          <w:color w:val="auto"/>
          <w:sz w:val="21"/>
          <w:szCs w:val="21"/>
          <w:highlight w:val="none"/>
          <w:lang w:val="en-US" w:eastAsia="zh-CN"/>
        </w:rPr>
        <w:t>投标人</w:t>
      </w:r>
      <w:r>
        <w:rPr>
          <w:rFonts w:hint="eastAsia" w:ascii="宋体" w:hAnsi="宋体" w:cs="宋体"/>
          <w:color w:val="auto"/>
          <w:sz w:val="21"/>
          <w:szCs w:val="21"/>
          <w:highlight w:val="none"/>
        </w:rPr>
        <w:t>应按照本项目</w:t>
      </w:r>
      <w:r>
        <w:rPr>
          <w:rFonts w:hint="eastAsia" w:ascii="宋体" w:hAnsi="宋体" w:cs="宋体"/>
          <w:color w:val="auto"/>
          <w:sz w:val="21"/>
          <w:szCs w:val="21"/>
          <w:highlight w:val="none"/>
          <w:lang w:val="en-US" w:eastAsia="zh-CN"/>
        </w:rPr>
        <w:t>招标</w:t>
      </w:r>
      <w:r>
        <w:rPr>
          <w:rFonts w:hint="eastAsia" w:ascii="宋体" w:hAnsi="宋体" w:cs="宋体"/>
          <w:color w:val="auto"/>
          <w:sz w:val="21"/>
          <w:szCs w:val="21"/>
          <w:highlight w:val="none"/>
        </w:rPr>
        <w:t>文件和"政采云"平台的要求编制、加密后在</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文件提交截止时间前上传至"政采云"平台，</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文件提交截止时间前未完成</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文件上传的，视为撤回</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文件。</w:t>
      </w:r>
      <w:r>
        <w:rPr>
          <w:rFonts w:hint="eastAsia" w:ascii="宋体" w:hAnsi="宋体" w:cs="宋体"/>
          <w:color w:val="auto"/>
          <w:sz w:val="21"/>
          <w:szCs w:val="21"/>
          <w:highlight w:val="none"/>
          <w:lang w:val="en-US" w:eastAsia="zh-CN"/>
        </w:rPr>
        <w:t>投标人</w:t>
      </w:r>
      <w:r>
        <w:rPr>
          <w:rFonts w:hint="eastAsia" w:ascii="宋体" w:hAnsi="宋体" w:cs="宋体"/>
          <w:color w:val="auto"/>
          <w:sz w:val="21"/>
          <w:szCs w:val="21"/>
          <w:highlight w:val="none"/>
        </w:rPr>
        <w:t>在"政采云"平台提交电子版</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文件时，请填写参加远程采购活动经办人联系方式</w:t>
      </w:r>
      <w:r>
        <w:rPr>
          <w:rFonts w:hint="eastAsia" w:ascii="宋体" w:hAnsi="宋体"/>
          <w:color w:val="auto"/>
          <w:sz w:val="21"/>
          <w:szCs w:val="21"/>
          <w:highlight w:val="none"/>
        </w:rPr>
        <w:t>。</w:t>
      </w:r>
      <w:bookmarkEnd w:id="24"/>
    </w:p>
    <w:p w14:paraId="0AEC5617">
      <w:pPr>
        <w:pStyle w:val="150"/>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五、公告期限</w:t>
      </w:r>
      <w:bookmarkEnd w:id="20"/>
      <w:bookmarkEnd w:id="21"/>
      <w:bookmarkEnd w:id="22"/>
      <w:bookmarkEnd w:id="23"/>
    </w:p>
    <w:p w14:paraId="37ED84C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自本公告发布之日起5个工作日。</w:t>
      </w:r>
    </w:p>
    <w:p w14:paraId="3EA7DCBD">
      <w:pPr>
        <w:pStyle w:val="150"/>
        <w:spacing w:line="360" w:lineRule="auto"/>
        <w:rPr>
          <w:rFonts w:ascii="宋体" w:hAnsi="宋体" w:eastAsia="宋体"/>
          <w:b/>
          <w:bCs/>
          <w:color w:val="auto"/>
          <w:highlight w:val="none"/>
          <w:lang w:val="zh-CN"/>
        </w:rPr>
      </w:pPr>
      <w:bookmarkStart w:id="25" w:name="_Toc35393795"/>
      <w:bookmarkStart w:id="26" w:name="_Toc35393626"/>
      <w:r>
        <w:rPr>
          <w:rFonts w:hint="eastAsia" w:ascii="宋体" w:hAnsi="宋体" w:eastAsia="宋体"/>
          <w:b/>
          <w:bCs/>
          <w:color w:val="auto"/>
          <w:highlight w:val="none"/>
          <w:lang w:val="zh-CN"/>
        </w:rPr>
        <w:t>六、其他补充事宜</w:t>
      </w:r>
      <w:bookmarkEnd w:id="25"/>
      <w:bookmarkEnd w:id="26"/>
    </w:p>
    <w:p w14:paraId="66D513F3">
      <w:pPr>
        <w:widowControl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本次招标公告在云南省政府采购网公布，请各供应商在提交投标文件前随时查看，以获取最新信息。因供应商不留意网站公告，导致后果由其自行负责，采购人及代理机构不承担任何责任。如有其它网站转载公告，采购人及代理机构不承担任何责任。 </w:t>
      </w:r>
    </w:p>
    <w:p w14:paraId="38E0B5AA">
      <w:pPr>
        <w:widowControl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登录政采云平台（https://www.zcygov.cn/），按《供应商操作指南》（https://edu.zcygov.cn/luban/yunnan-dzjy-gys?utm=a0017.b3687.48.18.4b09ec80cbc911edb8a97356c5970511）完成远程投标文件解密等相关操作。本项目解密时间为</w:t>
      </w:r>
      <w:r>
        <w:rPr>
          <w:rFonts w:hint="eastAsia" w:ascii="宋体" w:hAnsi="宋体" w:cs="宋体"/>
          <w:color w:val="auto"/>
          <w:sz w:val="21"/>
          <w:szCs w:val="21"/>
          <w:highlight w:val="none"/>
          <w:lang w:val="en-US" w:eastAsia="zh-CN"/>
        </w:rPr>
        <w:t>60</w:t>
      </w:r>
      <w:r>
        <w:rPr>
          <w:rFonts w:hint="eastAsia" w:ascii="宋体" w:hAnsi="宋体" w:eastAsia="宋体" w:cs="宋体"/>
          <w:color w:val="auto"/>
          <w:sz w:val="21"/>
          <w:szCs w:val="21"/>
          <w:highlight w:val="none"/>
          <w:lang w:val="en-US" w:eastAsia="zh-CN"/>
        </w:rPr>
        <w:t>分钟，若供应商未在规定时间完成投标文件解密，则视为无效投标，不再进入评标阶段。</w:t>
      </w:r>
    </w:p>
    <w:p w14:paraId="0C9E04C6">
      <w:pPr>
        <w:widowControl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（2）因开标系统、开标现场网络、设备及其他特殊原因，导致不能正常解密投标文件的，经核实和上报相关部门同意后，可再次下达网上解密指令来延长解密时间；</w:t>
      </w:r>
    </w:p>
    <w:p w14:paraId="683ADF84">
      <w:pPr>
        <w:widowControl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（3）异常处理：如供应商在开标时遗失CA或其他原因，供应商需将备份的或加密的投标文件提供给代理机构，代理机构通过“异常处理”端口上传、解密。</w:t>
      </w:r>
    </w:p>
    <w:p w14:paraId="5395042A">
      <w:pPr>
        <w:adjustRightInd w:val="0"/>
        <w:snapToGrid w:val="0"/>
        <w:spacing w:line="360" w:lineRule="auto"/>
        <w:ind w:firstLine="380" w:firstLineChars="190"/>
        <w:rPr>
          <w:color w:val="auto"/>
          <w:highlight w:val="none"/>
        </w:rPr>
      </w:pPr>
    </w:p>
    <w:p w14:paraId="6E5F8106">
      <w:pPr>
        <w:pStyle w:val="150"/>
        <w:spacing w:line="360" w:lineRule="auto"/>
        <w:rPr>
          <w:rFonts w:ascii="宋体" w:hAnsi="宋体" w:eastAsia="宋体"/>
          <w:b/>
          <w:bCs/>
          <w:color w:val="auto"/>
          <w:highlight w:val="none"/>
          <w:lang w:val="zh-CN"/>
        </w:rPr>
      </w:pPr>
      <w:bookmarkStart w:id="27" w:name="_Toc35393627"/>
      <w:bookmarkStart w:id="28" w:name="_Toc28359085"/>
      <w:bookmarkStart w:id="29" w:name="_Toc35393796"/>
      <w:bookmarkStart w:id="30" w:name="_Toc28359008"/>
      <w:r>
        <w:rPr>
          <w:rFonts w:hint="eastAsia" w:ascii="宋体" w:hAnsi="宋体" w:eastAsia="宋体"/>
          <w:b/>
          <w:bCs/>
          <w:color w:val="auto"/>
          <w:highlight w:val="none"/>
          <w:lang w:val="zh-CN"/>
        </w:rPr>
        <w:t>七、对本次招标提出询问，请按</w:t>
      </w:r>
      <w:r>
        <w:rPr>
          <w:rFonts w:ascii="宋体" w:hAnsi="宋体" w:eastAsia="宋体"/>
          <w:b/>
          <w:bCs/>
          <w:color w:val="auto"/>
          <w:highlight w:val="none"/>
          <w:lang w:val="zh-CN"/>
        </w:rPr>
        <w:t>以下方式</w:t>
      </w:r>
      <w:r>
        <w:rPr>
          <w:rFonts w:hint="eastAsia" w:ascii="宋体" w:hAnsi="宋体" w:eastAsia="宋体"/>
          <w:b/>
          <w:bCs/>
          <w:color w:val="auto"/>
          <w:highlight w:val="none"/>
          <w:lang w:val="zh-CN"/>
        </w:rPr>
        <w:t>联系。</w:t>
      </w:r>
      <w:bookmarkEnd w:id="27"/>
      <w:bookmarkEnd w:id="28"/>
      <w:bookmarkEnd w:id="29"/>
      <w:bookmarkEnd w:id="30"/>
    </w:p>
    <w:p w14:paraId="380C1C6E">
      <w:pPr>
        <w:widowControl w:val="0"/>
        <w:spacing w:line="360" w:lineRule="auto"/>
        <w:ind w:firstLine="420" w:firstLineChars="200"/>
        <w:rPr>
          <w:rFonts w:hint="eastAsia" w:ascii="宋体" w:hAnsi="宋体" w:eastAsia="宋体" w:cs="宋体"/>
          <w:color w:val="auto"/>
          <w:sz w:val="21"/>
          <w:szCs w:val="21"/>
          <w:highlight w:val="none"/>
          <w:lang w:val="en-US" w:eastAsia="zh-CN"/>
        </w:rPr>
      </w:pPr>
      <w:bookmarkStart w:id="31" w:name="_Toc35393637"/>
      <w:bookmarkStart w:id="32" w:name="_Toc35393806"/>
      <w:bookmarkStart w:id="33" w:name="_Toc28359019"/>
      <w:bookmarkStart w:id="34" w:name="_Toc28359096"/>
      <w:bookmarkStart w:id="35" w:name="_Toc28359097"/>
      <w:bookmarkStart w:id="36" w:name="_Toc28359020"/>
      <w:bookmarkStart w:id="37" w:name="_Toc35393638"/>
      <w:bookmarkStart w:id="38" w:name="_Toc35393807"/>
      <w:r>
        <w:rPr>
          <w:rFonts w:hint="eastAsia" w:ascii="宋体" w:hAnsi="宋体" w:eastAsia="宋体" w:cs="宋体"/>
          <w:color w:val="auto"/>
          <w:sz w:val="21"/>
          <w:szCs w:val="21"/>
          <w:highlight w:val="none"/>
          <w:lang w:val="en-US" w:eastAsia="zh-CN"/>
        </w:rPr>
        <w:t>1.采购人信息</w:t>
      </w:r>
      <w:bookmarkEnd w:id="31"/>
      <w:bookmarkEnd w:id="32"/>
      <w:bookmarkEnd w:id="33"/>
      <w:bookmarkEnd w:id="34"/>
    </w:p>
    <w:p w14:paraId="6FA9FAA1">
      <w:pPr>
        <w:widowControl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    称：禄劝彝族苗族自治县民政局</w:t>
      </w:r>
    </w:p>
    <w:p w14:paraId="429F1055">
      <w:pPr>
        <w:widowControl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    址：昆明市禄劝县屏山街道永平路 36 号；</w:t>
      </w:r>
    </w:p>
    <w:p w14:paraId="50ABE0FF">
      <w:pPr>
        <w:widowControl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系</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人：张佳玉</w:t>
      </w:r>
    </w:p>
    <w:p w14:paraId="33873343">
      <w:pPr>
        <w:widowControl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联系电话：18388264150</w:t>
      </w:r>
    </w:p>
    <w:p w14:paraId="7FE25215">
      <w:pPr>
        <w:widowControl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2.采购代理机构信息</w:t>
      </w:r>
    </w:p>
    <w:bookmarkEnd w:id="35"/>
    <w:bookmarkEnd w:id="36"/>
    <w:bookmarkEnd w:id="37"/>
    <w:bookmarkEnd w:id="38"/>
    <w:p w14:paraId="0B7C8C0E">
      <w:pPr>
        <w:widowControl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    称：云南同西工程项目管理有限公司</w:t>
      </w:r>
    </w:p>
    <w:p w14:paraId="21AD7E97">
      <w:pPr>
        <w:widowControl w:val="0"/>
        <w:spacing w:line="360" w:lineRule="auto"/>
        <w:ind w:firstLine="420" w:firstLineChars="200"/>
        <w:rPr>
          <w:rFonts w:hint="eastAsia" w:ascii="宋体" w:hAnsi="宋体" w:eastAsia="宋体" w:cs="宋体"/>
          <w:color w:val="auto"/>
          <w:sz w:val="21"/>
          <w:szCs w:val="21"/>
          <w:highlight w:val="none"/>
          <w:lang w:val="en-US" w:eastAsia="zh-CN"/>
        </w:rPr>
      </w:pPr>
      <w:bookmarkStart w:id="39" w:name="_Toc35393639"/>
      <w:bookmarkStart w:id="40" w:name="_Toc28359021"/>
      <w:bookmarkStart w:id="41" w:name="_Toc35393808"/>
      <w:bookmarkStart w:id="42" w:name="_Toc28359098"/>
      <w:r>
        <w:rPr>
          <w:rFonts w:hint="eastAsia" w:ascii="宋体" w:hAnsi="宋体" w:eastAsia="宋体" w:cs="宋体"/>
          <w:color w:val="auto"/>
          <w:sz w:val="21"/>
          <w:szCs w:val="21"/>
          <w:highlight w:val="none"/>
          <w:lang w:val="en-US" w:eastAsia="zh-CN"/>
        </w:rPr>
        <w:t>地    址：云南省昆明市官渡区彩云北路路馨小区8栋2单元102号</w:t>
      </w:r>
    </w:p>
    <w:p w14:paraId="716C8E6F">
      <w:pPr>
        <w:widowControl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联系人：杨蕾、王倩倩、王浩军</w:t>
      </w:r>
      <w:r>
        <w:rPr>
          <w:rFonts w:hint="eastAsia" w:ascii="宋体" w:hAnsi="宋体" w:cs="宋体"/>
          <w:color w:val="auto"/>
          <w:sz w:val="21"/>
          <w:szCs w:val="21"/>
          <w:highlight w:val="none"/>
          <w:lang w:val="en-US" w:eastAsia="zh-CN"/>
        </w:rPr>
        <w:t>、王晓洁</w:t>
      </w:r>
    </w:p>
    <w:p w14:paraId="197E7714">
      <w:pPr>
        <w:widowControl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联系方式：18988439208、0871-63560043</w:t>
      </w:r>
    </w:p>
    <w:p w14:paraId="7743C48B">
      <w:pPr>
        <w:widowControl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3.项目联系方式</w:t>
      </w:r>
      <w:bookmarkEnd w:id="39"/>
      <w:bookmarkEnd w:id="40"/>
      <w:bookmarkEnd w:id="41"/>
      <w:bookmarkEnd w:id="42"/>
    </w:p>
    <w:p w14:paraId="23CCF08E">
      <w:pPr>
        <w:widowControl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联系人：杨蕾、王倩倩、王浩军</w:t>
      </w:r>
      <w:r>
        <w:rPr>
          <w:rFonts w:hint="eastAsia" w:ascii="宋体" w:hAnsi="宋体" w:cs="宋体"/>
          <w:color w:val="auto"/>
          <w:sz w:val="21"/>
          <w:szCs w:val="21"/>
          <w:highlight w:val="none"/>
          <w:lang w:val="en-US" w:eastAsia="zh-CN"/>
        </w:rPr>
        <w:t>、王晓洁</w:t>
      </w:r>
    </w:p>
    <w:p w14:paraId="4D2B0FA8">
      <w:pPr>
        <w:widowControl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联系方式：18988439208、0871-63560043</w:t>
      </w:r>
    </w:p>
    <w:p w14:paraId="20C08A12">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7D266907">
      <w:pPr>
        <w:pStyle w:val="2"/>
        <w:spacing w:before="240" w:after="240" w:line="360" w:lineRule="auto"/>
        <w:jc w:val="center"/>
        <w:rPr>
          <w:rFonts w:ascii="宋体" w:hAnsi="宋体"/>
          <w:color w:val="auto"/>
          <w:sz w:val="36"/>
          <w:szCs w:val="36"/>
          <w:highlight w:val="none"/>
          <w:lang w:val="zh-CN"/>
        </w:rPr>
      </w:pPr>
      <w:bookmarkStart w:id="43" w:name="_Toc11160"/>
      <w:r>
        <w:rPr>
          <w:rFonts w:hint="eastAsia" w:ascii="宋体" w:hAnsi="宋体"/>
          <w:color w:val="auto"/>
          <w:sz w:val="36"/>
          <w:szCs w:val="36"/>
          <w:highlight w:val="none"/>
          <w:lang w:val="zh-CN"/>
        </w:rPr>
        <w:t>第二章 投标人须知</w:t>
      </w:r>
      <w:bookmarkEnd w:id="1"/>
      <w:bookmarkEnd w:id="2"/>
      <w:bookmarkEnd w:id="3"/>
      <w:bookmarkEnd w:id="43"/>
    </w:p>
    <w:p w14:paraId="5A14FB1B">
      <w:pPr>
        <w:pStyle w:val="3"/>
        <w:widowControl w:val="0"/>
        <w:spacing w:before="0" w:after="120" w:line="360" w:lineRule="auto"/>
        <w:jc w:val="center"/>
        <w:rPr>
          <w:rFonts w:ascii="宋体" w:hAnsi="宋体" w:eastAsia="宋体"/>
          <w:color w:val="auto"/>
          <w:kern w:val="2"/>
          <w:sz w:val="28"/>
          <w:szCs w:val="28"/>
          <w:highlight w:val="none"/>
        </w:rPr>
      </w:pPr>
      <w:bookmarkStart w:id="44" w:name="_Toc260907969"/>
      <w:bookmarkStart w:id="45" w:name="_Toc25669"/>
      <w:bookmarkStart w:id="46" w:name="_Toc229583199"/>
      <w:bookmarkStart w:id="47" w:name="_Toc23383"/>
      <w:bookmarkStart w:id="48" w:name="_Toc260908185"/>
      <w:bookmarkStart w:id="49" w:name="_Toc19820082"/>
      <w:bookmarkStart w:id="50" w:name="_Toc270090081"/>
      <w:r>
        <w:rPr>
          <w:rFonts w:hint="eastAsia" w:ascii="宋体" w:hAnsi="宋体" w:eastAsia="宋体"/>
          <w:color w:val="auto"/>
          <w:kern w:val="2"/>
          <w:sz w:val="28"/>
          <w:szCs w:val="28"/>
          <w:highlight w:val="none"/>
        </w:rPr>
        <w:t>一、投标人须知前附表</w:t>
      </w:r>
      <w:bookmarkEnd w:id="44"/>
      <w:bookmarkEnd w:id="45"/>
      <w:bookmarkEnd w:id="46"/>
      <w:bookmarkEnd w:id="47"/>
      <w:bookmarkEnd w:id="48"/>
      <w:bookmarkEnd w:id="49"/>
      <w:bookmarkEnd w:id="50"/>
    </w:p>
    <w:tbl>
      <w:tblPr>
        <w:tblStyle w:val="32"/>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698"/>
        <w:gridCol w:w="7085"/>
      </w:tblGrid>
      <w:tr w14:paraId="50E8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F24B031">
            <w:pPr>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条款号</w:t>
            </w:r>
          </w:p>
        </w:tc>
        <w:tc>
          <w:tcPr>
            <w:tcW w:w="1698" w:type="dxa"/>
            <w:tcBorders>
              <w:top w:val="single" w:color="auto" w:sz="4" w:space="0"/>
              <w:left w:val="single" w:color="auto" w:sz="4" w:space="0"/>
              <w:bottom w:val="single" w:color="auto" w:sz="4" w:space="0"/>
              <w:right w:val="single" w:color="auto" w:sz="4" w:space="0"/>
            </w:tcBorders>
            <w:vAlign w:val="center"/>
          </w:tcPr>
          <w:p w14:paraId="424056B8">
            <w:pPr>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条款名称</w:t>
            </w:r>
          </w:p>
        </w:tc>
        <w:tc>
          <w:tcPr>
            <w:tcW w:w="7085" w:type="dxa"/>
            <w:tcBorders>
              <w:top w:val="single" w:color="auto" w:sz="4" w:space="0"/>
              <w:left w:val="single" w:color="auto" w:sz="4" w:space="0"/>
              <w:bottom w:val="single" w:color="auto" w:sz="4" w:space="0"/>
              <w:right w:val="single" w:color="auto" w:sz="4" w:space="0"/>
            </w:tcBorders>
            <w:vAlign w:val="center"/>
          </w:tcPr>
          <w:p w14:paraId="455A255E">
            <w:pPr>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编 列 内 容</w:t>
            </w:r>
          </w:p>
        </w:tc>
      </w:tr>
      <w:tr w14:paraId="371A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AD12B65">
            <w:pPr>
              <w:spacing w:line="360" w:lineRule="auto"/>
              <w:jc w:val="center"/>
              <w:rPr>
                <w:rFonts w:ascii="宋体" w:hAnsi="宋体" w:cs="宋体"/>
                <w:color w:val="auto"/>
                <w:sz w:val="21"/>
                <w:szCs w:val="21"/>
                <w:highlight w:val="none"/>
              </w:rPr>
            </w:pPr>
            <w:r>
              <w:rPr>
                <w:rFonts w:ascii="宋体" w:hAnsi="宋体" w:cs="宋体"/>
                <w:color w:val="auto"/>
                <w:sz w:val="21"/>
                <w:szCs w:val="21"/>
                <w:highlight w:val="none"/>
              </w:rPr>
              <w:t>1.1.2</w:t>
            </w:r>
          </w:p>
        </w:tc>
        <w:tc>
          <w:tcPr>
            <w:tcW w:w="1698" w:type="dxa"/>
            <w:tcBorders>
              <w:top w:val="single" w:color="auto" w:sz="4" w:space="0"/>
              <w:left w:val="single" w:color="auto" w:sz="4" w:space="0"/>
              <w:bottom w:val="single" w:color="auto" w:sz="4" w:space="0"/>
              <w:right w:val="single" w:color="auto" w:sz="4" w:space="0"/>
            </w:tcBorders>
            <w:vAlign w:val="center"/>
          </w:tcPr>
          <w:p w14:paraId="43523100">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采购人</w:t>
            </w:r>
          </w:p>
        </w:tc>
        <w:tc>
          <w:tcPr>
            <w:tcW w:w="7085" w:type="dxa"/>
            <w:tcBorders>
              <w:top w:val="single" w:color="auto" w:sz="4" w:space="0"/>
              <w:left w:val="single" w:color="auto" w:sz="4" w:space="0"/>
              <w:bottom w:val="single" w:color="auto" w:sz="4" w:space="0"/>
              <w:right w:val="single" w:color="auto" w:sz="4" w:space="0"/>
            </w:tcBorders>
            <w:vAlign w:val="center"/>
          </w:tcPr>
          <w:p w14:paraId="5C291AA6">
            <w:pPr>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采购人名称：</w:t>
            </w:r>
            <w:r>
              <w:rPr>
                <w:rFonts w:hint="eastAsia" w:ascii="宋体" w:hAnsi="宋体" w:cs="宋体"/>
                <w:color w:val="auto"/>
                <w:sz w:val="21"/>
                <w:szCs w:val="21"/>
                <w:highlight w:val="none"/>
                <w:lang w:eastAsia="zh-CN"/>
              </w:rPr>
              <w:t>禄劝彝族苗族自治县民政局</w:t>
            </w:r>
          </w:p>
          <w:p w14:paraId="77CF87D8">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地址：</w:t>
            </w:r>
            <w:r>
              <w:rPr>
                <w:rFonts w:hint="eastAsia" w:ascii="宋体" w:hAnsi="宋体"/>
                <w:color w:val="auto"/>
                <w:sz w:val="21"/>
                <w:szCs w:val="21"/>
                <w:highlight w:val="none"/>
              </w:rPr>
              <w:t>昆明市禄劝县屏山街道永平路 36 号；</w:t>
            </w:r>
          </w:p>
          <w:p w14:paraId="463DF8F5">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联系方式：18388264150</w:t>
            </w:r>
          </w:p>
        </w:tc>
      </w:tr>
      <w:tr w14:paraId="5A87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7ACA53C">
            <w:pPr>
              <w:spacing w:line="360" w:lineRule="auto"/>
              <w:jc w:val="center"/>
              <w:rPr>
                <w:rFonts w:ascii="宋体" w:hAnsi="宋体" w:cs="宋体"/>
                <w:color w:val="auto"/>
                <w:sz w:val="21"/>
                <w:szCs w:val="21"/>
                <w:highlight w:val="none"/>
              </w:rPr>
            </w:pPr>
            <w:r>
              <w:rPr>
                <w:rFonts w:ascii="宋体" w:hAnsi="宋体" w:cs="宋体"/>
                <w:color w:val="auto"/>
                <w:sz w:val="21"/>
                <w:szCs w:val="21"/>
                <w:highlight w:val="none"/>
              </w:rPr>
              <w:t>1.1.3</w:t>
            </w:r>
          </w:p>
        </w:tc>
        <w:tc>
          <w:tcPr>
            <w:tcW w:w="1698" w:type="dxa"/>
            <w:tcBorders>
              <w:top w:val="single" w:color="auto" w:sz="4" w:space="0"/>
              <w:left w:val="single" w:color="auto" w:sz="4" w:space="0"/>
              <w:bottom w:val="single" w:color="auto" w:sz="4" w:space="0"/>
              <w:right w:val="single" w:color="auto" w:sz="4" w:space="0"/>
            </w:tcBorders>
            <w:vAlign w:val="center"/>
          </w:tcPr>
          <w:p w14:paraId="74124C22">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采购代理机构</w:t>
            </w:r>
          </w:p>
        </w:tc>
        <w:tc>
          <w:tcPr>
            <w:tcW w:w="7085" w:type="dxa"/>
            <w:tcBorders>
              <w:top w:val="single" w:color="auto" w:sz="4" w:space="0"/>
              <w:left w:val="single" w:color="auto" w:sz="4" w:space="0"/>
              <w:bottom w:val="single" w:color="auto" w:sz="4" w:space="0"/>
              <w:right w:val="single" w:color="auto" w:sz="4" w:space="0"/>
            </w:tcBorders>
            <w:vAlign w:val="center"/>
          </w:tcPr>
          <w:p w14:paraId="25970057">
            <w:pPr>
              <w:spacing w:line="360" w:lineRule="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采购代理机构名称：</w:t>
            </w:r>
            <w:r>
              <w:rPr>
                <w:rFonts w:hint="eastAsia" w:ascii="宋体" w:hAnsi="宋体" w:cs="宋体"/>
                <w:color w:val="auto"/>
                <w:sz w:val="21"/>
                <w:szCs w:val="21"/>
                <w:highlight w:val="none"/>
                <w:lang w:eastAsia="zh-CN"/>
              </w:rPr>
              <w:t>云南同西工程项目管理有限公司</w:t>
            </w:r>
          </w:p>
          <w:p w14:paraId="75485251">
            <w:pPr>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lang w:eastAsia="zh-CN"/>
              </w:rPr>
              <w:t>云南省昆明市官渡区彩云北路路馨小区8栋2单元102号</w:t>
            </w:r>
          </w:p>
          <w:p w14:paraId="29E1444C">
            <w:pPr>
              <w:widowControl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联系人：杨蕾、王倩倩、王浩军</w:t>
            </w:r>
            <w:r>
              <w:rPr>
                <w:rFonts w:hint="eastAsia" w:ascii="宋体" w:hAnsi="宋体" w:cs="宋体"/>
                <w:color w:val="auto"/>
                <w:sz w:val="21"/>
                <w:szCs w:val="21"/>
                <w:highlight w:val="none"/>
                <w:lang w:val="en-US" w:eastAsia="zh-CN"/>
              </w:rPr>
              <w:t>、王晓洁</w:t>
            </w:r>
          </w:p>
          <w:p w14:paraId="3AEF0582">
            <w:pPr>
              <w:widowControl w:val="0"/>
              <w:spacing w:line="360" w:lineRule="auto"/>
              <w:rPr>
                <w:rFonts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联系方式：18988439208、0871-63560043</w:t>
            </w:r>
          </w:p>
        </w:tc>
      </w:tr>
      <w:tr w14:paraId="4B7D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53FFE7B">
            <w:pPr>
              <w:spacing w:line="360" w:lineRule="auto"/>
              <w:jc w:val="center"/>
              <w:rPr>
                <w:rFonts w:ascii="宋体" w:hAnsi="宋体" w:cs="宋体"/>
                <w:color w:val="auto"/>
                <w:sz w:val="21"/>
                <w:szCs w:val="21"/>
                <w:highlight w:val="none"/>
              </w:rPr>
            </w:pPr>
            <w:r>
              <w:rPr>
                <w:rFonts w:ascii="宋体" w:hAnsi="宋体" w:cs="宋体"/>
                <w:color w:val="auto"/>
                <w:sz w:val="21"/>
                <w:szCs w:val="21"/>
                <w:highlight w:val="none"/>
              </w:rPr>
              <w:t>1.1.4</w:t>
            </w:r>
          </w:p>
        </w:tc>
        <w:tc>
          <w:tcPr>
            <w:tcW w:w="1698" w:type="dxa"/>
            <w:tcBorders>
              <w:top w:val="single" w:color="auto" w:sz="4" w:space="0"/>
              <w:left w:val="single" w:color="auto" w:sz="4" w:space="0"/>
              <w:bottom w:val="single" w:color="auto" w:sz="4" w:space="0"/>
              <w:right w:val="single" w:color="auto" w:sz="4" w:space="0"/>
            </w:tcBorders>
            <w:vAlign w:val="center"/>
          </w:tcPr>
          <w:p w14:paraId="32C1B15C">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项目名称及项目编号</w:t>
            </w:r>
          </w:p>
        </w:tc>
        <w:tc>
          <w:tcPr>
            <w:tcW w:w="7085" w:type="dxa"/>
            <w:tcBorders>
              <w:top w:val="single" w:color="auto" w:sz="4" w:space="0"/>
              <w:left w:val="single" w:color="auto" w:sz="4" w:space="0"/>
              <w:bottom w:val="single" w:color="auto" w:sz="4" w:space="0"/>
              <w:right w:val="single" w:color="auto" w:sz="4" w:space="0"/>
            </w:tcBorders>
            <w:vAlign w:val="center"/>
          </w:tcPr>
          <w:p w14:paraId="0C7A91E9">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lang w:eastAsia="zh-CN"/>
              </w:rPr>
              <w:t>禄劝彝族苗族自治县殡仪馆2026 —2028年遗体接运服务和殡仪业务服务项目</w:t>
            </w:r>
          </w:p>
          <w:p w14:paraId="62B7A135">
            <w:pPr>
              <w:spacing w:line="360" w:lineRule="auto"/>
              <w:rPr>
                <w:rFonts w:hint="eastAsia" w:ascii="宋体" w:hAnsi="宋体" w:eastAsia="宋体"/>
                <w:color w:val="auto"/>
                <w:sz w:val="21"/>
                <w:szCs w:val="21"/>
                <w:highlight w:val="none"/>
                <w:lang w:eastAsia="zh-CN"/>
              </w:rPr>
            </w:pPr>
            <w:r>
              <w:rPr>
                <w:rFonts w:hint="eastAsia" w:ascii="宋体" w:hAnsi="宋体" w:cs="宋体"/>
                <w:color w:val="auto"/>
                <w:sz w:val="21"/>
                <w:szCs w:val="21"/>
                <w:highlight w:val="none"/>
              </w:rPr>
              <w:t>项目编号：</w:t>
            </w:r>
          </w:p>
        </w:tc>
      </w:tr>
      <w:tr w14:paraId="1638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EBEB3C2">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1.2.1</w:t>
            </w:r>
          </w:p>
        </w:tc>
        <w:tc>
          <w:tcPr>
            <w:tcW w:w="1698" w:type="dxa"/>
            <w:tcBorders>
              <w:top w:val="single" w:color="auto" w:sz="4" w:space="0"/>
              <w:left w:val="single" w:color="auto" w:sz="4" w:space="0"/>
              <w:bottom w:val="single" w:color="auto" w:sz="4" w:space="0"/>
              <w:right w:val="single" w:color="auto" w:sz="4" w:space="0"/>
            </w:tcBorders>
            <w:vAlign w:val="center"/>
          </w:tcPr>
          <w:p w14:paraId="4A3AD367">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资金来源</w:t>
            </w:r>
          </w:p>
        </w:tc>
        <w:tc>
          <w:tcPr>
            <w:tcW w:w="7085" w:type="dxa"/>
            <w:tcBorders>
              <w:top w:val="single" w:color="auto" w:sz="4" w:space="0"/>
              <w:left w:val="single" w:color="auto" w:sz="4" w:space="0"/>
              <w:bottom w:val="single" w:color="auto" w:sz="4" w:space="0"/>
              <w:right w:val="single" w:color="auto" w:sz="4" w:space="0"/>
            </w:tcBorders>
            <w:vAlign w:val="center"/>
          </w:tcPr>
          <w:p w14:paraId="2A317B81">
            <w:pPr>
              <w:spacing w:line="360" w:lineRule="auto"/>
              <w:jc w:val="both"/>
              <w:rPr>
                <w:rFonts w:ascii="宋体" w:hAnsi="宋体" w:cs="宋体"/>
                <w:color w:val="auto"/>
                <w:sz w:val="21"/>
                <w:szCs w:val="21"/>
                <w:highlight w:val="none"/>
              </w:rPr>
            </w:pPr>
            <w:r>
              <w:rPr>
                <w:rFonts w:hint="eastAsia" w:ascii="宋体" w:hAnsi="宋体" w:cs="宋体"/>
                <w:color w:val="auto"/>
                <w:sz w:val="21"/>
                <w:szCs w:val="21"/>
                <w:highlight w:val="none"/>
              </w:rPr>
              <w:t>财政资金</w:t>
            </w:r>
          </w:p>
        </w:tc>
      </w:tr>
      <w:tr w14:paraId="0986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A7AF2AE">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1.2.2</w:t>
            </w:r>
          </w:p>
        </w:tc>
        <w:tc>
          <w:tcPr>
            <w:tcW w:w="1698" w:type="dxa"/>
            <w:tcBorders>
              <w:top w:val="single" w:color="auto" w:sz="4" w:space="0"/>
              <w:left w:val="single" w:color="auto" w:sz="4" w:space="0"/>
              <w:bottom w:val="single" w:color="auto" w:sz="4" w:space="0"/>
              <w:right w:val="single" w:color="auto" w:sz="4" w:space="0"/>
            </w:tcBorders>
            <w:vAlign w:val="center"/>
          </w:tcPr>
          <w:p w14:paraId="70219623">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最高限价</w:t>
            </w:r>
          </w:p>
        </w:tc>
        <w:tc>
          <w:tcPr>
            <w:tcW w:w="7085" w:type="dxa"/>
            <w:tcBorders>
              <w:top w:val="single" w:color="auto" w:sz="4" w:space="0"/>
              <w:left w:val="single" w:color="auto" w:sz="4" w:space="0"/>
              <w:bottom w:val="single" w:color="auto" w:sz="4" w:space="0"/>
              <w:right w:val="single" w:color="auto" w:sz="4" w:space="0"/>
            </w:tcBorders>
            <w:vAlign w:val="center"/>
          </w:tcPr>
          <w:p w14:paraId="17928675">
            <w:pPr>
              <w:spacing w:line="360" w:lineRule="auto"/>
              <w:jc w:val="both"/>
              <w:rPr>
                <w:rFonts w:ascii="宋体" w:hAnsi="宋体" w:cs="宋体"/>
                <w:color w:val="auto"/>
                <w:sz w:val="21"/>
                <w:szCs w:val="21"/>
                <w:highlight w:val="none"/>
              </w:rPr>
            </w:pPr>
            <w:r>
              <w:rPr>
                <w:rFonts w:hint="eastAsia" w:ascii="宋体" w:hAnsi="宋体" w:cs="宋体"/>
                <w:color w:val="auto"/>
                <w:sz w:val="21"/>
                <w:szCs w:val="21"/>
                <w:highlight w:val="none"/>
              </w:rPr>
              <w:t>详见 第一章 招标公告</w:t>
            </w:r>
          </w:p>
        </w:tc>
      </w:tr>
      <w:tr w14:paraId="310A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1C1D7B8">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1.2.3</w:t>
            </w:r>
          </w:p>
        </w:tc>
        <w:tc>
          <w:tcPr>
            <w:tcW w:w="1698" w:type="dxa"/>
            <w:tcBorders>
              <w:top w:val="single" w:color="auto" w:sz="4" w:space="0"/>
              <w:left w:val="single" w:color="auto" w:sz="4" w:space="0"/>
              <w:bottom w:val="single" w:color="auto" w:sz="4" w:space="0"/>
              <w:right w:val="single" w:color="auto" w:sz="4" w:space="0"/>
            </w:tcBorders>
            <w:vAlign w:val="center"/>
          </w:tcPr>
          <w:p w14:paraId="5040C1C8">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资金落实情况</w:t>
            </w:r>
          </w:p>
        </w:tc>
        <w:tc>
          <w:tcPr>
            <w:tcW w:w="7085" w:type="dxa"/>
            <w:tcBorders>
              <w:top w:val="single" w:color="auto" w:sz="4" w:space="0"/>
              <w:left w:val="single" w:color="auto" w:sz="4" w:space="0"/>
              <w:bottom w:val="single" w:color="auto" w:sz="4" w:space="0"/>
              <w:right w:val="single" w:color="auto" w:sz="4" w:space="0"/>
            </w:tcBorders>
            <w:vAlign w:val="center"/>
          </w:tcPr>
          <w:p w14:paraId="48539AF6">
            <w:pPr>
              <w:spacing w:line="360" w:lineRule="auto"/>
              <w:jc w:val="both"/>
              <w:rPr>
                <w:rFonts w:ascii="宋体" w:hAnsi="宋体" w:cs="宋体"/>
                <w:color w:val="auto"/>
                <w:sz w:val="21"/>
                <w:szCs w:val="21"/>
                <w:highlight w:val="none"/>
              </w:rPr>
            </w:pPr>
            <w:r>
              <w:rPr>
                <w:rFonts w:hint="eastAsia" w:ascii="宋体" w:hAnsi="宋体"/>
                <w:color w:val="auto"/>
                <w:sz w:val="21"/>
                <w:szCs w:val="21"/>
                <w:highlight w:val="none"/>
              </w:rPr>
              <w:t>已落实</w:t>
            </w:r>
          </w:p>
        </w:tc>
      </w:tr>
      <w:tr w14:paraId="435C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2E2B7A23">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1.3.1</w:t>
            </w:r>
          </w:p>
        </w:tc>
        <w:tc>
          <w:tcPr>
            <w:tcW w:w="1698" w:type="dxa"/>
            <w:tcBorders>
              <w:top w:val="single" w:color="auto" w:sz="4" w:space="0"/>
              <w:left w:val="single" w:color="auto" w:sz="4" w:space="0"/>
              <w:bottom w:val="single" w:color="auto" w:sz="4" w:space="0"/>
              <w:right w:val="single" w:color="auto" w:sz="4" w:space="0"/>
            </w:tcBorders>
            <w:vAlign w:val="center"/>
          </w:tcPr>
          <w:p w14:paraId="72F1866E">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采购需求</w:t>
            </w:r>
          </w:p>
        </w:tc>
        <w:tc>
          <w:tcPr>
            <w:tcW w:w="7085" w:type="dxa"/>
            <w:tcBorders>
              <w:top w:val="single" w:color="auto" w:sz="4" w:space="0"/>
              <w:left w:val="single" w:color="auto" w:sz="4" w:space="0"/>
              <w:bottom w:val="single" w:color="auto" w:sz="4" w:space="0"/>
              <w:right w:val="single" w:color="auto" w:sz="4" w:space="0"/>
            </w:tcBorders>
            <w:vAlign w:val="center"/>
          </w:tcPr>
          <w:p w14:paraId="6F8A2715">
            <w:pPr>
              <w:spacing w:line="360" w:lineRule="auto"/>
              <w:jc w:val="both"/>
              <w:rPr>
                <w:rFonts w:ascii="宋体" w:hAnsi="宋体" w:cs="宋体"/>
                <w:color w:val="auto"/>
                <w:sz w:val="21"/>
                <w:szCs w:val="21"/>
                <w:highlight w:val="none"/>
              </w:rPr>
            </w:pPr>
            <w:r>
              <w:rPr>
                <w:rFonts w:hint="eastAsia" w:ascii="宋体" w:hAnsi="宋体" w:cs="宋体"/>
                <w:color w:val="auto"/>
                <w:sz w:val="21"/>
                <w:szCs w:val="21"/>
                <w:highlight w:val="none"/>
              </w:rPr>
              <w:t>详见 第一章 招标公告</w:t>
            </w:r>
          </w:p>
        </w:tc>
      </w:tr>
      <w:tr w14:paraId="081B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7375914">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r>
              <w:rPr>
                <w:rFonts w:ascii="宋体" w:hAnsi="宋体" w:cs="宋体"/>
                <w:color w:val="auto"/>
                <w:sz w:val="21"/>
                <w:szCs w:val="21"/>
                <w:highlight w:val="none"/>
              </w:rPr>
              <w:t>.3.2</w:t>
            </w:r>
          </w:p>
        </w:tc>
        <w:tc>
          <w:tcPr>
            <w:tcW w:w="1698" w:type="dxa"/>
            <w:tcBorders>
              <w:top w:val="single" w:color="auto" w:sz="4" w:space="0"/>
              <w:left w:val="single" w:color="auto" w:sz="4" w:space="0"/>
              <w:bottom w:val="single" w:color="auto" w:sz="4" w:space="0"/>
              <w:right w:val="single" w:color="auto" w:sz="4" w:space="0"/>
            </w:tcBorders>
            <w:vAlign w:val="center"/>
          </w:tcPr>
          <w:p w14:paraId="7B46627C">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合同履</w:t>
            </w:r>
            <w:r>
              <w:rPr>
                <w:rFonts w:hint="eastAsia" w:ascii="宋体" w:hAnsi="宋体" w:cs="宋体"/>
                <w:color w:val="auto"/>
                <w:sz w:val="21"/>
                <w:szCs w:val="21"/>
                <w:highlight w:val="none"/>
                <w:lang w:val="en-US" w:eastAsia="zh-CN"/>
              </w:rPr>
              <w:t>约</w:t>
            </w:r>
            <w:r>
              <w:rPr>
                <w:rFonts w:hint="eastAsia" w:ascii="宋体" w:hAnsi="宋体" w:cs="宋体"/>
                <w:color w:val="auto"/>
                <w:sz w:val="21"/>
                <w:szCs w:val="21"/>
                <w:highlight w:val="none"/>
              </w:rPr>
              <w:t>期限</w:t>
            </w:r>
          </w:p>
        </w:tc>
        <w:tc>
          <w:tcPr>
            <w:tcW w:w="7085" w:type="dxa"/>
            <w:tcBorders>
              <w:top w:val="single" w:color="auto" w:sz="4" w:space="0"/>
              <w:left w:val="single" w:color="auto" w:sz="4" w:space="0"/>
              <w:bottom w:val="single" w:color="auto" w:sz="4" w:space="0"/>
              <w:right w:val="single" w:color="auto" w:sz="4" w:space="0"/>
            </w:tcBorders>
            <w:vAlign w:val="center"/>
          </w:tcPr>
          <w:p w14:paraId="4E399EC3">
            <w:pPr>
              <w:spacing w:line="360" w:lineRule="auto"/>
              <w:jc w:val="both"/>
              <w:rPr>
                <w:rFonts w:ascii="宋体" w:hAnsi="宋体" w:cs="宋体"/>
                <w:color w:val="auto"/>
                <w:sz w:val="21"/>
                <w:szCs w:val="21"/>
                <w:highlight w:val="none"/>
              </w:rPr>
            </w:pPr>
            <w:r>
              <w:rPr>
                <w:rFonts w:hint="eastAsia" w:ascii="宋体" w:hAnsi="宋体" w:cs="宋体"/>
                <w:color w:val="auto"/>
                <w:sz w:val="21"/>
                <w:szCs w:val="21"/>
                <w:highlight w:val="none"/>
              </w:rPr>
              <w:t>详见 第一章 招标公告</w:t>
            </w:r>
          </w:p>
        </w:tc>
      </w:tr>
      <w:tr w14:paraId="7671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1A6E95C">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r>
              <w:rPr>
                <w:rFonts w:ascii="宋体" w:hAnsi="宋体" w:cs="宋体"/>
                <w:color w:val="auto"/>
                <w:sz w:val="21"/>
                <w:szCs w:val="21"/>
                <w:highlight w:val="none"/>
              </w:rPr>
              <w:t>3</w:t>
            </w:r>
            <w:r>
              <w:rPr>
                <w:rFonts w:hint="eastAsia" w:ascii="宋体" w:hAnsi="宋体" w:cs="宋体"/>
                <w:color w:val="auto"/>
                <w:sz w:val="21"/>
                <w:szCs w:val="21"/>
                <w:highlight w:val="none"/>
              </w:rPr>
              <w:t>.</w:t>
            </w:r>
            <w:r>
              <w:rPr>
                <w:rFonts w:ascii="宋体" w:hAnsi="宋体" w:cs="宋体"/>
                <w:color w:val="auto"/>
                <w:sz w:val="21"/>
                <w:szCs w:val="21"/>
                <w:highlight w:val="none"/>
              </w:rPr>
              <w:t>3</w:t>
            </w:r>
          </w:p>
        </w:tc>
        <w:tc>
          <w:tcPr>
            <w:tcW w:w="1698" w:type="dxa"/>
            <w:tcBorders>
              <w:top w:val="single" w:color="auto" w:sz="4" w:space="0"/>
              <w:left w:val="single" w:color="auto" w:sz="4" w:space="0"/>
              <w:bottom w:val="single" w:color="auto" w:sz="4" w:space="0"/>
              <w:right w:val="single" w:color="auto" w:sz="4" w:space="0"/>
            </w:tcBorders>
            <w:vAlign w:val="center"/>
          </w:tcPr>
          <w:p w14:paraId="23FF3C24">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服务</w:t>
            </w:r>
            <w:r>
              <w:rPr>
                <w:rFonts w:hint="eastAsia" w:ascii="宋体" w:hAnsi="宋体" w:cs="宋体"/>
                <w:color w:val="auto"/>
                <w:sz w:val="21"/>
                <w:szCs w:val="21"/>
                <w:highlight w:val="none"/>
              </w:rPr>
              <w:t>地点</w:t>
            </w:r>
          </w:p>
        </w:tc>
        <w:tc>
          <w:tcPr>
            <w:tcW w:w="7085" w:type="dxa"/>
            <w:tcBorders>
              <w:top w:val="single" w:color="auto" w:sz="4" w:space="0"/>
              <w:left w:val="single" w:color="auto" w:sz="4" w:space="0"/>
              <w:bottom w:val="single" w:color="auto" w:sz="4" w:space="0"/>
              <w:right w:val="single" w:color="auto" w:sz="4" w:space="0"/>
            </w:tcBorders>
            <w:vAlign w:val="center"/>
          </w:tcPr>
          <w:p w14:paraId="424029DF">
            <w:pPr>
              <w:spacing w:line="360" w:lineRule="auto"/>
              <w:jc w:val="both"/>
              <w:rPr>
                <w:rFonts w:ascii="宋体" w:hAnsi="宋体" w:cs="宋体"/>
                <w:color w:val="auto"/>
                <w:sz w:val="21"/>
                <w:szCs w:val="21"/>
                <w:highlight w:val="none"/>
              </w:rPr>
            </w:pPr>
            <w:r>
              <w:rPr>
                <w:rFonts w:hint="eastAsia" w:ascii="宋体" w:hAnsi="宋体" w:cs="宋体"/>
                <w:color w:val="auto"/>
                <w:sz w:val="21"/>
                <w:szCs w:val="21"/>
                <w:highlight w:val="none"/>
              </w:rPr>
              <w:t>详见 第一章 招标公告</w:t>
            </w:r>
          </w:p>
        </w:tc>
      </w:tr>
      <w:tr w14:paraId="782A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554F250">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r>
              <w:rPr>
                <w:rFonts w:ascii="宋体" w:hAnsi="宋体" w:cs="宋体"/>
                <w:color w:val="auto"/>
                <w:sz w:val="21"/>
                <w:szCs w:val="21"/>
                <w:highlight w:val="none"/>
              </w:rPr>
              <w:t>3</w:t>
            </w:r>
            <w:r>
              <w:rPr>
                <w:rFonts w:hint="eastAsia" w:ascii="宋体" w:hAnsi="宋体" w:cs="宋体"/>
                <w:color w:val="auto"/>
                <w:sz w:val="21"/>
                <w:szCs w:val="21"/>
                <w:highlight w:val="none"/>
              </w:rPr>
              <w:t>.</w:t>
            </w:r>
            <w:r>
              <w:rPr>
                <w:rFonts w:ascii="宋体" w:hAnsi="宋体" w:cs="宋体"/>
                <w:color w:val="auto"/>
                <w:sz w:val="21"/>
                <w:szCs w:val="21"/>
                <w:highlight w:val="none"/>
              </w:rPr>
              <w:t>4</w:t>
            </w:r>
          </w:p>
        </w:tc>
        <w:tc>
          <w:tcPr>
            <w:tcW w:w="1698" w:type="dxa"/>
            <w:tcBorders>
              <w:top w:val="single" w:color="auto" w:sz="4" w:space="0"/>
              <w:left w:val="single" w:color="auto" w:sz="4" w:space="0"/>
              <w:bottom w:val="single" w:color="auto" w:sz="4" w:space="0"/>
              <w:right w:val="single" w:color="auto" w:sz="4" w:space="0"/>
            </w:tcBorders>
            <w:vAlign w:val="center"/>
          </w:tcPr>
          <w:p w14:paraId="2D8753AE">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服务标准</w:t>
            </w:r>
          </w:p>
        </w:tc>
        <w:tc>
          <w:tcPr>
            <w:tcW w:w="7085" w:type="dxa"/>
            <w:tcBorders>
              <w:top w:val="single" w:color="auto" w:sz="4" w:space="0"/>
              <w:left w:val="single" w:color="auto" w:sz="4" w:space="0"/>
              <w:bottom w:val="single" w:color="auto" w:sz="4" w:space="0"/>
              <w:right w:val="single" w:color="auto" w:sz="4" w:space="0"/>
            </w:tcBorders>
            <w:vAlign w:val="center"/>
          </w:tcPr>
          <w:p w14:paraId="3533C31A">
            <w:pPr>
              <w:spacing w:before="120" w:beforeLines="50" w:line="360" w:lineRule="auto"/>
              <w:rPr>
                <w:rFonts w:ascii="宋体" w:hAnsi="宋体" w:cs="宋体"/>
                <w:color w:val="auto"/>
                <w:sz w:val="21"/>
                <w:szCs w:val="21"/>
                <w:highlight w:val="none"/>
              </w:rPr>
            </w:pPr>
            <w:r>
              <w:rPr>
                <w:rFonts w:hint="eastAsia" w:ascii="宋体" w:hAnsi="宋体" w:cs="宋体"/>
                <w:color w:val="auto"/>
                <w:sz w:val="21"/>
                <w:szCs w:val="21"/>
                <w:highlight w:val="none"/>
              </w:rPr>
              <w:t>详见 第一章 招标公告</w:t>
            </w:r>
          </w:p>
        </w:tc>
      </w:tr>
      <w:tr w14:paraId="3721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2592C1D3">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1.3.</w:t>
            </w:r>
            <w:r>
              <w:rPr>
                <w:rFonts w:ascii="宋体" w:hAnsi="宋体" w:cs="宋体"/>
                <w:color w:val="auto"/>
                <w:sz w:val="21"/>
                <w:szCs w:val="21"/>
                <w:highlight w:val="none"/>
              </w:rPr>
              <w:t>5</w:t>
            </w:r>
          </w:p>
        </w:tc>
        <w:tc>
          <w:tcPr>
            <w:tcW w:w="1698" w:type="dxa"/>
            <w:tcBorders>
              <w:top w:val="single" w:color="auto" w:sz="4" w:space="0"/>
              <w:left w:val="single" w:color="auto" w:sz="4" w:space="0"/>
              <w:bottom w:val="single" w:color="auto" w:sz="4" w:space="0"/>
              <w:right w:val="single" w:color="auto" w:sz="4" w:space="0"/>
            </w:tcBorders>
            <w:vAlign w:val="center"/>
          </w:tcPr>
          <w:p w14:paraId="42434B68">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标包划分</w:t>
            </w:r>
          </w:p>
        </w:tc>
        <w:tc>
          <w:tcPr>
            <w:tcW w:w="7085" w:type="dxa"/>
            <w:tcBorders>
              <w:top w:val="single" w:color="auto" w:sz="4" w:space="0"/>
              <w:left w:val="single" w:color="auto" w:sz="4" w:space="0"/>
              <w:bottom w:val="single" w:color="auto" w:sz="4" w:space="0"/>
              <w:right w:val="single" w:color="auto" w:sz="4" w:space="0"/>
            </w:tcBorders>
            <w:vAlign w:val="center"/>
          </w:tcPr>
          <w:p w14:paraId="5D0AD8F6">
            <w:pPr>
              <w:spacing w:before="72" w:beforeLines="30" w:line="360" w:lineRule="auto"/>
              <w:jc w:val="both"/>
              <w:rPr>
                <w:rFonts w:ascii="宋体" w:hAnsi="宋体" w:cs="宋体"/>
                <w:color w:val="auto"/>
                <w:sz w:val="21"/>
                <w:szCs w:val="21"/>
                <w:highlight w:val="none"/>
              </w:rPr>
            </w:pPr>
            <w:r>
              <w:rPr>
                <w:rFonts w:hint="eastAsia" w:ascii="宋体" w:hAnsi="宋体" w:cs="宋体"/>
                <w:color w:val="auto"/>
                <w:sz w:val="21"/>
                <w:szCs w:val="21"/>
                <w:highlight w:val="none"/>
              </w:rPr>
              <w:t>详见 第一章 招标公告</w:t>
            </w:r>
          </w:p>
        </w:tc>
      </w:tr>
      <w:tr w14:paraId="27FB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414FF15">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1.4.1</w:t>
            </w:r>
          </w:p>
        </w:tc>
        <w:tc>
          <w:tcPr>
            <w:tcW w:w="1698" w:type="dxa"/>
            <w:tcBorders>
              <w:top w:val="single" w:color="auto" w:sz="4" w:space="0"/>
              <w:left w:val="single" w:color="auto" w:sz="4" w:space="0"/>
              <w:bottom w:val="single" w:color="auto" w:sz="4" w:space="0"/>
              <w:right w:val="single" w:color="auto" w:sz="4" w:space="0"/>
            </w:tcBorders>
            <w:vAlign w:val="center"/>
          </w:tcPr>
          <w:p w14:paraId="7AB082AE">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投标人资格要求</w:t>
            </w:r>
          </w:p>
        </w:tc>
        <w:tc>
          <w:tcPr>
            <w:tcW w:w="7085" w:type="dxa"/>
            <w:tcBorders>
              <w:top w:val="single" w:color="auto" w:sz="4" w:space="0"/>
              <w:left w:val="single" w:color="auto" w:sz="4" w:space="0"/>
              <w:bottom w:val="single" w:color="auto" w:sz="4" w:space="0"/>
              <w:right w:val="single" w:color="auto" w:sz="4" w:space="0"/>
            </w:tcBorders>
            <w:vAlign w:val="center"/>
          </w:tcPr>
          <w:p w14:paraId="2587940F">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详见 第一章 招标公告</w:t>
            </w:r>
          </w:p>
        </w:tc>
      </w:tr>
      <w:tr w14:paraId="37CA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29EE5CB0">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1.4</w:t>
            </w:r>
            <w:r>
              <w:rPr>
                <w:rFonts w:ascii="宋体" w:hAnsi="宋体" w:cs="宋体"/>
                <w:color w:val="auto"/>
                <w:sz w:val="21"/>
                <w:szCs w:val="21"/>
                <w:highlight w:val="none"/>
              </w:rPr>
              <w:t>.2</w:t>
            </w:r>
          </w:p>
        </w:tc>
        <w:tc>
          <w:tcPr>
            <w:tcW w:w="1698" w:type="dxa"/>
            <w:tcBorders>
              <w:top w:val="single" w:color="auto" w:sz="4" w:space="0"/>
              <w:left w:val="single" w:color="auto" w:sz="4" w:space="0"/>
              <w:bottom w:val="single" w:color="auto" w:sz="4" w:space="0"/>
              <w:right w:val="single" w:color="auto" w:sz="4" w:space="0"/>
            </w:tcBorders>
            <w:vAlign w:val="center"/>
          </w:tcPr>
          <w:p w14:paraId="49502BCF">
            <w:pPr>
              <w:spacing w:before="72" w:beforeLines="30"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是否接受联合体投标</w:t>
            </w:r>
          </w:p>
        </w:tc>
        <w:tc>
          <w:tcPr>
            <w:tcW w:w="7085" w:type="dxa"/>
            <w:tcBorders>
              <w:top w:val="single" w:color="auto" w:sz="4" w:space="0"/>
              <w:left w:val="single" w:color="auto" w:sz="4" w:space="0"/>
              <w:bottom w:val="single" w:color="auto" w:sz="4" w:space="0"/>
              <w:right w:val="single" w:color="auto" w:sz="4" w:space="0"/>
            </w:tcBorders>
            <w:vAlign w:val="center"/>
          </w:tcPr>
          <w:p w14:paraId="680F5292">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详见 第一章 招标公告</w:t>
            </w:r>
          </w:p>
        </w:tc>
      </w:tr>
      <w:tr w14:paraId="0ECE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B4A85E8">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1.9.1</w:t>
            </w:r>
          </w:p>
        </w:tc>
        <w:tc>
          <w:tcPr>
            <w:tcW w:w="1698" w:type="dxa"/>
            <w:tcBorders>
              <w:top w:val="single" w:color="auto" w:sz="4" w:space="0"/>
              <w:left w:val="single" w:color="auto" w:sz="4" w:space="0"/>
              <w:bottom w:val="single" w:color="auto" w:sz="4" w:space="0"/>
              <w:right w:val="single" w:color="auto" w:sz="4" w:space="0"/>
            </w:tcBorders>
            <w:vAlign w:val="center"/>
          </w:tcPr>
          <w:p w14:paraId="63D98440">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踏勘现场</w:t>
            </w:r>
          </w:p>
        </w:tc>
        <w:tc>
          <w:tcPr>
            <w:tcW w:w="7085" w:type="dxa"/>
            <w:tcBorders>
              <w:top w:val="single" w:color="auto" w:sz="4" w:space="0"/>
              <w:left w:val="single" w:color="auto" w:sz="4" w:space="0"/>
              <w:bottom w:val="single" w:color="auto" w:sz="4" w:space="0"/>
              <w:right w:val="single" w:color="auto" w:sz="4" w:space="0"/>
            </w:tcBorders>
            <w:vAlign w:val="center"/>
          </w:tcPr>
          <w:p w14:paraId="3E2DC46C">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不组织。</w:t>
            </w:r>
          </w:p>
        </w:tc>
      </w:tr>
      <w:tr w14:paraId="44EF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B319D89">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1.10</w:t>
            </w:r>
          </w:p>
        </w:tc>
        <w:tc>
          <w:tcPr>
            <w:tcW w:w="1698" w:type="dxa"/>
            <w:tcBorders>
              <w:top w:val="single" w:color="auto" w:sz="4" w:space="0"/>
              <w:left w:val="single" w:color="auto" w:sz="4" w:space="0"/>
              <w:bottom w:val="single" w:color="auto" w:sz="4" w:space="0"/>
              <w:right w:val="single" w:color="auto" w:sz="4" w:space="0"/>
            </w:tcBorders>
            <w:vAlign w:val="center"/>
          </w:tcPr>
          <w:p w14:paraId="55A0C9ED">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开标前答疑会</w:t>
            </w:r>
          </w:p>
        </w:tc>
        <w:tc>
          <w:tcPr>
            <w:tcW w:w="7085" w:type="dxa"/>
            <w:tcBorders>
              <w:top w:val="single" w:color="auto" w:sz="4" w:space="0"/>
              <w:left w:val="single" w:color="auto" w:sz="4" w:space="0"/>
              <w:bottom w:val="single" w:color="auto" w:sz="4" w:space="0"/>
              <w:right w:val="single" w:color="auto" w:sz="4" w:space="0"/>
            </w:tcBorders>
            <w:vAlign w:val="center"/>
          </w:tcPr>
          <w:p w14:paraId="7370ABA2">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不召开。</w:t>
            </w:r>
          </w:p>
        </w:tc>
      </w:tr>
      <w:tr w14:paraId="585C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5737A88">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1.11</w:t>
            </w:r>
          </w:p>
        </w:tc>
        <w:tc>
          <w:tcPr>
            <w:tcW w:w="1698" w:type="dxa"/>
            <w:tcBorders>
              <w:top w:val="single" w:color="auto" w:sz="4" w:space="0"/>
              <w:left w:val="single" w:color="auto" w:sz="4" w:space="0"/>
              <w:bottom w:val="single" w:color="auto" w:sz="4" w:space="0"/>
              <w:right w:val="single" w:color="auto" w:sz="4" w:space="0"/>
            </w:tcBorders>
            <w:vAlign w:val="center"/>
          </w:tcPr>
          <w:p w14:paraId="2A96C0D9">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分包</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转包</w:t>
            </w:r>
          </w:p>
        </w:tc>
        <w:tc>
          <w:tcPr>
            <w:tcW w:w="7085" w:type="dxa"/>
            <w:tcBorders>
              <w:top w:val="single" w:color="auto" w:sz="4" w:space="0"/>
              <w:left w:val="single" w:color="auto" w:sz="4" w:space="0"/>
              <w:bottom w:val="single" w:color="auto" w:sz="4" w:space="0"/>
              <w:right w:val="single" w:color="auto" w:sz="4" w:space="0"/>
            </w:tcBorders>
            <w:vAlign w:val="center"/>
          </w:tcPr>
          <w:p w14:paraId="2081F3F7">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不允许。</w:t>
            </w:r>
          </w:p>
        </w:tc>
      </w:tr>
      <w:tr w14:paraId="2A0B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8BA9EFE">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1.12</w:t>
            </w:r>
          </w:p>
        </w:tc>
        <w:tc>
          <w:tcPr>
            <w:tcW w:w="1698" w:type="dxa"/>
            <w:tcBorders>
              <w:top w:val="single" w:color="auto" w:sz="4" w:space="0"/>
              <w:left w:val="single" w:color="auto" w:sz="4" w:space="0"/>
              <w:bottom w:val="single" w:color="auto" w:sz="4" w:space="0"/>
              <w:right w:val="single" w:color="auto" w:sz="4" w:space="0"/>
            </w:tcBorders>
            <w:vAlign w:val="center"/>
          </w:tcPr>
          <w:p w14:paraId="478E3DF4">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偏离</w:t>
            </w:r>
          </w:p>
        </w:tc>
        <w:tc>
          <w:tcPr>
            <w:tcW w:w="7085" w:type="dxa"/>
            <w:tcBorders>
              <w:top w:val="single" w:color="auto" w:sz="4" w:space="0"/>
              <w:left w:val="single" w:color="auto" w:sz="4" w:space="0"/>
              <w:bottom w:val="single" w:color="auto" w:sz="4" w:space="0"/>
              <w:right w:val="single" w:color="auto" w:sz="4" w:space="0"/>
            </w:tcBorders>
            <w:vAlign w:val="center"/>
          </w:tcPr>
          <w:p w14:paraId="2D2ABA33">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不允许。</w:t>
            </w:r>
          </w:p>
        </w:tc>
      </w:tr>
      <w:tr w14:paraId="1C56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D1B892D">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2.1</w:t>
            </w:r>
          </w:p>
        </w:tc>
        <w:tc>
          <w:tcPr>
            <w:tcW w:w="1698" w:type="dxa"/>
            <w:tcBorders>
              <w:top w:val="single" w:color="auto" w:sz="4" w:space="0"/>
              <w:left w:val="single" w:color="auto" w:sz="4" w:space="0"/>
              <w:bottom w:val="single" w:color="auto" w:sz="4" w:space="0"/>
              <w:right w:val="single" w:color="auto" w:sz="4" w:space="0"/>
            </w:tcBorders>
            <w:vAlign w:val="center"/>
          </w:tcPr>
          <w:p w14:paraId="6EC3914B">
            <w:pPr>
              <w:spacing w:before="72" w:beforeLines="30"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构成招标文件的其他材料</w:t>
            </w:r>
          </w:p>
        </w:tc>
        <w:tc>
          <w:tcPr>
            <w:tcW w:w="7085" w:type="dxa"/>
            <w:tcBorders>
              <w:top w:val="single" w:color="auto" w:sz="4" w:space="0"/>
              <w:left w:val="single" w:color="auto" w:sz="4" w:space="0"/>
              <w:bottom w:val="single" w:color="auto" w:sz="4" w:space="0"/>
              <w:right w:val="single" w:color="auto" w:sz="4" w:space="0"/>
            </w:tcBorders>
            <w:vAlign w:val="center"/>
          </w:tcPr>
          <w:p w14:paraId="5329CDC9">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澄清、修改、补充通知等。</w:t>
            </w:r>
          </w:p>
        </w:tc>
      </w:tr>
      <w:tr w14:paraId="6E69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FCB21B5">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2.2.2</w:t>
            </w:r>
          </w:p>
        </w:tc>
        <w:tc>
          <w:tcPr>
            <w:tcW w:w="1698" w:type="dxa"/>
            <w:tcBorders>
              <w:top w:val="single" w:color="auto" w:sz="4" w:space="0"/>
              <w:left w:val="single" w:color="auto" w:sz="4" w:space="0"/>
              <w:bottom w:val="single" w:color="auto" w:sz="4" w:space="0"/>
              <w:right w:val="single" w:color="auto" w:sz="4" w:space="0"/>
            </w:tcBorders>
            <w:vAlign w:val="center"/>
          </w:tcPr>
          <w:p w14:paraId="3A7BE9FF">
            <w:pPr>
              <w:spacing w:before="72" w:beforeLines="30"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招标文件的询问联系方式</w:t>
            </w:r>
          </w:p>
        </w:tc>
        <w:tc>
          <w:tcPr>
            <w:tcW w:w="7085" w:type="dxa"/>
            <w:tcBorders>
              <w:top w:val="single" w:color="auto" w:sz="4" w:space="0"/>
              <w:left w:val="single" w:color="auto" w:sz="4" w:space="0"/>
              <w:bottom w:val="single" w:color="auto" w:sz="4" w:space="0"/>
              <w:right w:val="single" w:color="auto" w:sz="4" w:space="0"/>
            </w:tcBorders>
            <w:vAlign w:val="center"/>
          </w:tcPr>
          <w:p w14:paraId="2605B2F1">
            <w:pPr>
              <w:widowControl w:val="0"/>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询问联系人：</w:t>
            </w:r>
            <w:r>
              <w:rPr>
                <w:rFonts w:hint="eastAsia" w:ascii="宋体" w:hAnsi="宋体" w:eastAsia="宋体" w:cs="宋体"/>
                <w:color w:val="auto"/>
                <w:sz w:val="21"/>
                <w:szCs w:val="21"/>
                <w:highlight w:val="none"/>
                <w:lang w:val="en-US" w:eastAsia="zh-CN"/>
              </w:rPr>
              <w:t>杨蕾、王倩倩、王浩军</w:t>
            </w:r>
            <w:r>
              <w:rPr>
                <w:rFonts w:hint="eastAsia" w:ascii="宋体" w:hAnsi="宋体" w:cs="宋体"/>
                <w:color w:val="auto"/>
                <w:sz w:val="21"/>
                <w:szCs w:val="21"/>
                <w:highlight w:val="none"/>
                <w:lang w:val="en-US" w:eastAsia="zh-CN"/>
              </w:rPr>
              <w:t>、王晓洁</w:t>
            </w:r>
          </w:p>
          <w:p w14:paraId="5FBFC526">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18988439208、0871-63560043</w:t>
            </w:r>
          </w:p>
        </w:tc>
      </w:tr>
      <w:tr w14:paraId="1A64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BF1D4EB">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2.3.2</w:t>
            </w:r>
          </w:p>
        </w:tc>
        <w:tc>
          <w:tcPr>
            <w:tcW w:w="1698" w:type="dxa"/>
            <w:tcBorders>
              <w:top w:val="single" w:color="auto" w:sz="4" w:space="0"/>
              <w:left w:val="single" w:color="auto" w:sz="4" w:space="0"/>
              <w:bottom w:val="single" w:color="auto" w:sz="4" w:space="0"/>
              <w:right w:val="single" w:color="auto" w:sz="4" w:space="0"/>
            </w:tcBorders>
            <w:vAlign w:val="center"/>
          </w:tcPr>
          <w:p w14:paraId="4F30B0D6">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招标文件的澄清或修改</w:t>
            </w:r>
          </w:p>
        </w:tc>
        <w:tc>
          <w:tcPr>
            <w:tcW w:w="7085" w:type="dxa"/>
            <w:tcBorders>
              <w:top w:val="single" w:color="auto" w:sz="4" w:space="0"/>
              <w:left w:val="single" w:color="auto" w:sz="4" w:space="0"/>
              <w:bottom w:val="single" w:color="auto" w:sz="4" w:space="0"/>
              <w:right w:val="single" w:color="auto" w:sz="4" w:space="0"/>
            </w:tcBorders>
            <w:vAlign w:val="center"/>
          </w:tcPr>
          <w:p w14:paraId="2846BAC1">
            <w:pPr>
              <w:widowControl w:val="0"/>
              <w:spacing w:before="72" w:beforeLines="30" w:line="360" w:lineRule="auto"/>
              <w:rPr>
                <w:rFonts w:ascii="宋体" w:hAnsi="宋体" w:cs="宋体"/>
                <w:color w:val="auto"/>
                <w:sz w:val="21"/>
                <w:szCs w:val="21"/>
                <w:highlight w:val="none"/>
              </w:rPr>
            </w:pPr>
            <w:r>
              <w:rPr>
                <w:rFonts w:hint="eastAsia" w:ascii="宋体" w:hAnsi="宋体" w:cs="宋体"/>
                <w:color w:val="auto"/>
                <w:sz w:val="21"/>
                <w:szCs w:val="21"/>
                <w:highlight w:val="none"/>
              </w:rPr>
              <w:t>（1）投标人应仔细阅读和检查招标文件的全部内容。如发现缺页或附件不全，应在</w:t>
            </w:r>
            <w:r>
              <w:rPr>
                <w:rFonts w:hint="eastAsia" w:ascii="宋体" w:hAnsi="宋体" w:cs="宋体"/>
                <w:color w:val="auto"/>
                <w:sz w:val="21"/>
                <w:szCs w:val="21"/>
                <w:highlight w:val="none"/>
                <w:lang w:val="en-US" w:eastAsia="zh-CN"/>
              </w:rPr>
              <w:t>投标文件递交截止时间至少10日前</w:t>
            </w:r>
            <w:r>
              <w:rPr>
                <w:rFonts w:hint="eastAsia" w:ascii="宋体" w:hAnsi="宋体" w:cs="宋体"/>
                <w:color w:val="auto"/>
                <w:sz w:val="21"/>
                <w:szCs w:val="21"/>
                <w:highlight w:val="none"/>
              </w:rPr>
              <w:t>向采购人提出询问，以便采购人补齐。</w:t>
            </w:r>
          </w:p>
          <w:p w14:paraId="2E72AE80">
            <w:pPr>
              <w:widowControl w:val="0"/>
              <w:spacing w:before="72" w:beforeLines="30" w:line="360" w:lineRule="auto"/>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采购人、采购代理机构可以对已发出的招标文件进行必要的澄清或者修改，并在原公告发布媒体上发布澄清公告，澄清或者修改的内容作为招标文件的组成部分。澄清或者修改的内容可能影响投标文件编制的，采购人或者采购代理机构在提交投标文件截止时间至少15日前，以书面形式通知所有获取招标文件的潜在投标人；不足15日的，采购人或者采购代理机构将顺延提交投标文件的截止时间。</w:t>
            </w:r>
          </w:p>
          <w:p w14:paraId="5C91F4BF">
            <w:pPr>
              <w:widowControl w:val="0"/>
              <w:spacing w:before="72" w:beforeLines="30" w:line="360" w:lineRule="auto"/>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）所有获取了招标文件的潜在投标人应认真阅读招标文件，如有疑问的，投标人可在</w:t>
            </w:r>
            <w:r>
              <w:rPr>
                <w:rFonts w:hint="eastAsia" w:ascii="宋体" w:hAnsi="宋体" w:cs="宋体"/>
                <w:color w:val="auto"/>
                <w:sz w:val="21"/>
                <w:szCs w:val="21"/>
                <w:highlight w:val="none"/>
                <w:lang w:val="en-US" w:eastAsia="zh-CN"/>
              </w:rPr>
              <w:t>投标文件递交截止时间至少10日前以书面形式</w:t>
            </w:r>
            <w:r>
              <w:rPr>
                <w:rFonts w:hint="eastAsia" w:ascii="宋体" w:hAnsi="宋体" w:cs="宋体"/>
                <w:color w:val="auto"/>
                <w:sz w:val="21"/>
                <w:szCs w:val="21"/>
                <w:highlight w:val="none"/>
              </w:rPr>
              <w:t>向采购人或采购代理机构进行询问、质疑。采购人或者采购代理机构在接到询问后的3个工作日内对投标人依法提出的询问作出答复,但答复的内容不涉及商业秘密。</w:t>
            </w:r>
          </w:p>
          <w:p w14:paraId="455F2A76">
            <w:pPr>
              <w:widowControl w:val="0"/>
              <w:spacing w:before="72" w:beforeLines="30" w:line="360" w:lineRule="auto"/>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采购人对招标文件中的涉及评标办法、评审项目等重要评审内容做出变更，将同时发布补遗文件进行说明，以保证各投标人都能重新下载并用于编制电子投标文件。招标人无论对评标办法、评审项目等重要评审内容作何种变更，都要重新制作电子招标文件，同时发布补遗文件进行说明以保证各投标人都能重新下载最新的电子招标文件用于编制电子投标文件。招标文件的修改将在“云南省政府采购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发布</w:t>
            </w:r>
            <w:r>
              <w:rPr>
                <w:rFonts w:hint="eastAsia" w:ascii="宋体" w:hAnsi="宋体" w:cs="宋体"/>
                <w:color w:val="auto"/>
                <w:sz w:val="21"/>
                <w:szCs w:val="21"/>
                <w:highlight w:val="none"/>
              </w:rPr>
              <w:t>，招标文件的修改作为招标文件的组成部分，并具有约束力。</w:t>
            </w:r>
          </w:p>
          <w:p w14:paraId="1D1DB6E0">
            <w:pPr>
              <w:widowControl w:val="0"/>
              <w:spacing w:before="72" w:beforeLines="30" w:line="360" w:lineRule="auto"/>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5</w:t>
            </w:r>
            <w:r>
              <w:rPr>
                <w:rFonts w:hint="eastAsia" w:ascii="宋体" w:hAnsi="宋体" w:cs="宋体"/>
                <w:color w:val="auto"/>
                <w:sz w:val="21"/>
                <w:szCs w:val="21"/>
                <w:highlight w:val="none"/>
              </w:rPr>
              <w:t>）投标人应在投标截止时间前及时登录“云南省政府采购网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中查看有关该项目招标文件的答疑、补遗内容。否则，后果自负。</w:t>
            </w:r>
          </w:p>
          <w:p w14:paraId="44B10666">
            <w:pPr>
              <w:widowControl w:val="0"/>
              <w:spacing w:before="72" w:beforeLines="30" w:line="360" w:lineRule="auto"/>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6</w:t>
            </w:r>
            <w:r>
              <w:rPr>
                <w:rFonts w:hint="eastAsia" w:ascii="宋体" w:hAnsi="宋体" w:cs="宋体"/>
                <w:color w:val="auto"/>
                <w:sz w:val="21"/>
                <w:szCs w:val="21"/>
                <w:highlight w:val="none"/>
              </w:rPr>
              <w:t>）招标文件澄清、招标文件修改文件内容均以网上电子文件为准，当招标文件、招标文件澄清、招标文件修改文件内容后前相互矛盾时，以最新发布的招标文件为准。</w:t>
            </w:r>
          </w:p>
        </w:tc>
      </w:tr>
      <w:tr w14:paraId="6697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243D379F">
            <w:pPr>
              <w:spacing w:line="360" w:lineRule="auto"/>
              <w:jc w:val="center"/>
              <w:rPr>
                <w:rFonts w:ascii="宋体" w:hAnsi="宋体" w:cs="宋体"/>
                <w:color w:val="auto"/>
                <w:sz w:val="21"/>
                <w:szCs w:val="21"/>
                <w:highlight w:val="none"/>
              </w:rPr>
            </w:pPr>
            <w:r>
              <w:rPr>
                <w:rFonts w:ascii="宋体" w:hAnsi="宋体" w:cs="宋体"/>
                <w:color w:val="auto"/>
                <w:sz w:val="21"/>
                <w:szCs w:val="21"/>
                <w:highlight w:val="none"/>
              </w:rPr>
              <w:t>2.3.3</w:t>
            </w:r>
          </w:p>
        </w:tc>
        <w:tc>
          <w:tcPr>
            <w:tcW w:w="1698" w:type="dxa"/>
            <w:tcBorders>
              <w:top w:val="single" w:color="auto" w:sz="4" w:space="0"/>
              <w:left w:val="single" w:color="auto" w:sz="4" w:space="0"/>
              <w:bottom w:val="single" w:color="auto" w:sz="4" w:space="0"/>
              <w:right w:val="single" w:color="auto" w:sz="4" w:space="0"/>
            </w:tcBorders>
            <w:vAlign w:val="center"/>
          </w:tcPr>
          <w:p w14:paraId="34D25422">
            <w:pPr>
              <w:spacing w:line="360" w:lineRule="auto"/>
              <w:jc w:val="center"/>
              <w:rPr>
                <w:rFonts w:ascii="宋体" w:hAnsi="宋体" w:cs="宋体"/>
                <w:color w:val="auto"/>
                <w:sz w:val="21"/>
                <w:szCs w:val="21"/>
                <w:highlight w:val="none"/>
              </w:rPr>
            </w:pPr>
            <w:r>
              <w:rPr>
                <w:rFonts w:hint="eastAsia" w:ascii="宋体" w:hAnsi="宋体"/>
                <w:color w:val="auto"/>
                <w:sz w:val="21"/>
                <w:szCs w:val="21"/>
                <w:highlight w:val="none"/>
              </w:rPr>
              <w:t>投标人确认收到招标文件澄清、修改时间</w:t>
            </w:r>
          </w:p>
        </w:tc>
        <w:tc>
          <w:tcPr>
            <w:tcW w:w="7085" w:type="dxa"/>
            <w:tcBorders>
              <w:top w:val="single" w:color="auto" w:sz="4" w:space="0"/>
              <w:left w:val="single" w:color="auto" w:sz="4" w:space="0"/>
              <w:bottom w:val="single" w:color="auto" w:sz="4" w:space="0"/>
              <w:right w:val="single" w:color="auto" w:sz="4" w:space="0"/>
            </w:tcBorders>
            <w:vAlign w:val="center"/>
          </w:tcPr>
          <w:p w14:paraId="7229D5EB">
            <w:pPr>
              <w:spacing w:line="312" w:lineRule="auto"/>
              <w:rPr>
                <w:rFonts w:hint="eastAsia" w:ascii="宋体" w:hAnsi="宋体"/>
                <w:color w:val="auto"/>
                <w:sz w:val="21"/>
                <w:szCs w:val="21"/>
                <w:highlight w:val="none"/>
              </w:rPr>
            </w:pPr>
            <w:r>
              <w:rPr>
                <w:rFonts w:hint="eastAsia"/>
                <w:color w:val="auto"/>
                <w:sz w:val="21"/>
                <w:szCs w:val="21"/>
                <w:highlight w:val="none"/>
                <w:lang w:val="en-US" w:eastAsia="zh-CN"/>
              </w:rPr>
              <w:t>投标文件</w:t>
            </w:r>
            <w:r>
              <w:rPr>
                <w:rFonts w:hint="eastAsia" w:ascii="宋体" w:hAnsi="宋体"/>
                <w:color w:val="auto"/>
                <w:sz w:val="21"/>
                <w:szCs w:val="21"/>
                <w:highlight w:val="none"/>
              </w:rPr>
              <w:t>递交截止时间至少</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日前，并以书面形式向获取</w:t>
            </w:r>
            <w:r>
              <w:rPr>
                <w:rFonts w:hint="eastAsia"/>
                <w:color w:val="auto"/>
                <w:sz w:val="21"/>
                <w:szCs w:val="21"/>
                <w:highlight w:val="none"/>
                <w:lang w:val="en-US" w:eastAsia="zh-CN"/>
              </w:rPr>
              <w:t>招标</w:t>
            </w:r>
            <w:r>
              <w:rPr>
                <w:rFonts w:hint="eastAsia" w:ascii="宋体" w:hAnsi="宋体"/>
                <w:color w:val="auto"/>
                <w:sz w:val="21"/>
                <w:szCs w:val="21"/>
                <w:highlight w:val="none"/>
              </w:rPr>
              <w:t>文件的潜在</w:t>
            </w:r>
            <w:r>
              <w:rPr>
                <w:rFonts w:hint="eastAsia" w:ascii="宋体" w:hAnsi="宋体"/>
                <w:color w:val="auto"/>
                <w:sz w:val="21"/>
                <w:szCs w:val="21"/>
                <w:highlight w:val="none"/>
                <w:lang w:val="en-US" w:eastAsia="zh-CN"/>
              </w:rPr>
              <w:t>投标人</w:t>
            </w:r>
            <w:r>
              <w:rPr>
                <w:rFonts w:hint="eastAsia" w:ascii="宋体" w:hAnsi="宋体"/>
                <w:color w:val="auto"/>
                <w:sz w:val="21"/>
                <w:szCs w:val="21"/>
                <w:highlight w:val="none"/>
              </w:rPr>
              <w:t>发送。</w:t>
            </w:r>
          </w:p>
          <w:p w14:paraId="33679FFF">
            <w:pPr>
              <w:spacing w:before="72" w:beforeLines="30" w:line="360" w:lineRule="auto"/>
              <w:rPr>
                <w:rFonts w:ascii="宋体" w:hAnsi="宋体" w:cs="宋体"/>
                <w:color w:val="auto"/>
                <w:sz w:val="21"/>
                <w:szCs w:val="21"/>
                <w:highlight w:val="none"/>
              </w:rPr>
            </w:pPr>
            <w:r>
              <w:rPr>
                <w:rFonts w:hint="eastAsia" w:ascii="宋体" w:hAnsi="宋体"/>
                <w:color w:val="auto"/>
                <w:sz w:val="21"/>
                <w:szCs w:val="21"/>
                <w:highlight w:val="none"/>
              </w:rPr>
              <w:t>所有获取了</w:t>
            </w:r>
            <w:r>
              <w:rPr>
                <w:rFonts w:hint="eastAsia"/>
                <w:color w:val="auto"/>
                <w:sz w:val="21"/>
                <w:szCs w:val="21"/>
                <w:highlight w:val="none"/>
                <w:lang w:val="en-US" w:eastAsia="zh-CN"/>
              </w:rPr>
              <w:t>招标</w:t>
            </w:r>
            <w:r>
              <w:rPr>
                <w:rFonts w:hint="eastAsia" w:ascii="宋体" w:hAnsi="宋体"/>
                <w:color w:val="auto"/>
                <w:sz w:val="21"/>
                <w:szCs w:val="21"/>
                <w:highlight w:val="none"/>
              </w:rPr>
              <w:t>文件的潜在</w:t>
            </w:r>
            <w:r>
              <w:rPr>
                <w:rFonts w:hint="eastAsia" w:ascii="宋体" w:hAnsi="宋体"/>
                <w:color w:val="auto"/>
                <w:sz w:val="21"/>
                <w:szCs w:val="21"/>
                <w:highlight w:val="none"/>
                <w:lang w:val="en-US" w:eastAsia="zh-CN"/>
              </w:rPr>
              <w:t>投标人</w:t>
            </w:r>
            <w:r>
              <w:rPr>
                <w:rFonts w:hint="eastAsia" w:ascii="宋体" w:hAnsi="宋体"/>
                <w:color w:val="auto"/>
                <w:sz w:val="21"/>
                <w:szCs w:val="21"/>
                <w:highlight w:val="none"/>
              </w:rPr>
              <w:t>在收到澄清或者修改的内容后，当日以书面形式予以确认，该澄清或者修改的内容作为</w:t>
            </w:r>
            <w:r>
              <w:rPr>
                <w:rFonts w:hint="eastAsia"/>
                <w:color w:val="auto"/>
                <w:sz w:val="21"/>
                <w:szCs w:val="21"/>
                <w:highlight w:val="none"/>
                <w:lang w:val="en-US" w:eastAsia="zh-CN"/>
              </w:rPr>
              <w:t>招标</w:t>
            </w:r>
            <w:r>
              <w:rPr>
                <w:rFonts w:hint="eastAsia" w:ascii="宋体" w:hAnsi="宋体"/>
                <w:color w:val="auto"/>
                <w:sz w:val="21"/>
                <w:szCs w:val="21"/>
                <w:highlight w:val="none"/>
              </w:rPr>
              <w:t>文件的组成部分，对双方均具有约束力。</w:t>
            </w:r>
          </w:p>
        </w:tc>
      </w:tr>
      <w:tr w14:paraId="633F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4E20A05">
            <w:pPr>
              <w:spacing w:line="360" w:lineRule="auto"/>
              <w:jc w:val="center"/>
              <w:rPr>
                <w:rFonts w:ascii="宋体" w:hAnsi="宋体" w:cs="宋体"/>
                <w:color w:val="auto"/>
                <w:sz w:val="21"/>
                <w:szCs w:val="21"/>
                <w:highlight w:val="none"/>
              </w:rPr>
            </w:pPr>
            <w:r>
              <w:rPr>
                <w:rFonts w:ascii="宋体" w:hAnsi="宋体"/>
                <w:color w:val="auto"/>
                <w:sz w:val="21"/>
                <w:szCs w:val="21"/>
                <w:highlight w:val="none"/>
              </w:rPr>
              <w:t>3.2</w:t>
            </w:r>
          </w:p>
        </w:tc>
        <w:tc>
          <w:tcPr>
            <w:tcW w:w="1698" w:type="dxa"/>
            <w:tcBorders>
              <w:top w:val="single" w:color="auto" w:sz="4" w:space="0"/>
              <w:left w:val="single" w:color="auto" w:sz="4" w:space="0"/>
              <w:bottom w:val="single" w:color="auto" w:sz="4" w:space="0"/>
              <w:right w:val="single" w:color="auto" w:sz="4" w:space="0"/>
            </w:tcBorders>
            <w:vAlign w:val="center"/>
          </w:tcPr>
          <w:p w14:paraId="06A0B269">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投标报价</w:t>
            </w:r>
          </w:p>
        </w:tc>
        <w:tc>
          <w:tcPr>
            <w:tcW w:w="7085" w:type="dxa"/>
            <w:tcBorders>
              <w:top w:val="single" w:color="auto" w:sz="4" w:space="0"/>
              <w:left w:val="single" w:color="auto" w:sz="4" w:space="0"/>
              <w:bottom w:val="single" w:color="auto" w:sz="4" w:space="0"/>
              <w:right w:val="single" w:color="auto" w:sz="4" w:space="0"/>
            </w:tcBorders>
            <w:vAlign w:val="center"/>
          </w:tcPr>
          <w:p w14:paraId="6B73B77C">
            <w:pPr>
              <w:pStyle w:val="31"/>
              <w:keepNext w:val="0"/>
              <w:keepLines w:val="0"/>
              <w:widowControl/>
              <w:suppressLineNumbers w:val="0"/>
              <w:spacing w:line="240" w:lineRule="auto"/>
              <w:jc w:val="left"/>
              <w:textAlignment w:val="center"/>
              <w:rPr>
                <w:rFonts w:ascii="宋体" w:hAnsi="宋体"/>
                <w:color w:val="auto"/>
                <w:szCs w:val="21"/>
                <w:highlight w:val="none"/>
              </w:rPr>
            </w:pPr>
            <w:r>
              <w:rPr>
                <w:rFonts w:hint="eastAsia" w:ascii="宋体" w:hAnsi="宋体"/>
                <w:color w:val="auto"/>
                <w:sz w:val="21"/>
                <w:szCs w:val="21"/>
                <w:highlight w:val="none"/>
              </w:rPr>
              <w:t>预算金额：小写：￥</w:t>
            </w:r>
            <w:r>
              <w:rPr>
                <w:rFonts w:hint="eastAsia" w:ascii="宋体" w:hAnsi="宋体" w:eastAsia="宋体" w:cs="方正小标宋_GBK"/>
                <w:color w:val="auto"/>
                <w:kern w:val="2"/>
                <w:sz w:val="21"/>
                <w:szCs w:val="21"/>
                <w:highlight w:val="none"/>
                <w:lang w:val="en-US" w:eastAsia="zh-CN" w:bidi="ar-SA"/>
              </w:rPr>
              <w:t>4644600</w:t>
            </w:r>
            <w:r>
              <w:rPr>
                <w:rFonts w:hint="eastAsia" w:ascii="宋体" w:hAnsi="宋体" w:cs="方正小标宋_GBK"/>
                <w:color w:val="auto"/>
                <w:kern w:val="2"/>
                <w:sz w:val="21"/>
                <w:szCs w:val="21"/>
                <w:highlight w:val="none"/>
                <w:lang w:val="en-US" w:eastAsia="zh-CN" w:bidi="ar-SA"/>
              </w:rPr>
              <w:t>.00</w:t>
            </w:r>
            <w:r>
              <w:rPr>
                <w:rFonts w:hint="eastAsia" w:ascii="宋体" w:hAnsi="宋体"/>
                <w:color w:val="auto"/>
                <w:sz w:val="21"/>
                <w:szCs w:val="21"/>
                <w:highlight w:val="none"/>
              </w:rPr>
              <w:t>元（大写：人民币</w:t>
            </w:r>
            <w:r>
              <w:rPr>
                <w:rFonts w:hint="eastAsia" w:ascii="宋体" w:hAnsi="宋体"/>
                <w:color w:val="auto"/>
                <w:sz w:val="21"/>
                <w:szCs w:val="21"/>
                <w:highlight w:val="none"/>
                <w:lang w:val="en-US" w:eastAsia="zh-CN"/>
              </w:rPr>
              <w:t>肆佰陆拾肆万肆仟陆佰元整</w:t>
            </w:r>
            <w:r>
              <w:rPr>
                <w:rFonts w:hint="eastAsia" w:ascii="宋体" w:hAnsi="宋体"/>
                <w:color w:val="auto"/>
                <w:sz w:val="21"/>
                <w:szCs w:val="21"/>
                <w:highlight w:val="none"/>
              </w:rPr>
              <w:t>）</w:t>
            </w:r>
          </w:p>
          <w:p w14:paraId="25C03DD0">
            <w:pPr>
              <w:spacing w:line="360" w:lineRule="auto"/>
              <w:rPr>
                <w:rFonts w:ascii="宋体" w:hAnsi="宋体"/>
                <w:color w:val="auto"/>
                <w:sz w:val="21"/>
                <w:szCs w:val="21"/>
                <w:highlight w:val="none"/>
              </w:rPr>
            </w:pPr>
            <w:r>
              <w:rPr>
                <w:rFonts w:hint="eastAsia" w:ascii="宋体" w:hAnsi="宋体"/>
                <w:color w:val="auto"/>
                <w:sz w:val="21"/>
                <w:szCs w:val="21"/>
                <w:highlight w:val="none"/>
              </w:rPr>
              <w:t>最高限价：小写：￥</w:t>
            </w:r>
            <w:r>
              <w:rPr>
                <w:rFonts w:hint="eastAsia" w:ascii="宋体" w:hAnsi="宋体" w:eastAsia="宋体" w:cs="方正小标宋_GBK"/>
                <w:color w:val="auto"/>
                <w:kern w:val="2"/>
                <w:sz w:val="21"/>
                <w:szCs w:val="21"/>
                <w:highlight w:val="none"/>
                <w:lang w:val="en-US" w:eastAsia="zh-CN" w:bidi="ar-SA"/>
              </w:rPr>
              <w:t>4644600</w:t>
            </w:r>
            <w:r>
              <w:rPr>
                <w:rFonts w:hint="eastAsia" w:ascii="宋体" w:hAnsi="宋体" w:cs="方正小标宋_GBK"/>
                <w:color w:val="auto"/>
                <w:kern w:val="2"/>
                <w:sz w:val="21"/>
                <w:szCs w:val="21"/>
                <w:highlight w:val="none"/>
                <w:lang w:val="en-US" w:eastAsia="zh-CN" w:bidi="ar-SA"/>
              </w:rPr>
              <w:t>.00</w:t>
            </w:r>
            <w:r>
              <w:rPr>
                <w:rFonts w:hint="eastAsia" w:ascii="宋体" w:hAnsi="宋体"/>
                <w:color w:val="auto"/>
                <w:sz w:val="21"/>
                <w:szCs w:val="21"/>
                <w:highlight w:val="none"/>
              </w:rPr>
              <w:t>元（大写：人民币</w:t>
            </w:r>
            <w:r>
              <w:rPr>
                <w:rFonts w:hint="eastAsia" w:ascii="宋体" w:hAnsi="宋体"/>
                <w:color w:val="auto"/>
                <w:sz w:val="21"/>
                <w:szCs w:val="21"/>
                <w:highlight w:val="none"/>
                <w:lang w:val="en-US" w:eastAsia="zh-CN"/>
              </w:rPr>
              <w:t>肆佰陆拾肆万肆仟陆佰元整</w:t>
            </w:r>
            <w:r>
              <w:rPr>
                <w:rFonts w:hint="eastAsia" w:ascii="宋体" w:hAnsi="宋体"/>
                <w:color w:val="auto"/>
                <w:sz w:val="21"/>
                <w:szCs w:val="21"/>
                <w:highlight w:val="none"/>
              </w:rPr>
              <w:t>）</w:t>
            </w:r>
          </w:p>
        </w:tc>
      </w:tr>
      <w:tr w14:paraId="0698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F35E01C">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3.3.1</w:t>
            </w:r>
          </w:p>
        </w:tc>
        <w:tc>
          <w:tcPr>
            <w:tcW w:w="1698" w:type="dxa"/>
            <w:tcBorders>
              <w:top w:val="single" w:color="auto" w:sz="4" w:space="0"/>
              <w:left w:val="single" w:color="auto" w:sz="4" w:space="0"/>
              <w:bottom w:val="single" w:color="auto" w:sz="4" w:space="0"/>
              <w:right w:val="single" w:color="auto" w:sz="4" w:space="0"/>
            </w:tcBorders>
            <w:vAlign w:val="center"/>
          </w:tcPr>
          <w:p w14:paraId="67AB42F9">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投标有效期</w:t>
            </w:r>
          </w:p>
        </w:tc>
        <w:tc>
          <w:tcPr>
            <w:tcW w:w="7085" w:type="dxa"/>
            <w:tcBorders>
              <w:top w:val="single" w:color="auto" w:sz="4" w:space="0"/>
              <w:left w:val="single" w:color="auto" w:sz="4" w:space="0"/>
              <w:bottom w:val="single" w:color="auto" w:sz="4" w:space="0"/>
              <w:right w:val="single" w:color="auto" w:sz="4" w:space="0"/>
            </w:tcBorders>
            <w:vAlign w:val="center"/>
          </w:tcPr>
          <w:p w14:paraId="7BF7198C">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自提交投标文件截止之日起90日历天。</w:t>
            </w:r>
          </w:p>
        </w:tc>
      </w:tr>
      <w:tr w14:paraId="2A69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116C9BF">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3.4.1</w:t>
            </w:r>
          </w:p>
        </w:tc>
        <w:tc>
          <w:tcPr>
            <w:tcW w:w="1698" w:type="dxa"/>
            <w:tcBorders>
              <w:top w:val="single" w:color="auto" w:sz="4" w:space="0"/>
              <w:left w:val="single" w:color="auto" w:sz="4" w:space="0"/>
              <w:bottom w:val="single" w:color="auto" w:sz="4" w:space="0"/>
              <w:right w:val="single" w:color="auto" w:sz="4" w:space="0"/>
            </w:tcBorders>
            <w:vAlign w:val="center"/>
          </w:tcPr>
          <w:p w14:paraId="73EEFF1E">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投标保证金</w:t>
            </w:r>
          </w:p>
        </w:tc>
        <w:tc>
          <w:tcPr>
            <w:tcW w:w="7085" w:type="dxa"/>
            <w:tcBorders>
              <w:top w:val="single" w:color="auto" w:sz="4" w:space="0"/>
              <w:left w:val="single" w:color="auto" w:sz="4" w:space="0"/>
              <w:bottom w:val="single" w:color="auto" w:sz="4" w:space="0"/>
              <w:right w:val="single" w:color="auto" w:sz="4" w:space="0"/>
            </w:tcBorders>
            <w:vAlign w:val="center"/>
          </w:tcPr>
          <w:p w14:paraId="463A663E">
            <w:pPr>
              <w:widowControl w:val="0"/>
              <w:spacing w:line="360" w:lineRule="auto"/>
              <w:rPr>
                <w:rFonts w:ascii="宋体" w:hAnsi="宋体"/>
                <w:color w:val="auto"/>
                <w:sz w:val="21"/>
                <w:szCs w:val="21"/>
                <w:highlight w:val="none"/>
              </w:rPr>
            </w:pPr>
            <w:r>
              <w:rPr>
                <w:rFonts w:hint="eastAsia" w:ascii="宋体" w:hAnsi="宋体" w:cs="宋体"/>
                <w:bCs/>
                <w:color w:val="auto"/>
                <w:sz w:val="21"/>
                <w:szCs w:val="21"/>
                <w:highlight w:val="none"/>
              </w:rPr>
              <w:t>否</w:t>
            </w:r>
          </w:p>
        </w:tc>
      </w:tr>
      <w:tr w14:paraId="256E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E35D814">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w:t>
            </w:r>
            <w:r>
              <w:rPr>
                <w:rFonts w:ascii="宋体" w:hAnsi="宋体" w:cs="宋体"/>
                <w:color w:val="auto"/>
                <w:sz w:val="21"/>
                <w:szCs w:val="21"/>
                <w:highlight w:val="none"/>
              </w:rPr>
              <w:t>.5.1</w:t>
            </w:r>
          </w:p>
        </w:tc>
        <w:tc>
          <w:tcPr>
            <w:tcW w:w="1698" w:type="dxa"/>
            <w:tcBorders>
              <w:top w:val="single" w:color="auto" w:sz="4" w:space="0"/>
              <w:left w:val="single" w:color="auto" w:sz="4" w:space="0"/>
              <w:bottom w:val="single" w:color="auto" w:sz="4" w:space="0"/>
              <w:right w:val="single" w:color="auto" w:sz="4" w:space="0"/>
            </w:tcBorders>
            <w:vAlign w:val="center"/>
          </w:tcPr>
          <w:p w14:paraId="59D85182">
            <w:pPr>
              <w:spacing w:before="72" w:beforeLines="30"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投标文件编制及格式</w:t>
            </w:r>
          </w:p>
        </w:tc>
        <w:tc>
          <w:tcPr>
            <w:tcW w:w="7085" w:type="dxa"/>
            <w:tcBorders>
              <w:top w:val="single" w:color="auto" w:sz="4" w:space="0"/>
              <w:left w:val="single" w:color="auto" w:sz="4" w:space="0"/>
              <w:bottom w:val="single" w:color="auto" w:sz="4" w:space="0"/>
              <w:right w:val="single" w:color="auto" w:sz="4" w:space="0"/>
            </w:tcBorders>
            <w:vAlign w:val="center"/>
          </w:tcPr>
          <w:p w14:paraId="06F229AA">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（1）电子投标（响应）文件应使用“政采云”平台（ https://www.zcygov.cn/）中下载的政采云电子投标客户端制作，并进行电子签章及加密后上传至政采云平台。编制要求见附件《电子投标文件编制要求》。</w:t>
            </w:r>
          </w:p>
          <w:p w14:paraId="65F1AE71">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（2）如投标人提交的电子标书不符合（1）要求或开标时无法读取导入或解密，其投标（响应）文件将不予受理。</w:t>
            </w:r>
          </w:p>
        </w:tc>
      </w:tr>
      <w:tr w14:paraId="254F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A6631C4">
            <w:pPr>
              <w:spacing w:line="360" w:lineRule="auto"/>
              <w:jc w:val="center"/>
              <w:rPr>
                <w:rFonts w:ascii="宋体" w:hAnsi="宋体" w:cs="宋体"/>
                <w:color w:val="auto"/>
                <w:sz w:val="21"/>
                <w:szCs w:val="21"/>
                <w:highlight w:val="none"/>
              </w:rPr>
            </w:pPr>
            <w:r>
              <w:rPr>
                <w:rFonts w:ascii="宋体" w:hAnsi="宋体" w:cs="宋体"/>
                <w:color w:val="auto"/>
                <w:sz w:val="21"/>
                <w:szCs w:val="21"/>
                <w:highlight w:val="none"/>
              </w:rPr>
              <w:t>3.5.3</w:t>
            </w:r>
          </w:p>
        </w:tc>
        <w:tc>
          <w:tcPr>
            <w:tcW w:w="1698" w:type="dxa"/>
            <w:tcBorders>
              <w:top w:val="single" w:color="auto" w:sz="4" w:space="0"/>
              <w:left w:val="single" w:color="auto" w:sz="4" w:space="0"/>
              <w:bottom w:val="single" w:color="auto" w:sz="4" w:space="0"/>
              <w:right w:val="single" w:color="auto" w:sz="4" w:space="0"/>
            </w:tcBorders>
            <w:vAlign w:val="center"/>
          </w:tcPr>
          <w:p w14:paraId="0E8ACE5F">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投标文件的签署</w:t>
            </w:r>
          </w:p>
        </w:tc>
        <w:tc>
          <w:tcPr>
            <w:tcW w:w="7085" w:type="dxa"/>
            <w:tcBorders>
              <w:top w:val="single" w:color="auto" w:sz="4" w:space="0"/>
              <w:left w:val="single" w:color="auto" w:sz="4" w:space="0"/>
              <w:bottom w:val="single" w:color="auto" w:sz="4" w:space="0"/>
              <w:right w:val="single" w:color="auto" w:sz="4" w:space="0"/>
            </w:tcBorders>
            <w:vAlign w:val="center"/>
          </w:tcPr>
          <w:p w14:paraId="172C1DDD">
            <w:pPr>
              <w:tabs>
                <w:tab w:val="left" w:pos="6200"/>
              </w:tabs>
              <w:spacing w:before="72" w:beforeLines="3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按照</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文件格式，采用单位和个人数字证书电子签章或电子签名。</w:t>
            </w:r>
          </w:p>
          <w:p w14:paraId="55AE3028">
            <w:pPr>
              <w:tabs>
                <w:tab w:val="left" w:pos="6200"/>
              </w:tabs>
              <w:spacing w:before="72" w:beforeLines="30" w:line="360" w:lineRule="auto"/>
              <w:rPr>
                <w:rFonts w:ascii="宋体" w:hAnsi="宋体" w:cs="宋体"/>
                <w:color w:val="auto"/>
                <w:sz w:val="21"/>
                <w:szCs w:val="21"/>
                <w:highlight w:val="none"/>
              </w:rPr>
            </w:pPr>
            <w:r>
              <w:rPr>
                <w:rFonts w:hint="eastAsia" w:ascii="宋体" w:hAnsi="宋体" w:cs="宋体"/>
                <w:color w:val="auto"/>
                <w:sz w:val="21"/>
                <w:szCs w:val="21"/>
                <w:highlight w:val="none"/>
              </w:rPr>
              <w:t>注：无需逐页电子签章或电子签名。证明材料原件扫描件要加盖单位电子签章。</w:t>
            </w:r>
          </w:p>
        </w:tc>
      </w:tr>
      <w:tr w14:paraId="77741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C309C81">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w:t>
            </w:r>
            <w:r>
              <w:rPr>
                <w:rFonts w:ascii="宋体" w:hAnsi="宋体" w:cs="宋体"/>
                <w:color w:val="auto"/>
                <w:sz w:val="21"/>
                <w:szCs w:val="21"/>
                <w:highlight w:val="none"/>
              </w:rPr>
              <w:t>5</w:t>
            </w:r>
            <w:r>
              <w:rPr>
                <w:rFonts w:hint="eastAsia" w:ascii="宋体" w:hAnsi="宋体" w:cs="宋体"/>
                <w:color w:val="auto"/>
                <w:sz w:val="21"/>
                <w:szCs w:val="21"/>
                <w:highlight w:val="none"/>
              </w:rPr>
              <w:t>.4</w:t>
            </w:r>
          </w:p>
        </w:tc>
        <w:tc>
          <w:tcPr>
            <w:tcW w:w="1698" w:type="dxa"/>
            <w:tcBorders>
              <w:top w:val="single" w:color="auto" w:sz="4" w:space="0"/>
              <w:left w:val="single" w:color="auto" w:sz="4" w:space="0"/>
              <w:bottom w:val="single" w:color="auto" w:sz="4" w:space="0"/>
              <w:right w:val="single" w:color="auto" w:sz="4" w:space="0"/>
            </w:tcBorders>
            <w:vAlign w:val="center"/>
          </w:tcPr>
          <w:p w14:paraId="2F57F3CB">
            <w:pPr>
              <w:spacing w:line="360" w:lineRule="auto"/>
              <w:jc w:val="center"/>
              <w:rPr>
                <w:rFonts w:ascii="宋体" w:hAnsi="宋体" w:cs="宋体"/>
                <w:color w:val="auto"/>
                <w:sz w:val="21"/>
                <w:szCs w:val="21"/>
                <w:highlight w:val="none"/>
              </w:rPr>
            </w:pPr>
            <w:r>
              <w:rPr>
                <w:rFonts w:hint="eastAsia"/>
                <w:color w:val="auto"/>
                <w:sz w:val="21"/>
                <w:szCs w:val="21"/>
                <w:highlight w:val="none"/>
              </w:rPr>
              <w:t>电子开标及投标（响应）文件解密</w:t>
            </w:r>
          </w:p>
        </w:tc>
        <w:tc>
          <w:tcPr>
            <w:tcW w:w="7085" w:type="dxa"/>
            <w:tcBorders>
              <w:top w:val="single" w:color="auto" w:sz="4" w:space="0"/>
              <w:left w:val="single" w:color="auto" w:sz="4" w:space="0"/>
              <w:bottom w:val="single" w:color="auto" w:sz="4" w:space="0"/>
              <w:right w:val="single" w:color="auto" w:sz="4" w:space="0"/>
            </w:tcBorders>
            <w:vAlign w:val="center"/>
          </w:tcPr>
          <w:p w14:paraId="5AFA626B">
            <w:pPr>
              <w:spacing w:line="360" w:lineRule="auto"/>
              <w:rPr>
                <w:color w:val="auto"/>
                <w:sz w:val="21"/>
                <w:szCs w:val="21"/>
                <w:highlight w:val="none"/>
              </w:rPr>
            </w:pPr>
            <w:r>
              <w:rPr>
                <w:rFonts w:hint="eastAsia"/>
                <w:color w:val="auto"/>
                <w:sz w:val="21"/>
                <w:szCs w:val="21"/>
                <w:highlight w:val="none"/>
              </w:rPr>
              <w:t>（1）若</w:t>
            </w:r>
            <w:r>
              <w:rPr>
                <w:rFonts w:hint="eastAsia"/>
                <w:color w:val="auto"/>
                <w:sz w:val="21"/>
                <w:szCs w:val="21"/>
                <w:highlight w:val="none"/>
                <w:lang w:val="en-US" w:eastAsia="zh-CN"/>
              </w:rPr>
              <w:t>投标人</w:t>
            </w:r>
            <w:r>
              <w:rPr>
                <w:rFonts w:hint="eastAsia"/>
                <w:color w:val="auto"/>
                <w:sz w:val="21"/>
                <w:szCs w:val="21"/>
                <w:highlight w:val="none"/>
              </w:rPr>
              <w:t>熟悉“政采云”相关投标程序，不到现场参加投标，应提前在自有场地配置可音视频通话（带摄像头及话筒的电脑）的相应设备及稳定网络环境，并按“政采云”开标大厅中的提示完成采购活动。</w:t>
            </w:r>
          </w:p>
          <w:p w14:paraId="00D3B230">
            <w:pPr>
              <w:spacing w:line="360" w:lineRule="auto"/>
              <w:rPr>
                <w:color w:val="auto"/>
                <w:sz w:val="21"/>
                <w:szCs w:val="21"/>
                <w:highlight w:val="none"/>
              </w:rPr>
            </w:pPr>
            <w:r>
              <w:rPr>
                <w:rFonts w:hint="eastAsia"/>
                <w:color w:val="auto"/>
                <w:sz w:val="21"/>
                <w:szCs w:val="21"/>
                <w:highlight w:val="none"/>
              </w:rPr>
              <w:t>（2）到现场参与投标的</w:t>
            </w:r>
            <w:r>
              <w:rPr>
                <w:rFonts w:hint="eastAsia"/>
                <w:color w:val="auto"/>
                <w:sz w:val="21"/>
                <w:szCs w:val="21"/>
                <w:highlight w:val="none"/>
                <w:lang w:val="en-US" w:eastAsia="zh-CN"/>
              </w:rPr>
              <w:t>投标人</w:t>
            </w:r>
            <w:r>
              <w:rPr>
                <w:rFonts w:hint="eastAsia"/>
                <w:color w:val="auto"/>
                <w:sz w:val="21"/>
                <w:szCs w:val="21"/>
                <w:highlight w:val="none"/>
              </w:rPr>
              <w:t>，建议于</w:t>
            </w:r>
            <w:r>
              <w:rPr>
                <w:rFonts w:hint="eastAsia"/>
                <w:color w:val="auto"/>
                <w:sz w:val="21"/>
                <w:szCs w:val="21"/>
                <w:highlight w:val="none"/>
                <w:lang w:val="en-US" w:eastAsia="zh-CN"/>
              </w:rPr>
              <w:t>投标</w:t>
            </w:r>
            <w:r>
              <w:rPr>
                <w:rFonts w:hint="eastAsia"/>
                <w:color w:val="auto"/>
                <w:sz w:val="21"/>
                <w:szCs w:val="21"/>
                <w:highlight w:val="none"/>
              </w:rPr>
              <w:t>文件提交截止时间前携带编制投标（响应）文件时的加密数字证书、具有摄像头及话筒的笔记本电脑至采购代理机构开标地点参与投标。</w:t>
            </w:r>
          </w:p>
          <w:p w14:paraId="7613E28C">
            <w:pPr>
              <w:spacing w:line="360" w:lineRule="auto"/>
              <w:rPr>
                <w:rFonts w:ascii="宋体" w:hAnsi="宋体"/>
                <w:color w:val="auto"/>
                <w:sz w:val="21"/>
                <w:szCs w:val="21"/>
                <w:highlight w:val="none"/>
              </w:rPr>
            </w:pPr>
            <w:r>
              <w:rPr>
                <w:rFonts w:hint="eastAsia"/>
                <w:color w:val="auto"/>
                <w:sz w:val="21"/>
                <w:szCs w:val="21"/>
                <w:highlight w:val="none"/>
              </w:rPr>
              <w:t>（3）采购人宣布开启电子投标（响应）文件后，投标人登陆“政采云”开标大厅，使用投标人编制投标（响应）文件时的加密数字证书对投标（响应）文件进行解密。</w:t>
            </w:r>
          </w:p>
        </w:tc>
      </w:tr>
      <w:tr w14:paraId="5135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28DEB0C">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4.2</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1</w:t>
            </w:r>
          </w:p>
        </w:tc>
        <w:tc>
          <w:tcPr>
            <w:tcW w:w="1698" w:type="dxa"/>
            <w:tcBorders>
              <w:top w:val="single" w:color="auto" w:sz="4" w:space="0"/>
              <w:left w:val="single" w:color="auto" w:sz="4" w:space="0"/>
              <w:bottom w:val="single" w:color="auto" w:sz="4" w:space="0"/>
              <w:right w:val="single" w:color="auto" w:sz="4" w:space="0"/>
            </w:tcBorders>
            <w:vAlign w:val="center"/>
          </w:tcPr>
          <w:p w14:paraId="2A7C5B44">
            <w:pPr>
              <w:adjustRightInd w:val="0"/>
              <w:spacing w:line="360" w:lineRule="auto"/>
              <w:jc w:val="center"/>
              <w:rPr>
                <w:rFonts w:ascii="宋体" w:hAnsi="宋体" w:cs="宋体"/>
                <w:color w:val="auto"/>
                <w:sz w:val="21"/>
                <w:szCs w:val="21"/>
                <w:highlight w:val="none"/>
              </w:rPr>
            </w:pPr>
            <w:r>
              <w:rPr>
                <w:rFonts w:hint="eastAsia" w:ascii="宋体" w:hAnsi="宋体"/>
                <w:color w:val="auto"/>
                <w:sz w:val="21"/>
                <w:szCs w:val="21"/>
                <w:highlight w:val="none"/>
              </w:rPr>
              <w:t>提交投标文件的截止时间及地点</w:t>
            </w:r>
          </w:p>
        </w:tc>
        <w:tc>
          <w:tcPr>
            <w:tcW w:w="7085" w:type="dxa"/>
            <w:tcBorders>
              <w:top w:val="single" w:color="auto" w:sz="4" w:space="0"/>
              <w:left w:val="single" w:color="auto" w:sz="4" w:space="0"/>
              <w:bottom w:val="single" w:color="auto" w:sz="4" w:space="0"/>
              <w:right w:val="single" w:color="auto" w:sz="4" w:space="0"/>
            </w:tcBorders>
            <w:vAlign w:val="center"/>
          </w:tcPr>
          <w:p w14:paraId="11B1580C">
            <w:pPr>
              <w:adjustRightInd w:val="0"/>
              <w:spacing w:before="72" w:beforeLines="30" w:line="360" w:lineRule="auto"/>
              <w:rPr>
                <w:rFonts w:ascii="宋体" w:hAnsi="宋体" w:cs="宋体"/>
                <w:color w:val="auto"/>
                <w:sz w:val="21"/>
                <w:szCs w:val="21"/>
                <w:highlight w:val="none"/>
              </w:rPr>
            </w:pPr>
            <w:r>
              <w:rPr>
                <w:rFonts w:hint="eastAsia" w:ascii="宋体" w:hAnsi="宋体" w:cs="宋体"/>
                <w:color w:val="auto"/>
                <w:sz w:val="21"/>
                <w:szCs w:val="21"/>
                <w:highlight w:val="none"/>
              </w:rPr>
              <w:t>详见 第一章 招标公告 “四、提交投标文件截止时间、开标时间和地点”。</w:t>
            </w:r>
          </w:p>
        </w:tc>
      </w:tr>
      <w:tr w14:paraId="1C20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8BF84FF">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6.1.</w:t>
            </w:r>
            <w:r>
              <w:rPr>
                <w:rFonts w:ascii="宋体" w:hAnsi="宋体" w:cs="宋体"/>
                <w:color w:val="auto"/>
                <w:sz w:val="21"/>
                <w:szCs w:val="21"/>
                <w:highlight w:val="none"/>
              </w:rPr>
              <w:t>2</w:t>
            </w:r>
          </w:p>
        </w:tc>
        <w:tc>
          <w:tcPr>
            <w:tcW w:w="1698" w:type="dxa"/>
            <w:tcBorders>
              <w:top w:val="single" w:color="auto" w:sz="4" w:space="0"/>
              <w:left w:val="single" w:color="auto" w:sz="4" w:space="0"/>
              <w:bottom w:val="single" w:color="auto" w:sz="4" w:space="0"/>
              <w:right w:val="single" w:color="auto" w:sz="4" w:space="0"/>
            </w:tcBorders>
            <w:vAlign w:val="center"/>
          </w:tcPr>
          <w:p w14:paraId="14456769">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评标委员会的组建</w:t>
            </w:r>
          </w:p>
        </w:tc>
        <w:tc>
          <w:tcPr>
            <w:tcW w:w="7085" w:type="dxa"/>
            <w:tcBorders>
              <w:top w:val="single" w:color="auto" w:sz="4" w:space="0"/>
              <w:left w:val="single" w:color="auto" w:sz="4" w:space="0"/>
              <w:bottom w:val="single" w:color="auto" w:sz="4" w:space="0"/>
              <w:right w:val="single" w:color="auto" w:sz="4" w:space="0"/>
            </w:tcBorders>
            <w:vAlign w:val="center"/>
          </w:tcPr>
          <w:p w14:paraId="50826D20">
            <w:pPr>
              <w:spacing w:before="72" w:beforeLines="30" w:line="360" w:lineRule="auto"/>
              <w:jc w:val="both"/>
              <w:rPr>
                <w:rFonts w:ascii="宋体" w:hAnsi="宋体"/>
                <w:color w:val="auto"/>
                <w:sz w:val="21"/>
                <w:szCs w:val="21"/>
                <w:highlight w:val="none"/>
              </w:rPr>
            </w:pPr>
            <w:r>
              <w:rPr>
                <w:rFonts w:hint="eastAsia" w:ascii="宋体" w:hAnsi="宋体"/>
                <w:color w:val="auto"/>
                <w:sz w:val="21"/>
                <w:szCs w:val="21"/>
                <w:highlight w:val="none"/>
              </w:rPr>
              <w:t>评标委员会构成：评标委员会由采购人代表和评审专家组成，成员人数应当为5人以上单数，其中评审专家不得少于成员总数的三分之二。</w:t>
            </w:r>
          </w:p>
          <w:p w14:paraId="4BAE5DEB">
            <w:pPr>
              <w:spacing w:line="360" w:lineRule="auto"/>
              <w:jc w:val="both"/>
              <w:rPr>
                <w:rFonts w:ascii="宋体" w:hAnsi="宋体"/>
                <w:color w:val="auto"/>
                <w:sz w:val="21"/>
                <w:szCs w:val="21"/>
                <w:highlight w:val="none"/>
              </w:rPr>
            </w:pPr>
            <w:r>
              <w:rPr>
                <w:rFonts w:hint="eastAsia" w:ascii="宋体" w:hAnsi="宋体"/>
                <w:color w:val="auto"/>
                <w:sz w:val="21"/>
                <w:szCs w:val="21"/>
                <w:highlight w:val="none"/>
              </w:rPr>
              <w:t>采购项目符合下列情形之一的,评标委员会成员人数应当为7人以上单数：</w:t>
            </w:r>
          </w:p>
          <w:p w14:paraId="4BC17EF3">
            <w:pPr>
              <w:spacing w:line="360" w:lineRule="auto"/>
              <w:jc w:val="both"/>
              <w:rPr>
                <w:rFonts w:ascii="宋体" w:hAnsi="宋体"/>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w:t>
            </w:r>
            <w:r>
              <w:rPr>
                <w:rFonts w:hint="eastAsia" w:ascii="宋体" w:hAnsi="宋体"/>
                <w:color w:val="auto"/>
                <w:sz w:val="21"/>
                <w:szCs w:val="21"/>
                <w:highlight w:val="none"/>
              </w:rPr>
              <w:t>采购预算金额在1000万元以上；</w:t>
            </w:r>
          </w:p>
          <w:p w14:paraId="1CF1C70E">
            <w:pPr>
              <w:spacing w:line="360" w:lineRule="auto"/>
              <w:jc w:val="both"/>
              <w:rPr>
                <w:rFonts w:ascii="宋体" w:hAnsi="宋体"/>
                <w:color w:val="auto"/>
                <w:sz w:val="21"/>
                <w:szCs w:val="21"/>
                <w:highlight w:val="none"/>
              </w:rPr>
            </w:pPr>
            <w:r>
              <w:rPr>
                <w:rFonts w:hint="eastAsia" w:ascii="宋体" w:hAnsi="宋体"/>
                <w:color w:val="auto"/>
                <w:sz w:val="21"/>
                <w:szCs w:val="21"/>
                <w:highlight w:val="none"/>
              </w:rPr>
              <w:t>2.技术复杂；</w:t>
            </w:r>
          </w:p>
          <w:p w14:paraId="513F632D">
            <w:pPr>
              <w:spacing w:line="360" w:lineRule="auto"/>
              <w:jc w:val="both"/>
              <w:rPr>
                <w:rFonts w:ascii="宋体" w:hAnsi="宋体"/>
                <w:color w:val="auto"/>
                <w:sz w:val="21"/>
                <w:szCs w:val="21"/>
                <w:highlight w:val="none"/>
                <w:u w:val="singl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社会影响较大。</w:t>
            </w:r>
          </w:p>
          <w:p w14:paraId="0FCCE2AC">
            <w:pPr>
              <w:spacing w:line="360" w:lineRule="auto"/>
              <w:jc w:val="both"/>
              <w:rPr>
                <w:rFonts w:ascii="宋体" w:hAnsi="宋体"/>
                <w:color w:val="auto"/>
                <w:sz w:val="21"/>
                <w:szCs w:val="21"/>
                <w:highlight w:val="none"/>
              </w:rPr>
            </w:pPr>
            <w:r>
              <w:rPr>
                <w:rFonts w:hint="eastAsia" w:ascii="宋体" w:hAnsi="宋体"/>
                <w:color w:val="auto"/>
                <w:sz w:val="21"/>
                <w:szCs w:val="21"/>
                <w:highlight w:val="none"/>
              </w:rPr>
              <w:t>评标专家确定方式：由采购人代表和云南省政府采购专家库中随机抽取的专家组成。</w:t>
            </w:r>
          </w:p>
          <w:p w14:paraId="1E6CA242">
            <w:pPr>
              <w:spacing w:line="360" w:lineRule="auto"/>
              <w:rPr>
                <w:rFonts w:ascii="宋体" w:hAnsi="宋体" w:cs="宋体"/>
                <w:color w:val="auto"/>
                <w:sz w:val="21"/>
                <w:szCs w:val="21"/>
                <w:highlight w:val="none"/>
              </w:rPr>
            </w:pPr>
            <w:r>
              <w:rPr>
                <w:rFonts w:hint="eastAsia" w:ascii="宋体" w:hAnsi="宋体"/>
                <w:color w:val="auto"/>
                <w:sz w:val="21"/>
                <w:szCs w:val="21"/>
                <w:highlight w:val="none"/>
              </w:rPr>
              <w:t>注：特殊情况专家名单经审批后确定。</w:t>
            </w:r>
          </w:p>
        </w:tc>
      </w:tr>
      <w:tr w14:paraId="4DAC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133585E">
            <w:pPr>
              <w:spacing w:line="360" w:lineRule="auto"/>
              <w:jc w:val="center"/>
              <w:rPr>
                <w:rFonts w:ascii="宋体" w:hAnsi="宋体" w:cs="宋体"/>
                <w:color w:val="auto"/>
                <w:sz w:val="21"/>
                <w:szCs w:val="21"/>
                <w:highlight w:val="none"/>
              </w:rPr>
            </w:pPr>
            <w:r>
              <w:rPr>
                <w:rFonts w:ascii="宋体" w:hAnsi="宋体" w:cs="宋体"/>
                <w:color w:val="auto"/>
                <w:sz w:val="21"/>
                <w:szCs w:val="21"/>
                <w:highlight w:val="none"/>
              </w:rPr>
              <w:t>6.2</w:t>
            </w:r>
          </w:p>
        </w:tc>
        <w:tc>
          <w:tcPr>
            <w:tcW w:w="1698" w:type="dxa"/>
            <w:tcBorders>
              <w:top w:val="single" w:color="auto" w:sz="4" w:space="0"/>
              <w:left w:val="single" w:color="auto" w:sz="4" w:space="0"/>
              <w:bottom w:val="single" w:color="auto" w:sz="4" w:space="0"/>
              <w:right w:val="single" w:color="auto" w:sz="4" w:space="0"/>
            </w:tcBorders>
            <w:vAlign w:val="center"/>
          </w:tcPr>
          <w:p w14:paraId="71F03FB6">
            <w:pPr>
              <w:spacing w:line="360" w:lineRule="auto"/>
              <w:jc w:val="center"/>
              <w:rPr>
                <w:rFonts w:ascii="宋体" w:hAnsi="宋体" w:cs="宋体"/>
                <w:color w:val="auto"/>
                <w:sz w:val="21"/>
                <w:szCs w:val="21"/>
                <w:highlight w:val="none"/>
              </w:rPr>
            </w:pPr>
            <w:r>
              <w:rPr>
                <w:rFonts w:hint="eastAsia" w:ascii="宋体" w:hAnsi="宋体" w:cs="宋体"/>
                <w:color w:val="auto"/>
                <w:spacing w:val="-3"/>
                <w:sz w:val="21"/>
                <w:szCs w:val="21"/>
                <w:highlight w:val="none"/>
              </w:rPr>
              <w:t>评标办法</w:t>
            </w:r>
          </w:p>
        </w:tc>
        <w:tc>
          <w:tcPr>
            <w:tcW w:w="7085" w:type="dxa"/>
            <w:tcBorders>
              <w:top w:val="single" w:color="auto" w:sz="4" w:space="0"/>
              <w:left w:val="single" w:color="auto" w:sz="4" w:space="0"/>
              <w:bottom w:val="single" w:color="auto" w:sz="4" w:space="0"/>
              <w:right w:val="single" w:color="auto" w:sz="4" w:space="0"/>
            </w:tcBorders>
            <w:vAlign w:val="center"/>
          </w:tcPr>
          <w:p w14:paraId="32770346">
            <w:pPr>
              <w:spacing w:line="360" w:lineRule="auto"/>
              <w:jc w:val="both"/>
              <w:rPr>
                <w:rFonts w:ascii="宋体" w:hAnsi="宋体"/>
                <w:color w:val="auto"/>
                <w:sz w:val="21"/>
                <w:szCs w:val="21"/>
                <w:highlight w:val="none"/>
              </w:rPr>
            </w:pPr>
            <w:r>
              <w:rPr>
                <w:rFonts w:hint="eastAsia" w:ascii="宋体" w:hAnsi="宋体" w:cs="宋体"/>
                <w:color w:val="auto"/>
                <w:spacing w:val="-3"/>
                <w:sz w:val="21"/>
                <w:szCs w:val="21"/>
                <w:highlight w:val="none"/>
              </w:rPr>
              <w:t>综合评分法。</w:t>
            </w:r>
          </w:p>
        </w:tc>
      </w:tr>
      <w:tr w14:paraId="79C6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23014F5B">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7</w:t>
            </w:r>
            <w:r>
              <w:rPr>
                <w:rFonts w:ascii="宋体" w:hAnsi="宋体" w:cs="宋体"/>
                <w:color w:val="auto"/>
                <w:sz w:val="21"/>
                <w:szCs w:val="21"/>
                <w:highlight w:val="none"/>
              </w:rPr>
              <w:t>.1</w:t>
            </w:r>
          </w:p>
        </w:tc>
        <w:tc>
          <w:tcPr>
            <w:tcW w:w="1698" w:type="dxa"/>
            <w:tcBorders>
              <w:top w:val="single" w:color="auto" w:sz="4" w:space="0"/>
              <w:left w:val="single" w:color="auto" w:sz="4" w:space="0"/>
              <w:bottom w:val="single" w:color="auto" w:sz="4" w:space="0"/>
              <w:right w:val="single" w:color="auto" w:sz="4" w:space="0"/>
            </w:tcBorders>
            <w:vAlign w:val="center"/>
          </w:tcPr>
          <w:p w14:paraId="147F0A68">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中标人的确定</w:t>
            </w:r>
          </w:p>
        </w:tc>
        <w:tc>
          <w:tcPr>
            <w:tcW w:w="7085" w:type="dxa"/>
            <w:tcBorders>
              <w:top w:val="single" w:color="auto" w:sz="4" w:space="0"/>
              <w:left w:val="single" w:color="auto" w:sz="4" w:space="0"/>
              <w:bottom w:val="single" w:color="auto" w:sz="4" w:space="0"/>
              <w:right w:val="single" w:color="auto" w:sz="4" w:space="0"/>
            </w:tcBorders>
            <w:vAlign w:val="center"/>
          </w:tcPr>
          <w:p w14:paraId="22AA626E">
            <w:pPr>
              <w:spacing w:before="72" w:beforeLines="30" w:line="360" w:lineRule="auto"/>
              <w:jc w:val="both"/>
              <w:rPr>
                <w:rFonts w:ascii="宋体" w:hAnsi="宋体"/>
                <w:color w:val="auto"/>
                <w:sz w:val="21"/>
                <w:szCs w:val="21"/>
                <w:highlight w:val="none"/>
              </w:rPr>
            </w:pPr>
            <w:r>
              <w:rPr>
                <w:rFonts w:hint="eastAsia" w:ascii="宋体" w:hAnsi="宋体" w:cs="宋体"/>
                <w:color w:val="auto"/>
                <w:sz w:val="21"/>
                <w:szCs w:val="21"/>
                <w:highlight w:val="none"/>
              </w:rPr>
              <w:t>采购人自收到评标报告之日起５个工作日内，在评标报告确定的中标候选人名单中按顺序确定中标人。</w:t>
            </w:r>
          </w:p>
        </w:tc>
      </w:tr>
      <w:tr w14:paraId="6E12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64D5296">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7</w:t>
            </w:r>
            <w:r>
              <w:rPr>
                <w:rFonts w:ascii="宋体" w:hAnsi="宋体" w:cs="宋体"/>
                <w:color w:val="auto"/>
                <w:sz w:val="21"/>
                <w:szCs w:val="21"/>
                <w:highlight w:val="none"/>
              </w:rPr>
              <w:t>.2</w:t>
            </w:r>
          </w:p>
        </w:tc>
        <w:tc>
          <w:tcPr>
            <w:tcW w:w="1698" w:type="dxa"/>
            <w:tcBorders>
              <w:top w:val="single" w:color="auto" w:sz="4" w:space="0"/>
              <w:left w:val="single" w:color="auto" w:sz="4" w:space="0"/>
              <w:bottom w:val="single" w:color="auto" w:sz="4" w:space="0"/>
              <w:right w:val="single" w:color="auto" w:sz="4" w:space="0"/>
            </w:tcBorders>
            <w:vAlign w:val="center"/>
          </w:tcPr>
          <w:p w14:paraId="0859A741">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中标公告媒介及期限</w:t>
            </w:r>
          </w:p>
        </w:tc>
        <w:tc>
          <w:tcPr>
            <w:tcW w:w="7085" w:type="dxa"/>
            <w:tcBorders>
              <w:top w:val="single" w:color="auto" w:sz="4" w:space="0"/>
              <w:left w:val="single" w:color="auto" w:sz="4" w:space="0"/>
              <w:bottom w:val="single" w:color="auto" w:sz="4" w:space="0"/>
              <w:right w:val="single" w:color="auto" w:sz="4" w:space="0"/>
            </w:tcBorders>
            <w:vAlign w:val="center"/>
          </w:tcPr>
          <w:p w14:paraId="56A7938C">
            <w:pPr>
              <w:spacing w:before="72" w:beforeLines="30" w:line="360" w:lineRule="auto"/>
              <w:rPr>
                <w:rFonts w:ascii="宋体" w:hAnsi="宋体" w:cs="宋体"/>
                <w:color w:val="auto"/>
                <w:sz w:val="21"/>
                <w:szCs w:val="21"/>
                <w:highlight w:val="none"/>
              </w:rPr>
            </w:pPr>
            <w:r>
              <w:rPr>
                <w:rFonts w:hint="eastAsia" w:ascii="宋体" w:hAnsi="宋体" w:cs="宋体"/>
                <w:color w:val="auto"/>
                <w:sz w:val="21"/>
                <w:szCs w:val="21"/>
                <w:highlight w:val="none"/>
              </w:rPr>
              <w:t>公告媒介：云南省政府采购网（网址：http://www.yngp.com/）。</w:t>
            </w:r>
          </w:p>
          <w:p w14:paraId="00DB4272">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公告期限：1工作日。</w:t>
            </w:r>
          </w:p>
        </w:tc>
      </w:tr>
      <w:tr w14:paraId="1CC9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482D1FE">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7.</w:t>
            </w:r>
            <w:r>
              <w:rPr>
                <w:rFonts w:ascii="宋体" w:hAnsi="宋体" w:cs="宋体"/>
                <w:color w:val="auto"/>
                <w:sz w:val="21"/>
                <w:szCs w:val="21"/>
                <w:highlight w:val="none"/>
              </w:rPr>
              <w:t>4</w:t>
            </w:r>
            <w:r>
              <w:rPr>
                <w:rFonts w:hint="eastAsia" w:ascii="宋体" w:hAnsi="宋体" w:cs="宋体"/>
                <w:color w:val="auto"/>
                <w:sz w:val="21"/>
                <w:szCs w:val="21"/>
                <w:highlight w:val="none"/>
              </w:rPr>
              <w:t>.1</w:t>
            </w:r>
          </w:p>
        </w:tc>
        <w:tc>
          <w:tcPr>
            <w:tcW w:w="1698" w:type="dxa"/>
            <w:tcBorders>
              <w:top w:val="single" w:color="auto" w:sz="4" w:space="0"/>
              <w:left w:val="single" w:color="auto" w:sz="4" w:space="0"/>
              <w:bottom w:val="single" w:color="auto" w:sz="4" w:space="0"/>
              <w:right w:val="single" w:color="auto" w:sz="4" w:space="0"/>
            </w:tcBorders>
            <w:vAlign w:val="center"/>
          </w:tcPr>
          <w:p w14:paraId="0B7D68B1">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履约保证金</w:t>
            </w:r>
          </w:p>
        </w:tc>
        <w:tc>
          <w:tcPr>
            <w:tcW w:w="7085" w:type="dxa"/>
            <w:tcBorders>
              <w:top w:val="single" w:color="auto" w:sz="4" w:space="0"/>
              <w:left w:val="single" w:color="auto" w:sz="4" w:space="0"/>
              <w:bottom w:val="single" w:color="auto" w:sz="4" w:space="0"/>
              <w:right w:val="single" w:color="auto" w:sz="4" w:space="0"/>
            </w:tcBorders>
            <w:vAlign w:val="center"/>
          </w:tcPr>
          <w:p w14:paraId="290FF498">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无</w:t>
            </w:r>
          </w:p>
        </w:tc>
      </w:tr>
      <w:tr w14:paraId="3143F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vAlign w:val="center"/>
          </w:tcPr>
          <w:p w14:paraId="3715A1F8">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8783" w:type="dxa"/>
            <w:gridSpan w:val="2"/>
            <w:vAlign w:val="center"/>
          </w:tcPr>
          <w:p w14:paraId="2BCC6956">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需要补充的其他内容</w:t>
            </w:r>
          </w:p>
        </w:tc>
      </w:tr>
      <w:tr w14:paraId="78A70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vAlign w:val="center"/>
          </w:tcPr>
          <w:p w14:paraId="174F955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0.4</w:t>
            </w:r>
          </w:p>
        </w:tc>
        <w:tc>
          <w:tcPr>
            <w:tcW w:w="1698" w:type="dxa"/>
            <w:vAlign w:val="center"/>
          </w:tcPr>
          <w:p w14:paraId="154BE578">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政府采购政策</w:t>
            </w:r>
          </w:p>
        </w:tc>
        <w:tc>
          <w:tcPr>
            <w:tcW w:w="7085" w:type="dxa"/>
            <w:vAlign w:val="center"/>
          </w:tcPr>
          <w:p w14:paraId="17CE7EBB">
            <w:pPr>
              <w:pStyle w:val="63"/>
              <w:widowControl w:val="0"/>
              <w:spacing w:line="360" w:lineRule="auto"/>
              <w:ind w:firstLine="25" w:firstLineChars="12"/>
              <w:jc w:val="both"/>
              <w:rPr>
                <w:rFonts w:ascii="宋体" w:hAnsi="宋体" w:cs="宋体"/>
                <w:b/>
                <w:bCs/>
                <w:color w:val="auto"/>
                <w:sz w:val="21"/>
                <w:szCs w:val="21"/>
                <w:highlight w:val="none"/>
              </w:rPr>
            </w:pPr>
            <w:r>
              <w:rPr>
                <w:rFonts w:hint="eastAsia" w:ascii="宋体" w:hAnsi="宋体" w:cs="宋体"/>
                <w:b/>
                <w:bCs/>
                <w:color w:val="auto"/>
                <w:sz w:val="21"/>
                <w:szCs w:val="21"/>
                <w:highlight w:val="none"/>
              </w:rPr>
              <w:t>一、小微企业应考虑的优先条件和价格折扣</w:t>
            </w:r>
          </w:p>
          <w:p w14:paraId="53A84834">
            <w:pPr>
              <w:pStyle w:val="63"/>
              <w:widowControl w:val="0"/>
              <w:spacing w:line="360" w:lineRule="auto"/>
              <w:ind w:firstLine="25" w:firstLineChars="12"/>
              <w:jc w:val="both"/>
              <w:rPr>
                <w:rFonts w:ascii="宋体" w:hAnsi="宋体" w:cs="宋体"/>
                <w:color w:val="auto"/>
                <w:sz w:val="21"/>
                <w:szCs w:val="21"/>
                <w:highlight w:val="none"/>
              </w:rPr>
            </w:pPr>
            <w:r>
              <w:rPr>
                <w:rFonts w:hint="eastAsia" w:ascii="宋体" w:hAnsi="宋体" w:cs="宋体"/>
                <w:color w:val="auto"/>
                <w:sz w:val="21"/>
                <w:szCs w:val="21"/>
                <w:highlight w:val="none"/>
              </w:rPr>
              <w:t>（1）根据《关于印发《政府采购促进中小企业发展管理办法》的通知》（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A5C215F">
            <w:pPr>
              <w:pStyle w:val="63"/>
              <w:widowControl w:val="0"/>
              <w:spacing w:line="360" w:lineRule="auto"/>
              <w:ind w:firstLine="25" w:firstLineChars="12"/>
              <w:jc w:val="both"/>
              <w:rPr>
                <w:rFonts w:ascii="宋体" w:hAnsi="宋体" w:cs="宋体"/>
                <w:color w:val="auto"/>
                <w:sz w:val="21"/>
                <w:szCs w:val="21"/>
                <w:highlight w:val="none"/>
              </w:rPr>
            </w:pPr>
            <w:r>
              <w:rPr>
                <w:rFonts w:hint="eastAsia" w:ascii="宋体" w:hAnsi="宋体" w:cs="宋体"/>
                <w:color w:val="auto"/>
                <w:sz w:val="21"/>
                <w:szCs w:val="21"/>
                <w:highlight w:val="none"/>
              </w:rPr>
              <w:t>在政府采购活动中，投标人提供的货物、工程或者服务符合下列情形的，享受中小企业扶持政策：</w:t>
            </w:r>
          </w:p>
          <w:p w14:paraId="38F9F61C">
            <w:pPr>
              <w:pStyle w:val="63"/>
              <w:widowControl w:val="0"/>
              <w:spacing w:line="360" w:lineRule="auto"/>
              <w:ind w:firstLine="25" w:firstLineChars="12"/>
              <w:jc w:val="both"/>
              <w:rPr>
                <w:rFonts w:ascii="宋体" w:hAnsi="宋体" w:cs="宋体"/>
                <w:color w:val="auto"/>
                <w:sz w:val="21"/>
                <w:szCs w:val="21"/>
                <w:highlight w:val="none"/>
              </w:rPr>
            </w:pPr>
            <w:r>
              <w:rPr>
                <w:rFonts w:hint="eastAsia" w:ascii="宋体" w:hAnsi="宋体" w:cs="宋体"/>
                <w:color w:val="auto"/>
                <w:sz w:val="21"/>
                <w:szCs w:val="21"/>
                <w:highlight w:val="none"/>
              </w:rPr>
              <w:t>（1）在货物采购项目中，货物由中小企业制造，即货物由中小企业生产且使用该中小企业商号或者注册商标；</w:t>
            </w:r>
          </w:p>
          <w:p w14:paraId="294A9098">
            <w:pPr>
              <w:pStyle w:val="63"/>
              <w:widowControl w:val="0"/>
              <w:spacing w:line="360" w:lineRule="auto"/>
              <w:ind w:firstLine="25" w:firstLineChars="12"/>
              <w:jc w:val="both"/>
              <w:rPr>
                <w:rFonts w:ascii="宋体" w:hAnsi="宋体" w:cs="宋体"/>
                <w:color w:val="auto"/>
                <w:sz w:val="21"/>
                <w:szCs w:val="21"/>
                <w:highlight w:val="none"/>
              </w:rPr>
            </w:pPr>
            <w:r>
              <w:rPr>
                <w:rFonts w:hint="eastAsia" w:ascii="宋体" w:hAnsi="宋体" w:cs="宋体"/>
                <w:color w:val="auto"/>
                <w:sz w:val="21"/>
                <w:szCs w:val="21"/>
                <w:highlight w:val="none"/>
              </w:rPr>
              <w:t>（2）在工程采购项目中，工程由中小企业承建，即工程施工单位为中小企业；</w:t>
            </w:r>
          </w:p>
          <w:p w14:paraId="3E317D8F">
            <w:pPr>
              <w:pStyle w:val="63"/>
              <w:widowControl w:val="0"/>
              <w:spacing w:line="360" w:lineRule="auto"/>
              <w:ind w:firstLine="25" w:firstLineChars="12"/>
              <w:jc w:val="both"/>
              <w:rPr>
                <w:rFonts w:ascii="宋体" w:hAnsi="宋体" w:cs="宋体"/>
                <w:color w:val="auto"/>
                <w:sz w:val="21"/>
                <w:szCs w:val="21"/>
                <w:highlight w:val="none"/>
              </w:rPr>
            </w:pPr>
            <w:r>
              <w:rPr>
                <w:rFonts w:hint="eastAsia" w:ascii="宋体" w:hAnsi="宋体" w:cs="宋体"/>
                <w:color w:val="auto"/>
                <w:sz w:val="21"/>
                <w:szCs w:val="21"/>
                <w:highlight w:val="none"/>
              </w:rPr>
              <w:t>（3）在服务采购项目中，服务由中小企业承接，即提供服务的人员为中小企业依照《中华人民共和国劳动合同法》订立劳动合同的从业人员。</w:t>
            </w:r>
          </w:p>
          <w:p w14:paraId="54B514B2">
            <w:pPr>
              <w:pStyle w:val="63"/>
              <w:widowControl w:val="0"/>
              <w:spacing w:line="360" w:lineRule="auto"/>
              <w:ind w:firstLine="25" w:firstLineChars="12"/>
              <w:jc w:val="both"/>
              <w:rPr>
                <w:rFonts w:ascii="宋体" w:hAnsi="宋体" w:cs="宋体"/>
                <w:color w:val="auto"/>
                <w:sz w:val="21"/>
                <w:szCs w:val="21"/>
                <w:highlight w:val="none"/>
              </w:rPr>
            </w:pPr>
            <w:r>
              <w:rPr>
                <w:rFonts w:hint="eastAsia" w:ascii="宋体" w:hAnsi="宋体" w:cs="宋体"/>
                <w:color w:val="auto"/>
                <w:sz w:val="21"/>
                <w:szCs w:val="21"/>
                <w:highlight w:val="none"/>
              </w:rPr>
              <w:t>在货物采购项目中，投标人提供的货物既有中小企业制造货物，也有大型企业制造货物的，不享受中小企业扶持政策。</w:t>
            </w:r>
          </w:p>
          <w:p w14:paraId="725FD4C5">
            <w:pPr>
              <w:pStyle w:val="63"/>
              <w:widowControl w:val="0"/>
              <w:spacing w:line="360" w:lineRule="auto"/>
              <w:ind w:firstLine="25" w:firstLineChars="12"/>
              <w:jc w:val="both"/>
              <w:rPr>
                <w:rFonts w:ascii="宋体" w:hAnsi="宋体" w:cs="宋体"/>
                <w:color w:val="auto"/>
                <w:sz w:val="21"/>
                <w:szCs w:val="21"/>
                <w:highlight w:val="none"/>
              </w:rPr>
            </w:pPr>
            <w:r>
              <w:rPr>
                <w:rFonts w:hint="eastAsia" w:ascii="宋体" w:hAnsi="宋体" w:cs="宋体"/>
                <w:color w:val="auto"/>
                <w:sz w:val="21"/>
                <w:szCs w:val="21"/>
                <w:highlight w:val="none"/>
              </w:rPr>
              <w:t>以联合体形式参加政府采购活动，联合体各方均为中小企业的，联合体视同中小企业。其中，联合体各方均为小微企业的，联合体视同小微企业。</w:t>
            </w:r>
          </w:p>
          <w:p w14:paraId="0E6C0FDC">
            <w:pPr>
              <w:pStyle w:val="63"/>
              <w:widowControl w:val="0"/>
              <w:spacing w:line="360" w:lineRule="auto"/>
              <w:ind w:firstLine="25" w:firstLineChars="12"/>
              <w:jc w:val="both"/>
              <w:rPr>
                <w:rFonts w:ascii="宋体" w:hAnsi="宋体" w:cs="宋体"/>
                <w:color w:val="auto"/>
                <w:sz w:val="21"/>
                <w:szCs w:val="21"/>
                <w:highlight w:val="none"/>
              </w:rPr>
            </w:pPr>
            <w:r>
              <w:rPr>
                <w:rFonts w:hint="eastAsia" w:ascii="宋体" w:hAnsi="宋体" w:cs="宋体"/>
                <w:color w:val="auto"/>
                <w:sz w:val="21"/>
                <w:szCs w:val="21"/>
                <w:highlight w:val="none"/>
              </w:rPr>
              <w:t>组成联合体或者接受分包合同的中小企业与联合体内其他企业、分包企业之间不得存在直接控股、管理关系。</w:t>
            </w:r>
          </w:p>
          <w:p w14:paraId="745174E4">
            <w:pPr>
              <w:pStyle w:val="63"/>
              <w:widowControl w:val="0"/>
              <w:spacing w:line="360" w:lineRule="auto"/>
              <w:ind w:firstLine="25" w:firstLineChars="12"/>
              <w:jc w:val="both"/>
              <w:rPr>
                <w:rFonts w:ascii="宋体" w:hAnsi="宋体" w:cs="宋体"/>
                <w:color w:val="auto"/>
                <w:sz w:val="21"/>
                <w:szCs w:val="21"/>
                <w:highlight w:val="none"/>
              </w:rPr>
            </w:pPr>
            <w:r>
              <w:rPr>
                <w:rFonts w:hint="eastAsia" w:ascii="宋体" w:hAnsi="宋体" w:cs="宋体"/>
                <w:color w:val="auto"/>
                <w:sz w:val="21"/>
                <w:szCs w:val="21"/>
                <w:highlight w:val="none"/>
              </w:rPr>
              <w:t>2、中小企业参加政府采购活动，应当出具文件中规定的《中小企业声明函》，否则不得享受相关中小企业扶持政策。</w:t>
            </w:r>
          </w:p>
          <w:p w14:paraId="34D62E43">
            <w:pPr>
              <w:pStyle w:val="63"/>
              <w:widowControl w:val="0"/>
              <w:spacing w:line="360" w:lineRule="auto"/>
              <w:ind w:firstLine="25" w:firstLineChars="12"/>
              <w:jc w:val="both"/>
              <w:rPr>
                <w:rFonts w:ascii="宋体" w:hAnsi="宋体" w:cs="宋体"/>
                <w:color w:val="auto"/>
                <w:sz w:val="21"/>
                <w:szCs w:val="21"/>
                <w:highlight w:val="none"/>
              </w:rPr>
            </w:pPr>
            <w:r>
              <w:rPr>
                <w:rFonts w:hint="eastAsia" w:ascii="宋体" w:hAnsi="宋体" w:cs="宋体"/>
                <w:color w:val="auto"/>
                <w:sz w:val="21"/>
                <w:szCs w:val="21"/>
                <w:highlight w:val="none"/>
              </w:rPr>
              <w:t>3、依据规定享受扶持政策获得政府采购合同的，小微企业不得将合同分包给大中型企业，中型企业不得将合同分包给大型企业。</w:t>
            </w:r>
          </w:p>
          <w:p w14:paraId="2A007416">
            <w:pPr>
              <w:pStyle w:val="63"/>
              <w:widowControl w:val="0"/>
              <w:spacing w:line="360" w:lineRule="auto"/>
              <w:ind w:firstLine="25" w:firstLineChars="12"/>
              <w:jc w:val="both"/>
              <w:rPr>
                <w:rFonts w:ascii="宋体" w:hAnsi="宋体" w:cs="宋体"/>
                <w:color w:val="auto"/>
                <w:sz w:val="21"/>
                <w:szCs w:val="21"/>
                <w:highlight w:val="none"/>
              </w:rPr>
            </w:pPr>
            <w:r>
              <w:rPr>
                <w:rFonts w:hint="eastAsia" w:ascii="宋体" w:hAnsi="宋体" w:cs="宋体"/>
                <w:color w:val="auto"/>
                <w:sz w:val="21"/>
                <w:szCs w:val="21"/>
                <w:highlight w:val="none"/>
              </w:rPr>
              <w:t>对符合条件的小型和微型</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，对其报价给予10%的扣除，用扣除后的价格进行排序。请</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根据自身情况提供声明函，无声明函的在报价时不予扣除。</w:t>
            </w:r>
          </w:p>
          <w:p w14:paraId="4D387EC4">
            <w:pPr>
              <w:pStyle w:val="63"/>
              <w:widowControl w:val="0"/>
              <w:spacing w:line="360" w:lineRule="auto"/>
              <w:ind w:firstLine="25" w:firstLineChars="12"/>
              <w:jc w:val="both"/>
              <w:rPr>
                <w:rFonts w:ascii="宋体" w:hAnsi="宋体" w:cs="宋体"/>
                <w:b/>
                <w:bCs/>
                <w:color w:val="auto"/>
                <w:sz w:val="21"/>
                <w:szCs w:val="21"/>
                <w:highlight w:val="none"/>
              </w:rPr>
            </w:pPr>
            <w:r>
              <w:rPr>
                <w:rFonts w:hint="eastAsia" w:ascii="宋体" w:hAnsi="宋体" w:cs="宋体"/>
                <w:b/>
                <w:bCs/>
                <w:color w:val="auto"/>
                <w:sz w:val="21"/>
                <w:szCs w:val="21"/>
                <w:highlight w:val="none"/>
              </w:rPr>
              <w:t>二、关于监狱企业、残疾人福利性单位：</w:t>
            </w:r>
          </w:p>
          <w:p w14:paraId="4050F082">
            <w:pPr>
              <w:pStyle w:val="63"/>
              <w:widowControl w:val="0"/>
              <w:spacing w:line="360" w:lineRule="auto"/>
              <w:ind w:firstLine="25" w:firstLineChars="12"/>
              <w:jc w:val="both"/>
              <w:rPr>
                <w:rFonts w:ascii="宋体" w:hAnsi="宋体" w:cs="宋体"/>
                <w:color w:val="auto"/>
                <w:sz w:val="21"/>
                <w:szCs w:val="21"/>
                <w:highlight w:val="none"/>
              </w:rPr>
            </w:pPr>
            <w:r>
              <w:rPr>
                <w:rFonts w:hint="eastAsia" w:ascii="宋体" w:hAnsi="宋体" w:cs="宋体"/>
                <w:color w:val="auto"/>
                <w:sz w:val="21"/>
                <w:szCs w:val="21"/>
                <w:highlight w:val="none"/>
              </w:rPr>
              <w:t>1、监狱企业：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92DC3C8">
            <w:pPr>
              <w:pStyle w:val="63"/>
              <w:widowControl w:val="0"/>
              <w:spacing w:line="360" w:lineRule="auto"/>
              <w:ind w:firstLine="25" w:firstLineChars="12"/>
              <w:jc w:val="both"/>
              <w:rPr>
                <w:rFonts w:ascii="宋体" w:hAnsi="宋体" w:cs="宋体"/>
                <w:color w:val="auto"/>
                <w:sz w:val="21"/>
                <w:szCs w:val="21"/>
                <w:highlight w:val="none"/>
              </w:rPr>
            </w:pPr>
            <w:r>
              <w:rPr>
                <w:rFonts w:hint="eastAsia" w:ascii="宋体" w:hAnsi="宋体" w:cs="宋体"/>
                <w:color w:val="auto"/>
                <w:sz w:val="21"/>
                <w:szCs w:val="21"/>
                <w:highlight w:val="none"/>
              </w:rPr>
              <w:t>2、残疾人福利性单位：根据财政部《关于促进残疾人就业政府采购政策》的通知财库〔2017〕141号的规定，符合条件的残疾人福利性单位在参加政府采购活动时，应当提供《残疾人福利性单位声明函》，并对声明的真实性负责。任何单位或者个人在政府采购活动中均不得要求残疾人福利性单位提供其他证明声明函内容的材料。中标、成交</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为残疾人福利性单位的，采购人或者其委托的采购代理机构应当随中标、成交结果同时公告其《残疾人福利性单位声明函》，接受社会监督。</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提供的《残疾人福利性单位声明函》与事实不符的，依照《政府采购法》第七十七条第一款的规定追究法律责任。</w:t>
            </w:r>
          </w:p>
          <w:p w14:paraId="51C20875">
            <w:pPr>
              <w:pStyle w:val="63"/>
              <w:widowControl w:val="0"/>
              <w:spacing w:line="360" w:lineRule="auto"/>
              <w:ind w:firstLine="25" w:firstLineChars="12"/>
              <w:jc w:val="both"/>
              <w:rPr>
                <w:rFonts w:ascii="宋体" w:hAnsi="宋体"/>
                <w:color w:val="auto"/>
                <w:sz w:val="21"/>
                <w:szCs w:val="21"/>
                <w:highlight w:val="none"/>
              </w:rPr>
            </w:pPr>
            <w:r>
              <w:rPr>
                <w:rFonts w:hint="eastAsia" w:ascii="宋体" w:hAnsi="宋体" w:cs="宋体"/>
                <w:color w:val="auto"/>
                <w:sz w:val="21"/>
                <w:szCs w:val="21"/>
                <w:highlight w:val="none"/>
              </w:rPr>
              <w:t>注：对符合条件的监狱企业、残疾人福利性单位</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，对其报价给予10%的扣除，用扣除后的价格进行排序（不重复享受政策）。</w:t>
            </w:r>
          </w:p>
        </w:tc>
      </w:tr>
      <w:tr w14:paraId="0632A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vAlign w:val="center"/>
          </w:tcPr>
          <w:p w14:paraId="74598E75">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10.</w:t>
            </w:r>
            <w:r>
              <w:rPr>
                <w:rFonts w:ascii="宋体" w:hAnsi="宋体" w:cs="宋体"/>
                <w:color w:val="auto"/>
                <w:sz w:val="21"/>
                <w:szCs w:val="21"/>
                <w:highlight w:val="none"/>
              </w:rPr>
              <w:t>5</w:t>
            </w:r>
          </w:p>
        </w:tc>
        <w:tc>
          <w:tcPr>
            <w:tcW w:w="1698" w:type="dxa"/>
            <w:vAlign w:val="center"/>
          </w:tcPr>
          <w:p w14:paraId="3105D25F">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采购人补充的其他内容</w:t>
            </w:r>
          </w:p>
        </w:tc>
        <w:tc>
          <w:tcPr>
            <w:tcW w:w="7085" w:type="dxa"/>
            <w:vAlign w:val="center"/>
          </w:tcPr>
          <w:p w14:paraId="4CFD576B">
            <w:pPr>
              <w:widowControl w:val="0"/>
              <w:spacing w:before="72" w:beforeLines="30" w:line="360" w:lineRule="auto"/>
              <w:jc w:val="both"/>
              <w:rPr>
                <w:rFonts w:ascii="宋体" w:hAnsi="宋体" w:cs="宋体"/>
                <w:color w:val="auto"/>
                <w:sz w:val="21"/>
                <w:szCs w:val="21"/>
                <w:highlight w:val="none"/>
              </w:rPr>
            </w:pPr>
            <w:r>
              <w:rPr>
                <w:rFonts w:hint="eastAsia" w:ascii="宋体" w:hAnsi="宋体" w:cs="宋体"/>
                <w:color w:val="auto"/>
                <w:sz w:val="21"/>
                <w:szCs w:val="21"/>
                <w:highlight w:val="none"/>
              </w:rPr>
              <w:t>一、根据《财政部关于在政府采购活动中查询及使用信用记录有关问题的通知》（财库〔2016〕125号）相关要求，采购人或者采购代理机构对信用记录进行核实，对列入失信被执行人、</w:t>
            </w:r>
            <w:r>
              <w:rPr>
                <w:rFonts w:hint="eastAsia" w:ascii="宋体" w:hAnsi="宋体"/>
                <w:color w:val="auto"/>
                <w:sz w:val="21"/>
                <w:szCs w:val="21"/>
                <w:highlight w:val="none"/>
              </w:rPr>
              <w:t>重大税收违法</w:t>
            </w:r>
            <w:r>
              <w:rPr>
                <w:rFonts w:hint="eastAsia" w:ascii="宋体" w:hAnsi="宋体"/>
                <w:color w:val="auto"/>
                <w:sz w:val="21"/>
                <w:szCs w:val="21"/>
                <w:highlight w:val="none"/>
                <w:lang w:val="en-US" w:eastAsia="zh-CN"/>
              </w:rPr>
              <w:t>失信主体</w:t>
            </w:r>
            <w:r>
              <w:rPr>
                <w:rFonts w:hint="eastAsia" w:ascii="宋体" w:hAnsi="宋体" w:cs="宋体"/>
                <w:color w:val="auto"/>
                <w:sz w:val="21"/>
                <w:szCs w:val="21"/>
                <w:highlight w:val="none"/>
              </w:rPr>
              <w:t>、政府采购严重违法失信行为记录名单及其他不符合《中华人民共和国政府采购法》第二十二条规定条件的投标人，拒绝其参与政府采购活动。</w:t>
            </w:r>
          </w:p>
          <w:p w14:paraId="4D618AC9">
            <w:pPr>
              <w:widowControl w:val="0"/>
              <w:spacing w:line="360" w:lineRule="auto"/>
              <w:jc w:val="both"/>
              <w:rPr>
                <w:rFonts w:ascii="宋体" w:hAnsi="宋体" w:cs="宋体"/>
                <w:color w:val="auto"/>
                <w:sz w:val="21"/>
                <w:szCs w:val="21"/>
                <w:highlight w:val="none"/>
              </w:rPr>
            </w:pPr>
            <w:r>
              <w:rPr>
                <w:rFonts w:hint="eastAsia" w:ascii="宋体" w:hAnsi="宋体" w:cs="宋体"/>
                <w:color w:val="auto"/>
                <w:sz w:val="21"/>
                <w:szCs w:val="21"/>
                <w:highlight w:val="none"/>
              </w:rPr>
              <w:t>二、自购买招标文件之日起，投标人应保证其提供的联系方式（电话、传真、电子邮件）一直有效，以保证往来函件（投标文件的澄清、修改等）能及时通知投标人，并能及时反馈信息，否则采购人或采购代理机构不承担由此引起的一切后果。</w:t>
            </w:r>
          </w:p>
          <w:p w14:paraId="465105E0">
            <w:pPr>
              <w:pStyle w:val="41"/>
              <w:spacing w:line="360" w:lineRule="auto"/>
              <w:ind w:firstLine="0" w:firstLineChars="0"/>
              <w:rPr>
                <w:color w:val="auto"/>
                <w:sz w:val="21"/>
                <w:szCs w:val="21"/>
                <w:highlight w:val="none"/>
              </w:rPr>
            </w:pPr>
            <w:r>
              <w:rPr>
                <w:rFonts w:hint="eastAsia" w:ascii="宋体" w:hAnsi="宋体" w:cs="宋体"/>
                <w:color w:val="auto"/>
                <w:sz w:val="21"/>
                <w:szCs w:val="21"/>
                <w:highlight w:val="none"/>
              </w:rPr>
              <w:t>三、本项目属于电子投标，招标文件中所提及到的相关证明材料的复印件，投标单位可对应替换为电子扫描件。</w:t>
            </w:r>
          </w:p>
        </w:tc>
      </w:tr>
    </w:tbl>
    <w:p w14:paraId="1C59F3A1">
      <w:pPr>
        <w:pStyle w:val="3"/>
        <w:widowControl w:val="0"/>
        <w:spacing w:before="240" w:beforeLines="100" w:after="0" w:line="360" w:lineRule="auto"/>
        <w:jc w:val="center"/>
        <w:rPr>
          <w:color w:val="auto"/>
          <w:highlight w:val="none"/>
        </w:rPr>
        <w:sectPr>
          <w:pgSz w:w="11907" w:h="16840"/>
          <w:pgMar w:top="1440" w:right="1080" w:bottom="1440" w:left="1080" w:header="850" w:footer="992" w:gutter="0"/>
          <w:cols w:space="720" w:num="1"/>
          <w:docGrid w:linePitch="286" w:charSpace="0"/>
        </w:sectPr>
      </w:pPr>
      <w:bookmarkStart w:id="51" w:name="_Toc19820083"/>
      <w:bookmarkStart w:id="52" w:name="_Toc260907970"/>
      <w:bookmarkStart w:id="53" w:name="_Toc270090082"/>
      <w:bookmarkStart w:id="54" w:name="_Toc260908186"/>
      <w:bookmarkStart w:id="55" w:name="_Toc4847"/>
    </w:p>
    <w:p w14:paraId="0F9FE77F">
      <w:pPr>
        <w:pStyle w:val="3"/>
        <w:widowControl w:val="0"/>
        <w:spacing w:before="240" w:beforeLines="100" w:after="0" w:line="360" w:lineRule="auto"/>
        <w:jc w:val="center"/>
        <w:rPr>
          <w:rFonts w:ascii="宋体" w:hAnsi="宋体" w:eastAsia="宋体"/>
          <w:color w:val="auto"/>
          <w:kern w:val="2"/>
          <w:sz w:val="28"/>
          <w:szCs w:val="28"/>
          <w:highlight w:val="none"/>
        </w:rPr>
      </w:pPr>
      <w:bookmarkStart w:id="56" w:name="_Toc16468"/>
      <w:r>
        <w:rPr>
          <w:rFonts w:hint="eastAsia" w:ascii="宋体" w:hAnsi="宋体" w:eastAsia="宋体"/>
          <w:color w:val="auto"/>
          <w:kern w:val="2"/>
          <w:sz w:val="28"/>
          <w:szCs w:val="28"/>
          <w:highlight w:val="none"/>
        </w:rPr>
        <w:t>二、投标人须知</w:t>
      </w:r>
      <w:bookmarkEnd w:id="51"/>
      <w:bookmarkEnd w:id="52"/>
      <w:bookmarkEnd w:id="53"/>
      <w:bookmarkEnd w:id="54"/>
      <w:bookmarkEnd w:id="55"/>
      <w:bookmarkEnd w:id="56"/>
    </w:p>
    <w:p w14:paraId="1A6589FE">
      <w:pPr>
        <w:pStyle w:val="3"/>
        <w:widowControl w:val="0"/>
        <w:spacing w:before="100" w:after="240" w:line="360" w:lineRule="auto"/>
        <w:jc w:val="center"/>
        <w:rPr>
          <w:rFonts w:ascii="宋体" w:hAnsi="宋体" w:eastAsia="宋体"/>
          <w:color w:val="auto"/>
          <w:highlight w:val="none"/>
          <w:lang w:val="zh-CN"/>
        </w:rPr>
      </w:pPr>
      <w:bookmarkStart w:id="57" w:name="_Toc30484"/>
      <w:bookmarkStart w:id="58" w:name="_Toc260908187"/>
      <w:bookmarkStart w:id="59" w:name="_Toc260907971"/>
      <w:r>
        <w:rPr>
          <w:rFonts w:hint="eastAsia" w:ascii="宋体" w:hAnsi="宋体" w:eastAsia="宋体"/>
          <w:color w:val="auto"/>
          <w:highlight w:val="none"/>
          <w:lang w:val="zh-CN"/>
        </w:rPr>
        <w:t>（一）总则</w:t>
      </w:r>
      <w:bookmarkEnd w:id="57"/>
      <w:bookmarkEnd w:id="58"/>
      <w:bookmarkEnd w:id="59"/>
    </w:p>
    <w:p w14:paraId="0C3C732C">
      <w:pPr>
        <w:pStyle w:val="150"/>
        <w:widowControl/>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1.1 项目概况</w:t>
      </w:r>
    </w:p>
    <w:p w14:paraId="55A43D8A">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1.1.1根据《中华人民共和国政府采购法》、《中华人民共和国政府采购法实施条例》、《政府采购货物和服务招标投标管理办法》（财政部令87号）等有关法律法规的规定，本招标项目已具备采购条件，现对本项目进行公开招标。</w:t>
      </w:r>
    </w:p>
    <w:p w14:paraId="02F6D3AC">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1.1.2本项目采购人：见投标人须知前附表。</w:t>
      </w:r>
    </w:p>
    <w:p w14:paraId="2CB7FE24">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1.1.3本项目采购代理机构：见投标人须知前附表。</w:t>
      </w:r>
    </w:p>
    <w:p w14:paraId="4F7F52E7">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1.1.4本项目项目名称及项目编号：见投标人须知前附表。</w:t>
      </w:r>
    </w:p>
    <w:p w14:paraId="30F78FD5">
      <w:pPr>
        <w:pStyle w:val="150"/>
        <w:widowControl/>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1.2 资金来源、最高限价和资金落实情况</w:t>
      </w:r>
    </w:p>
    <w:p w14:paraId="3DAC792B">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1.2.1本项目的资金来源：见投标人须知前附表。</w:t>
      </w:r>
    </w:p>
    <w:p w14:paraId="31EAF34B">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1.2.2本项目的最高限价：见投标人须知前附表。</w:t>
      </w:r>
    </w:p>
    <w:p w14:paraId="475E5275">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1.2.3本项目的资金落实情况：见投标人须知前附表。</w:t>
      </w:r>
    </w:p>
    <w:p w14:paraId="0D9011E8">
      <w:pPr>
        <w:pStyle w:val="150"/>
        <w:widowControl/>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1.3采购需求、合同履</w:t>
      </w:r>
      <w:r>
        <w:rPr>
          <w:rFonts w:hint="eastAsia" w:ascii="宋体" w:hAnsi="宋体" w:eastAsia="宋体"/>
          <w:b/>
          <w:bCs/>
          <w:color w:val="auto"/>
          <w:highlight w:val="none"/>
          <w:lang w:val="en-US" w:eastAsia="zh-CN"/>
        </w:rPr>
        <w:t>约</w:t>
      </w:r>
      <w:r>
        <w:rPr>
          <w:rFonts w:hint="eastAsia" w:ascii="宋体" w:hAnsi="宋体" w:eastAsia="宋体"/>
          <w:b/>
          <w:bCs/>
          <w:color w:val="auto"/>
          <w:highlight w:val="none"/>
          <w:lang w:val="zh-CN"/>
        </w:rPr>
        <w:t>期限、</w:t>
      </w:r>
      <w:r>
        <w:rPr>
          <w:rFonts w:hint="eastAsia" w:ascii="宋体" w:hAnsi="宋体" w:eastAsia="宋体"/>
          <w:b/>
          <w:bCs/>
          <w:color w:val="auto"/>
          <w:highlight w:val="none"/>
          <w:lang w:val="en-US" w:eastAsia="zh-CN"/>
        </w:rPr>
        <w:t>服务</w:t>
      </w:r>
      <w:r>
        <w:rPr>
          <w:rFonts w:hint="eastAsia" w:ascii="宋体" w:hAnsi="宋体" w:eastAsia="宋体"/>
          <w:b/>
          <w:bCs/>
          <w:color w:val="auto"/>
          <w:highlight w:val="none"/>
          <w:lang w:val="zh-CN"/>
        </w:rPr>
        <w:t>地点、质量标准及标段划分</w:t>
      </w:r>
    </w:p>
    <w:p w14:paraId="0F8580C7">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1.3.1本项目的采购需求：见投标人须知前附表。</w:t>
      </w:r>
    </w:p>
    <w:p w14:paraId="67795DD3">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1.3.2本项目的合同履</w:t>
      </w:r>
      <w:r>
        <w:rPr>
          <w:rFonts w:hint="eastAsia" w:ascii="宋体" w:hAnsi="宋体" w:cs="宋体"/>
          <w:color w:val="auto"/>
          <w:sz w:val="21"/>
          <w:szCs w:val="21"/>
          <w:highlight w:val="none"/>
          <w:lang w:val="en-US" w:eastAsia="zh-CN"/>
        </w:rPr>
        <w:t>约</w:t>
      </w:r>
      <w:r>
        <w:rPr>
          <w:rFonts w:hint="eastAsia" w:ascii="宋体" w:hAnsi="宋体" w:cs="宋体"/>
          <w:color w:val="auto"/>
          <w:sz w:val="21"/>
          <w:szCs w:val="21"/>
          <w:highlight w:val="none"/>
        </w:rPr>
        <w:t>期限：见投标人须知前附表。</w:t>
      </w:r>
    </w:p>
    <w:p w14:paraId="711A47B4">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1.3.3本项目的</w:t>
      </w:r>
      <w:r>
        <w:rPr>
          <w:rFonts w:hint="eastAsia" w:ascii="宋体" w:hAnsi="宋体" w:cs="宋体"/>
          <w:color w:val="auto"/>
          <w:sz w:val="21"/>
          <w:szCs w:val="21"/>
          <w:highlight w:val="none"/>
          <w:lang w:val="en-US" w:eastAsia="zh-CN"/>
        </w:rPr>
        <w:t>服务</w:t>
      </w:r>
      <w:r>
        <w:rPr>
          <w:rFonts w:hint="eastAsia" w:ascii="宋体" w:hAnsi="宋体" w:cs="宋体"/>
          <w:color w:val="auto"/>
          <w:sz w:val="21"/>
          <w:szCs w:val="21"/>
          <w:highlight w:val="none"/>
        </w:rPr>
        <w:t>地点：见投标人须知前附表。</w:t>
      </w:r>
    </w:p>
    <w:p w14:paraId="22AC7318">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w:t>
      </w:r>
      <w:r>
        <w:rPr>
          <w:rFonts w:ascii="宋体" w:hAnsi="宋体" w:cs="宋体"/>
          <w:color w:val="auto"/>
          <w:sz w:val="21"/>
          <w:szCs w:val="21"/>
          <w:highlight w:val="none"/>
        </w:rPr>
        <w:t>4</w:t>
      </w:r>
      <w:r>
        <w:rPr>
          <w:rFonts w:hint="eastAsia" w:ascii="宋体" w:hAnsi="宋体" w:cs="宋体"/>
          <w:color w:val="auto"/>
          <w:sz w:val="21"/>
          <w:szCs w:val="21"/>
          <w:highlight w:val="none"/>
        </w:rPr>
        <w:t>本项目的质量标准：见投标人须知前附表。</w:t>
      </w:r>
    </w:p>
    <w:p w14:paraId="7E68D0EC">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w:t>
      </w:r>
      <w:r>
        <w:rPr>
          <w:rFonts w:ascii="宋体" w:hAnsi="宋体" w:cs="宋体"/>
          <w:color w:val="auto"/>
          <w:sz w:val="21"/>
          <w:szCs w:val="21"/>
          <w:highlight w:val="none"/>
        </w:rPr>
        <w:t>5</w:t>
      </w:r>
      <w:r>
        <w:rPr>
          <w:rFonts w:hint="eastAsia" w:ascii="宋体" w:hAnsi="宋体" w:cs="宋体"/>
          <w:color w:val="auto"/>
          <w:sz w:val="21"/>
          <w:szCs w:val="21"/>
          <w:highlight w:val="none"/>
        </w:rPr>
        <w:t>本项目的标段划分：见投标人须知前附表。</w:t>
      </w:r>
    </w:p>
    <w:p w14:paraId="625ED9D9">
      <w:pPr>
        <w:pStyle w:val="150"/>
        <w:widowControl/>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1.4投标人资格要求</w:t>
      </w:r>
    </w:p>
    <w:p w14:paraId="44F99F97">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1.4.1投标人资格要求：见投标人须知前附表。</w:t>
      </w:r>
    </w:p>
    <w:p w14:paraId="49F223C8">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1.4.2本项目是否接受联合体投标：见投标人须知前附表。</w:t>
      </w:r>
    </w:p>
    <w:p w14:paraId="576FA65F">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w:t>
      </w:r>
      <w:r>
        <w:rPr>
          <w:rFonts w:ascii="宋体" w:hAnsi="宋体" w:cs="宋体"/>
          <w:color w:val="auto"/>
          <w:sz w:val="21"/>
          <w:szCs w:val="21"/>
          <w:highlight w:val="none"/>
        </w:rPr>
        <w:t>3</w:t>
      </w:r>
      <w:r>
        <w:rPr>
          <w:rFonts w:hint="eastAsia" w:ascii="宋体" w:hAnsi="宋体" w:cs="宋体"/>
          <w:color w:val="auto"/>
          <w:sz w:val="21"/>
          <w:szCs w:val="21"/>
          <w:highlight w:val="none"/>
        </w:rPr>
        <w:t>投标人存在下列情况之一的，投标无效：</w:t>
      </w:r>
    </w:p>
    <w:p w14:paraId="488CD03D">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（1）未按照招标文件的规定提交投标保证金的；</w:t>
      </w:r>
    </w:p>
    <w:p w14:paraId="5422CE15">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（2）投标文件未按招标文件要求签署、盖章的；</w:t>
      </w:r>
    </w:p>
    <w:p w14:paraId="3D2F3CE2">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（3）不具备招标文件中规定的资格要求的；</w:t>
      </w:r>
    </w:p>
    <w:p w14:paraId="005D1BB4">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（4）报价超过招标文件中规定的预算金额或者最高限价的；</w:t>
      </w:r>
    </w:p>
    <w:p w14:paraId="7130CBE6">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（5）投标文件含有采购人不能接受的附加条件的；</w:t>
      </w:r>
    </w:p>
    <w:p w14:paraId="2AD2086E">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（6）法律、法规和招标文件规定的其他无效情形。</w:t>
      </w:r>
    </w:p>
    <w:p w14:paraId="5493190C">
      <w:pPr>
        <w:keepNext/>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w:t>
      </w:r>
      <w:r>
        <w:rPr>
          <w:rFonts w:ascii="宋体" w:hAnsi="宋体" w:cs="宋体"/>
          <w:color w:val="auto"/>
          <w:sz w:val="21"/>
          <w:szCs w:val="21"/>
          <w:highlight w:val="none"/>
        </w:rPr>
        <w:t>4</w:t>
      </w:r>
      <w:r>
        <w:rPr>
          <w:rFonts w:hint="eastAsia" w:ascii="宋体" w:hAnsi="宋体" w:cs="宋体"/>
          <w:color w:val="auto"/>
          <w:sz w:val="21"/>
          <w:szCs w:val="21"/>
          <w:highlight w:val="none"/>
        </w:rPr>
        <w:t>有下列情形之一的，视为投标人串通投标，其投标无效：</w:t>
      </w:r>
    </w:p>
    <w:p w14:paraId="7077E98C">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（1）不同投标人的投标文件由同一单位或者个人编制；</w:t>
      </w:r>
    </w:p>
    <w:p w14:paraId="2848CC05">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（2）不同投标人委托同一单位或者个人办理投标事宜；</w:t>
      </w:r>
    </w:p>
    <w:p w14:paraId="44BE4467">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（3）不同投标人的投标文件载明的项目管理成员或者联系人员为同一人；</w:t>
      </w:r>
    </w:p>
    <w:p w14:paraId="20C49578">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（4）不同投标人的投标文件异常一致或者投标报价呈规律性差异；</w:t>
      </w:r>
    </w:p>
    <w:p w14:paraId="3089406A">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（5）不同投标人的投标文件相互混装；</w:t>
      </w:r>
    </w:p>
    <w:p w14:paraId="34A72CE3">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（6）不同投标人的投标保证金从同一单位或者个人的账户转出。</w:t>
      </w:r>
    </w:p>
    <w:p w14:paraId="6332DA90">
      <w:pPr>
        <w:pStyle w:val="150"/>
        <w:widowControl/>
        <w:spacing w:line="360" w:lineRule="auto"/>
        <w:rPr>
          <w:rFonts w:ascii="宋体" w:hAnsi="宋体" w:eastAsia="宋体"/>
          <w:b/>
          <w:bCs/>
          <w:color w:val="auto"/>
          <w:highlight w:val="none"/>
          <w:lang w:val="zh-CN"/>
        </w:rPr>
      </w:pPr>
      <w:bookmarkStart w:id="60" w:name="_Hlk14882148"/>
      <w:r>
        <w:rPr>
          <w:rFonts w:hint="eastAsia" w:ascii="宋体" w:hAnsi="宋体" w:eastAsia="宋体"/>
          <w:b/>
          <w:bCs/>
          <w:color w:val="auto"/>
          <w:highlight w:val="none"/>
          <w:lang w:val="zh-CN"/>
        </w:rPr>
        <w:t>1.5费用承担</w:t>
      </w:r>
    </w:p>
    <w:p w14:paraId="3DB96C6F">
      <w:pPr>
        <w:wordWrap w:val="0"/>
        <w:spacing w:line="360" w:lineRule="auto"/>
        <w:ind w:firstLine="420" w:firstLineChars="200"/>
        <w:rPr>
          <w:rFonts w:ascii="宋体" w:hAnsi="宋体" w:cs="宋体"/>
          <w:color w:val="auto"/>
          <w:sz w:val="21"/>
          <w:szCs w:val="21"/>
          <w:highlight w:val="none"/>
        </w:rPr>
      </w:pPr>
      <w:bookmarkStart w:id="61" w:name="_Hlk14887853"/>
      <w:bookmarkStart w:id="62" w:name="_Hlk14881168"/>
      <w:r>
        <w:rPr>
          <w:rFonts w:hint="eastAsia" w:ascii="宋体" w:hAnsi="宋体" w:cs="宋体"/>
          <w:color w:val="auto"/>
          <w:sz w:val="21"/>
          <w:szCs w:val="21"/>
          <w:highlight w:val="none"/>
        </w:rPr>
        <w:t>1.5.1</w:t>
      </w:r>
      <w:r>
        <w:rPr>
          <w:rFonts w:hint="eastAsia" w:ascii="宋体" w:hAnsi="宋体"/>
          <w:color w:val="auto"/>
          <w:sz w:val="21"/>
          <w:szCs w:val="21"/>
          <w:highlight w:val="none"/>
        </w:rPr>
        <w:t>投标人准备和参加投标活动发生的费用自理</w:t>
      </w:r>
      <w:r>
        <w:rPr>
          <w:rFonts w:hint="eastAsia" w:ascii="宋体" w:hAnsi="宋体" w:cs="宋体"/>
          <w:color w:val="auto"/>
          <w:sz w:val="21"/>
          <w:szCs w:val="21"/>
          <w:highlight w:val="none"/>
        </w:rPr>
        <w:t>。</w:t>
      </w:r>
    </w:p>
    <w:p w14:paraId="2632767E">
      <w:pPr>
        <w:pStyle w:val="41"/>
        <w:spacing w:line="360" w:lineRule="auto"/>
        <w:rPr>
          <w:rFonts w:hint="default" w:eastAsia="宋体"/>
          <w:color w:val="auto"/>
          <w:highlight w:val="none"/>
          <w:lang w:val="en-US" w:eastAsia="zh-CN"/>
        </w:rPr>
      </w:pPr>
      <w:r>
        <w:rPr>
          <w:rFonts w:hint="eastAsia" w:ascii="宋体" w:hAnsi="宋体" w:cs="宋体"/>
          <w:color w:val="auto"/>
          <w:sz w:val="21"/>
          <w:szCs w:val="21"/>
          <w:highlight w:val="none"/>
        </w:rPr>
        <w:t>1.5.2</w:t>
      </w:r>
      <w:bookmarkEnd w:id="60"/>
      <w:bookmarkEnd w:id="61"/>
      <w:bookmarkEnd w:id="62"/>
      <w:r>
        <w:rPr>
          <w:spacing w:val="-5"/>
        </w:rPr>
        <w:t>按照《云南省建设工程招标代理服务收费参</w:t>
      </w:r>
      <w:r>
        <w:rPr>
          <w:spacing w:val="-6"/>
        </w:rPr>
        <w:t>考意见》的通知</w:t>
      </w:r>
      <w:r>
        <w:rPr>
          <w:spacing w:val="-4"/>
        </w:rPr>
        <w:t>（云建招协</w:t>
      </w:r>
      <w:r>
        <w:rPr>
          <w:rFonts w:ascii="Times New Roman" w:hAnsi="Times New Roman" w:eastAsia="Times New Roman" w:cs="Times New Roman"/>
          <w:spacing w:val="-4"/>
        </w:rPr>
        <w:t>[</w:t>
      </w:r>
      <w:r>
        <w:fldChar w:fldCharType="begin"/>
      </w:r>
      <w:r>
        <w:instrText xml:space="preserve"> HYPERLINK \l "bookmark1" </w:instrText>
      </w:r>
      <w:r>
        <w:fldChar w:fldCharType="separate"/>
      </w:r>
      <w:r>
        <w:rPr>
          <w:rFonts w:ascii="Times New Roman" w:hAnsi="Times New Roman" w:eastAsia="Times New Roman" w:cs="Times New Roman"/>
          <w:spacing w:val="-4"/>
        </w:rPr>
        <w:t>2024</w:t>
      </w:r>
      <w:r>
        <w:rPr>
          <w:rFonts w:ascii="Times New Roman" w:hAnsi="Times New Roman" w:eastAsia="Times New Roman" w:cs="Times New Roman"/>
          <w:spacing w:val="-4"/>
        </w:rPr>
        <w:fldChar w:fldCharType="end"/>
      </w:r>
      <w:r>
        <w:rPr>
          <w:rFonts w:ascii="Times New Roman" w:hAnsi="Times New Roman" w:eastAsia="Times New Roman" w:cs="Times New Roman"/>
          <w:spacing w:val="-4"/>
        </w:rPr>
        <w:t>]58</w:t>
      </w:r>
      <w:r>
        <w:rPr>
          <w:rFonts w:ascii="Times New Roman" w:hAnsi="Times New Roman" w:eastAsia="Times New Roman" w:cs="Times New Roman"/>
          <w:spacing w:val="23"/>
        </w:rPr>
        <w:t xml:space="preserve"> </w:t>
      </w:r>
      <w:r>
        <w:rPr>
          <w:spacing w:val="-4"/>
        </w:rPr>
        <w:t>号）文件执行，以采购代理服务费的优惠</w:t>
      </w:r>
      <w:r>
        <w:rPr>
          <w:spacing w:val="-5"/>
        </w:rPr>
        <w:t>下浮</w:t>
      </w:r>
      <w:r>
        <w:rPr>
          <w:spacing w:val="-2"/>
        </w:rPr>
        <w:t>率进行报价下浮</w:t>
      </w:r>
      <w:r>
        <w:rPr>
          <w:spacing w:val="-2"/>
          <w:u w:val="single" w:color="auto"/>
        </w:rPr>
        <w:t xml:space="preserve"> </w:t>
      </w:r>
      <w:r>
        <w:rPr>
          <w:rFonts w:hint="eastAsia"/>
          <w:spacing w:val="-2"/>
          <w:u w:val="single" w:color="auto"/>
          <w:lang w:val="en-US" w:eastAsia="zh-CN"/>
        </w:rPr>
        <w:t>20</w:t>
      </w:r>
      <w:r>
        <w:rPr>
          <w:spacing w:val="-2"/>
          <w:u w:val="single" w:color="auto"/>
        </w:rPr>
        <w:t xml:space="preserve"> </w:t>
      </w:r>
      <w:r>
        <w:rPr>
          <w:spacing w:val="-131"/>
        </w:rPr>
        <w:t xml:space="preserve"> </w:t>
      </w:r>
      <w:r>
        <w:rPr>
          <w:rFonts w:ascii="Times New Roman" w:hAnsi="Times New Roman" w:eastAsia="Times New Roman" w:cs="Times New Roman"/>
          <w:spacing w:val="-2"/>
        </w:rPr>
        <w:t>%</w:t>
      </w:r>
      <w:r>
        <w:rPr>
          <w:rFonts w:hint="eastAsia" w:ascii="Times New Roman" w:hAnsi="Times New Roman" w:eastAsia="宋体" w:cs="Times New Roman"/>
          <w:spacing w:val="-2"/>
          <w:lang w:val="en-US" w:eastAsia="zh-CN"/>
        </w:rPr>
        <w:t>由中标人支付。</w:t>
      </w:r>
    </w:p>
    <w:p w14:paraId="5DA95D30">
      <w:pPr>
        <w:pStyle w:val="150"/>
        <w:widowControl/>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1.6保密</w:t>
      </w:r>
    </w:p>
    <w:p w14:paraId="4A4AAE52">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参与招标投标活动的各方应对招标文件和投标文件中的商业和技术等秘密保密，违者应对由此造成的后果承担法律责任。</w:t>
      </w:r>
    </w:p>
    <w:p w14:paraId="680BABB6">
      <w:pPr>
        <w:pStyle w:val="150"/>
        <w:widowControl/>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1.7语言文字</w:t>
      </w:r>
    </w:p>
    <w:p w14:paraId="5F4F9284">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除专用术语外，与招标投标有关的语言均使用中文。必要时专用术语应附中文注释。</w:t>
      </w:r>
    </w:p>
    <w:p w14:paraId="79691737">
      <w:pPr>
        <w:pStyle w:val="150"/>
        <w:widowControl/>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1.8计量单位</w:t>
      </w:r>
    </w:p>
    <w:p w14:paraId="5EBBC5A7">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所有计量均采用中华人民共和国法定计量单位。</w:t>
      </w:r>
    </w:p>
    <w:p w14:paraId="778F6049">
      <w:pPr>
        <w:pStyle w:val="150"/>
        <w:widowControl/>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1.9踏勘现场</w:t>
      </w:r>
    </w:p>
    <w:p w14:paraId="1D54F5D0">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1.9.1采购人不组织踏勘现场，投标人需要了解现场情况的，由投标人根据自身情况自行踏勘项目现场。自行组织对项目现场及周围环境进行踏勘，以便投标人获取有关编制投标文件和签署合同所涉及现场的资料。</w:t>
      </w:r>
    </w:p>
    <w:p w14:paraId="1311E456">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1.9.2投标人踏勘现场发生的费用自理。</w:t>
      </w:r>
    </w:p>
    <w:p w14:paraId="7664C11A">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1.9.3投标人自行负责在踏勘现场中所发生的人员伤亡和财产损失。</w:t>
      </w:r>
    </w:p>
    <w:p w14:paraId="12945FD3">
      <w:pPr>
        <w:pStyle w:val="150"/>
        <w:widowControl/>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1.10开标前答疑会</w:t>
      </w:r>
    </w:p>
    <w:p w14:paraId="2D4AA803">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见投标人须知前附表。</w:t>
      </w:r>
    </w:p>
    <w:p w14:paraId="48FB00C9">
      <w:pPr>
        <w:pStyle w:val="150"/>
        <w:widowControl/>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1.12偏离</w:t>
      </w:r>
    </w:p>
    <w:p w14:paraId="3FD9CB4A">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见投标人须知前附表。</w:t>
      </w:r>
    </w:p>
    <w:p w14:paraId="3DF811D7">
      <w:pPr>
        <w:pStyle w:val="150"/>
        <w:widowControl/>
        <w:spacing w:line="360" w:lineRule="auto"/>
        <w:rPr>
          <w:rFonts w:ascii="宋体" w:hAnsi="宋体" w:eastAsia="宋体"/>
          <w:b/>
          <w:bCs/>
          <w:color w:val="auto"/>
          <w:highlight w:val="none"/>
          <w:lang w:val="zh-CN"/>
        </w:rPr>
      </w:pPr>
      <w:bookmarkStart w:id="63" w:name="_Toc260907972"/>
      <w:bookmarkStart w:id="64" w:name="_Toc260908188"/>
      <w:r>
        <w:rPr>
          <w:rFonts w:hint="eastAsia" w:ascii="宋体" w:hAnsi="宋体" w:eastAsia="宋体"/>
          <w:b/>
          <w:bCs/>
          <w:color w:val="auto"/>
          <w:highlight w:val="none"/>
          <w:lang w:val="zh-CN"/>
        </w:rPr>
        <w:t>1.11分包</w:t>
      </w:r>
    </w:p>
    <w:p w14:paraId="51EEB2F7">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见投标人须知前附表。</w:t>
      </w:r>
    </w:p>
    <w:p w14:paraId="507BFA88">
      <w:pPr>
        <w:pStyle w:val="3"/>
        <w:widowControl w:val="0"/>
        <w:spacing w:before="240" w:after="240" w:line="360" w:lineRule="auto"/>
        <w:jc w:val="center"/>
        <w:rPr>
          <w:rFonts w:ascii="宋体" w:hAnsi="宋体" w:eastAsia="宋体"/>
          <w:color w:val="auto"/>
          <w:highlight w:val="none"/>
          <w:lang w:val="zh-CN"/>
        </w:rPr>
      </w:pPr>
      <w:bookmarkStart w:id="65" w:name="_Toc6775"/>
      <w:r>
        <w:rPr>
          <w:rFonts w:hint="eastAsia" w:ascii="宋体" w:hAnsi="宋体" w:eastAsia="宋体"/>
          <w:color w:val="auto"/>
          <w:highlight w:val="none"/>
          <w:lang w:val="zh-CN"/>
        </w:rPr>
        <w:t>（二）招标文件</w:t>
      </w:r>
      <w:bookmarkEnd w:id="63"/>
      <w:bookmarkEnd w:id="64"/>
      <w:bookmarkEnd w:id="65"/>
    </w:p>
    <w:p w14:paraId="739F3F2E">
      <w:pPr>
        <w:pStyle w:val="150"/>
        <w:widowControl/>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2.1招标文件的组成</w:t>
      </w:r>
    </w:p>
    <w:p w14:paraId="157FEE17">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2.1.1本招标文件包括：招标公告（或投标邀请书）、投标人须知、资格审查、评标办法、合同条款及格式、采购需求、投标文件格式、投标人须知前附表规定的其他材料；</w:t>
      </w:r>
    </w:p>
    <w:p w14:paraId="01A4B508">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w:t>
      </w:r>
      <w:r>
        <w:rPr>
          <w:rFonts w:ascii="宋体" w:hAnsi="宋体" w:cs="宋体"/>
          <w:color w:val="auto"/>
          <w:sz w:val="21"/>
          <w:szCs w:val="21"/>
          <w:highlight w:val="none"/>
        </w:rPr>
        <w:t>.1.2</w:t>
      </w:r>
      <w:r>
        <w:rPr>
          <w:rFonts w:hint="eastAsia" w:ascii="宋体" w:hAnsi="宋体" w:cs="宋体"/>
          <w:color w:val="auto"/>
          <w:sz w:val="21"/>
          <w:szCs w:val="21"/>
          <w:highlight w:val="none"/>
        </w:rPr>
        <w:t>对招标文件所作的澄清、修改、补充通知等是构成招标文件的组成部分。</w:t>
      </w:r>
    </w:p>
    <w:p w14:paraId="0DCDD47B">
      <w:pPr>
        <w:widowControl w:val="0"/>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2.1.3投标人同时应认真审阅招标文件中所有的事项、格式、条款和规范要求等，如果投标人的投标文件没有按照招标文件要求递交全部资料或者投标文件没有对招标文件做出实质性响应，其风险由投标人自行承担。实质上不响应招标文件要求的投标文件视为无效标被拒绝。</w:t>
      </w:r>
    </w:p>
    <w:p w14:paraId="49101CA9">
      <w:pPr>
        <w:pStyle w:val="150"/>
        <w:widowControl/>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2.2招标文件的询问</w:t>
      </w:r>
    </w:p>
    <w:p w14:paraId="4F3AE2F5">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2.2.1投标人应认真阅读招标文件，如有疑问的，投标人可以向采购人或采购代理机构提出询问，采购人或者采购代理机构在接到询问后的3个工作日内对投标人依法提出的询问作出答复，但答复的内容不涉及商业秘密。</w:t>
      </w:r>
    </w:p>
    <w:p w14:paraId="0966EC47">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2.2.2招标文件的询问联系方式：见投标人须知前附表。</w:t>
      </w:r>
    </w:p>
    <w:p w14:paraId="040F1FF9">
      <w:pPr>
        <w:pStyle w:val="150"/>
        <w:widowControl/>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2.3招标文件的澄清、修改</w:t>
      </w:r>
    </w:p>
    <w:p w14:paraId="6C00348D">
      <w:pPr>
        <w:wordWrap w:val="0"/>
        <w:spacing w:line="360" w:lineRule="auto"/>
        <w:ind w:firstLine="420" w:firstLineChars="200"/>
        <w:rPr>
          <w:rFonts w:ascii="宋体" w:hAnsi="宋体" w:cs="宋体"/>
          <w:color w:val="auto"/>
          <w:sz w:val="21"/>
          <w:szCs w:val="21"/>
          <w:highlight w:val="none"/>
        </w:rPr>
      </w:pPr>
      <w:bookmarkStart w:id="66" w:name="_Toc260907973"/>
      <w:bookmarkStart w:id="67" w:name="_Toc260908189"/>
      <w:bookmarkStart w:id="68" w:name="_Toc229583203"/>
      <w:r>
        <w:rPr>
          <w:rFonts w:hint="eastAsia" w:ascii="宋体" w:hAnsi="宋体" w:cs="宋体"/>
          <w:color w:val="auto"/>
          <w:sz w:val="21"/>
          <w:szCs w:val="21"/>
          <w:highlight w:val="none"/>
        </w:rPr>
        <w:t>2.3.1采购人、采购代理机构可以对已发出的招标文件进行必要的澄清或者修改，并在原公告发布媒体上发布澄清公告，澄清或者修改的内容作为招标文件的组成部分。</w:t>
      </w:r>
    </w:p>
    <w:p w14:paraId="0AD2512F">
      <w:pPr>
        <w:widowControl w:val="0"/>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2.3.2投标人应仔细阅读和检查招标文件的全部内容。如发现缺页或附件不全，应在投标文件递交截止时间至少10日前向采购人提出询问，以便采购人补齐。如有疑问，投标人可在</w:t>
      </w:r>
      <w:r>
        <w:rPr>
          <w:rFonts w:hint="eastAsia" w:ascii="宋体" w:hAnsi="宋体" w:cs="宋体"/>
          <w:color w:val="auto"/>
          <w:sz w:val="21"/>
          <w:szCs w:val="21"/>
          <w:highlight w:val="none"/>
          <w:lang w:val="en-US" w:eastAsia="zh-CN"/>
        </w:rPr>
        <w:t>投标文件递交截止时间至少10日前以书面形式</w:t>
      </w:r>
      <w:r>
        <w:rPr>
          <w:rFonts w:hint="eastAsia" w:ascii="宋体" w:hAnsi="宋体" w:cs="宋体"/>
          <w:color w:val="auto"/>
          <w:sz w:val="21"/>
          <w:szCs w:val="21"/>
          <w:highlight w:val="none"/>
        </w:rPr>
        <w:t>向采购人或采购代理机构进行询问、质疑，要求采购人对招标文件予以澄清。澄清或者修改的内容可能影响投标文件编制的，采购人或者采购代理机构将当在投标截止时间至少15日前，以书面形式通知所有获取招标文件的潜在投标人；不足15日的，采购人或者采购代理机构将顺延提交投标文件的截止时间。</w:t>
      </w:r>
    </w:p>
    <w:p w14:paraId="70B915BB">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2.3.3招标文件的修改将在“云南省政府采购网（网址：http://www.yngp.com/）”发布，招标文件的修改作为招标文件的组成部分，并具有约束力。</w:t>
      </w:r>
    </w:p>
    <w:p w14:paraId="67D508DE">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2.3.4招标文件澄清、招标文件修改文件内容均以网上电子文件为准，当招标文件、招标文件澄清、招标文件修改文件内容后前相互矛盾时，以最新发布的招标文件为准。</w:t>
      </w:r>
    </w:p>
    <w:p w14:paraId="29B01B82">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2.3.</w:t>
      </w:r>
      <w:r>
        <w:rPr>
          <w:rFonts w:ascii="宋体" w:hAnsi="宋体" w:cs="宋体"/>
          <w:color w:val="auto"/>
          <w:sz w:val="21"/>
          <w:szCs w:val="21"/>
          <w:highlight w:val="none"/>
        </w:rPr>
        <w:t>5</w:t>
      </w:r>
      <w:r>
        <w:rPr>
          <w:rFonts w:hint="eastAsia" w:ascii="宋体" w:hAnsi="宋体" w:cs="宋体"/>
          <w:color w:val="auto"/>
          <w:sz w:val="21"/>
          <w:szCs w:val="21"/>
          <w:highlight w:val="none"/>
        </w:rPr>
        <w:t>投标截止时间：见投标人须知前附表。</w:t>
      </w:r>
    </w:p>
    <w:p w14:paraId="22CCDB8F">
      <w:pPr>
        <w:rPr>
          <w:rFonts w:hint="eastAsia" w:ascii="宋体" w:hAnsi="宋体" w:eastAsia="宋体"/>
          <w:color w:val="auto"/>
          <w:highlight w:val="none"/>
          <w:lang w:val="zh-CN"/>
        </w:rPr>
      </w:pPr>
      <w:bookmarkStart w:id="69" w:name="_Toc8217"/>
      <w:r>
        <w:rPr>
          <w:rFonts w:hint="eastAsia" w:ascii="宋体" w:hAnsi="宋体" w:eastAsia="宋体"/>
          <w:color w:val="auto"/>
          <w:highlight w:val="none"/>
          <w:lang w:val="zh-CN"/>
        </w:rPr>
        <w:br w:type="page"/>
      </w:r>
    </w:p>
    <w:p w14:paraId="4D1CEF8B">
      <w:pPr>
        <w:pStyle w:val="3"/>
        <w:widowControl w:val="0"/>
        <w:spacing w:before="240" w:after="240" w:line="360" w:lineRule="auto"/>
        <w:jc w:val="center"/>
        <w:rPr>
          <w:rFonts w:ascii="宋体" w:hAnsi="宋体" w:eastAsia="宋体"/>
          <w:color w:val="auto"/>
          <w:highlight w:val="none"/>
          <w:lang w:val="zh-CN"/>
        </w:rPr>
      </w:pPr>
      <w:r>
        <w:rPr>
          <w:rFonts w:hint="eastAsia" w:ascii="宋体" w:hAnsi="宋体" w:eastAsia="宋体"/>
          <w:color w:val="auto"/>
          <w:highlight w:val="none"/>
          <w:lang w:val="zh-CN"/>
        </w:rPr>
        <w:t>（三）投标文件</w:t>
      </w:r>
      <w:bookmarkEnd w:id="66"/>
      <w:bookmarkEnd w:id="67"/>
      <w:bookmarkEnd w:id="68"/>
      <w:bookmarkEnd w:id="69"/>
    </w:p>
    <w:p w14:paraId="1F2FE198">
      <w:pPr>
        <w:pStyle w:val="150"/>
        <w:widowControl/>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3.1 投标文件的组成</w:t>
      </w:r>
    </w:p>
    <w:p w14:paraId="1B6A2490">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投标文件全部采用电子文档，由资格审查部分、投标函部分、投标报价部分、技术、商务部分组成。具体内容及格式详见招标文件第七章“投标文件格式”。</w:t>
      </w:r>
    </w:p>
    <w:p w14:paraId="7DEA8DDB">
      <w:pPr>
        <w:pStyle w:val="150"/>
        <w:widowControl/>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3.2 投标报价</w:t>
      </w:r>
    </w:p>
    <w:p w14:paraId="1CEB233E">
      <w:pPr>
        <w:wordWrap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3.2.1投标报价方式：详见“投标人须知前附表”。</w:t>
      </w:r>
    </w:p>
    <w:p w14:paraId="60B7F2FE">
      <w:pPr>
        <w:wordWrap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3.2.2</w:t>
      </w:r>
      <w:r>
        <w:rPr>
          <w:rFonts w:hint="eastAsia" w:ascii="宋体" w:hAnsi="宋体"/>
          <w:color w:val="auto"/>
          <w:sz w:val="21"/>
          <w:szCs w:val="21"/>
          <w:highlight w:val="none"/>
        </w:rPr>
        <w:t>投标人应综合考虑结算限价、市场行情及自身情况后合理填报价格，并能保证投标人完成履行合同所需的一切工作，包含</w:t>
      </w:r>
      <w:r>
        <w:rPr>
          <w:rFonts w:hint="eastAsia" w:ascii="宋体" w:hAnsi="宋体"/>
          <w:color w:val="auto"/>
          <w:sz w:val="21"/>
          <w:szCs w:val="21"/>
          <w:highlight w:val="none"/>
          <w:lang w:val="en-US" w:eastAsia="zh-CN"/>
        </w:rPr>
        <w:t>遗体接运（往返）、遗体包扎（含尸袋）、遗体火化费、提供卫生石棉垫、遗物处理卫生、骨灰盒一个、红布两块、现场引导服务、骨灰送回公墓（往返）等费用</w:t>
      </w:r>
      <w:r>
        <w:rPr>
          <w:rFonts w:hint="eastAsia" w:ascii="宋体" w:hAnsi="宋体"/>
          <w:color w:val="auto"/>
          <w:sz w:val="21"/>
          <w:szCs w:val="21"/>
          <w:highlight w:val="none"/>
        </w:rPr>
        <w:t>，并承担合同中的一切责任</w:t>
      </w:r>
      <w:r>
        <w:rPr>
          <w:rFonts w:hint="eastAsia" w:ascii="宋体" w:hAnsi="宋体" w:cs="宋体"/>
          <w:color w:val="auto"/>
          <w:sz w:val="21"/>
          <w:szCs w:val="21"/>
          <w:highlight w:val="none"/>
        </w:rPr>
        <w:t>。</w:t>
      </w:r>
    </w:p>
    <w:p w14:paraId="3DE54D01">
      <w:pPr>
        <w:wordWrap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投标人应依据招标文件的要求及有关资料，按国家或行业现行技术经济标准、定额及规范，自行测算出满足招标服务要求的投标报价。投标报价应包括完成本项目招标文件及合同协议书中约定的所有工作内容可能发生的全部费用。投标人需充分考虑各种不确定因素进行报价，包括物价水平、人员工资调整、市场风险、政策性风险等因素。</w:t>
      </w:r>
    </w:p>
    <w:p w14:paraId="045F099C">
      <w:pPr>
        <w:wordWrap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3.2.4投标人应综合考虑最高投标限价、市场行情及自身情况后合理填报价格，并能保证投标人完成履行合同所需的一切工作，并承担合同中明示和暗示的一切责任；合同一旦签订，合同价格在合同实施期间将不因工作量及市场设备材料价格的变化而调整。</w:t>
      </w:r>
    </w:p>
    <w:p w14:paraId="53FAEF07">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w:t>
      </w:r>
      <w:r>
        <w:rPr>
          <w:rFonts w:hint="eastAsia" w:ascii="宋体" w:hAnsi="宋体" w:cs="宋体"/>
          <w:color w:val="auto"/>
          <w:sz w:val="21"/>
          <w:szCs w:val="21"/>
          <w:highlight w:val="none"/>
          <w:lang w:val="en-US" w:eastAsia="zh-CN"/>
        </w:rPr>
        <w:t>5</w:t>
      </w:r>
      <w:r>
        <w:rPr>
          <w:rFonts w:hint="eastAsia" w:ascii="宋体" w:hAnsi="宋体"/>
          <w:color w:val="auto"/>
          <w:sz w:val="21"/>
          <w:szCs w:val="21"/>
          <w:highlight w:val="none"/>
        </w:rPr>
        <w:t>本项目设结算限价，</w:t>
      </w:r>
      <w:r>
        <w:rPr>
          <w:rFonts w:hint="eastAsia" w:ascii="宋体" w:hAnsi="宋体"/>
          <w:color w:val="auto"/>
          <w:sz w:val="21"/>
          <w:szCs w:val="21"/>
          <w:highlight w:val="none"/>
          <w:lang w:val="en-US" w:eastAsia="zh-CN"/>
        </w:rPr>
        <w:t>预算金额</w:t>
      </w:r>
      <w:r>
        <w:rPr>
          <w:rFonts w:hint="eastAsia" w:ascii="宋体" w:hAnsi="宋体"/>
          <w:color w:val="auto"/>
          <w:sz w:val="21"/>
          <w:szCs w:val="21"/>
          <w:highlight w:val="none"/>
        </w:rPr>
        <w:t>即为结算限价，</w:t>
      </w:r>
      <w:r>
        <w:rPr>
          <w:rFonts w:hint="eastAsia" w:ascii="宋体" w:hAnsi="宋体"/>
          <w:color w:val="auto"/>
          <w:sz w:val="21"/>
          <w:szCs w:val="21"/>
          <w:highlight w:val="none"/>
          <w:lang w:val="en-US" w:eastAsia="zh-CN"/>
        </w:rPr>
        <w:t>合同履行过程中，实际结算金额达到249.457万元时，视为本项目合同内容全部履行完毕；本项目服务期限至2024年12月31日，至服务期限终止，若实际结算金额未达到249.457万元，以实际完成内容进行结算，本项目合同内容也视为履行完毕。</w:t>
      </w:r>
    </w:p>
    <w:p w14:paraId="2FD60E19">
      <w:pPr>
        <w:pStyle w:val="150"/>
        <w:widowControl/>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3.3 投标有效期</w:t>
      </w:r>
    </w:p>
    <w:p w14:paraId="34E6B9FA">
      <w:pPr>
        <w:wordWrap w:val="0"/>
        <w:spacing w:line="360" w:lineRule="auto"/>
        <w:ind w:left="200" w:leftChars="100" w:firstLine="403" w:firstLineChars="192"/>
        <w:rPr>
          <w:rFonts w:ascii="宋体" w:hAnsi="宋体" w:cs="宋体"/>
          <w:color w:val="auto"/>
          <w:sz w:val="21"/>
          <w:szCs w:val="21"/>
          <w:highlight w:val="none"/>
        </w:rPr>
      </w:pPr>
      <w:r>
        <w:rPr>
          <w:rFonts w:hint="eastAsia" w:ascii="宋体" w:hAnsi="宋体" w:cs="宋体"/>
          <w:color w:val="auto"/>
          <w:sz w:val="21"/>
          <w:szCs w:val="21"/>
          <w:highlight w:val="none"/>
        </w:rPr>
        <w:t>3.3.1</w:t>
      </w:r>
      <w:r>
        <w:rPr>
          <w:rFonts w:hint="eastAsia" w:ascii="宋体" w:hAnsi="宋体"/>
          <w:color w:val="auto"/>
          <w:sz w:val="21"/>
          <w:szCs w:val="21"/>
          <w:highlight w:val="none"/>
        </w:rPr>
        <w:t>在投标人须知前附表规定的投标有效期内，投标人不得要求撤销或修改其投标文件</w:t>
      </w:r>
      <w:r>
        <w:rPr>
          <w:rFonts w:hint="eastAsia" w:ascii="宋体" w:hAnsi="宋体" w:cs="宋体"/>
          <w:color w:val="auto"/>
          <w:sz w:val="21"/>
          <w:szCs w:val="21"/>
          <w:highlight w:val="none"/>
        </w:rPr>
        <w:t>。投标文件中承诺的投标有效期应当不少于招标文件载明的投标有效期。</w:t>
      </w:r>
    </w:p>
    <w:p w14:paraId="63D810B7">
      <w:pPr>
        <w:wordWrap w:val="0"/>
        <w:spacing w:line="360" w:lineRule="auto"/>
        <w:ind w:left="200" w:leftChars="100" w:firstLine="403" w:firstLineChars="192"/>
        <w:rPr>
          <w:rFonts w:ascii="宋体" w:hAnsi="宋体" w:cs="宋体"/>
          <w:color w:val="auto"/>
          <w:sz w:val="21"/>
          <w:szCs w:val="21"/>
          <w:highlight w:val="none"/>
        </w:rPr>
      </w:pPr>
      <w:r>
        <w:rPr>
          <w:rFonts w:hint="eastAsia" w:ascii="宋体" w:hAnsi="宋体" w:cs="宋体"/>
          <w:color w:val="auto"/>
          <w:sz w:val="21"/>
          <w:szCs w:val="21"/>
          <w:highlight w:val="none"/>
        </w:rPr>
        <w:t>3.3.2在投标有效期内,投标人撤销或修改其投标文件的,应承担招标文件和法律规定的责任.</w:t>
      </w:r>
    </w:p>
    <w:p w14:paraId="51FE0A9C">
      <w:pPr>
        <w:wordWrap w:val="0"/>
        <w:spacing w:line="360" w:lineRule="auto"/>
        <w:ind w:left="200" w:leftChars="100" w:firstLine="403" w:firstLineChars="192"/>
        <w:rPr>
          <w:rFonts w:ascii="宋体" w:hAnsi="宋体" w:cs="宋体"/>
          <w:color w:val="auto"/>
          <w:sz w:val="21"/>
          <w:szCs w:val="21"/>
          <w:highlight w:val="none"/>
        </w:rPr>
      </w:pPr>
      <w:r>
        <w:rPr>
          <w:rFonts w:hint="eastAsia" w:ascii="宋体" w:hAnsi="宋体" w:cs="宋体"/>
          <w:color w:val="auto"/>
          <w:sz w:val="21"/>
          <w:szCs w:val="21"/>
          <w:highlight w:val="none"/>
        </w:rPr>
        <w:t>3.3.3出现特殊情况需要延长投标有效期的，采购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53D10519">
      <w:pPr>
        <w:pStyle w:val="150"/>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3.4 投标保证金</w:t>
      </w:r>
    </w:p>
    <w:p w14:paraId="4D4B92D8">
      <w:pPr>
        <w:wordWrap w:val="0"/>
        <w:spacing w:line="348" w:lineRule="auto"/>
        <w:ind w:firstLine="420" w:firstLineChars="200"/>
        <w:rPr>
          <w:rFonts w:ascii="宋体" w:hAnsi="宋体"/>
          <w:color w:val="auto"/>
          <w:sz w:val="21"/>
          <w:szCs w:val="21"/>
          <w:highlight w:val="none"/>
        </w:rPr>
      </w:pPr>
      <w:r>
        <w:rPr>
          <w:rFonts w:hint="eastAsia" w:ascii="宋体" w:hAnsi="宋体"/>
          <w:color w:val="auto"/>
          <w:sz w:val="21"/>
          <w:szCs w:val="21"/>
          <w:highlight w:val="none"/>
          <w:lang w:val="en-US" w:eastAsia="zh-CN"/>
        </w:rPr>
        <w:t>无</w:t>
      </w:r>
      <w:r>
        <w:rPr>
          <w:rFonts w:hint="eastAsia" w:ascii="宋体" w:hAnsi="宋体"/>
          <w:color w:val="auto"/>
          <w:sz w:val="21"/>
          <w:szCs w:val="21"/>
          <w:highlight w:val="none"/>
        </w:rPr>
        <w:t>。</w:t>
      </w:r>
    </w:p>
    <w:p w14:paraId="4F8C83D1">
      <w:pPr>
        <w:pStyle w:val="150"/>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3.5投标文件的编制</w:t>
      </w:r>
    </w:p>
    <w:p w14:paraId="572007AC">
      <w:pPr>
        <w:widowControl w:val="0"/>
        <w:spacing w:line="324" w:lineRule="auto"/>
        <w:ind w:firstLine="420" w:firstLineChars="200"/>
        <w:rPr>
          <w:rFonts w:ascii="宋体" w:hAnsi="宋体"/>
          <w:color w:val="auto"/>
          <w:sz w:val="21"/>
          <w:szCs w:val="21"/>
          <w:highlight w:val="none"/>
        </w:rPr>
      </w:pPr>
      <w:bookmarkStart w:id="70" w:name="_Toc260908190"/>
      <w:bookmarkStart w:id="71" w:name="_Toc229583204"/>
      <w:bookmarkStart w:id="72" w:name="_Toc260907974"/>
      <w:r>
        <w:rPr>
          <w:rFonts w:hint="eastAsia" w:ascii="宋体" w:hAnsi="宋体"/>
          <w:color w:val="auto"/>
          <w:sz w:val="21"/>
          <w:szCs w:val="21"/>
          <w:highlight w:val="none"/>
        </w:rPr>
        <w:t>3.</w:t>
      </w:r>
      <w:r>
        <w:rPr>
          <w:rFonts w:ascii="宋体" w:hAnsi="宋体"/>
          <w:color w:val="auto"/>
          <w:sz w:val="21"/>
          <w:szCs w:val="21"/>
          <w:highlight w:val="none"/>
        </w:rPr>
        <w:t>5</w:t>
      </w:r>
      <w:r>
        <w:rPr>
          <w:rFonts w:hint="eastAsia" w:ascii="宋体" w:hAnsi="宋体"/>
          <w:color w:val="auto"/>
          <w:sz w:val="21"/>
          <w:szCs w:val="21"/>
          <w:highlight w:val="none"/>
        </w:rPr>
        <w:t>.1投标文件应按第七章“投标文件格式”进行编写，如有必要，可以增加附页，作为投标文件的组成部分。其中，投标函附录在满足招标文件实质性要求的基础上，可以提出比招标文件要求更有利于采购人的承诺。</w:t>
      </w:r>
    </w:p>
    <w:p w14:paraId="3FB9F11B">
      <w:p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5</w:t>
      </w:r>
      <w:r>
        <w:rPr>
          <w:rFonts w:hint="eastAsia" w:ascii="宋体" w:hAnsi="宋体"/>
          <w:color w:val="auto"/>
          <w:sz w:val="21"/>
          <w:szCs w:val="21"/>
          <w:highlight w:val="none"/>
        </w:rPr>
        <w:t>.2投标文件应当对招标文件有关合同履</w:t>
      </w:r>
      <w:r>
        <w:rPr>
          <w:rFonts w:hint="eastAsia" w:ascii="宋体" w:hAnsi="宋体"/>
          <w:color w:val="auto"/>
          <w:sz w:val="21"/>
          <w:szCs w:val="21"/>
          <w:highlight w:val="none"/>
          <w:lang w:val="en-US" w:eastAsia="zh-CN"/>
        </w:rPr>
        <w:t>约</w:t>
      </w:r>
      <w:r>
        <w:rPr>
          <w:rFonts w:hint="eastAsia" w:ascii="宋体" w:hAnsi="宋体"/>
          <w:color w:val="auto"/>
          <w:sz w:val="21"/>
          <w:szCs w:val="21"/>
          <w:highlight w:val="none"/>
        </w:rPr>
        <w:t>期限、投标有效期、</w:t>
      </w:r>
      <w:r>
        <w:rPr>
          <w:rFonts w:hint="eastAsia" w:ascii="宋体" w:hAnsi="宋体"/>
          <w:color w:val="auto"/>
          <w:sz w:val="21"/>
          <w:szCs w:val="21"/>
          <w:highlight w:val="none"/>
          <w:lang w:val="en-US" w:eastAsia="zh-CN"/>
        </w:rPr>
        <w:t>服务</w:t>
      </w:r>
      <w:r>
        <w:rPr>
          <w:rFonts w:hint="eastAsia" w:ascii="宋体" w:hAnsi="宋体"/>
          <w:color w:val="auto"/>
          <w:sz w:val="21"/>
          <w:szCs w:val="21"/>
          <w:highlight w:val="none"/>
        </w:rPr>
        <w:t>地点、采购范围等实质性内容作出响应。</w:t>
      </w:r>
    </w:p>
    <w:p w14:paraId="608447F9">
      <w:pPr>
        <w:wordWrap w:val="0"/>
        <w:spacing w:line="360" w:lineRule="auto"/>
        <w:ind w:firstLine="420" w:firstLineChars="200"/>
        <w:rPr>
          <w:rFonts w:ascii="宋体" w:hAnsi="宋体"/>
          <w:color w:val="auto"/>
          <w:sz w:val="21"/>
          <w:szCs w:val="21"/>
          <w:highlight w:val="none"/>
        </w:rPr>
      </w:pPr>
    </w:p>
    <w:p w14:paraId="2F100FDA">
      <w:pPr>
        <w:pStyle w:val="3"/>
        <w:widowControl w:val="0"/>
        <w:spacing w:before="240" w:after="240" w:line="360" w:lineRule="auto"/>
        <w:jc w:val="center"/>
        <w:rPr>
          <w:rFonts w:ascii="宋体" w:hAnsi="宋体" w:eastAsia="宋体"/>
          <w:color w:val="auto"/>
          <w:highlight w:val="none"/>
          <w:lang w:val="zh-CN"/>
        </w:rPr>
      </w:pPr>
      <w:bookmarkStart w:id="73" w:name="_Toc11203"/>
      <w:r>
        <w:rPr>
          <w:rFonts w:hint="eastAsia" w:ascii="宋体" w:hAnsi="宋体" w:eastAsia="宋体"/>
          <w:color w:val="auto"/>
          <w:highlight w:val="none"/>
          <w:lang w:val="zh-CN"/>
        </w:rPr>
        <w:t>（四）投标</w:t>
      </w:r>
      <w:bookmarkEnd w:id="70"/>
      <w:bookmarkEnd w:id="71"/>
      <w:bookmarkEnd w:id="72"/>
      <w:bookmarkEnd w:id="73"/>
    </w:p>
    <w:p w14:paraId="72240378">
      <w:pPr>
        <w:pStyle w:val="150"/>
        <w:widowControl/>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4.1投标文件的密封和标识</w:t>
      </w:r>
    </w:p>
    <w:p w14:paraId="0381CB3C">
      <w:pPr>
        <w:keepNext/>
        <w:keepLines/>
        <w:wordWrap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4.1.1</w:t>
      </w:r>
      <w:r>
        <w:rPr>
          <w:rFonts w:hint="eastAsia"/>
          <w:color w:val="auto"/>
          <w:sz w:val="21"/>
          <w:szCs w:val="21"/>
          <w:highlight w:val="none"/>
          <w:lang w:val="en-US" w:eastAsia="zh-CN"/>
        </w:rPr>
        <w:t>投标人</w:t>
      </w:r>
      <w:r>
        <w:rPr>
          <w:rFonts w:hint="eastAsia"/>
          <w:color w:val="auto"/>
          <w:sz w:val="21"/>
          <w:szCs w:val="21"/>
          <w:highlight w:val="none"/>
        </w:rPr>
        <w:t>进行电子交易应安装客户端软件—“政采云电子交易客户端”，并按照</w:t>
      </w:r>
      <w:r>
        <w:rPr>
          <w:rFonts w:hint="eastAsia"/>
          <w:color w:val="auto"/>
          <w:sz w:val="21"/>
          <w:szCs w:val="21"/>
          <w:highlight w:val="none"/>
          <w:lang w:val="en-US" w:eastAsia="zh-CN"/>
        </w:rPr>
        <w:t>招标</w:t>
      </w:r>
      <w:r>
        <w:rPr>
          <w:rFonts w:hint="eastAsia"/>
          <w:color w:val="auto"/>
          <w:sz w:val="21"/>
          <w:szCs w:val="21"/>
          <w:highlight w:val="none"/>
        </w:rPr>
        <w:t>文件和电子交易平台的要求编制并加密</w:t>
      </w:r>
      <w:r>
        <w:rPr>
          <w:rFonts w:hint="eastAsia"/>
          <w:color w:val="auto"/>
          <w:sz w:val="21"/>
          <w:szCs w:val="21"/>
          <w:highlight w:val="none"/>
          <w:lang w:val="en-US" w:eastAsia="zh-CN"/>
        </w:rPr>
        <w:t>投标</w:t>
      </w:r>
      <w:r>
        <w:rPr>
          <w:rFonts w:hint="eastAsia"/>
          <w:color w:val="auto"/>
          <w:sz w:val="21"/>
          <w:szCs w:val="21"/>
          <w:highlight w:val="none"/>
        </w:rPr>
        <w:t>文件。</w:t>
      </w:r>
      <w:r>
        <w:rPr>
          <w:rFonts w:hint="eastAsia"/>
          <w:color w:val="auto"/>
          <w:sz w:val="21"/>
          <w:szCs w:val="21"/>
          <w:highlight w:val="none"/>
          <w:lang w:val="en-US" w:eastAsia="zh-CN"/>
        </w:rPr>
        <w:t>投标人</w:t>
      </w:r>
      <w:r>
        <w:rPr>
          <w:rFonts w:hint="eastAsia"/>
          <w:color w:val="auto"/>
          <w:sz w:val="21"/>
          <w:szCs w:val="21"/>
          <w:highlight w:val="none"/>
        </w:rPr>
        <w:t>未按规定加密的</w:t>
      </w:r>
      <w:r>
        <w:rPr>
          <w:rFonts w:hint="eastAsia"/>
          <w:color w:val="auto"/>
          <w:sz w:val="21"/>
          <w:szCs w:val="21"/>
          <w:highlight w:val="none"/>
          <w:lang w:val="en-US" w:eastAsia="zh-CN"/>
        </w:rPr>
        <w:t>投标</w:t>
      </w:r>
      <w:r>
        <w:rPr>
          <w:rFonts w:hint="eastAsia"/>
          <w:color w:val="auto"/>
          <w:sz w:val="21"/>
          <w:szCs w:val="21"/>
          <w:highlight w:val="none"/>
        </w:rPr>
        <w:t>文件，电子交易平台将拒收并提示</w:t>
      </w:r>
      <w:r>
        <w:rPr>
          <w:rFonts w:hint="eastAsia" w:ascii="宋体" w:hAnsi="宋体"/>
          <w:color w:val="auto"/>
          <w:sz w:val="21"/>
          <w:szCs w:val="21"/>
          <w:highlight w:val="none"/>
        </w:rPr>
        <w:t>。</w:t>
      </w:r>
    </w:p>
    <w:p w14:paraId="09089B47">
      <w:pPr>
        <w:pStyle w:val="16"/>
        <w:ind w:firstLine="420" w:firstLineChars="200"/>
        <w:rPr>
          <w:rFonts w:hint="eastAsia"/>
          <w:color w:val="auto"/>
          <w:sz w:val="21"/>
          <w:szCs w:val="21"/>
          <w:highlight w:val="none"/>
          <w:lang w:eastAsia="zh-CN"/>
        </w:rPr>
      </w:pPr>
      <w:r>
        <w:rPr>
          <w:rFonts w:hint="eastAsia" w:ascii="宋体" w:hAnsi="宋体"/>
          <w:color w:val="auto"/>
          <w:sz w:val="21"/>
          <w:szCs w:val="21"/>
          <w:highlight w:val="none"/>
          <w:lang w:val="en-US" w:eastAsia="zh-CN"/>
        </w:rPr>
        <w:t>4.1.2</w:t>
      </w:r>
      <w:r>
        <w:rPr>
          <w:rFonts w:hint="eastAsia"/>
          <w:color w:val="auto"/>
          <w:sz w:val="21"/>
          <w:szCs w:val="21"/>
          <w:highlight w:val="none"/>
        </w:rPr>
        <w:t>使用“政采云投标客户端”需要提前申领</w:t>
      </w:r>
      <w:r>
        <w:rPr>
          <w:rFonts w:hint="eastAsia"/>
          <w:color w:val="auto"/>
          <w:sz w:val="21"/>
          <w:szCs w:val="21"/>
          <w:highlight w:val="none"/>
          <w:lang w:val="en-US" w:eastAsia="zh-CN"/>
        </w:rPr>
        <w:t>数字证书（CA）</w:t>
      </w:r>
      <w:r>
        <w:rPr>
          <w:rFonts w:hint="eastAsia"/>
          <w:color w:val="auto"/>
          <w:sz w:val="21"/>
          <w:szCs w:val="21"/>
          <w:highlight w:val="none"/>
        </w:rPr>
        <w:t>，申领流程见该项目采购公告附件</w:t>
      </w:r>
      <w:r>
        <w:rPr>
          <w:rFonts w:hint="eastAsia"/>
          <w:color w:val="auto"/>
          <w:sz w:val="21"/>
          <w:szCs w:val="21"/>
          <w:highlight w:val="none"/>
          <w:lang w:eastAsia="zh-CN"/>
        </w:rPr>
        <w:t>“</w:t>
      </w:r>
      <w:r>
        <w:rPr>
          <w:rFonts w:hint="eastAsia"/>
          <w:color w:val="auto"/>
          <w:sz w:val="21"/>
          <w:szCs w:val="21"/>
          <w:highlight w:val="none"/>
          <w:lang w:val="en-US" w:eastAsia="zh-CN"/>
        </w:rPr>
        <w:t>温馨提示</w:t>
      </w:r>
      <w:r>
        <w:rPr>
          <w:rFonts w:hint="eastAsia"/>
          <w:color w:val="auto"/>
          <w:sz w:val="21"/>
          <w:szCs w:val="21"/>
          <w:highlight w:val="none"/>
          <w:lang w:eastAsia="zh-CN"/>
        </w:rPr>
        <w:t>”。</w:t>
      </w:r>
    </w:p>
    <w:p w14:paraId="07B09EB5">
      <w:pPr>
        <w:keepNext/>
        <w:keepLines/>
        <w:wordWrap w:val="0"/>
        <w:spacing w:line="360" w:lineRule="auto"/>
        <w:ind w:firstLine="420" w:firstLineChars="200"/>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4.1.3为确保网上操作合法、有效和安全，投标人应当在投标文件提交截止时间前完成在“政府采购云平台”的身份认证，确保在电子交易过程中能够对相关数据电文进行加密和使用电子签名。</w:t>
      </w:r>
    </w:p>
    <w:p w14:paraId="4AAEC9A0">
      <w:pPr>
        <w:pStyle w:val="150"/>
        <w:widowControl/>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4.2投标文件的递交</w:t>
      </w:r>
    </w:p>
    <w:p w14:paraId="1106329D">
      <w:pPr>
        <w:keepNext/>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w:t>
      </w:r>
      <w:r>
        <w:rPr>
          <w:rFonts w:ascii="宋体" w:hAnsi="宋体"/>
          <w:color w:val="auto"/>
          <w:sz w:val="21"/>
          <w:szCs w:val="21"/>
          <w:highlight w:val="none"/>
        </w:rPr>
        <w:t>.2.1</w:t>
      </w:r>
      <w:r>
        <w:rPr>
          <w:rFonts w:hint="eastAsia" w:ascii="宋体" w:hAnsi="宋体"/>
          <w:color w:val="auto"/>
          <w:sz w:val="21"/>
          <w:szCs w:val="21"/>
          <w:highlight w:val="none"/>
          <w:lang w:val="en-US" w:eastAsia="zh-CN"/>
        </w:rPr>
        <w:t>投标人</w:t>
      </w:r>
      <w:r>
        <w:rPr>
          <w:rFonts w:hint="eastAsia" w:ascii="宋体" w:hAnsi="宋体"/>
          <w:color w:val="auto"/>
          <w:sz w:val="21"/>
          <w:szCs w:val="21"/>
          <w:highlight w:val="none"/>
        </w:rPr>
        <w:t>应在</w:t>
      </w:r>
      <w:r>
        <w:rPr>
          <w:rFonts w:hint="eastAsia" w:ascii="宋体" w:hAnsi="宋体"/>
          <w:color w:val="auto"/>
          <w:sz w:val="21"/>
          <w:szCs w:val="21"/>
          <w:highlight w:val="none"/>
          <w:lang w:val="en-US" w:eastAsia="zh-CN"/>
        </w:rPr>
        <w:t>投标人</w:t>
      </w:r>
      <w:r>
        <w:rPr>
          <w:rFonts w:hint="eastAsia" w:ascii="宋体" w:hAnsi="宋体"/>
          <w:color w:val="auto"/>
          <w:sz w:val="21"/>
          <w:szCs w:val="21"/>
          <w:highlight w:val="none"/>
        </w:rPr>
        <w:t>须知前附表第</w:t>
      </w:r>
      <w:r>
        <w:rPr>
          <w:rFonts w:hint="eastAsia" w:ascii="宋体" w:hAnsi="宋体"/>
          <w:color w:val="auto"/>
          <w:sz w:val="21"/>
          <w:szCs w:val="21"/>
          <w:highlight w:val="none"/>
          <w:lang w:val="en-US" w:eastAsia="zh-CN"/>
        </w:rPr>
        <w:t>4.2.1</w:t>
      </w:r>
      <w:r>
        <w:rPr>
          <w:rFonts w:hint="eastAsia" w:ascii="宋体" w:hAnsi="宋体"/>
          <w:color w:val="auto"/>
          <w:sz w:val="21"/>
          <w:szCs w:val="21"/>
          <w:highlight w:val="none"/>
        </w:rPr>
        <w:t>项“提交投标文件的截止时间及地点”的规定前递交响应文件。</w:t>
      </w:r>
    </w:p>
    <w:p w14:paraId="112E61FD">
      <w:p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同时，投标人应自行下载已上传成功的投标文件，并进行查看、解密和核验投标文件，以确保上传投标文件的正确性。</w:t>
      </w:r>
    </w:p>
    <w:p w14:paraId="2500D8D3">
      <w:pPr>
        <w:wordWrap w:val="0"/>
        <w:spacing w:line="360" w:lineRule="auto"/>
        <w:ind w:firstLine="420" w:firstLineChars="200"/>
        <w:rPr>
          <w:rFonts w:hint="eastAsia"/>
          <w:color w:val="auto"/>
          <w:sz w:val="21"/>
          <w:szCs w:val="21"/>
          <w:highlight w:val="none"/>
        </w:rPr>
      </w:pPr>
      <w:r>
        <w:rPr>
          <w:rFonts w:hint="eastAsia" w:ascii="宋体" w:hAnsi="宋体"/>
          <w:color w:val="auto"/>
          <w:sz w:val="21"/>
          <w:szCs w:val="21"/>
          <w:highlight w:val="none"/>
        </w:rPr>
        <w:t>4</w:t>
      </w:r>
      <w:r>
        <w:rPr>
          <w:rFonts w:ascii="宋体" w:hAnsi="宋体"/>
          <w:color w:val="auto"/>
          <w:sz w:val="21"/>
          <w:szCs w:val="21"/>
          <w:highlight w:val="none"/>
        </w:rPr>
        <w:t>.2.2</w:t>
      </w:r>
      <w:r>
        <w:rPr>
          <w:rFonts w:hint="eastAsia"/>
          <w:color w:val="auto"/>
          <w:sz w:val="21"/>
          <w:szCs w:val="21"/>
          <w:highlight w:val="none"/>
        </w:rPr>
        <w:t>逾期</w:t>
      </w:r>
    </w:p>
    <w:p w14:paraId="241E9ECE">
      <w:pPr>
        <w:wordWrap w:val="0"/>
        <w:spacing w:line="360" w:lineRule="auto"/>
        <w:ind w:firstLine="420" w:firstLineChars="200"/>
        <w:rPr>
          <w:rFonts w:ascii="宋体" w:hAnsi="宋体"/>
          <w:color w:val="auto"/>
          <w:sz w:val="21"/>
          <w:szCs w:val="21"/>
          <w:highlight w:val="none"/>
        </w:rPr>
      </w:pPr>
      <w:r>
        <w:rPr>
          <w:rFonts w:hint="eastAsia"/>
          <w:color w:val="auto"/>
          <w:sz w:val="21"/>
          <w:szCs w:val="21"/>
          <w:highlight w:val="none"/>
        </w:rPr>
        <w:t>送达的或者未送达指定地点的</w:t>
      </w:r>
      <w:r>
        <w:rPr>
          <w:rFonts w:hint="eastAsia"/>
          <w:color w:val="auto"/>
          <w:sz w:val="21"/>
          <w:szCs w:val="21"/>
          <w:highlight w:val="none"/>
          <w:lang w:val="en-US" w:eastAsia="zh-CN"/>
        </w:rPr>
        <w:t>投标</w:t>
      </w:r>
      <w:r>
        <w:rPr>
          <w:rFonts w:hint="eastAsia"/>
          <w:color w:val="auto"/>
          <w:sz w:val="21"/>
          <w:szCs w:val="21"/>
          <w:highlight w:val="none"/>
        </w:rPr>
        <w:t>文件，采购人不予受理</w:t>
      </w:r>
      <w:r>
        <w:rPr>
          <w:rFonts w:hint="eastAsia" w:ascii="宋体" w:hAnsi="宋体"/>
          <w:color w:val="auto"/>
          <w:sz w:val="21"/>
          <w:szCs w:val="21"/>
          <w:highlight w:val="none"/>
        </w:rPr>
        <w:t>。</w:t>
      </w:r>
    </w:p>
    <w:p w14:paraId="75F7B461">
      <w:pPr>
        <w:pStyle w:val="150"/>
        <w:keepNext/>
        <w:keepLines/>
        <w:pageBreakBefore w:val="0"/>
        <w:widowControl w:val="0"/>
        <w:kinsoku/>
        <w:wordWrap/>
        <w:overflowPunct/>
        <w:topLinePunct w:val="0"/>
        <w:autoSpaceDE/>
        <w:autoSpaceDN/>
        <w:bidi w:val="0"/>
        <w:adjustRightInd/>
        <w:snapToGrid/>
        <w:spacing w:line="360" w:lineRule="auto"/>
        <w:textAlignment w:val="auto"/>
        <w:rPr>
          <w:rFonts w:ascii="宋体" w:hAnsi="宋体" w:eastAsia="宋体"/>
          <w:b/>
          <w:bCs/>
          <w:color w:val="auto"/>
          <w:highlight w:val="none"/>
          <w:lang w:val="zh-CN"/>
        </w:rPr>
      </w:pPr>
      <w:r>
        <w:rPr>
          <w:rFonts w:hint="eastAsia" w:ascii="宋体" w:hAnsi="宋体" w:eastAsia="宋体"/>
          <w:b/>
          <w:bCs/>
          <w:color w:val="auto"/>
          <w:highlight w:val="none"/>
          <w:lang w:val="zh-CN"/>
        </w:rPr>
        <w:t>4.3投标文件的修改与撤回</w:t>
      </w:r>
    </w:p>
    <w:p w14:paraId="6012798D">
      <w:pPr>
        <w:keepNext/>
        <w:pageBreakBefore w:val="0"/>
        <w:widowControl w:val="0"/>
        <w:kinsoku/>
        <w:wordWrap w:val="0"/>
        <w:overflowPunct/>
        <w:topLinePunct w:val="0"/>
        <w:autoSpaceDE/>
        <w:autoSpaceDN/>
        <w:bidi w:val="0"/>
        <w:adjustRightInd/>
        <w:snapToGrid/>
        <w:spacing w:line="360" w:lineRule="auto"/>
        <w:ind w:firstLine="472" w:firstLineChars="225"/>
        <w:textAlignment w:val="auto"/>
        <w:rPr>
          <w:rFonts w:ascii="宋体" w:hAnsi="宋体" w:cs="宋体"/>
          <w:color w:val="auto"/>
          <w:sz w:val="21"/>
          <w:szCs w:val="21"/>
          <w:highlight w:val="none"/>
        </w:rPr>
      </w:pPr>
      <w:bookmarkStart w:id="74" w:name="_Toc229583205"/>
      <w:bookmarkStart w:id="75" w:name="_Toc260907975"/>
      <w:bookmarkStart w:id="76" w:name="_Toc260908191"/>
      <w:r>
        <w:rPr>
          <w:rFonts w:hint="eastAsia" w:ascii="宋体" w:hAnsi="宋体" w:cs="宋体"/>
          <w:color w:val="auto"/>
          <w:sz w:val="21"/>
          <w:szCs w:val="21"/>
          <w:highlight w:val="none"/>
        </w:rPr>
        <w:t>4.3.1在投标截止时间前，投标人可以撤回在网上已递交的投标文件，修改后重新递交，无须书面形式通知采购人。</w:t>
      </w:r>
    </w:p>
    <w:p w14:paraId="4A8F19CD">
      <w:pPr>
        <w:pageBreakBefore w:val="0"/>
        <w:widowControl w:val="0"/>
        <w:kinsoku/>
        <w:wordWrap w:val="0"/>
        <w:overflowPunct/>
        <w:topLinePunct w:val="0"/>
        <w:autoSpaceDE/>
        <w:autoSpaceDN/>
        <w:bidi w:val="0"/>
        <w:adjustRightInd/>
        <w:snapToGrid/>
        <w:spacing w:line="360" w:lineRule="auto"/>
        <w:ind w:firstLine="472" w:firstLineChars="225"/>
        <w:textAlignment w:val="auto"/>
        <w:rPr>
          <w:rFonts w:ascii="宋体" w:hAnsi="宋体" w:cs="宋体"/>
          <w:color w:val="auto"/>
          <w:sz w:val="21"/>
          <w:szCs w:val="21"/>
          <w:highlight w:val="none"/>
        </w:rPr>
      </w:pPr>
      <w:r>
        <w:rPr>
          <w:rFonts w:hint="eastAsia" w:ascii="宋体" w:hAnsi="宋体" w:cs="宋体"/>
          <w:color w:val="auto"/>
          <w:sz w:val="21"/>
          <w:szCs w:val="21"/>
          <w:highlight w:val="none"/>
        </w:rPr>
        <w:t>4.3.2投标人撤回投标文件的，可在规定时间内申请退还已缴纳的投标保证金。</w:t>
      </w:r>
    </w:p>
    <w:p w14:paraId="1D98130A">
      <w:pPr>
        <w:pageBreakBefore w:val="0"/>
        <w:widowControl w:val="0"/>
        <w:kinsoku/>
        <w:wordWrap w:val="0"/>
        <w:overflowPunct/>
        <w:topLinePunct w:val="0"/>
        <w:autoSpaceDE/>
        <w:autoSpaceDN/>
        <w:bidi w:val="0"/>
        <w:adjustRightInd/>
        <w:snapToGrid/>
        <w:spacing w:line="360" w:lineRule="auto"/>
        <w:ind w:firstLine="472" w:firstLineChars="225"/>
        <w:textAlignment w:val="auto"/>
        <w:rPr>
          <w:rFonts w:ascii="宋体" w:hAnsi="宋体" w:cs="宋体"/>
          <w:color w:val="auto"/>
          <w:sz w:val="24"/>
          <w:szCs w:val="24"/>
          <w:highlight w:val="none"/>
        </w:rPr>
      </w:pPr>
      <w:r>
        <w:rPr>
          <w:rFonts w:hint="eastAsia" w:ascii="宋体" w:hAnsi="宋体" w:cs="宋体"/>
          <w:color w:val="auto"/>
          <w:sz w:val="21"/>
          <w:szCs w:val="21"/>
          <w:highlight w:val="none"/>
        </w:rPr>
        <w:t>4.3.3修改的投标文件应按照本章第3条、第4条规定进行编制、加密和递交。</w:t>
      </w:r>
    </w:p>
    <w:p w14:paraId="596A0E9B">
      <w:pPr>
        <w:pStyle w:val="3"/>
        <w:widowControl w:val="0"/>
        <w:spacing w:before="240" w:after="240" w:line="360" w:lineRule="auto"/>
        <w:jc w:val="center"/>
        <w:rPr>
          <w:rFonts w:ascii="宋体" w:hAnsi="宋体" w:eastAsia="宋体"/>
          <w:color w:val="auto"/>
          <w:highlight w:val="none"/>
          <w:lang w:val="zh-CN"/>
        </w:rPr>
      </w:pPr>
      <w:bookmarkStart w:id="77" w:name="_Toc12098"/>
      <w:r>
        <w:rPr>
          <w:rFonts w:hint="eastAsia" w:ascii="宋体" w:hAnsi="宋体" w:eastAsia="宋体"/>
          <w:color w:val="auto"/>
          <w:highlight w:val="none"/>
          <w:lang w:val="zh-CN"/>
        </w:rPr>
        <w:t>（五）开标</w:t>
      </w:r>
      <w:bookmarkEnd w:id="74"/>
      <w:bookmarkEnd w:id="75"/>
      <w:bookmarkEnd w:id="76"/>
      <w:bookmarkEnd w:id="77"/>
    </w:p>
    <w:p w14:paraId="726C5802">
      <w:pPr>
        <w:pStyle w:val="150"/>
        <w:widowControl/>
        <w:spacing w:line="360" w:lineRule="auto"/>
        <w:rPr>
          <w:rFonts w:ascii="宋体" w:hAnsi="宋体" w:eastAsia="宋体"/>
          <w:b/>
          <w:bCs/>
          <w:color w:val="auto"/>
          <w:highlight w:val="none"/>
          <w:lang w:val="zh-CN"/>
        </w:rPr>
      </w:pPr>
      <w:bookmarkStart w:id="78" w:name="_Toc179632577"/>
      <w:bookmarkStart w:id="79" w:name="_Toc378239082"/>
      <w:bookmarkStart w:id="80" w:name="_Toc152042335"/>
      <w:bookmarkStart w:id="81" w:name="_Toc246996203"/>
      <w:bookmarkStart w:id="82" w:name="_Toc378239355"/>
      <w:bookmarkStart w:id="83" w:name="_Toc29395"/>
      <w:bookmarkStart w:id="84" w:name="_Toc246996946"/>
      <w:bookmarkStart w:id="85" w:name="_Toc401342138"/>
      <w:bookmarkStart w:id="86" w:name="_Toc144974527"/>
      <w:bookmarkStart w:id="87" w:name="_Toc152045559"/>
      <w:bookmarkStart w:id="88" w:name="_Toc247085717"/>
      <w:bookmarkStart w:id="89" w:name="_Toc296602447"/>
      <w:bookmarkStart w:id="90" w:name="_Toc480817647"/>
      <w:bookmarkStart w:id="91" w:name="_Toc378239174"/>
      <w:r>
        <w:rPr>
          <w:rFonts w:hint="eastAsia" w:ascii="宋体" w:hAnsi="宋体" w:eastAsia="宋体"/>
          <w:b/>
          <w:bCs/>
          <w:color w:val="auto"/>
          <w:highlight w:val="none"/>
          <w:lang w:val="zh-CN"/>
        </w:rPr>
        <w:t>5.1 开标时间和地点</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75481EF4">
      <w:pPr>
        <w:widowControl w:val="0"/>
        <w:spacing w:line="360" w:lineRule="auto"/>
        <w:ind w:firstLine="472" w:firstLineChars="225"/>
        <w:rPr>
          <w:rFonts w:ascii="宋体" w:hAnsi="宋体" w:cs="宋体"/>
          <w:color w:val="auto"/>
          <w:sz w:val="21"/>
          <w:szCs w:val="21"/>
          <w:highlight w:val="none"/>
        </w:rPr>
      </w:pPr>
      <w:r>
        <w:rPr>
          <w:rFonts w:hint="eastAsia" w:ascii="宋体" w:hAnsi="宋体"/>
          <w:color w:val="auto"/>
          <w:sz w:val="21"/>
          <w:szCs w:val="21"/>
          <w:highlight w:val="none"/>
        </w:rPr>
        <w:t>5.1.1</w:t>
      </w:r>
      <w:bookmarkStart w:id="92" w:name="_Hlk47173580"/>
      <w:r>
        <w:rPr>
          <w:rFonts w:hint="eastAsia"/>
          <w:bCs/>
          <w:color w:val="auto"/>
          <w:sz w:val="21"/>
          <w:szCs w:val="21"/>
          <w:highlight w:val="none"/>
        </w:rPr>
        <w:t>采购人在按</w:t>
      </w:r>
      <w:r>
        <w:rPr>
          <w:rFonts w:hint="eastAsia"/>
          <w:bCs/>
          <w:color w:val="auto"/>
          <w:sz w:val="21"/>
          <w:szCs w:val="21"/>
          <w:highlight w:val="none"/>
          <w:lang w:val="en-US" w:eastAsia="zh-CN"/>
        </w:rPr>
        <w:t>投标人</w:t>
      </w:r>
      <w:r>
        <w:rPr>
          <w:rFonts w:hint="eastAsia"/>
          <w:bCs/>
          <w:color w:val="auto"/>
          <w:sz w:val="21"/>
          <w:szCs w:val="21"/>
          <w:highlight w:val="none"/>
        </w:rPr>
        <w:t>须知前附表规定的时间和地点进行</w:t>
      </w:r>
      <w:r>
        <w:rPr>
          <w:rFonts w:hint="eastAsia"/>
          <w:bCs/>
          <w:color w:val="auto"/>
          <w:sz w:val="21"/>
          <w:szCs w:val="21"/>
          <w:highlight w:val="none"/>
          <w:lang w:val="en-US" w:eastAsia="zh-CN"/>
        </w:rPr>
        <w:t>投标</w:t>
      </w:r>
      <w:r>
        <w:rPr>
          <w:rFonts w:hint="eastAsia"/>
          <w:bCs/>
          <w:color w:val="auto"/>
          <w:sz w:val="21"/>
          <w:szCs w:val="21"/>
          <w:highlight w:val="none"/>
        </w:rPr>
        <w:t>，并邀请所有</w:t>
      </w:r>
      <w:r>
        <w:rPr>
          <w:rFonts w:hint="eastAsia" w:ascii="宋体" w:hAnsi="宋体"/>
          <w:color w:val="auto"/>
          <w:sz w:val="21"/>
          <w:szCs w:val="21"/>
          <w:highlight w:val="none"/>
          <w:lang w:eastAsia="zh-CN"/>
        </w:rPr>
        <w:t>投标人</w:t>
      </w:r>
      <w:r>
        <w:rPr>
          <w:rFonts w:hint="eastAsia"/>
          <w:bCs/>
          <w:color w:val="auto"/>
          <w:sz w:val="21"/>
          <w:szCs w:val="21"/>
          <w:highlight w:val="none"/>
        </w:rPr>
        <w:t>的法定代表人或其委托代理人准时参加</w:t>
      </w:r>
      <w:r>
        <w:rPr>
          <w:rFonts w:hint="eastAsia" w:ascii="宋体" w:hAnsi="宋体" w:cs="宋体"/>
          <w:color w:val="auto"/>
          <w:sz w:val="21"/>
          <w:szCs w:val="21"/>
          <w:highlight w:val="none"/>
        </w:rPr>
        <w:t>。</w:t>
      </w:r>
    </w:p>
    <w:p w14:paraId="67F99390">
      <w:pPr>
        <w:pStyle w:val="150"/>
        <w:widowControl/>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5.</w:t>
      </w:r>
      <w:r>
        <w:rPr>
          <w:rFonts w:ascii="宋体" w:hAnsi="宋体" w:eastAsia="宋体"/>
          <w:b/>
          <w:bCs/>
          <w:color w:val="auto"/>
          <w:highlight w:val="none"/>
          <w:lang w:val="zh-CN"/>
        </w:rPr>
        <w:t>2</w:t>
      </w:r>
      <w:r>
        <w:rPr>
          <w:rFonts w:hint="eastAsia" w:ascii="宋体" w:hAnsi="宋体" w:eastAsia="宋体"/>
          <w:b/>
          <w:bCs/>
          <w:color w:val="auto"/>
          <w:highlight w:val="none"/>
          <w:lang w:val="zh-CN"/>
        </w:rPr>
        <w:t xml:space="preserve"> 开标程序</w:t>
      </w:r>
      <w:bookmarkEnd w:id="92"/>
    </w:p>
    <w:p w14:paraId="3231FC95">
      <w:pPr>
        <w:wordWrap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5.2.</w:t>
      </w:r>
      <w:r>
        <w:rPr>
          <w:rFonts w:hint="eastAsia" w:ascii="宋体" w:hAnsi="宋体"/>
          <w:color w:val="auto"/>
          <w:sz w:val="21"/>
          <w:szCs w:val="21"/>
          <w:highlight w:val="none"/>
        </w:rPr>
        <w:t>1若</w:t>
      </w:r>
      <w:r>
        <w:rPr>
          <w:rFonts w:hint="eastAsia" w:ascii="宋体" w:hAnsi="宋体"/>
          <w:color w:val="auto"/>
          <w:sz w:val="21"/>
          <w:szCs w:val="21"/>
          <w:highlight w:val="none"/>
          <w:lang w:val="en-US" w:eastAsia="zh-CN"/>
        </w:rPr>
        <w:t>投标人</w:t>
      </w:r>
      <w:r>
        <w:rPr>
          <w:rFonts w:hint="eastAsia" w:ascii="宋体" w:hAnsi="宋体"/>
          <w:color w:val="auto"/>
          <w:sz w:val="21"/>
          <w:szCs w:val="21"/>
          <w:highlight w:val="none"/>
        </w:rPr>
        <w:t>熟悉“政采云”相关投标程序，不到现场参加投标，应提前在自有场地配置可音视频通话（带摄像头及话筒的电脑）的相应设备及稳定网络环境，并按“政采云”开标大厅中的提示完成采购活动。</w:t>
      </w:r>
    </w:p>
    <w:p w14:paraId="02D29F0F">
      <w:pPr>
        <w:wordWrap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5.2.</w:t>
      </w:r>
      <w:r>
        <w:rPr>
          <w:rFonts w:hint="eastAsia" w:ascii="宋体" w:hAnsi="宋体"/>
          <w:color w:val="auto"/>
          <w:sz w:val="21"/>
          <w:szCs w:val="21"/>
          <w:highlight w:val="none"/>
        </w:rPr>
        <w:t>2采购人宣布开启电子投标（响应）文件后，投标人登陆“政采云”开标大厅，使用投标人编制投标（响应）文件时的加密数字证书对投标（响应）文件进行解密。</w:t>
      </w:r>
    </w:p>
    <w:p w14:paraId="326820F6">
      <w:p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lang w:val="en-US" w:eastAsia="zh-CN"/>
        </w:rPr>
        <w:t>5.2.</w:t>
      </w:r>
      <w:r>
        <w:rPr>
          <w:rFonts w:hint="eastAsia" w:ascii="宋体" w:hAnsi="宋体"/>
          <w:color w:val="auto"/>
          <w:sz w:val="21"/>
          <w:szCs w:val="21"/>
          <w:highlight w:val="none"/>
        </w:rPr>
        <w:t>.3评审程序详见第</w:t>
      </w:r>
      <w:r>
        <w:rPr>
          <w:rFonts w:hint="eastAsia" w:ascii="宋体" w:hAnsi="宋体"/>
          <w:color w:val="auto"/>
          <w:sz w:val="21"/>
          <w:szCs w:val="21"/>
          <w:highlight w:val="none"/>
          <w:lang w:val="en-US" w:eastAsia="zh-CN"/>
        </w:rPr>
        <w:t>四</w:t>
      </w:r>
      <w:r>
        <w:rPr>
          <w:rFonts w:hint="eastAsia" w:ascii="宋体" w:hAnsi="宋体"/>
          <w:color w:val="auto"/>
          <w:sz w:val="21"/>
          <w:szCs w:val="21"/>
          <w:highlight w:val="none"/>
        </w:rPr>
        <w:t>章</w:t>
      </w:r>
      <w:r>
        <w:rPr>
          <w:rFonts w:hint="eastAsia" w:ascii="宋体" w:hAnsi="宋体"/>
          <w:color w:val="auto"/>
          <w:sz w:val="21"/>
          <w:szCs w:val="21"/>
          <w:highlight w:val="none"/>
          <w:lang w:val="en-US" w:eastAsia="zh-CN"/>
        </w:rPr>
        <w:t>评标</w:t>
      </w:r>
      <w:r>
        <w:rPr>
          <w:rFonts w:hint="eastAsia" w:ascii="宋体" w:hAnsi="宋体"/>
          <w:color w:val="auto"/>
          <w:sz w:val="21"/>
          <w:szCs w:val="21"/>
          <w:highlight w:val="none"/>
        </w:rPr>
        <w:t>办法。</w:t>
      </w:r>
    </w:p>
    <w:p w14:paraId="32CDF797">
      <w:pPr>
        <w:pStyle w:val="150"/>
        <w:widowControl/>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5.</w:t>
      </w:r>
      <w:r>
        <w:rPr>
          <w:rFonts w:ascii="宋体" w:hAnsi="宋体" w:eastAsia="宋体"/>
          <w:b/>
          <w:bCs/>
          <w:color w:val="auto"/>
          <w:highlight w:val="none"/>
          <w:lang w:val="zh-CN"/>
        </w:rPr>
        <w:t>2</w:t>
      </w:r>
      <w:r>
        <w:rPr>
          <w:rFonts w:hint="eastAsia" w:ascii="宋体" w:hAnsi="宋体" w:eastAsia="宋体"/>
          <w:b/>
          <w:bCs/>
          <w:color w:val="auto"/>
          <w:highlight w:val="none"/>
          <w:lang w:val="zh-CN"/>
        </w:rPr>
        <w:t xml:space="preserve"> 投标报价修正</w:t>
      </w:r>
    </w:p>
    <w:p w14:paraId="76262F0F">
      <w:pPr>
        <w:keepNext/>
        <w:spacing w:line="360" w:lineRule="auto"/>
        <w:ind w:firstLine="420" w:firstLineChars="200"/>
        <w:rPr>
          <w:rFonts w:ascii="宋体" w:hAnsi="宋体"/>
          <w:color w:val="auto"/>
          <w:sz w:val="21"/>
          <w:szCs w:val="21"/>
          <w:highlight w:val="none"/>
        </w:rPr>
      </w:pPr>
      <w:bookmarkStart w:id="93" w:name="_Toc229583206"/>
      <w:bookmarkStart w:id="94" w:name="_Toc260907976"/>
      <w:bookmarkStart w:id="95" w:name="_Toc260908192"/>
      <w:r>
        <w:rPr>
          <w:rFonts w:hint="eastAsia" w:ascii="宋体" w:hAnsi="宋体"/>
          <w:color w:val="auto"/>
          <w:sz w:val="21"/>
          <w:szCs w:val="21"/>
          <w:highlight w:val="none"/>
        </w:rPr>
        <w:t>投标文件报价出现前后不一致的，按照下列规定修正：</w:t>
      </w:r>
    </w:p>
    <w:p w14:paraId="390AFBC8">
      <w:pPr>
        <w:keepNext/>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（一）投标文件中开标一览表（报价表）内容与投标文件中相应内容不一致的，以开标一览表（报价表）为准；</w:t>
      </w:r>
    </w:p>
    <w:p w14:paraId="11992941">
      <w:pPr>
        <w:keepNext/>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（二）大写金额和小写金额不一致的，以大写金额为准；</w:t>
      </w:r>
    </w:p>
    <w:p w14:paraId="112C6EC8">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（三）单价金额小数点或者百分比有明显错位的，以开标一览表的总价为准，并修改单价；</w:t>
      </w:r>
    </w:p>
    <w:p w14:paraId="46C1BB6B">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（四）总价金额与按单价汇总金额不一致的，以单价金额计算结果为准。</w:t>
      </w:r>
    </w:p>
    <w:p w14:paraId="0B937C5B">
      <w:pPr>
        <w:spacing w:line="360" w:lineRule="auto"/>
        <w:ind w:firstLine="420" w:firstLineChars="200"/>
        <w:rPr>
          <w:color w:val="auto"/>
          <w:highlight w:val="none"/>
        </w:rPr>
      </w:pPr>
      <w:r>
        <w:rPr>
          <w:rFonts w:hint="eastAsia" w:ascii="宋体" w:hAnsi="宋体"/>
          <w:color w:val="auto"/>
          <w:sz w:val="21"/>
          <w:szCs w:val="21"/>
          <w:highlight w:val="none"/>
        </w:rPr>
        <w:t>同时出现两种以上不一致的，按照前款规定的顺序修正。修正后的报价按照招标文件规定并经投标人确认后产生约束力，投标人不确认的，其投标无效。</w:t>
      </w:r>
    </w:p>
    <w:p w14:paraId="672209A3">
      <w:pPr>
        <w:pStyle w:val="3"/>
        <w:widowControl w:val="0"/>
        <w:spacing w:before="240" w:after="240" w:line="360" w:lineRule="auto"/>
        <w:jc w:val="center"/>
        <w:rPr>
          <w:rFonts w:ascii="宋体" w:hAnsi="宋体" w:eastAsia="宋体"/>
          <w:color w:val="auto"/>
          <w:highlight w:val="none"/>
          <w:lang w:val="zh-CN"/>
        </w:rPr>
      </w:pPr>
      <w:bookmarkStart w:id="96" w:name="_Toc31938"/>
      <w:r>
        <w:rPr>
          <w:rFonts w:hint="eastAsia" w:ascii="宋体" w:hAnsi="宋体" w:eastAsia="宋体"/>
          <w:color w:val="auto"/>
          <w:highlight w:val="none"/>
          <w:lang w:val="zh-CN"/>
        </w:rPr>
        <w:t>（六）评标</w:t>
      </w:r>
      <w:bookmarkEnd w:id="93"/>
      <w:bookmarkEnd w:id="94"/>
      <w:bookmarkEnd w:id="95"/>
      <w:bookmarkEnd w:id="96"/>
    </w:p>
    <w:p w14:paraId="4C307013">
      <w:pPr>
        <w:pStyle w:val="150"/>
        <w:widowControl/>
        <w:spacing w:line="360" w:lineRule="auto"/>
        <w:rPr>
          <w:rFonts w:ascii="宋体" w:hAnsi="宋体" w:eastAsia="宋体"/>
          <w:b/>
          <w:bCs/>
          <w:color w:val="auto"/>
          <w:highlight w:val="none"/>
          <w:lang w:val="zh-CN"/>
        </w:rPr>
      </w:pPr>
      <w:bookmarkStart w:id="97" w:name="_Toc375869236"/>
      <w:r>
        <w:rPr>
          <w:rFonts w:ascii="宋体" w:hAnsi="宋体" w:eastAsia="宋体"/>
          <w:b/>
          <w:bCs/>
          <w:color w:val="auto"/>
          <w:highlight w:val="none"/>
          <w:lang w:val="zh-CN"/>
        </w:rPr>
        <w:t xml:space="preserve">6.1 </w:t>
      </w:r>
      <w:r>
        <w:rPr>
          <w:rFonts w:hint="eastAsia" w:ascii="宋体" w:hAnsi="宋体" w:eastAsia="宋体"/>
          <w:b/>
          <w:bCs/>
          <w:color w:val="auto"/>
          <w:highlight w:val="none"/>
          <w:lang w:val="zh-CN"/>
        </w:rPr>
        <w:t>评标及评标委员会</w:t>
      </w:r>
      <w:bookmarkEnd w:id="97"/>
    </w:p>
    <w:p w14:paraId="4B6F2C72">
      <w:pPr>
        <w:wordWrap w:val="0"/>
        <w:spacing w:line="360" w:lineRule="auto"/>
        <w:ind w:firstLine="420" w:firstLineChars="200"/>
        <w:rPr>
          <w:rFonts w:ascii="宋体" w:hAnsi="宋体" w:cs="宋体"/>
          <w:color w:val="auto"/>
          <w:sz w:val="21"/>
          <w:szCs w:val="21"/>
          <w:highlight w:val="none"/>
        </w:rPr>
      </w:pPr>
      <w:bookmarkStart w:id="98" w:name="_Toc378239356"/>
      <w:bookmarkStart w:id="99" w:name="_Toc144974530"/>
      <w:bookmarkStart w:id="100" w:name="_Toc179632580"/>
      <w:bookmarkStart w:id="101" w:name="_Toc152042338"/>
      <w:bookmarkStart w:id="102" w:name="_Toc480817648"/>
      <w:bookmarkStart w:id="103" w:name="_Toc152045562"/>
      <w:bookmarkStart w:id="104" w:name="_Toc1045"/>
      <w:bookmarkStart w:id="105" w:name="_Toc246996949"/>
      <w:bookmarkStart w:id="106" w:name="_Toc378239083"/>
      <w:bookmarkStart w:id="107" w:name="_Toc247085720"/>
      <w:bookmarkStart w:id="108" w:name="_Toc246996206"/>
      <w:bookmarkStart w:id="109" w:name="_Toc401342139"/>
      <w:bookmarkStart w:id="110" w:name="_Toc378239175"/>
      <w:bookmarkStart w:id="111" w:name="_Toc296602451"/>
      <w:bookmarkStart w:id="112" w:name="_Toc260907977"/>
      <w:bookmarkStart w:id="113" w:name="_Toc260908193"/>
      <w:bookmarkStart w:id="114" w:name="_Toc229583207"/>
      <w:r>
        <w:rPr>
          <w:rFonts w:hint="eastAsia" w:ascii="宋体" w:hAnsi="宋体" w:cs="宋体"/>
          <w:color w:val="auto"/>
          <w:sz w:val="21"/>
          <w:szCs w:val="21"/>
          <w:highlight w:val="none"/>
        </w:rPr>
        <w:t>6.1</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宋体" w:hAnsi="宋体" w:cs="宋体"/>
          <w:color w:val="auto"/>
          <w:sz w:val="21"/>
          <w:szCs w:val="21"/>
          <w:highlight w:val="none"/>
        </w:rPr>
        <w:t>.1</w:t>
      </w:r>
      <w:r>
        <w:rPr>
          <w:rFonts w:hint="eastAsia" w:ascii="宋体" w:hAnsi="宋体" w:cs="宋体"/>
          <w:color w:val="auto"/>
          <w:sz w:val="21"/>
          <w:szCs w:val="21"/>
          <w:highlight w:val="none"/>
        </w:rPr>
        <w:t>开</w:t>
      </w:r>
      <w:bookmarkStart w:id="115" w:name="_Toc246996207"/>
      <w:bookmarkStart w:id="116" w:name="_Toc179632581"/>
      <w:bookmarkStart w:id="117" w:name="_Toc152042339"/>
      <w:bookmarkStart w:id="118" w:name="_Toc144974531"/>
      <w:bookmarkStart w:id="119" w:name="_Toc152045563"/>
      <w:bookmarkStart w:id="120" w:name="_Toc246996950"/>
      <w:bookmarkStart w:id="121" w:name="_Toc247085721"/>
      <w:bookmarkStart w:id="122" w:name="_Toc296602452"/>
      <w:r>
        <w:rPr>
          <w:rFonts w:hint="eastAsia" w:ascii="宋体" w:hAnsi="宋体" w:cs="宋体"/>
          <w:color w:val="auto"/>
          <w:sz w:val="21"/>
          <w:szCs w:val="21"/>
          <w:highlight w:val="none"/>
        </w:rPr>
        <w:t>标结束后，采</w:t>
      </w:r>
      <w:bookmarkEnd w:id="115"/>
      <w:bookmarkEnd w:id="116"/>
      <w:bookmarkEnd w:id="117"/>
      <w:bookmarkEnd w:id="118"/>
      <w:bookmarkEnd w:id="119"/>
      <w:bookmarkEnd w:id="120"/>
      <w:bookmarkEnd w:id="121"/>
      <w:bookmarkEnd w:id="122"/>
      <w:r>
        <w:rPr>
          <w:rFonts w:hint="eastAsia" w:ascii="宋体" w:hAnsi="宋体" w:cs="宋体"/>
          <w:color w:val="auto"/>
          <w:sz w:val="21"/>
          <w:szCs w:val="21"/>
          <w:highlight w:val="none"/>
        </w:rPr>
        <w:t>购人或者采购代理机构将根据招标文件规定，依法对投标人的资格进行审查。合格投标人不足3家的，不得评标。</w:t>
      </w:r>
    </w:p>
    <w:p w14:paraId="1ECAAC53">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6.1</w:t>
      </w:r>
      <w:r>
        <w:rPr>
          <w:rFonts w:ascii="宋体" w:hAnsi="宋体" w:cs="宋体"/>
          <w:color w:val="auto"/>
          <w:sz w:val="21"/>
          <w:szCs w:val="21"/>
          <w:highlight w:val="none"/>
        </w:rPr>
        <w:t>.</w:t>
      </w:r>
      <w:r>
        <w:rPr>
          <w:rFonts w:hint="eastAsia" w:ascii="宋体" w:hAnsi="宋体" w:cs="宋体"/>
          <w:color w:val="auto"/>
          <w:sz w:val="21"/>
          <w:szCs w:val="21"/>
          <w:highlight w:val="none"/>
        </w:rPr>
        <w:t>2评标委员会由采购人代表和评审专家组成，成员人数为5人以上单数，其中评审专家不得少于成员总数的三分之二。评标委员会应当推选组长，但采购人代表不得担任组长。</w:t>
      </w:r>
    </w:p>
    <w:p w14:paraId="2218196B">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6.1</w:t>
      </w:r>
      <w:r>
        <w:rPr>
          <w:rFonts w:ascii="宋体" w:hAnsi="宋体" w:cs="宋体"/>
          <w:color w:val="auto"/>
          <w:sz w:val="21"/>
          <w:szCs w:val="21"/>
          <w:highlight w:val="none"/>
        </w:rPr>
        <w:t>.</w:t>
      </w:r>
      <w:r>
        <w:rPr>
          <w:rFonts w:hint="eastAsia" w:ascii="宋体" w:hAnsi="宋体" w:cs="宋体"/>
          <w:color w:val="auto"/>
          <w:sz w:val="21"/>
          <w:szCs w:val="21"/>
          <w:highlight w:val="none"/>
        </w:rPr>
        <w:t>3采购人委派代表参加评标委员会的，要向采购代理机构出具授权函。除授权代表外，采购人可以委派纪检监察等相关人员进入评审现场，对评审工作实施监督，但不得超过2人。</w:t>
      </w:r>
    </w:p>
    <w:p w14:paraId="4289D121">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6.1</w:t>
      </w:r>
      <w:r>
        <w:rPr>
          <w:rFonts w:ascii="宋体" w:hAnsi="宋体" w:cs="宋体"/>
          <w:color w:val="auto"/>
          <w:sz w:val="21"/>
          <w:szCs w:val="21"/>
          <w:highlight w:val="none"/>
        </w:rPr>
        <w:t>.</w:t>
      </w:r>
      <w:r>
        <w:rPr>
          <w:rFonts w:hint="eastAsia" w:ascii="宋体" w:hAnsi="宋体" w:cs="宋体"/>
          <w:color w:val="auto"/>
          <w:sz w:val="21"/>
          <w:szCs w:val="21"/>
          <w:highlight w:val="none"/>
        </w:rPr>
        <w:t>4评标活动遵循公平</w:t>
      </w:r>
      <w:bookmarkStart w:id="123" w:name="_Toc152045565"/>
      <w:bookmarkStart w:id="124" w:name="_Toc247085723"/>
      <w:bookmarkStart w:id="125" w:name="_Toc246996952"/>
      <w:bookmarkStart w:id="126" w:name="_Toc296602454"/>
      <w:bookmarkStart w:id="127" w:name="_Toc144974533"/>
      <w:bookmarkStart w:id="128" w:name="_Toc179632583"/>
      <w:bookmarkStart w:id="129" w:name="_Toc152042341"/>
      <w:bookmarkStart w:id="130" w:name="_Toc246996209"/>
      <w:r>
        <w:rPr>
          <w:rFonts w:hint="eastAsia" w:ascii="宋体" w:hAnsi="宋体" w:cs="宋体"/>
          <w:color w:val="auto"/>
          <w:sz w:val="21"/>
          <w:szCs w:val="21"/>
          <w:highlight w:val="none"/>
        </w:rPr>
        <w:t>、公正、科学和择优的原则。</w:t>
      </w:r>
    </w:p>
    <w:p w14:paraId="71910B67">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6.1</w:t>
      </w:r>
      <w:r>
        <w:rPr>
          <w:rFonts w:ascii="宋体" w:hAnsi="宋体" w:cs="宋体"/>
          <w:color w:val="auto"/>
          <w:sz w:val="21"/>
          <w:szCs w:val="21"/>
          <w:highlight w:val="none"/>
        </w:rPr>
        <w:t>.</w:t>
      </w:r>
      <w:r>
        <w:rPr>
          <w:rFonts w:hint="eastAsia" w:ascii="宋体" w:hAnsi="宋体" w:cs="宋体"/>
          <w:color w:val="auto"/>
          <w:sz w:val="21"/>
          <w:szCs w:val="21"/>
          <w:highlight w:val="none"/>
        </w:rPr>
        <w:t>5评标委员会各成员</w:t>
      </w:r>
      <w:bookmarkEnd w:id="123"/>
      <w:bookmarkEnd w:id="124"/>
      <w:bookmarkEnd w:id="125"/>
      <w:bookmarkEnd w:id="126"/>
      <w:bookmarkEnd w:id="127"/>
      <w:bookmarkEnd w:id="128"/>
      <w:bookmarkEnd w:id="129"/>
      <w:bookmarkEnd w:id="130"/>
      <w:r>
        <w:rPr>
          <w:rFonts w:hint="eastAsia" w:ascii="宋体" w:hAnsi="宋体" w:cs="宋体"/>
          <w:color w:val="auto"/>
          <w:sz w:val="21"/>
          <w:szCs w:val="21"/>
          <w:highlight w:val="none"/>
        </w:rPr>
        <w:t>根据政府采购法律法规按照招标文件规定的评标方法和标准，独立对符合性审查合格的投标文件进行商务和技术评估，综合比较与评价，并汇总每个投标人的得分。招标文件中没有规定的方法、评审因素和标准，不作为评标依据。</w:t>
      </w:r>
    </w:p>
    <w:p w14:paraId="1D5F88C6">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6.1</w:t>
      </w:r>
      <w:r>
        <w:rPr>
          <w:rFonts w:ascii="宋体" w:hAnsi="宋体" w:cs="宋体"/>
          <w:color w:val="auto"/>
          <w:sz w:val="21"/>
          <w:szCs w:val="21"/>
          <w:highlight w:val="none"/>
        </w:rPr>
        <w:t>.</w:t>
      </w:r>
      <w:r>
        <w:rPr>
          <w:rFonts w:hint="eastAsia" w:ascii="宋体" w:hAnsi="宋体" w:cs="宋体"/>
          <w:color w:val="auto"/>
          <w:sz w:val="21"/>
          <w:szCs w:val="21"/>
          <w:highlight w:val="none"/>
        </w:rPr>
        <w:t>6评标过程的保密：</w:t>
      </w:r>
    </w:p>
    <w:p w14:paraId="71D58D64">
      <w:pPr>
        <w:wordWrap w:val="0"/>
        <w:spacing w:line="360" w:lineRule="auto"/>
        <w:ind w:firstLine="420" w:firstLineChars="200"/>
        <w:rPr>
          <w:rFonts w:ascii="宋体" w:hAnsi="宋体" w:cs="宋体"/>
          <w:color w:val="auto"/>
          <w:sz w:val="21"/>
          <w:szCs w:val="21"/>
          <w:highlight w:val="none"/>
        </w:rPr>
      </w:pPr>
      <w:bookmarkStart w:id="131" w:name="_Toc417913976"/>
      <w:r>
        <w:rPr>
          <w:rFonts w:hint="eastAsia" w:ascii="宋体" w:hAnsi="宋体" w:cs="宋体"/>
          <w:color w:val="auto"/>
          <w:sz w:val="21"/>
          <w:szCs w:val="21"/>
          <w:highlight w:val="none"/>
        </w:rPr>
        <w:t>（1）评标在严格</w:t>
      </w:r>
      <w:bookmarkEnd w:id="131"/>
      <w:r>
        <w:rPr>
          <w:rFonts w:hint="eastAsia" w:ascii="宋体" w:hAnsi="宋体" w:cs="宋体"/>
          <w:color w:val="auto"/>
          <w:sz w:val="21"/>
          <w:szCs w:val="21"/>
          <w:highlight w:val="none"/>
        </w:rPr>
        <w:t>保密的情况下进行。除采购人代表、评标现场组织人员外，采购人的其他工作人员以及与评标工作无关的人员不得进入评标现场。有关人员对评标情况以及在评标过程中获悉的国家秘密、商业秘密负有保密责任。</w:t>
      </w:r>
    </w:p>
    <w:p w14:paraId="3EC584A6">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任何单位和个人不得非法干预、影响评审工作。采购人、采购代理机构和评审委员会在评审工作中，依法相互监督和制约，并自觉接受财政部门的监督。对非法干预评审工作等违法违规行为，将及时向财政部门报告。</w:t>
      </w:r>
    </w:p>
    <w:p w14:paraId="17B34532">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6.1</w:t>
      </w:r>
      <w:r>
        <w:rPr>
          <w:rFonts w:ascii="宋体" w:hAnsi="宋体" w:cs="宋体"/>
          <w:color w:val="auto"/>
          <w:sz w:val="21"/>
          <w:szCs w:val="21"/>
          <w:highlight w:val="none"/>
        </w:rPr>
        <w:t>.</w:t>
      </w:r>
      <w:r>
        <w:rPr>
          <w:rFonts w:hint="eastAsia" w:ascii="宋体" w:hAnsi="宋体" w:cs="宋体"/>
          <w:color w:val="auto"/>
          <w:sz w:val="21"/>
          <w:szCs w:val="21"/>
          <w:highlight w:val="none"/>
        </w:rPr>
        <w:t>7投标文件中出现含义不明确、同类问题表述不一致或者有明显文字和计算错误的内容，评标委员会将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767DCF54">
      <w:pPr>
        <w:pStyle w:val="150"/>
        <w:widowControl/>
        <w:spacing w:line="360" w:lineRule="auto"/>
        <w:rPr>
          <w:rFonts w:ascii="宋体" w:hAnsi="宋体" w:eastAsia="宋体"/>
          <w:b/>
          <w:bCs/>
          <w:color w:val="auto"/>
          <w:highlight w:val="none"/>
          <w:lang w:val="zh-CN"/>
        </w:rPr>
      </w:pPr>
      <w:r>
        <w:rPr>
          <w:rFonts w:ascii="宋体" w:hAnsi="宋体" w:eastAsia="宋体"/>
          <w:b/>
          <w:bCs/>
          <w:color w:val="auto"/>
          <w:highlight w:val="none"/>
          <w:lang w:val="zh-CN"/>
        </w:rPr>
        <w:t xml:space="preserve">6.2 </w:t>
      </w:r>
      <w:r>
        <w:rPr>
          <w:rFonts w:hint="eastAsia" w:ascii="宋体" w:hAnsi="宋体" w:eastAsia="宋体"/>
          <w:b/>
          <w:bCs/>
          <w:color w:val="auto"/>
          <w:highlight w:val="none"/>
          <w:lang w:val="zh-CN"/>
        </w:rPr>
        <w:t>评标办法</w:t>
      </w:r>
    </w:p>
    <w:p w14:paraId="1949722D">
      <w:pPr>
        <w:pStyle w:val="63"/>
        <w:spacing w:line="360" w:lineRule="auto"/>
        <w:ind w:firstLine="400" w:firstLineChars="200"/>
        <w:rPr>
          <w:rFonts w:ascii="宋体" w:hAnsi="宋体"/>
          <w:color w:val="auto"/>
          <w:highlight w:val="none"/>
        </w:rPr>
      </w:pPr>
      <w:r>
        <w:rPr>
          <w:rFonts w:hint="eastAsia" w:ascii="宋体" w:hAnsi="宋体" w:cs="宋体"/>
          <w:color w:val="auto"/>
          <w:szCs w:val="21"/>
          <w:highlight w:val="none"/>
        </w:rPr>
        <w:t>本项目按“投标人须知前附表”规定的评标办法评标。在评标中，不得改变招标文件中规定的评标标准、方法和中标条件。</w:t>
      </w:r>
    </w:p>
    <w:p w14:paraId="2F3EA8F3">
      <w:pPr>
        <w:pStyle w:val="3"/>
        <w:widowControl w:val="0"/>
        <w:spacing w:before="240" w:after="240" w:line="360" w:lineRule="auto"/>
        <w:jc w:val="center"/>
        <w:rPr>
          <w:rFonts w:ascii="宋体" w:hAnsi="宋体" w:eastAsia="宋体"/>
          <w:color w:val="auto"/>
          <w:highlight w:val="none"/>
          <w:lang w:val="zh-CN"/>
        </w:rPr>
      </w:pPr>
      <w:bookmarkStart w:id="132" w:name="_Toc27135"/>
      <w:r>
        <w:rPr>
          <w:rFonts w:hint="eastAsia" w:ascii="宋体" w:hAnsi="宋体" w:eastAsia="宋体"/>
          <w:color w:val="auto"/>
          <w:highlight w:val="none"/>
          <w:lang w:val="zh-CN"/>
        </w:rPr>
        <w:t>（七）</w:t>
      </w:r>
      <w:bookmarkEnd w:id="112"/>
      <w:bookmarkEnd w:id="113"/>
      <w:bookmarkEnd w:id="114"/>
      <w:r>
        <w:rPr>
          <w:rFonts w:hint="eastAsia" w:ascii="宋体" w:hAnsi="宋体" w:eastAsia="宋体"/>
          <w:color w:val="auto"/>
          <w:highlight w:val="none"/>
          <w:lang w:val="zh-CN"/>
        </w:rPr>
        <w:t>中标及合同</w:t>
      </w:r>
      <w:bookmarkEnd w:id="132"/>
    </w:p>
    <w:p w14:paraId="33D08BCD">
      <w:pPr>
        <w:pStyle w:val="150"/>
        <w:widowControl/>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7.1定标方式</w:t>
      </w:r>
    </w:p>
    <w:p w14:paraId="0E4AB235">
      <w:p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按照投标人须知前附表的规定，采购人或采购人授权的评标委员会依法确定中标人。</w:t>
      </w:r>
    </w:p>
    <w:p w14:paraId="7C893C53">
      <w:pPr>
        <w:pStyle w:val="150"/>
        <w:widowControl/>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7.2中标公告</w:t>
      </w:r>
    </w:p>
    <w:p w14:paraId="4593DC6C">
      <w:pPr>
        <w:wordWrap w:val="0"/>
        <w:spacing w:line="360" w:lineRule="auto"/>
        <w:ind w:firstLine="472" w:firstLineChars="225"/>
        <w:rPr>
          <w:rFonts w:ascii="宋体" w:hAnsi="宋体" w:cs="宋体"/>
          <w:color w:val="auto"/>
          <w:sz w:val="21"/>
          <w:szCs w:val="21"/>
          <w:highlight w:val="none"/>
        </w:rPr>
      </w:pPr>
      <w:r>
        <w:rPr>
          <w:rFonts w:hint="eastAsia" w:ascii="宋体" w:hAnsi="宋体" w:cs="宋体"/>
          <w:color w:val="auto"/>
          <w:sz w:val="21"/>
          <w:szCs w:val="21"/>
          <w:highlight w:val="none"/>
        </w:rPr>
        <w:t>采购人或者采购代理机构应当自中标人确定之日起2个工作日内，按照投标人须知前附表规定的省级以上财政部门指定的媒介和期限公告中标结果，招标文件应当随中标结果同时公告。</w:t>
      </w:r>
    </w:p>
    <w:p w14:paraId="57D743EB">
      <w:pPr>
        <w:wordWrap w:val="0"/>
        <w:spacing w:line="360" w:lineRule="auto"/>
        <w:ind w:firstLine="472" w:firstLineChars="225"/>
        <w:rPr>
          <w:rFonts w:ascii="宋体" w:hAnsi="宋体" w:cs="宋体"/>
          <w:color w:val="auto"/>
          <w:sz w:val="21"/>
          <w:szCs w:val="21"/>
          <w:highlight w:val="none"/>
        </w:rPr>
      </w:pPr>
      <w:r>
        <w:rPr>
          <w:rFonts w:hint="eastAsia" w:ascii="宋体" w:hAnsi="宋体" w:cs="宋体"/>
          <w:color w:val="auto"/>
          <w:sz w:val="21"/>
          <w:szCs w:val="21"/>
          <w:highlight w:val="none"/>
        </w:rPr>
        <w:t>中标公告媒介及期限：详见投标人须知前附表。</w:t>
      </w:r>
    </w:p>
    <w:p w14:paraId="651CDA24">
      <w:pPr>
        <w:pStyle w:val="150"/>
        <w:widowControl/>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7.</w:t>
      </w:r>
      <w:r>
        <w:rPr>
          <w:rFonts w:ascii="宋体" w:hAnsi="宋体" w:eastAsia="宋体"/>
          <w:b/>
          <w:bCs/>
          <w:color w:val="auto"/>
          <w:highlight w:val="none"/>
          <w:lang w:val="zh-CN"/>
        </w:rPr>
        <w:t xml:space="preserve">3 </w:t>
      </w:r>
      <w:r>
        <w:rPr>
          <w:rFonts w:hint="eastAsia" w:ascii="宋体" w:hAnsi="宋体" w:eastAsia="宋体"/>
          <w:b/>
          <w:bCs/>
          <w:color w:val="auto"/>
          <w:highlight w:val="none"/>
          <w:lang w:val="zh-CN"/>
        </w:rPr>
        <w:t>中标通知</w:t>
      </w:r>
    </w:p>
    <w:p w14:paraId="3A6D2DD4">
      <w:pPr>
        <w:wordWrap w:val="0"/>
        <w:spacing w:line="360" w:lineRule="auto"/>
        <w:ind w:firstLine="472" w:firstLineChars="225"/>
        <w:rPr>
          <w:rFonts w:ascii="宋体" w:hAnsi="宋体" w:cs="宋体"/>
          <w:color w:val="auto"/>
          <w:sz w:val="21"/>
          <w:szCs w:val="21"/>
          <w:highlight w:val="none"/>
        </w:rPr>
      </w:pPr>
      <w:r>
        <w:rPr>
          <w:rFonts w:hint="eastAsia" w:ascii="宋体" w:hAnsi="宋体" w:cs="宋体"/>
          <w:color w:val="auto"/>
          <w:sz w:val="21"/>
          <w:szCs w:val="21"/>
          <w:highlight w:val="none"/>
        </w:rPr>
        <w:t>在本章第3.3款规定的投标有效期内，在公告中标结果的同时，采购人或者采购代理机构应当向中标人发出中标通知书；对未通过资格审查的投标人，应当告知其未通过的原因。采用综合评分法评审的，应当告知未中标人本人的评审得分与排序。</w:t>
      </w:r>
    </w:p>
    <w:p w14:paraId="2C9639B8">
      <w:pPr>
        <w:pStyle w:val="150"/>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7.</w:t>
      </w:r>
      <w:r>
        <w:rPr>
          <w:rFonts w:ascii="宋体" w:hAnsi="宋体" w:eastAsia="宋体"/>
          <w:b/>
          <w:bCs/>
          <w:color w:val="auto"/>
          <w:highlight w:val="none"/>
          <w:lang w:val="zh-CN"/>
        </w:rPr>
        <w:t xml:space="preserve">4 </w:t>
      </w:r>
      <w:r>
        <w:rPr>
          <w:rFonts w:hint="eastAsia" w:ascii="宋体" w:hAnsi="宋体" w:eastAsia="宋体"/>
          <w:b/>
          <w:bCs/>
          <w:color w:val="auto"/>
          <w:highlight w:val="none"/>
          <w:lang w:val="zh-CN"/>
        </w:rPr>
        <w:t>履约保证金</w:t>
      </w:r>
    </w:p>
    <w:p w14:paraId="36170D29">
      <w:pPr>
        <w:widowControl w:val="0"/>
        <w:spacing w:line="360" w:lineRule="auto"/>
        <w:ind w:firstLine="472" w:firstLineChars="225"/>
        <w:rPr>
          <w:rFonts w:ascii="宋体" w:hAnsi="宋体" w:cs="宋体"/>
          <w:color w:val="auto"/>
          <w:sz w:val="21"/>
          <w:szCs w:val="21"/>
          <w:highlight w:val="none"/>
        </w:rPr>
      </w:pPr>
      <w:r>
        <w:rPr>
          <w:rFonts w:hint="eastAsia" w:ascii="宋体" w:hAnsi="宋体" w:cs="宋体"/>
          <w:color w:val="auto"/>
          <w:sz w:val="21"/>
          <w:szCs w:val="21"/>
          <w:highlight w:val="none"/>
        </w:rPr>
        <w:t>7.4.1中标人应按投标人须知前附表规定的形式、金额向采购人提交履约保证金。</w:t>
      </w:r>
    </w:p>
    <w:p w14:paraId="395A874D">
      <w:pPr>
        <w:wordWrap w:val="0"/>
        <w:spacing w:line="360" w:lineRule="auto"/>
        <w:ind w:firstLine="472" w:firstLineChars="225"/>
        <w:rPr>
          <w:rFonts w:ascii="宋体" w:hAnsi="宋体" w:cs="宋体"/>
          <w:color w:val="auto"/>
          <w:sz w:val="21"/>
          <w:szCs w:val="21"/>
          <w:highlight w:val="none"/>
        </w:rPr>
      </w:pPr>
      <w:r>
        <w:rPr>
          <w:rFonts w:hint="eastAsia" w:ascii="宋体" w:hAnsi="宋体" w:cs="宋体"/>
          <w:color w:val="auto"/>
          <w:sz w:val="21"/>
          <w:szCs w:val="21"/>
          <w:highlight w:val="none"/>
        </w:rPr>
        <w:t>7.</w:t>
      </w:r>
      <w:r>
        <w:rPr>
          <w:rFonts w:ascii="宋体" w:hAnsi="宋体" w:cs="宋体"/>
          <w:color w:val="auto"/>
          <w:sz w:val="21"/>
          <w:szCs w:val="21"/>
          <w:highlight w:val="none"/>
        </w:rPr>
        <w:t>4</w:t>
      </w:r>
      <w:r>
        <w:rPr>
          <w:rFonts w:hint="eastAsia" w:ascii="宋体" w:hAnsi="宋体" w:cs="宋体"/>
          <w:color w:val="auto"/>
          <w:sz w:val="21"/>
          <w:szCs w:val="21"/>
          <w:highlight w:val="none"/>
        </w:rPr>
        <w:t>.2中标人不能按本章第7.</w:t>
      </w:r>
      <w:r>
        <w:rPr>
          <w:rFonts w:ascii="宋体" w:hAnsi="宋体" w:cs="宋体"/>
          <w:color w:val="auto"/>
          <w:sz w:val="21"/>
          <w:szCs w:val="21"/>
          <w:highlight w:val="none"/>
        </w:rPr>
        <w:t>4</w:t>
      </w:r>
      <w:r>
        <w:rPr>
          <w:rFonts w:hint="eastAsia" w:ascii="宋体" w:hAnsi="宋体" w:cs="宋体"/>
          <w:color w:val="auto"/>
          <w:sz w:val="21"/>
          <w:szCs w:val="21"/>
          <w:highlight w:val="none"/>
        </w:rPr>
        <w:t>.1项要求提交履约保证金的，视为放弃中标，其投标保证金不予退还，给采购人造成的损失超过投标保证金数额的，中标人还应当对超过部分予以赔偿。</w:t>
      </w:r>
    </w:p>
    <w:p w14:paraId="19157A50">
      <w:pPr>
        <w:pStyle w:val="150"/>
        <w:widowControl/>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7.</w:t>
      </w:r>
      <w:r>
        <w:rPr>
          <w:rFonts w:ascii="宋体" w:hAnsi="宋体" w:eastAsia="宋体"/>
          <w:b/>
          <w:bCs/>
          <w:color w:val="auto"/>
          <w:highlight w:val="none"/>
          <w:lang w:val="zh-CN"/>
        </w:rPr>
        <w:t xml:space="preserve">5 </w:t>
      </w:r>
      <w:r>
        <w:rPr>
          <w:rFonts w:hint="eastAsia" w:ascii="宋体" w:hAnsi="宋体" w:eastAsia="宋体"/>
          <w:b/>
          <w:bCs/>
          <w:color w:val="auto"/>
          <w:highlight w:val="none"/>
          <w:lang w:val="zh-CN"/>
        </w:rPr>
        <w:t>签订合同</w:t>
      </w:r>
    </w:p>
    <w:p w14:paraId="2B62833A">
      <w:pPr>
        <w:wordWrap w:val="0"/>
        <w:spacing w:line="360" w:lineRule="auto"/>
        <w:ind w:firstLine="472" w:firstLineChars="225"/>
        <w:rPr>
          <w:rFonts w:ascii="宋体" w:hAnsi="宋体" w:cs="宋体"/>
          <w:color w:val="auto"/>
          <w:sz w:val="21"/>
          <w:szCs w:val="21"/>
          <w:highlight w:val="none"/>
        </w:rPr>
      </w:pPr>
      <w:r>
        <w:rPr>
          <w:rFonts w:ascii="宋体" w:hAnsi="宋体" w:cs="宋体"/>
          <w:color w:val="auto"/>
          <w:sz w:val="21"/>
          <w:szCs w:val="21"/>
          <w:highlight w:val="none"/>
        </w:rPr>
        <w:t>7</w:t>
      </w:r>
      <w:r>
        <w:rPr>
          <w:rFonts w:hint="eastAsia" w:ascii="宋体" w:hAnsi="宋体" w:cs="宋体"/>
          <w:color w:val="auto"/>
          <w:sz w:val="21"/>
          <w:szCs w:val="21"/>
          <w:highlight w:val="none"/>
        </w:rPr>
        <w:t>.5.1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10B775A5">
      <w:pPr>
        <w:wordWrap w:val="0"/>
        <w:spacing w:line="360" w:lineRule="auto"/>
        <w:ind w:firstLine="472" w:firstLineChars="225"/>
        <w:rPr>
          <w:rFonts w:ascii="宋体" w:hAnsi="宋体" w:cs="宋体"/>
          <w:color w:val="auto"/>
          <w:sz w:val="21"/>
          <w:szCs w:val="21"/>
          <w:highlight w:val="none"/>
        </w:rPr>
      </w:pPr>
      <w:r>
        <w:rPr>
          <w:rFonts w:ascii="宋体" w:hAnsi="宋体" w:cs="宋体"/>
          <w:color w:val="auto"/>
          <w:sz w:val="21"/>
          <w:szCs w:val="21"/>
          <w:highlight w:val="none"/>
        </w:rPr>
        <w:t>7.</w:t>
      </w:r>
      <w:r>
        <w:rPr>
          <w:rFonts w:hint="eastAsia" w:ascii="宋体" w:hAnsi="宋体" w:cs="宋体"/>
          <w:color w:val="auto"/>
          <w:sz w:val="21"/>
          <w:szCs w:val="21"/>
          <w:highlight w:val="none"/>
        </w:rPr>
        <w:t>5.2中标通知书发出后，采购人不得违法改变中标结果，中标人无正当理由不得放弃中标。</w:t>
      </w:r>
    </w:p>
    <w:p w14:paraId="1C6D7E78">
      <w:pPr>
        <w:wordWrap w:val="0"/>
        <w:spacing w:line="360" w:lineRule="auto"/>
        <w:ind w:firstLine="472" w:firstLineChars="225"/>
        <w:rPr>
          <w:rFonts w:ascii="宋体" w:hAnsi="宋体" w:cs="宋体"/>
          <w:b/>
          <w:color w:val="auto"/>
          <w:sz w:val="24"/>
          <w:szCs w:val="24"/>
          <w:highlight w:val="none"/>
          <w:u w:val="single"/>
        </w:rPr>
      </w:pPr>
      <w:r>
        <w:rPr>
          <w:rFonts w:hint="eastAsia" w:ascii="宋体" w:hAnsi="宋体" w:cs="宋体"/>
          <w:color w:val="auto"/>
          <w:sz w:val="21"/>
          <w:szCs w:val="21"/>
          <w:highlight w:val="none"/>
        </w:rPr>
        <w:t>7.5.3中标或者成交</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拒绝与采购人签订合同的，采购人可以按照评审报告推荐的中标或者成交候选人名单排序，确定下一候选人为中标或者成交</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，也可以重新开展政府采购活动。</w:t>
      </w:r>
    </w:p>
    <w:p w14:paraId="7C67C436">
      <w:pPr>
        <w:pStyle w:val="3"/>
        <w:widowControl w:val="0"/>
        <w:spacing w:before="240" w:after="240" w:line="360" w:lineRule="auto"/>
        <w:jc w:val="center"/>
        <w:rPr>
          <w:rFonts w:ascii="宋体" w:hAnsi="宋体" w:eastAsia="宋体"/>
          <w:color w:val="auto"/>
          <w:highlight w:val="none"/>
          <w:lang w:val="zh-CN"/>
        </w:rPr>
      </w:pPr>
      <w:bookmarkStart w:id="133" w:name="_Toc260907978"/>
      <w:bookmarkStart w:id="134" w:name="_Toc260908194"/>
      <w:bookmarkStart w:id="135" w:name="_Toc18432"/>
      <w:r>
        <w:rPr>
          <w:rFonts w:hint="eastAsia" w:ascii="宋体" w:hAnsi="宋体" w:eastAsia="宋体"/>
          <w:color w:val="auto"/>
          <w:highlight w:val="none"/>
          <w:lang w:val="zh-CN"/>
        </w:rPr>
        <w:t>（八）重新</w:t>
      </w:r>
      <w:bookmarkEnd w:id="133"/>
      <w:bookmarkEnd w:id="134"/>
      <w:r>
        <w:rPr>
          <w:rFonts w:hint="eastAsia" w:ascii="宋体" w:hAnsi="宋体" w:eastAsia="宋体"/>
          <w:color w:val="auto"/>
          <w:highlight w:val="none"/>
          <w:lang w:val="zh-CN"/>
        </w:rPr>
        <w:t>采购</w:t>
      </w:r>
      <w:bookmarkEnd w:id="135"/>
    </w:p>
    <w:p w14:paraId="3B88C909">
      <w:pPr>
        <w:pStyle w:val="150"/>
        <w:widowControl/>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8.1 重新采购</w:t>
      </w:r>
    </w:p>
    <w:p w14:paraId="54B4C1A8">
      <w:pPr>
        <w:wordWrap w:val="0"/>
        <w:spacing w:line="360" w:lineRule="auto"/>
        <w:ind w:firstLine="472" w:firstLineChars="225"/>
        <w:rPr>
          <w:rFonts w:ascii="宋体" w:hAnsi="宋体" w:cs="宋体"/>
          <w:color w:val="auto"/>
          <w:sz w:val="21"/>
          <w:szCs w:val="21"/>
          <w:highlight w:val="none"/>
        </w:rPr>
      </w:pPr>
      <w:r>
        <w:rPr>
          <w:rFonts w:hint="eastAsia" w:ascii="宋体" w:hAnsi="宋体" w:cs="宋体"/>
          <w:color w:val="auto"/>
          <w:sz w:val="21"/>
          <w:szCs w:val="21"/>
          <w:highlight w:val="none"/>
        </w:rPr>
        <w:t>有下列情形之一的，采购人将重新采购：</w:t>
      </w:r>
    </w:p>
    <w:p w14:paraId="181F1915">
      <w:pPr>
        <w:wordWrap w:val="0"/>
        <w:spacing w:line="360" w:lineRule="auto"/>
        <w:ind w:firstLine="473"/>
        <w:rPr>
          <w:rFonts w:ascii="宋体" w:hAnsi="宋体"/>
          <w:color w:val="auto"/>
          <w:highlight w:val="none"/>
        </w:rPr>
      </w:pPr>
      <w:r>
        <w:rPr>
          <w:rFonts w:hint="eastAsia" w:ascii="宋体" w:hAnsi="宋体" w:cs="宋体"/>
          <w:color w:val="auto"/>
          <w:sz w:val="21"/>
          <w:szCs w:val="21"/>
          <w:highlight w:val="none"/>
        </w:rPr>
        <w:t>（1</w:t>
      </w:r>
      <w:r>
        <w:rPr>
          <w:rFonts w:hint="eastAsia" w:ascii="宋体" w:hAnsi="宋体" w:cs="宋体"/>
          <w:color w:val="auto"/>
          <w:szCs w:val="21"/>
          <w:highlight w:val="none"/>
        </w:rPr>
        <w:t>）</w:t>
      </w:r>
      <w:r>
        <w:rPr>
          <w:rFonts w:hint="eastAsia" w:ascii="宋体" w:hAnsi="宋体" w:cs="宋体"/>
          <w:color w:val="auto"/>
          <w:sz w:val="21"/>
          <w:szCs w:val="21"/>
          <w:highlight w:val="none"/>
        </w:rPr>
        <w:t>投标截止后投标人不足3家或者通过资格审查或符合性审查的投标人不足3</w:t>
      </w:r>
      <w:r>
        <w:rPr>
          <w:rFonts w:hint="eastAsia" w:ascii="宋体" w:hAnsi="宋体"/>
          <w:color w:val="auto"/>
          <w:sz w:val="21"/>
          <w:szCs w:val="21"/>
          <w:highlight w:val="none"/>
        </w:rPr>
        <w:t>的；</w:t>
      </w:r>
    </w:p>
    <w:p w14:paraId="48AE3859">
      <w:pPr>
        <w:wordWrap w:val="0"/>
        <w:spacing w:line="360" w:lineRule="auto"/>
        <w:ind w:firstLine="472" w:firstLineChars="225"/>
        <w:rPr>
          <w:rFonts w:ascii="宋体" w:hAnsi="宋体" w:cs="宋体"/>
          <w:color w:val="auto"/>
          <w:sz w:val="21"/>
          <w:szCs w:val="21"/>
          <w:highlight w:val="none"/>
        </w:rPr>
      </w:pPr>
      <w:r>
        <w:rPr>
          <w:rFonts w:hint="eastAsia" w:ascii="宋体" w:hAnsi="宋体" w:cs="宋体"/>
          <w:color w:val="auto"/>
          <w:sz w:val="21"/>
          <w:szCs w:val="21"/>
          <w:highlight w:val="none"/>
        </w:rPr>
        <w:t>（2）出现影响采购公正的违法、违规行为的；</w:t>
      </w:r>
    </w:p>
    <w:p w14:paraId="30F82797">
      <w:pPr>
        <w:wordWrap w:val="0"/>
        <w:spacing w:line="360" w:lineRule="auto"/>
        <w:ind w:firstLine="472" w:firstLineChars="225"/>
        <w:rPr>
          <w:rFonts w:ascii="宋体" w:hAnsi="宋体" w:cs="宋体"/>
          <w:color w:val="auto"/>
          <w:sz w:val="21"/>
          <w:szCs w:val="21"/>
          <w:highlight w:val="none"/>
        </w:rPr>
      </w:pPr>
      <w:r>
        <w:rPr>
          <w:rFonts w:hint="eastAsia" w:ascii="宋体" w:hAnsi="宋体" w:cs="宋体"/>
          <w:color w:val="auto"/>
          <w:sz w:val="21"/>
          <w:szCs w:val="21"/>
          <w:highlight w:val="none"/>
        </w:rPr>
        <w:t>（3）投标人的报价均超过了采购预算（上限价），采购人不能支付的。</w:t>
      </w:r>
    </w:p>
    <w:p w14:paraId="699B5381">
      <w:pPr>
        <w:pStyle w:val="3"/>
        <w:widowControl w:val="0"/>
        <w:spacing w:before="240" w:after="240" w:line="360" w:lineRule="auto"/>
        <w:jc w:val="center"/>
        <w:rPr>
          <w:rFonts w:ascii="宋体" w:hAnsi="宋体" w:eastAsia="宋体"/>
          <w:color w:val="auto"/>
          <w:highlight w:val="none"/>
          <w:lang w:val="zh-CN"/>
        </w:rPr>
      </w:pPr>
      <w:bookmarkStart w:id="136" w:name="_Toc260907979"/>
      <w:bookmarkStart w:id="137" w:name="_Toc184635079"/>
      <w:bookmarkStart w:id="138" w:name="_Toc260908195"/>
      <w:bookmarkStart w:id="139" w:name="_Toc2048"/>
      <w:r>
        <w:rPr>
          <w:rFonts w:hint="eastAsia" w:ascii="宋体" w:hAnsi="宋体" w:eastAsia="宋体"/>
          <w:color w:val="auto"/>
          <w:highlight w:val="none"/>
          <w:lang w:val="zh-CN"/>
        </w:rPr>
        <w:t>（九）纪律和监督</w:t>
      </w:r>
      <w:bookmarkEnd w:id="136"/>
      <w:bookmarkEnd w:id="137"/>
      <w:bookmarkEnd w:id="138"/>
      <w:bookmarkEnd w:id="139"/>
    </w:p>
    <w:p w14:paraId="64ECE721">
      <w:pPr>
        <w:pStyle w:val="150"/>
        <w:spacing w:line="360" w:lineRule="auto"/>
        <w:rPr>
          <w:rFonts w:ascii="宋体" w:hAnsi="宋体" w:eastAsia="宋体"/>
          <w:b/>
          <w:bCs/>
          <w:color w:val="auto"/>
          <w:highlight w:val="none"/>
          <w:lang w:val="zh-CN"/>
        </w:rPr>
      </w:pPr>
      <w:bookmarkStart w:id="140" w:name="_Toc260908197"/>
      <w:bookmarkStart w:id="141" w:name="_Toc260907981"/>
      <w:bookmarkStart w:id="142" w:name="_Toc184635080"/>
      <w:r>
        <w:rPr>
          <w:rFonts w:hint="eastAsia" w:ascii="宋体" w:hAnsi="宋体" w:eastAsia="宋体"/>
          <w:b/>
          <w:bCs/>
          <w:color w:val="auto"/>
          <w:highlight w:val="none"/>
          <w:lang w:val="zh-CN"/>
        </w:rPr>
        <w:t>9.1 对采购人的纪律要求</w:t>
      </w:r>
    </w:p>
    <w:p w14:paraId="370E42B9">
      <w:pPr>
        <w:widowControl w:val="0"/>
        <w:spacing w:line="348" w:lineRule="auto"/>
        <w:ind w:firstLine="472" w:firstLineChars="225"/>
        <w:rPr>
          <w:rFonts w:ascii="宋体" w:hAnsi="宋体" w:cs="宋体"/>
          <w:color w:val="auto"/>
          <w:sz w:val="21"/>
          <w:szCs w:val="21"/>
          <w:highlight w:val="none"/>
        </w:rPr>
      </w:pPr>
      <w:r>
        <w:rPr>
          <w:rFonts w:hint="eastAsia" w:ascii="宋体" w:hAnsi="宋体" w:cs="宋体"/>
          <w:color w:val="auto"/>
          <w:sz w:val="21"/>
          <w:szCs w:val="21"/>
          <w:highlight w:val="none"/>
        </w:rPr>
        <w:t>采购人不得泄漏招标投标活动中应当保密的情况和资料，不得与投标人串通损害国有利益、社会公共利益或者他人合法权益。</w:t>
      </w:r>
    </w:p>
    <w:p w14:paraId="5887004F">
      <w:pPr>
        <w:pStyle w:val="150"/>
        <w:widowControl/>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9.2 对投标人的纪律要求</w:t>
      </w:r>
    </w:p>
    <w:p w14:paraId="019B612F">
      <w:pPr>
        <w:wordWrap w:val="0"/>
        <w:spacing w:line="360" w:lineRule="auto"/>
        <w:ind w:firstLine="472" w:firstLineChars="225"/>
        <w:rPr>
          <w:rFonts w:ascii="宋体" w:hAnsi="宋体" w:cs="宋体"/>
          <w:color w:val="auto"/>
          <w:sz w:val="21"/>
          <w:szCs w:val="21"/>
          <w:highlight w:val="none"/>
        </w:rPr>
      </w:pPr>
      <w:r>
        <w:rPr>
          <w:rFonts w:hint="eastAsia" w:ascii="宋体" w:hAnsi="宋体" w:cs="宋体"/>
          <w:color w:val="auto"/>
          <w:sz w:val="21"/>
          <w:szCs w:val="21"/>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60920020">
      <w:pPr>
        <w:pStyle w:val="150"/>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9.3 对评标委员会成员的纪律要求</w:t>
      </w:r>
    </w:p>
    <w:p w14:paraId="3AFC4C37">
      <w:pPr>
        <w:widowControl w:val="0"/>
        <w:spacing w:line="336"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评标委员会成员不得收受他人的财物或者其他好处，不得向他人透漏对投标文件的评审和比较、入围候选人的推荐情况以及评标有关的其他情况。在评标活动中，评标委员会成员不得擅离职守，影响评标程序正常进行，不得使用第三章“评标办法”没有规定的评审因素和标准进行评标。</w:t>
      </w:r>
    </w:p>
    <w:p w14:paraId="5E6B1AAE">
      <w:pPr>
        <w:pStyle w:val="150"/>
        <w:widowControl/>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9.4 对与评标活动有关的工作人员的纪律要求</w:t>
      </w:r>
    </w:p>
    <w:p w14:paraId="23C8F619">
      <w:pPr>
        <w:wordWrap w:val="0"/>
        <w:spacing w:line="360" w:lineRule="auto"/>
        <w:ind w:firstLine="472" w:firstLineChars="225"/>
        <w:rPr>
          <w:rFonts w:ascii="宋体" w:hAnsi="宋体" w:cs="宋体"/>
          <w:color w:val="auto"/>
          <w:sz w:val="21"/>
          <w:szCs w:val="21"/>
          <w:highlight w:val="none"/>
        </w:rPr>
      </w:pPr>
      <w:r>
        <w:rPr>
          <w:rFonts w:hint="eastAsia" w:ascii="宋体" w:hAnsi="宋体" w:cs="宋体"/>
          <w:color w:val="auto"/>
          <w:sz w:val="21"/>
          <w:szCs w:val="21"/>
          <w:highlight w:val="none"/>
        </w:rPr>
        <w:t>与评标活动有关的工作人员不得收受他人的财物或者其他好处，不得向他人透漏对投标文件的评审和比较、入围候选人的推荐情况以及评标有关的其他情况。在评标活动中，与评标活动有关的工作人员不得擅离职守，影响评标程序正常进行。</w:t>
      </w:r>
    </w:p>
    <w:p w14:paraId="28984D26">
      <w:pPr>
        <w:pStyle w:val="150"/>
        <w:widowControl/>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9.5 质疑和投诉</w:t>
      </w:r>
    </w:p>
    <w:p w14:paraId="2E66BA57">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9.</w:t>
      </w:r>
      <w:r>
        <w:rPr>
          <w:rFonts w:ascii="宋体" w:hAnsi="宋体" w:cs="宋体"/>
          <w:color w:val="auto"/>
          <w:sz w:val="21"/>
          <w:szCs w:val="21"/>
          <w:highlight w:val="none"/>
        </w:rPr>
        <w:t>5</w:t>
      </w:r>
      <w:r>
        <w:rPr>
          <w:rFonts w:hint="eastAsia" w:ascii="宋体" w:hAnsi="宋体" w:cs="宋体"/>
          <w:color w:val="auto"/>
          <w:sz w:val="21"/>
          <w:szCs w:val="21"/>
          <w:highlight w:val="none"/>
        </w:rPr>
        <w:t>.1质疑期限</w:t>
      </w:r>
    </w:p>
    <w:p w14:paraId="1264B32D">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投标人认为招标文件、招标过程、中标结果使自己的权益受到损害的，可以在知道或者应知其权益受到损害之日起7个工作日内，以书面形式向采购人、采购代理机构提出质疑。</w:t>
      </w:r>
    </w:p>
    <w:p w14:paraId="5327C28A">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投标人应在法定质疑期内一次性提出针对同一采购程序环节的质疑。</w:t>
      </w:r>
    </w:p>
    <w:p w14:paraId="63CFECA6">
      <w:pPr>
        <w:wordWrap w:val="0"/>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潜在</w:t>
      </w:r>
      <w:r>
        <w:rPr>
          <w:rFonts w:hint="eastAsia" w:ascii="宋体" w:hAnsi="宋体" w:cs="宋体"/>
          <w:color w:val="auto"/>
          <w:sz w:val="21"/>
          <w:szCs w:val="21"/>
          <w:highlight w:val="none"/>
        </w:rPr>
        <w:t>投标人</w:t>
      </w:r>
      <w:r>
        <w:rPr>
          <w:rFonts w:ascii="宋体" w:hAnsi="宋体" w:cs="宋体"/>
          <w:color w:val="auto"/>
          <w:sz w:val="21"/>
          <w:szCs w:val="21"/>
          <w:highlight w:val="none"/>
        </w:rPr>
        <w:t>已依法获取其可质疑的</w:t>
      </w:r>
      <w:r>
        <w:rPr>
          <w:rFonts w:hint="eastAsia" w:ascii="宋体" w:hAnsi="宋体" w:cs="宋体"/>
          <w:color w:val="auto"/>
          <w:sz w:val="21"/>
          <w:szCs w:val="21"/>
          <w:highlight w:val="none"/>
        </w:rPr>
        <w:t>招标</w:t>
      </w:r>
      <w:r>
        <w:rPr>
          <w:rFonts w:ascii="宋体" w:hAnsi="宋体" w:cs="宋体"/>
          <w:color w:val="auto"/>
          <w:sz w:val="21"/>
          <w:szCs w:val="21"/>
          <w:highlight w:val="none"/>
        </w:rPr>
        <w:t>文件的，可以对该文件提出质疑。对</w:t>
      </w:r>
      <w:r>
        <w:rPr>
          <w:rFonts w:hint="eastAsia" w:ascii="宋体" w:hAnsi="宋体" w:cs="宋体"/>
          <w:color w:val="auto"/>
          <w:sz w:val="21"/>
          <w:szCs w:val="21"/>
          <w:highlight w:val="none"/>
        </w:rPr>
        <w:t>招标</w:t>
      </w:r>
      <w:r>
        <w:rPr>
          <w:rFonts w:ascii="宋体" w:hAnsi="宋体" w:cs="宋体"/>
          <w:color w:val="auto"/>
          <w:sz w:val="21"/>
          <w:szCs w:val="21"/>
          <w:highlight w:val="none"/>
        </w:rPr>
        <w:t>文件提出质疑的，应当在获取</w:t>
      </w:r>
      <w:r>
        <w:rPr>
          <w:rFonts w:hint="eastAsia" w:ascii="宋体" w:hAnsi="宋体" w:cs="宋体"/>
          <w:color w:val="auto"/>
          <w:sz w:val="21"/>
          <w:szCs w:val="21"/>
          <w:highlight w:val="none"/>
        </w:rPr>
        <w:t>招标</w:t>
      </w:r>
      <w:r>
        <w:rPr>
          <w:rFonts w:ascii="宋体" w:hAnsi="宋体" w:cs="宋体"/>
          <w:color w:val="auto"/>
          <w:sz w:val="21"/>
          <w:szCs w:val="21"/>
          <w:highlight w:val="none"/>
        </w:rPr>
        <w:t>文件或者</w:t>
      </w:r>
      <w:r>
        <w:rPr>
          <w:rFonts w:hint="eastAsia" w:ascii="宋体" w:hAnsi="宋体" w:cs="宋体"/>
          <w:color w:val="auto"/>
          <w:sz w:val="21"/>
          <w:szCs w:val="21"/>
          <w:highlight w:val="none"/>
        </w:rPr>
        <w:t>招标</w:t>
      </w:r>
      <w:r>
        <w:rPr>
          <w:rFonts w:ascii="宋体" w:hAnsi="宋体" w:cs="宋体"/>
          <w:color w:val="auto"/>
          <w:sz w:val="21"/>
          <w:szCs w:val="21"/>
          <w:highlight w:val="none"/>
        </w:rPr>
        <w:t>文件公告期限届满之日起7个工作日内提出</w:t>
      </w:r>
      <w:r>
        <w:rPr>
          <w:rFonts w:hint="eastAsia" w:ascii="宋体" w:hAnsi="宋体" w:cs="宋体"/>
          <w:color w:val="auto"/>
          <w:sz w:val="21"/>
          <w:szCs w:val="21"/>
          <w:highlight w:val="none"/>
        </w:rPr>
        <w:t>。</w:t>
      </w:r>
    </w:p>
    <w:p w14:paraId="7D40C45F">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9.</w:t>
      </w:r>
      <w:r>
        <w:rPr>
          <w:rFonts w:ascii="宋体" w:hAnsi="宋体" w:cs="宋体"/>
          <w:color w:val="auto"/>
          <w:sz w:val="21"/>
          <w:szCs w:val="21"/>
          <w:highlight w:val="none"/>
        </w:rPr>
        <w:t>5</w:t>
      </w:r>
      <w:r>
        <w:rPr>
          <w:rFonts w:hint="eastAsia" w:ascii="宋体" w:hAnsi="宋体" w:cs="宋体"/>
          <w:color w:val="auto"/>
          <w:sz w:val="21"/>
          <w:szCs w:val="21"/>
          <w:highlight w:val="none"/>
        </w:rPr>
        <w:t>.2质疑主体</w:t>
      </w:r>
    </w:p>
    <w:p w14:paraId="076D68B3">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提出质疑的投标人应当是参与所质疑项目采购活动的投标人。</w:t>
      </w:r>
    </w:p>
    <w:p w14:paraId="7AAA2FDD">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9.</w:t>
      </w:r>
      <w:r>
        <w:rPr>
          <w:rFonts w:ascii="宋体" w:hAnsi="宋体" w:cs="宋体"/>
          <w:color w:val="auto"/>
          <w:sz w:val="21"/>
          <w:szCs w:val="21"/>
          <w:highlight w:val="none"/>
        </w:rPr>
        <w:t>5</w:t>
      </w:r>
      <w:r>
        <w:rPr>
          <w:rFonts w:hint="eastAsia" w:ascii="宋体" w:hAnsi="宋体" w:cs="宋体"/>
          <w:color w:val="auto"/>
          <w:sz w:val="21"/>
          <w:szCs w:val="21"/>
          <w:highlight w:val="none"/>
        </w:rPr>
        <w:t>.3质疑函</w:t>
      </w:r>
    </w:p>
    <w:p w14:paraId="7E528F70">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投标人应在法定质疑期内一次性提出针对同一采购程序环节的质疑。投标人提出质疑应当提交质疑函和必要的证明材料。质疑函应当包括下列内容：</w:t>
      </w:r>
    </w:p>
    <w:p w14:paraId="064ADE3F">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（一）投标人的姓名或者名称、地址、邮编、联系人及联系电话；</w:t>
      </w:r>
    </w:p>
    <w:p w14:paraId="77408726">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（二）质疑项目的名称、编号；</w:t>
      </w:r>
    </w:p>
    <w:p w14:paraId="3843FF4F">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（三）具体、明确的质疑事项和与质疑事项相关的请求；</w:t>
      </w:r>
    </w:p>
    <w:p w14:paraId="64890EBC">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（四）事实依据；</w:t>
      </w:r>
    </w:p>
    <w:p w14:paraId="78D644A4">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（五）必要的法律依据；</w:t>
      </w:r>
    </w:p>
    <w:p w14:paraId="68D7E930">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（六）提出质疑的日期。</w:t>
      </w:r>
    </w:p>
    <w:p w14:paraId="541E9BFE">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投标人为自然人的，应当由本人签字；投标人为法人或者其他组织的，应当由法定代表人、主要负责人，或者其授权代表签字或者盖章，并加盖公章。</w:t>
      </w:r>
    </w:p>
    <w:p w14:paraId="7C85A657">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本招标文件中的公章是指经工商部门和公安部门登记备案的具有法律效力的行政法人公章。不包括“合同专用章”或“投标专用章”等投标人内部使用的业务章，下同。</w:t>
      </w:r>
    </w:p>
    <w:p w14:paraId="7A3903C7">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C8BEE9D">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代理人提出质疑和投诉，应当提交</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签署的授权委托书。</w:t>
      </w:r>
    </w:p>
    <w:p w14:paraId="374890A3">
      <w:pPr>
        <w:keepNext/>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9.</w:t>
      </w:r>
      <w:r>
        <w:rPr>
          <w:rFonts w:ascii="宋体" w:hAnsi="宋体" w:cs="宋体"/>
          <w:color w:val="auto"/>
          <w:sz w:val="21"/>
          <w:szCs w:val="21"/>
          <w:highlight w:val="none"/>
        </w:rPr>
        <w:t>5</w:t>
      </w:r>
      <w:r>
        <w:rPr>
          <w:rFonts w:hint="eastAsia" w:ascii="宋体" w:hAnsi="宋体" w:cs="宋体"/>
          <w:color w:val="auto"/>
          <w:sz w:val="21"/>
          <w:szCs w:val="21"/>
          <w:highlight w:val="none"/>
        </w:rPr>
        <w:t>.4质疑函的递交</w:t>
      </w:r>
    </w:p>
    <w:p w14:paraId="2254FF40">
      <w:pPr>
        <w:widowControl w:val="0"/>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质疑函采取现场书面递交形式。由法定代表人持本人身份证原件或授权委托代理人持本人身份证原件及授权委托书原件，同时携带质疑函(原件)和加盖单位公章的相关依据和证明材料，送至采购代理机构。</w:t>
      </w:r>
    </w:p>
    <w:p w14:paraId="6EE040B0">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9.</w:t>
      </w:r>
      <w:r>
        <w:rPr>
          <w:rFonts w:ascii="宋体" w:hAnsi="宋体" w:cs="宋体"/>
          <w:color w:val="auto"/>
          <w:sz w:val="21"/>
          <w:szCs w:val="21"/>
          <w:highlight w:val="none"/>
        </w:rPr>
        <w:t>5</w:t>
      </w:r>
      <w:r>
        <w:rPr>
          <w:rFonts w:hint="eastAsia" w:ascii="宋体" w:hAnsi="宋体" w:cs="宋体"/>
          <w:color w:val="auto"/>
          <w:sz w:val="21"/>
          <w:szCs w:val="21"/>
          <w:highlight w:val="none"/>
        </w:rPr>
        <w:t>.5质疑回复</w:t>
      </w:r>
    </w:p>
    <w:p w14:paraId="14B76E6D">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采购人或者采购代理机构应在收到质疑函后7个工作日内作出答复，并以书面形式通知质疑的投标人和其他有关投标人，质疑答复的内容不得涉及商业秘密。</w:t>
      </w:r>
    </w:p>
    <w:p w14:paraId="4F454A4B">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9.</w:t>
      </w:r>
      <w:r>
        <w:rPr>
          <w:rFonts w:ascii="宋体" w:hAnsi="宋体" w:cs="宋体"/>
          <w:color w:val="auto"/>
          <w:sz w:val="21"/>
          <w:szCs w:val="21"/>
          <w:highlight w:val="none"/>
        </w:rPr>
        <w:t>5.6</w:t>
      </w:r>
      <w:r>
        <w:rPr>
          <w:rFonts w:hint="eastAsia" w:ascii="宋体" w:hAnsi="宋体" w:cs="宋体"/>
          <w:color w:val="auto"/>
          <w:sz w:val="21"/>
          <w:szCs w:val="21"/>
          <w:highlight w:val="none"/>
        </w:rPr>
        <w:t>投诉</w:t>
      </w:r>
    </w:p>
    <w:p w14:paraId="0D129DA9">
      <w:pPr>
        <w:widowControl w:val="0"/>
        <w:wordWrap w:val="0"/>
        <w:spacing w:line="34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质疑投标人对采购人、采购代理机构的答复不满意，或者采购人、采购代理机构未在规定时间内作出答复的，可以在答复期满后15个工作日内向同级政府采购监督管理部门投诉。投标人提供的投诉书和必要的证明材料应符合中华人民共和国财政部令第94号《政府采购质疑和投诉办法》的规定。</w:t>
      </w:r>
    </w:p>
    <w:p w14:paraId="4B0F5832">
      <w:pPr>
        <w:pStyle w:val="3"/>
        <w:widowControl w:val="0"/>
        <w:spacing w:before="240" w:after="240" w:line="360" w:lineRule="auto"/>
        <w:jc w:val="center"/>
        <w:rPr>
          <w:rFonts w:ascii="宋体" w:hAnsi="宋体" w:eastAsia="宋体"/>
          <w:color w:val="auto"/>
          <w:highlight w:val="none"/>
          <w:lang w:val="zh-CN"/>
        </w:rPr>
      </w:pPr>
      <w:bookmarkStart w:id="143" w:name="_Toc6242"/>
      <w:r>
        <w:rPr>
          <w:rFonts w:hint="eastAsia" w:ascii="宋体" w:hAnsi="宋体" w:eastAsia="宋体"/>
          <w:color w:val="auto"/>
          <w:highlight w:val="none"/>
          <w:lang w:val="zh-CN"/>
        </w:rPr>
        <w:t>（十）需要补充的其他内容</w:t>
      </w:r>
      <w:bookmarkEnd w:id="140"/>
      <w:bookmarkEnd w:id="141"/>
      <w:bookmarkEnd w:id="142"/>
      <w:bookmarkEnd w:id="143"/>
    </w:p>
    <w:p w14:paraId="396A9471">
      <w:pPr>
        <w:pStyle w:val="150"/>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10.</w:t>
      </w:r>
      <w:r>
        <w:rPr>
          <w:rFonts w:hint="eastAsia" w:ascii="宋体" w:hAnsi="宋体" w:eastAsia="宋体"/>
          <w:b/>
          <w:bCs/>
          <w:color w:val="auto"/>
          <w:highlight w:val="none"/>
        </w:rPr>
        <w:t>1</w:t>
      </w:r>
      <w:r>
        <w:rPr>
          <w:rFonts w:hint="eastAsia" w:ascii="宋体" w:hAnsi="宋体" w:eastAsia="宋体"/>
          <w:b/>
          <w:bCs/>
          <w:color w:val="auto"/>
          <w:highlight w:val="none"/>
          <w:lang w:val="zh-CN"/>
        </w:rPr>
        <w:t>采购人补充的其他内容</w:t>
      </w:r>
    </w:p>
    <w:p w14:paraId="68FC34EC">
      <w:pPr>
        <w:pStyle w:val="63"/>
        <w:spacing w:line="360" w:lineRule="auto"/>
        <w:rPr>
          <w:rFonts w:ascii="宋体" w:hAnsi="宋体"/>
          <w:color w:val="auto"/>
          <w:szCs w:val="21"/>
          <w:highlight w:val="none"/>
          <w:lang w:val="zh-CN"/>
        </w:rPr>
      </w:pPr>
      <w:r>
        <w:rPr>
          <w:rFonts w:hint="eastAsia" w:ascii="宋体" w:hAnsi="宋体" w:cs="宋体"/>
          <w:color w:val="auto"/>
          <w:szCs w:val="21"/>
          <w:highlight w:val="none"/>
        </w:rPr>
        <w:t>见投标人须知前附表。</w:t>
      </w:r>
    </w:p>
    <w:p w14:paraId="17137245">
      <w:pPr>
        <w:widowControl w:val="0"/>
        <w:spacing w:line="360" w:lineRule="auto"/>
        <w:ind w:firstLine="450" w:firstLineChars="225"/>
        <w:rPr>
          <w:color w:val="auto"/>
          <w:highlight w:val="none"/>
        </w:rPr>
        <w:sectPr>
          <w:pgSz w:w="11907" w:h="16840"/>
          <w:pgMar w:top="1440" w:right="1080" w:bottom="1440" w:left="1080" w:header="850" w:footer="992" w:gutter="0"/>
          <w:cols w:space="720" w:num="1"/>
          <w:docGrid w:linePitch="286" w:charSpace="0"/>
        </w:sectPr>
      </w:pPr>
      <w:r>
        <w:rPr>
          <w:color w:val="auto"/>
          <w:highlight w:val="none"/>
        </w:rPr>
        <w:br w:type="page"/>
      </w:r>
    </w:p>
    <w:p w14:paraId="45109070">
      <w:pPr>
        <w:pStyle w:val="2"/>
        <w:spacing w:before="240" w:after="240" w:line="360" w:lineRule="auto"/>
        <w:ind w:firstLine="3614" w:firstLineChars="1000"/>
        <w:jc w:val="both"/>
        <w:rPr>
          <w:rFonts w:ascii="宋体" w:hAnsi="宋体"/>
          <w:color w:val="auto"/>
          <w:sz w:val="36"/>
          <w:szCs w:val="36"/>
          <w:highlight w:val="none"/>
          <w:lang w:val="zh-CN"/>
        </w:rPr>
      </w:pPr>
      <w:bookmarkStart w:id="144" w:name="_Toc6857"/>
      <w:r>
        <w:rPr>
          <w:rFonts w:hint="eastAsia" w:ascii="宋体" w:hAnsi="宋体"/>
          <w:color w:val="auto"/>
          <w:sz w:val="36"/>
          <w:szCs w:val="36"/>
          <w:highlight w:val="none"/>
          <w:lang w:val="zh-CN"/>
        </w:rPr>
        <w:t>第三章 资格审查</w:t>
      </w:r>
      <w:bookmarkEnd w:id="144"/>
    </w:p>
    <w:p w14:paraId="1A3A29FF">
      <w:pPr>
        <w:widowControl w:val="0"/>
        <w:wordWrap w:val="0"/>
        <w:spacing w:line="360" w:lineRule="auto"/>
        <w:ind w:left="-142" w:leftChars="-71" w:right="-142" w:rightChars="-71"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公开招标采购项目开标结束后,采购人或采购代理机构依据法律法规和招标文件的规定,对投标人的资格进行审查。合格投标人不足3家的,不得评标。只有通过资格审查的投标文件才能进入评标。</w:t>
      </w:r>
    </w:p>
    <w:tbl>
      <w:tblPr>
        <w:tblStyle w:val="32"/>
        <w:tblW w:w="992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13"/>
        <w:gridCol w:w="2131"/>
        <w:gridCol w:w="6379"/>
      </w:tblGrid>
      <w:tr w14:paraId="68107E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13" w:type="dxa"/>
            <w:tcBorders>
              <w:top w:val="single" w:color="auto" w:sz="4" w:space="0"/>
              <w:bottom w:val="single" w:color="auto" w:sz="6" w:space="0"/>
            </w:tcBorders>
            <w:vAlign w:val="center"/>
          </w:tcPr>
          <w:p w14:paraId="3E823185">
            <w:pPr>
              <w:spacing w:before="120" w:beforeLines="50" w:after="60" w:afterLines="25" w:line="276" w:lineRule="auto"/>
              <w:jc w:val="center"/>
              <w:rPr>
                <w:rFonts w:ascii="宋体" w:hAnsi="宋体" w:cs="宋体"/>
                <w:b/>
                <w:color w:val="auto"/>
                <w:sz w:val="21"/>
                <w:szCs w:val="21"/>
                <w:highlight w:val="none"/>
              </w:rPr>
            </w:pPr>
            <w:bookmarkStart w:id="145" w:name="_Toc260908198"/>
            <w:bookmarkStart w:id="146" w:name="_Toc260907982"/>
            <w:bookmarkStart w:id="147" w:name="_Toc224363895"/>
            <w:bookmarkStart w:id="148" w:name="_Toc229583208"/>
            <w:r>
              <w:rPr>
                <w:rFonts w:hint="eastAsia" w:ascii="宋体" w:hAnsi="宋体" w:cs="宋体"/>
                <w:b/>
                <w:color w:val="auto"/>
                <w:sz w:val="21"/>
                <w:szCs w:val="21"/>
                <w:highlight w:val="none"/>
              </w:rPr>
              <w:t>条款号</w:t>
            </w:r>
          </w:p>
        </w:tc>
        <w:tc>
          <w:tcPr>
            <w:tcW w:w="2131" w:type="dxa"/>
            <w:tcBorders>
              <w:top w:val="single" w:color="auto" w:sz="4" w:space="0"/>
              <w:bottom w:val="single" w:color="auto" w:sz="6" w:space="0"/>
            </w:tcBorders>
            <w:vAlign w:val="center"/>
          </w:tcPr>
          <w:p w14:paraId="513606EF">
            <w:pPr>
              <w:spacing w:before="120" w:beforeLines="50" w:after="60" w:afterLines="25" w:line="276"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评审因素</w:t>
            </w:r>
          </w:p>
        </w:tc>
        <w:tc>
          <w:tcPr>
            <w:tcW w:w="6379" w:type="dxa"/>
            <w:tcBorders>
              <w:top w:val="single" w:color="auto" w:sz="4" w:space="0"/>
              <w:bottom w:val="single" w:color="auto" w:sz="6" w:space="0"/>
            </w:tcBorders>
            <w:vAlign w:val="center"/>
          </w:tcPr>
          <w:p w14:paraId="07B71550">
            <w:pPr>
              <w:spacing w:before="120" w:beforeLines="50" w:after="60" w:afterLines="25" w:line="276"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评审标准</w:t>
            </w:r>
          </w:p>
        </w:tc>
      </w:tr>
      <w:tr w14:paraId="351817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13" w:type="dxa"/>
            <w:vMerge w:val="restart"/>
            <w:tcBorders>
              <w:top w:val="single" w:color="auto" w:sz="6" w:space="0"/>
            </w:tcBorders>
            <w:vAlign w:val="center"/>
          </w:tcPr>
          <w:p w14:paraId="5D7170EF">
            <w:pPr>
              <w:spacing w:before="120" w:beforeLines="50" w:after="60" w:afterLines="25"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资格审查 评审标准</w:t>
            </w:r>
          </w:p>
        </w:tc>
        <w:tc>
          <w:tcPr>
            <w:tcW w:w="2131" w:type="dxa"/>
            <w:vMerge w:val="restart"/>
            <w:tcBorders>
              <w:top w:val="single" w:color="auto" w:sz="6" w:space="0"/>
            </w:tcBorders>
            <w:vAlign w:val="center"/>
          </w:tcPr>
          <w:p w14:paraId="7591FB37">
            <w:pPr>
              <w:spacing w:before="120" w:beforeLines="50" w:after="60" w:afterLines="25"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《中华人民共和国政府采购法》“第二十二条”要求</w:t>
            </w:r>
          </w:p>
        </w:tc>
        <w:tc>
          <w:tcPr>
            <w:tcW w:w="6379" w:type="dxa"/>
            <w:tcBorders>
              <w:top w:val="single" w:color="auto" w:sz="6" w:space="0"/>
            </w:tcBorders>
            <w:vAlign w:val="center"/>
          </w:tcPr>
          <w:p w14:paraId="5A6B3D59">
            <w:pPr>
              <w:widowControl w:val="0"/>
              <w:spacing w:before="120" w:beforeLines="50" w:after="60" w:afterLines="25" w:line="360" w:lineRule="auto"/>
              <w:jc w:val="both"/>
              <w:rPr>
                <w:rFonts w:ascii="宋体" w:hAnsi="宋体" w:cs="宋体"/>
                <w:color w:val="auto"/>
                <w:sz w:val="21"/>
                <w:szCs w:val="21"/>
                <w:highlight w:val="none"/>
              </w:rPr>
            </w:pPr>
            <w:r>
              <w:rPr>
                <w:rFonts w:hint="eastAsia" w:ascii="宋体" w:hAnsi="宋体" w:cs="宋体"/>
                <w:b/>
                <w:bCs/>
                <w:color w:val="auto"/>
                <w:sz w:val="21"/>
                <w:szCs w:val="21"/>
                <w:highlight w:val="none"/>
              </w:rPr>
              <w:t>具有独立承担民事责任的能力：</w:t>
            </w:r>
            <w:r>
              <w:rPr>
                <w:rFonts w:hint="eastAsia" w:ascii="宋体" w:hAnsi="宋体" w:cs="宋体"/>
                <w:color w:val="auto"/>
                <w:sz w:val="21"/>
                <w:szCs w:val="21"/>
                <w:highlight w:val="none"/>
              </w:rPr>
              <w:t>应为经行政管理部门登记注册的独立企业（事业）法人或其他组织或者自然人，具备有效的营业执照或事业单位法人证书或自然人身份证或其他类似的法定凭证；</w:t>
            </w:r>
          </w:p>
          <w:p w14:paraId="16F07BBA">
            <w:pPr>
              <w:widowControl w:val="0"/>
              <w:spacing w:before="120" w:beforeLines="50" w:after="60" w:afterLines="25" w:line="360" w:lineRule="auto"/>
              <w:jc w:val="both"/>
              <w:rPr>
                <w:rFonts w:ascii="宋体" w:hAnsi="宋体"/>
                <w:color w:val="auto"/>
                <w:sz w:val="21"/>
                <w:szCs w:val="21"/>
                <w:highlight w:val="none"/>
              </w:rPr>
            </w:pPr>
            <w:r>
              <w:rPr>
                <w:rFonts w:hint="eastAsia" w:ascii="宋体" w:hAnsi="宋体" w:cs="宋体"/>
                <w:color w:val="auto"/>
                <w:sz w:val="21"/>
                <w:szCs w:val="21"/>
                <w:highlight w:val="none"/>
              </w:rPr>
              <w:t>投标文件中提供上述所需相关证明材料的扫描件</w:t>
            </w:r>
            <w:r>
              <w:rPr>
                <w:rFonts w:hint="eastAsia" w:ascii="宋体" w:hAnsi="宋体"/>
                <w:bCs/>
                <w:color w:val="auto"/>
                <w:kern w:val="2"/>
                <w:sz w:val="21"/>
                <w:szCs w:val="21"/>
                <w:highlight w:val="none"/>
              </w:rPr>
              <w:t>。</w:t>
            </w:r>
          </w:p>
        </w:tc>
      </w:tr>
      <w:tr w14:paraId="555092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13" w:type="dxa"/>
            <w:vMerge w:val="continue"/>
            <w:vAlign w:val="center"/>
          </w:tcPr>
          <w:p w14:paraId="442BDB9C">
            <w:pPr>
              <w:spacing w:before="120" w:beforeLines="50" w:after="60" w:afterLines="25" w:line="360" w:lineRule="auto"/>
              <w:jc w:val="center"/>
              <w:rPr>
                <w:rFonts w:ascii="宋体" w:hAnsi="宋体" w:cs="宋体"/>
                <w:color w:val="auto"/>
                <w:sz w:val="21"/>
                <w:szCs w:val="21"/>
                <w:highlight w:val="none"/>
              </w:rPr>
            </w:pPr>
          </w:p>
        </w:tc>
        <w:tc>
          <w:tcPr>
            <w:tcW w:w="2131" w:type="dxa"/>
            <w:vMerge w:val="continue"/>
            <w:vAlign w:val="center"/>
          </w:tcPr>
          <w:p w14:paraId="4A2DC022">
            <w:pPr>
              <w:spacing w:before="120" w:beforeLines="50" w:after="60" w:afterLines="25" w:line="360" w:lineRule="auto"/>
              <w:jc w:val="center"/>
              <w:rPr>
                <w:rFonts w:ascii="宋体" w:hAnsi="宋体" w:cs="宋体"/>
                <w:color w:val="auto"/>
                <w:sz w:val="21"/>
                <w:szCs w:val="21"/>
                <w:highlight w:val="none"/>
              </w:rPr>
            </w:pPr>
          </w:p>
        </w:tc>
        <w:tc>
          <w:tcPr>
            <w:tcW w:w="6379" w:type="dxa"/>
            <w:vAlign w:val="center"/>
          </w:tcPr>
          <w:p w14:paraId="2A0E7C96">
            <w:pPr>
              <w:spacing w:line="360" w:lineRule="auto"/>
              <w:rPr>
                <w:rFonts w:hint="eastAsia" w:ascii="宋体" w:hAnsi="宋体" w:eastAsia="宋体" w:cs="Times New Roman"/>
                <w:color w:val="auto"/>
                <w:sz w:val="21"/>
                <w:szCs w:val="21"/>
                <w:highlight w:val="none"/>
              </w:rPr>
            </w:pPr>
            <w:r>
              <w:rPr>
                <w:rFonts w:hint="eastAsia" w:ascii="宋体" w:hAnsi="宋体"/>
                <w:b/>
                <w:bCs/>
                <w:snapToGrid w:val="0"/>
                <w:color w:val="auto"/>
                <w:sz w:val="21"/>
                <w:szCs w:val="21"/>
                <w:highlight w:val="none"/>
              </w:rPr>
              <w:t>具有良好的商业信誉和健全的财务会计制度：</w:t>
            </w:r>
            <w:r>
              <w:rPr>
                <w:rFonts w:hint="eastAsia" w:ascii="宋体" w:hAnsi="宋体" w:eastAsia="宋体" w:cs="Times New Roman"/>
                <w:color w:val="auto"/>
                <w:sz w:val="21"/>
                <w:szCs w:val="21"/>
                <w:highlight w:val="none"/>
                <w:lang w:val="en-US" w:eastAsia="zh-CN"/>
              </w:rPr>
              <w:t>投标人</w:t>
            </w:r>
            <w:r>
              <w:rPr>
                <w:rFonts w:hint="eastAsia" w:ascii="宋体" w:hAnsi="宋体" w:eastAsia="宋体" w:cs="Times New Roman"/>
                <w:color w:val="auto"/>
                <w:sz w:val="21"/>
                <w:szCs w:val="21"/>
                <w:highlight w:val="none"/>
              </w:rPr>
              <w:t>须提供财务状况报告，内容可为以下</w:t>
            </w:r>
            <w:r>
              <w:rPr>
                <w:rFonts w:hint="eastAsia" w:ascii="宋体" w:hAnsi="宋体" w:eastAsia="宋体" w:cs="Times New Roman"/>
                <w:color w:val="auto"/>
                <w:sz w:val="21"/>
                <w:szCs w:val="21"/>
                <w:highlight w:val="none"/>
                <w:lang w:eastAsia="zh-CN"/>
              </w:rPr>
              <w:t>三</w:t>
            </w:r>
            <w:r>
              <w:rPr>
                <w:rFonts w:hint="eastAsia" w:ascii="宋体" w:hAnsi="宋体" w:eastAsia="宋体" w:cs="Times New Roman"/>
                <w:color w:val="auto"/>
                <w:sz w:val="21"/>
                <w:szCs w:val="21"/>
                <w:highlight w:val="none"/>
              </w:rPr>
              <w:t>者之一：</w:t>
            </w:r>
          </w:p>
          <w:p w14:paraId="1FF4281C">
            <w:pPr>
              <w:spacing w:line="36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①提供202</w:t>
            </w: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年至今任意1年经审计的财务报告(包括资产负债表、利润表、现金流量表、所有者权益变动表及其附注)，新成立不满1年的供应商提供自成立至今的财务报表；</w:t>
            </w:r>
          </w:p>
          <w:p w14:paraId="0FAEE9DC">
            <w:pPr>
              <w:spacing w:line="36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②提供自响应文件提交截止时间前三个月内基本开户银行出具的资信证明。</w:t>
            </w:r>
          </w:p>
          <w:p w14:paraId="6B318A44">
            <w:pPr>
              <w:spacing w:line="360" w:lineRule="auto"/>
              <w:rPr>
                <w:rFonts w:ascii="宋体" w:hAnsi="宋体" w:cs="宋体"/>
                <w:color w:val="auto"/>
                <w:sz w:val="21"/>
                <w:szCs w:val="21"/>
                <w:highlight w:val="none"/>
              </w:rPr>
            </w:pPr>
            <w:r>
              <w:rPr>
                <w:rFonts w:hint="eastAsia" w:ascii="宋体" w:hAnsi="宋体" w:eastAsia="宋体" w:cs="Times New Roman"/>
                <w:color w:val="auto"/>
                <w:sz w:val="21"/>
                <w:szCs w:val="21"/>
                <w:highlight w:val="none"/>
              </w:rPr>
              <w:t>③可提供财政部门认可的政府采购专业担保机构出具的投标担保函</w:t>
            </w:r>
            <w:r>
              <w:rPr>
                <w:rFonts w:hint="eastAsia" w:ascii="宋体" w:hAnsi="宋体" w:eastAsia="宋体" w:cs="Times New Roman"/>
                <w:color w:val="auto"/>
                <w:sz w:val="21"/>
                <w:szCs w:val="21"/>
                <w:highlight w:val="none"/>
                <w:lang w:eastAsia="zh-CN"/>
              </w:rPr>
              <w:t>。</w:t>
            </w:r>
          </w:p>
          <w:p w14:paraId="0AA6D955">
            <w:pPr>
              <w:spacing w:before="120" w:beforeLines="50" w:after="60" w:afterLines="25" w:line="360" w:lineRule="auto"/>
              <w:jc w:val="both"/>
              <w:rPr>
                <w:rFonts w:ascii="宋体" w:hAnsi="宋体"/>
                <w:color w:val="auto"/>
                <w:sz w:val="21"/>
                <w:szCs w:val="21"/>
                <w:highlight w:val="none"/>
              </w:rPr>
            </w:pPr>
            <w:r>
              <w:rPr>
                <w:rFonts w:hint="eastAsia" w:ascii="宋体" w:hAnsi="宋体" w:cs="宋体"/>
                <w:color w:val="auto"/>
                <w:sz w:val="21"/>
                <w:szCs w:val="21"/>
                <w:highlight w:val="none"/>
              </w:rPr>
              <w:t>投标文件中提供上述所需相关证明材料的扫描件。</w:t>
            </w:r>
          </w:p>
        </w:tc>
      </w:tr>
      <w:tr w14:paraId="2C333E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13" w:type="dxa"/>
            <w:vMerge w:val="continue"/>
            <w:vAlign w:val="center"/>
          </w:tcPr>
          <w:p w14:paraId="28FDC327">
            <w:pPr>
              <w:spacing w:before="120" w:beforeLines="50" w:after="60" w:afterLines="25" w:line="360" w:lineRule="auto"/>
              <w:jc w:val="center"/>
              <w:rPr>
                <w:rFonts w:ascii="宋体" w:hAnsi="宋体" w:cs="宋体"/>
                <w:color w:val="auto"/>
                <w:sz w:val="21"/>
                <w:szCs w:val="21"/>
                <w:highlight w:val="none"/>
              </w:rPr>
            </w:pPr>
          </w:p>
        </w:tc>
        <w:tc>
          <w:tcPr>
            <w:tcW w:w="2131" w:type="dxa"/>
            <w:vMerge w:val="continue"/>
            <w:vAlign w:val="center"/>
          </w:tcPr>
          <w:p w14:paraId="75D71E05">
            <w:pPr>
              <w:spacing w:before="120" w:beforeLines="50" w:after="60" w:afterLines="25" w:line="360" w:lineRule="auto"/>
              <w:jc w:val="center"/>
              <w:rPr>
                <w:rFonts w:ascii="宋体" w:hAnsi="宋体" w:cs="宋体"/>
                <w:color w:val="auto"/>
                <w:sz w:val="21"/>
                <w:szCs w:val="21"/>
                <w:highlight w:val="none"/>
              </w:rPr>
            </w:pPr>
          </w:p>
        </w:tc>
        <w:tc>
          <w:tcPr>
            <w:tcW w:w="6379" w:type="dxa"/>
            <w:vAlign w:val="center"/>
          </w:tcPr>
          <w:p w14:paraId="2C383F84">
            <w:pPr>
              <w:spacing w:line="360" w:lineRule="auto"/>
              <w:rPr>
                <w:rFonts w:ascii="宋体" w:hAnsi="宋体"/>
                <w:color w:val="auto"/>
                <w:sz w:val="21"/>
                <w:szCs w:val="21"/>
                <w:highlight w:val="none"/>
              </w:rPr>
            </w:pPr>
            <w:r>
              <w:rPr>
                <w:rFonts w:hint="eastAsia" w:ascii="宋体" w:hAnsi="宋体"/>
                <w:b/>
                <w:bCs/>
                <w:snapToGrid w:val="0"/>
                <w:color w:val="auto"/>
                <w:sz w:val="21"/>
                <w:szCs w:val="21"/>
                <w:highlight w:val="none"/>
              </w:rPr>
              <w:t>具有履行合同所必需的设备和专业技术能力：</w:t>
            </w:r>
            <w:r>
              <w:rPr>
                <w:rFonts w:hint="eastAsia" w:ascii="宋体" w:hAnsi="宋体"/>
                <w:snapToGrid w:val="0"/>
                <w:color w:val="auto"/>
                <w:sz w:val="21"/>
                <w:szCs w:val="21"/>
                <w:highlight w:val="none"/>
              </w:rPr>
              <w:t>投标人须提供具有履行合同所必需的设备和专业技术能力的证明材料或书面声明</w:t>
            </w:r>
            <w:r>
              <w:rPr>
                <w:rFonts w:hint="eastAsia" w:ascii="宋体" w:hAnsi="宋体"/>
                <w:color w:val="auto"/>
                <w:sz w:val="21"/>
                <w:szCs w:val="21"/>
                <w:highlight w:val="none"/>
              </w:rPr>
              <w:t xml:space="preserve">； </w:t>
            </w:r>
          </w:p>
          <w:p w14:paraId="23B54511">
            <w:pPr>
              <w:widowControl w:val="0"/>
              <w:spacing w:before="120" w:beforeLines="50" w:after="60" w:afterLines="25" w:line="360" w:lineRule="auto"/>
              <w:jc w:val="both"/>
              <w:rPr>
                <w:rFonts w:ascii="宋体" w:hAnsi="宋体"/>
                <w:bCs/>
                <w:color w:val="auto"/>
                <w:kern w:val="2"/>
                <w:sz w:val="21"/>
                <w:szCs w:val="21"/>
                <w:highlight w:val="none"/>
              </w:rPr>
            </w:pPr>
            <w:r>
              <w:rPr>
                <w:rFonts w:hint="eastAsia" w:ascii="宋体" w:hAnsi="宋体" w:cs="宋体"/>
                <w:color w:val="auto"/>
                <w:sz w:val="21"/>
                <w:szCs w:val="21"/>
                <w:highlight w:val="none"/>
              </w:rPr>
              <w:t>（由投标人自行编写，格式自拟）。</w:t>
            </w:r>
          </w:p>
        </w:tc>
      </w:tr>
      <w:tr w14:paraId="6F3E97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13" w:type="dxa"/>
            <w:vMerge w:val="continue"/>
            <w:vAlign w:val="center"/>
          </w:tcPr>
          <w:p w14:paraId="41114D69">
            <w:pPr>
              <w:spacing w:before="120" w:beforeLines="50" w:after="60" w:afterLines="25" w:line="360" w:lineRule="auto"/>
              <w:jc w:val="center"/>
              <w:rPr>
                <w:rFonts w:ascii="宋体" w:hAnsi="宋体" w:cs="宋体"/>
                <w:color w:val="auto"/>
                <w:sz w:val="21"/>
                <w:szCs w:val="21"/>
                <w:highlight w:val="none"/>
              </w:rPr>
            </w:pPr>
          </w:p>
        </w:tc>
        <w:tc>
          <w:tcPr>
            <w:tcW w:w="2131" w:type="dxa"/>
            <w:vMerge w:val="continue"/>
            <w:vAlign w:val="center"/>
          </w:tcPr>
          <w:p w14:paraId="4B24A39A">
            <w:pPr>
              <w:spacing w:before="120" w:beforeLines="50" w:after="60" w:afterLines="25" w:line="360" w:lineRule="auto"/>
              <w:jc w:val="center"/>
              <w:rPr>
                <w:rFonts w:ascii="宋体" w:hAnsi="宋体" w:cs="宋体"/>
                <w:color w:val="auto"/>
                <w:sz w:val="21"/>
                <w:szCs w:val="21"/>
                <w:highlight w:val="none"/>
              </w:rPr>
            </w:pPr>
          </w:p>
        </w:tc>
        <w:tc>
          <w:tcPr>
            <w:tcW w:w="6379" w:type="dxa"/>
            <w:vAlign w:val="center"/>
          </w:tcPr>
          <w:p w14:paraId="63F62844">
            <w:pPr>
              <w:widowControl w:val="0"/>
              <w:spacing w:before="120" w:beforeLines="50" w:after="60" w:afterLines="25" w:line="360" w:lineRule="auto"/>
              <w:jc w:val="both"/>
              <w:rPr>
                <w:rFonts w:ascii="宋体" w:hAnsi="宋体"/>
                <w:b/>
                <w:bCs/>
                <w:snapToGrid w:val="0"/>
                <w:color w:val="auto"/>
                <w:sz w:val="21"/>
                <w:szCs w:val="21"/>
                <w:highlight w:val="none"/>
              </w:rPr>
            </w:pPr>
            <w:r>
              <w:rPr>
                <w:rFonts w:hint="eastAsia" w:ascii="宋体" w:hAnsi="宋体"/>
                <w:b/>
                <w:bCs/>
                <w:snapToGrid w:val="0"/>
                <w:color w:val="auto"/>
                <w:sz w:val="21"/>
                <w:szCs w:val="21"/>
                <w:highlight w:val="none"/>
              </w:rPr>
              <w:t>有依法缴纳税收和社会保障资金的良好记录：</w:t>
            </w:r>
          </w:p>
          <w:p w14:paraId="04AF4ADD">
            <w:pPr>
              <w:widowControl w:val="0"/>
              <w:spacing w:before="120" w:beforeLines="50" w:after="60" w:afterLines="25" w:line="360" w:lineRule="auto"/>
              <w:jc w:val="both"/>
              <w:rPr>
                <w:rFonts w:ascii="宋体" w:hAnsi="宋体"/>
                <w:bCs/>
                <w:color w:val="auto"/>
                <w:kern w:val="2"/>
                <w:sz w:val="21"/>
                <w:szCs w:val="21"/>
                <w:highlight w:val="none"/>
              </w:rPr>
            </w:pPr>
            <w:r>
              <w:rPr>
                <w:rFonts w:hint="eastAsia" w:ascii="宋体" w:hAnsi="宋体" w:eastAsia="宋体" w:cs="Times New Roman"/>
                <w:color w:val="auto"/>
                <w:sz w:val="21"/>
                <w:szCs w:val="21"/>
                <w:highlight w:val="none"/>
                <w:lang w:eastAsia="zh-CN"/>
              </w:rPr>
              <w:t>提供202</w:t>
            </w: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年</w:t>
            </w: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lang w:eastAsia="zh-CN"/>
              </w:rPr>
              <w:t>月至投标文件提交截止时间（税款所属时期）任意3个月的税务局税收通用缴款书复印件或银行电子缴税（费）凭证或税务局出具纳税情况的相关证明；成立未满3个月的的提供成立以来的税收和社会保障资金缴纳凭证或相关情况说明。（依法免税或不需要缴纳社会保障资金的投标人，应提供相应文件证明其依法免税或不需要缴纳社会保障资金）</w:t>
            </w:r>
          </w:p>
        </w:tc>
      </w:tr>
      <w:tr w14:paraId="6F85C4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13" w:type="dxa"/>
            <w:vMerge w:val="continue"/>
            <w:vAlign w:val="center"/>
          </w:tcPr>
          <w:p w14:paraId="40B2A79F">
            <w:pPr>
              <w:spacing w:before="120" w:beforeLines="50" w:after="60" w:afterLines="25" w:line="360" w:lineRule="auto"/>
              <w:jc w:val="center"/>
              <w:rPr>
                <w:rFonts w:ascii="宋体" w:hAnsi="宋体" w:cs="宋体"/>
                <w:color w:val="auto"/>
                <w:sz w:val="21"/>
                <w:szCs w:val="21"/>
                <w:highlight w:val="none"/>
              </w:rPr>
            </w:pPr>
          </w:p>
        </w:tc>
        <w:tc>
          <w:tcPr>
            <w:tcW w:w="2131" w:type="dxa"/>
            <w:vMerge w:val="continue"/>
            <w:tcBorders>
              <w:bottom w:val="single" w:color="auto" w:sz="4" w:space="0"/>
            </w:tcBorders>
            <w:vAlign w:val="center"/>
          </w:tcPr>
          <w:p w14:paraId="60C47208">
            <w:pPr>
              <w:spacing w:before="120" w:beforeLines="50" w:after="60" w:afterLines="25" w:line="360" w:lineRule="auto"/>
              <w:jc w:val="center"/>
              <w:rPr>
                <w:rFonts w:ascii="宋体" w:hAnsi="宋体" w:cs="宋体"/>
                <w:color w:val="auto"/>
                <w:sz w:val="21"/>
                <w:szCs w:val="21"/>
                <w:highlight w:val="none"/>
              </w:rPr>
            </w:pPr>
          </w:p>
        </w:tc>
        <w:tc>
          <w:tcPr>
            <w:tcW w:w="6379" w:type="dxa"/>
            <w:tcBorders>
              <w:bottom w:val="single" w:color="auto" w:sz="4" w:space="0"/>
            </w:tcBorders>
            <w:vAlign w:val="center"/>
          </w:tcPr>
          <w:p w14:paraId="68CE55DE">
            <w:pPr>
              <w:spacing w:before="120" w:beforeLines="50" w:after="60" w:afterLines="25" w:line="360" w:lineRule="auto"/>
              <w:jc w:val="both"/>
              <w:rPr>
                <w:rFonts w:ascii="宋体" w:hAnsi="宋体"/>
                <w:color w:val="auto"/>
                <w:sz w:val="21"/>
                <w:szCs w:val="21"/>
                <w:highlight w:val="none"/>
              </w:rPr>
            </w:pPr>
            <w:r>
              <w:rPr>
                <w:rFonts w:hint="eastAsia" w:ascii="宋体" w:hAnsi="宋体"/>
                <w:b/>
                <w:bCs/>
                <w:snapToGrid w:val="0"/>
                <w:color w:val="auto"/>
                <w:sz w:val="21"/>
                <w:szCs w:val="21"/>
                <w:highlight w:val="none"/>
              </w:rPr>
              <w:t>参加政府采购活动前三年内，在经营活动中没有重大违法记录：</w:t>
            </w:r>
            <w:r>
              <w:rPr>
                <w:rFonts w:hint="eastAsia" w:ascii="宋体" w:hAnsi="宋体"/>
                <w:color w:val="auto"/>
                <w:sz w:val="21"/>
                <w:szCs w:val="21"/>
                <w:highlight w:val="none"/>
                <w:lang w:eastAsia="zh-CN"/>
              </w:rPr>
              <w:t>投标人须提供参加政府采购活动前三年内，在经营活动中没有重大违法记录（重大违法记录是指：投标人因违法经营受到刑事处罚或者责令停产停业、吊销许可证或者执照、较大数额罚款等行政处罚）的书面声明。</w:t>
            </w:r>
          </w:p>
        </w:tc>
      </w:tr>
      <w:tr w14:paraId="73C85D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13" w:type="dxa"/>
            <w:vMerge w:val="continue"/>
            <w:vAlign w:val="center"/>
          </w:tcPr>
          <w:p w14:paraId="5EE137D3">
            <w:pPr>
              <w:spacing w:before="120" w:beforeLines="50" w:after="60" w:afterLines="25" w:line="360" w:lineRule="auto"/>
              <w:jc w:val="center"/>
              <w:rPr>
                <w:rFonts w:ascii="宋体" w:hAnsi="宋体" w:cs="宋体"/>
                <w:color w:val="auto"/>
                <w:sz w:val="21"/>
                <w:szCs w:val="21"/>
                <w:highlight w:val="none"/>
              </w:rPr>
            </w:pPr>
          </w:p>
        </w:tc>
        <w:tc>
          <w:tcPr>
            <w:tcW w:w="2131" w:type="dxa"/>
            <w:tcBorders>
              <w:bottom w:val="single" w:color="auto" w:sz="4" w:space="0"/>
            </w:tcBorders>
            <w:vAlign w:val="center"/>
          </w:tcPr>
          <w:p w14:paraId="7A24B0BD">
            <w:pPr>
              <w:spacing w:before="120" w:beforeLines="50" w:after="60" w:afterLines="25"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信誉要求</w:t>
            </w:r>
          </w:p>
        </w:tc>
        <w:tc>
          <w:tcPr>
            <w:tcW w:w="6379" w:type="dxa"/>
            <w:tcBorders>
              <w:bottom w:val="single" w:color="auto" w:sz="4" w:space="0"/>
            </w:tcBorders>
            <w:vAlign w:val="center"/>
          </w:tcPr>
          <w:p w14:paraId="475BE3A4">
            <w:pPr>
              <w:spacing w:before="120" w:beforeLines="50" w:after="60" w:afterLines="25" w:line="360" w:lineRule="auto"/>
              <w:jc w:val="both"/>
              <w:rPr>
                <w:rFonts w:ascii="宋体" w:hAnsi="宋体" w:cs="宋体"/>
                <w:color w:val="auto"/>
                <w:sz w:val="21"/>
                <w:szCs w:val="21"/>
                <w:highlight w:val="none"/>
              </w:rPr>
            </w:pPr>
            <w:r>
              <w:rPr>
                <w:rFonts w:hint="eastAsia" w:ascii="宋体" w:hAnsi="宋体"/>
                <w:color w:val="auto"/>
                <w:sz w:val="21"/>
                <w:szCs w:val="21"/>
                <w:highlight w:val="none"/>
              </w:rPr>
              <w:t>未被“信用中国（www.creditchina.gov.cn）”</w:t>
            </w:r>
            <w:r>
              <w:rPr>
                <w:rFonts w:hint="eastAsia" w:ascii="宋体" w:hAnsi="宋体"/>
                <w:color w:val="auto"/>
                <w:sz w:val="21"/>
                <w:szCs w:val="21"/>
                <w:highlight w:val="none"/>
                <w:lang w:val="en-US" w:eastAsia="zh-CN"/>
              </w:rPr>
              <w:t>网站列入</w:t>
            </w:r>
            <w:r>
              <w:rPr>
                <w:rFonts w:hint="eastAsia" w:ascii="宋体" w:hAnsi="宋体"/>
                <w:color w:val="auto"/>
                <w:sz w:val="21"/>
                <w:szCs w:val="21"/>
                <w:highlight w:val="none"/>
              </w:rPr>
              <w:t>列入失信被执行人</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跳转“中国执行信息公开网：zxgk.court.gov.cn/shixin”</w:t>
            </w:r>
            <w:r>
              <w:rPr>
                <w:rFonts w:hint="eastAsia" w:ascii="宋体" w:hAnsi="宋体"/>
                <w:color w:val="auto"/>
                <w:sz w:val="21"/>
                <w:szCs w:val="21"/>
                <w:highlight w:val="none"/>
                <w:lang w:eastAsia="zh-CN"/>
              </w:rPr>
              <w:t>）</w:t>
            </w:r>
            <w:r>
              <w:rPr>
                <w:rFonts w:hint="eastAsia" w:ascii="宋体" w:hAnsi="宋体"/>
                <w:color w:val="auto"/>
                <w:sz w:val="21"/>
                <w:szCs w:val="21"/>
                <w:highlight w:val="none"/>
              </w:rPr>
              <w:t>、重大税收违法</w:t>
            </w:r>
            <w:r>
              <w:rPr>
                <w:rFonts w:hint="eastAsia" w:ascii="宋体" w:hAnsi="宋体"/>
                <w:color w:val="auto"/>
                <w:sz w:val="21"/>
                <w:szCs w:val="21"/>
                <w:highlight w:val="none"/>
                <w:lang w:val="en-US" w:eastAsia="zh-CN"/>
              </w:rPr>
              <w:t>失信主体</w:t>
            </w:r>
            <w:r>
              <w:rPr>
                <w:rFonts w:hint="eastAsia" w:ascii="宋体" w:hAnsi="宋体"/>
                <w:color w:val="auto"/>
                <w:sz w:val="21"/>
                <w:szCs w:val="21"/>
                <w:highlight w:val="none"/>
              </w:rPr>
              <w:t>、政府采购严重违法失信行为记录名单</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未被“</w:t>
            </w:r>
            <w:r>
              <w:rPr>
                <w:rFonts w:hint="eastAsia" w:ascii="宋体" w:hAnsi="宋体"/>
                <w:color w:val="auto"/>
                <w:sz w:val="21"/>
                <w:szCs w:val="21"/>
                <w:highlight w:val="none"/>
              </w:rPr>
              <w:t>中国政府采购网（www.ccgp.gov.cn）</w:t>
            </w:r>
            <w:r>
              <w:rPr>
                <w:rFonts w:hint="eastAsia" w:ascii="宋体" w:hAnsi="宋体"/>
                <w:color w:val="auto"/>
                <w:sz w:val="21"/>
                <w:szCs w:val="21"/>
                <w:highlight w:val="none"/>
                <w:lang w:val="en-US" w:eastAsia="zh-CN"/>
              </w:rPr>
              <w:t>”网站</w:t>
            </w:r>
            <w:r>
              <w:rPr>
                <w:rFonts w:hint="eastAsia" w:ascii="宋体" w:hAnsi="宋体"/>
                <w:color w:val="auto"/>
                <w:sz w:val="21"/>
                <w:szCs w:val="21"/>
                <w:highlight w:val="none"/>
              </w:rPr>
              <w:t>列入政府采购严重违法失信行为记录名单。</w:t>
            </w:r>
            <w:r>
              <w:rPr>
                <w:rFonts w:hint="eastAsia" w:ascii="宋体" w:hAnsi="宋体" w:eastAsia="宋体" w:cs="Times New Roman"/>
                <w:color w:val="auto"/>
                <w:sz w:val="21"/>
                <w:szCs w:val="21"/>
                <w:highlight w:val="none"/>
                <w:lang w:val="en-US" w:eastAsia="zh-CN"/>
              </w:rPr>
              <w:t>(采购人、采购代理机构将经查询存在不良信用记录的潜在投标人查询结果证明材料作为查询记录和证据，与其他采购文件一并保存）</w:t>
            </w:r>
          </w:p>
        </w:tc>
      </w:tr>
      <w:tr w14:paraId="1F8454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13" w:type="dxa"/>
            <w:vMerge w:val="continue"/>
            <w:vAlign w:val="center"/>
          </w:tcPr>
          <w:p w14:paraId="65CD6913">
            <w:pPr>
              <w:spacing w:before="120" w:beforeLines="50" w:after="60" w:afterLines="25" w:line="360" w:lineRule="auto"/>
              <w:jc w:val="center"/>
              <w:rPr>
                <w:rFonts w:ascii="宋体" w:hAnsi="宋体" w:cs="宋体"/>
                <w:color w:val="auto"/>
                <w:sz w:val="21"/>
                <w:szCs w:val="21"/>
                <w:highlight w:val="none"/>
              </w:rPr>
            </w:pPr>
          </w:p>
        </w:tc>
        <w:tc>
          <w:tcPr>
            <w:tcW w:w="2131" w:type="dxa"/>
            <w:tcBorders>
              <w:bottom w:val="single" w:color="auto" w:sz="4" w:space="0"/>
            </w:tcBorders>
            <w:vAlign w:val="center"/>
          </w:tcPr>
          <w:p w14:paraId="262BAEEA">
            <w:pPr>
              <w:spacing w:before="120" w:beforeLines="50" w:after="60" w:afterLines="25"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特定资格</w:t>
            </w:r>
            <w:r>
              <w:rPr>
                <w:rFonts w:hint="eastAsia" w:ascii="宋体" w:hAnsi="宋体" w:cs="宋体"/>
                <w:color w:val="auto"/>
                <w:sz w:val="21"/>
                <w:szCs w:val="21"/>
                <w:highlight w:val="none"/>
              </w:rPr>
              <w:t>要求</w:t>
            </w:r>
          </w:p>
        </w:tc>
        <w:tc>
          <w:tcPr>
            <w:tcW w:w="6379" w:type="dxa"/>
            <w:tcBorders>
              <w:bottom w:val="single" w:color="auto" w:sz="4" w:space="0"/>
            </w:tcBorders>
            <w:vAlign w:val="center"/>
          </w:tcPr>
          <w:p w14:paraId="08B3297A">
            <w:pPr>
              <w:spacing w:before="120" w:beforeLines="50" w:after="60" w:afterLines="25" w:line="360" w:lineRule="auto"/>
              <w:jc w:val="both"/>
              <w:rPr>
                <w:rFonts w:hint="eastAsia" w:ascii="宋体" w:hAnsi="宋体"/>
                <w:color w:val="auto"/>
                <w:sz w:val="21"/>
                <w:szCs w:val="21"/>
                <w:highlight w:val="none"/>
              </w:rPr>
            </w:pPr>
            <w:r>
              <w:rPr>
                <w:rFonts w:hint="eastAsia" w:ascii="宋体" w:hAnsi="宋体"/>
                <w:color w:val="auto"/>
                <w:sz w:val="21"/>
                <w:szCs w:val="21"/>
                <w:highlight w:val="none"/>
              </w:rPr>
              <w:t>法定代表人为同一人的两个及两个以上法人，母公司、全资子公司及其控股公司，都不得在同一招标项目中同时投标。</w:t>
            </w:r>
          </w:p>
          <w:p w14:paraId="5F74B0CB">
            <w:pPr>
              <w:spacing w:before="120" w:beforeLines="50" w:after="60" w:afterLines="25" w:line="360" w:lineRule="auto"/>
              <w:jc w:val="both"/>
              <w:rPr>
                <w:rFonts w:ascii="宋体" w:hAnsi="宋体"/>
                <w:snapToGrid w:val="0"/>
                <w:color w:val="auto"/>
                <w:sz w:val="21"/>
                <w:szCs w:val="21"/>
                <w:highlight w:val="none"/>
              </w:rPr>
            </w:pPr>
            <w:r>
              <w:rPr>
                <w:rFonts w:hint="eastAsia" w:ascii="宋体" w:hAnsi="宋体" w:cs="宋体"/>
                <w:color w:val="auto"/>
                <w:sz w:val="21"/>
                <w:szCs w:val="21"/>
                <w:highlight w:val="none"/>
              </w:rPr>
              <w:t>投标文件中提供</w:t>
            </w:r>
            <w:r>
              <w:rPr>
                <w:rFonts w:hint="eastAsia" w:ascii="宋体" w:hAnsi="宋体" w:cs="宋体"/>
                <w:color w:val="auto"/>
                <w:sz w:val="21"/>
                <w:szCs w:val="21"/>
                <w:highlight w:val="none"/>
                <w:lang w:val="en-US" w:eastAsia="zh-CN"/>
              </w:rPr>
              <w:t>承诺书</w:t>
            </w:r>
            <w:r>
              <w:rPr>
                <w:rFonts w:hint="eastAsia" w:ascii="宋体" w:hAnsi="宋体" w:cs="宋体"/>
                <w:color w:val="auto"/>
                <w:sz w:val="21"/>
                <w:szCs w:val="21"/>
                <w:highlight w:val="none"/>
              </w:rPr>
              <w:t>（由投标人自行编写，格式自拟）。</w:t>
            </w:r>
          </w:p>
        </w:tc>
      </w:tr>
    </w:tbl>
    <w:p w14:paraId="66F26814">
      <w:pPr>
        <w:pStyle w:val="63"/>
        <w:ind w:firstLine="0"/>
        <w:rPr>
          <w:rFonts w:ascii="宋体" w:hAnsi="宋体"/>
          <w:color w:val="auto"/>
          <w:highlight w:val="none"/>
        </w:rPr>
      </w:pPr>
    </w:p>
    <w:p w14:paraId="1527129E">
      <w:pPr>
        <w:pStyle w:val="63"/>
        <w:ind w:firstLine="0"/>
        <w:rPr>
          <w:color w:val="auto"/>
          <w:highlight w:val="none"/>
        </w:rPr>
        <w:sectPr>
          <w:pgSz w:w="11907" w:h="16840"/>
          <w:pgMar w:top="1440" w:right="1080" w:bottom="1440" w:left="1080" w:header="850" w:footer="992" w:gutter="0"/>
          <w:cols w:space="720" w:num="1"/>
          <w:docGrid w:linePitch="286" w:charSpace="0"/>
        </w:sectPr>
      </w:pPr>
    </w:p>
    <w:p w14:paraId="05A9F9F9">
      <w:pPr>
        <w:pStyle w:val="2"/>
        <w:spacing w:before="240" w:after="240" w:line="360" w:lineRule="auto"/>
        <w:jc w:val="center"/>
        <w:rPr>
          <w:rFonts w:ascii="宋体" w:hAnsi="宋体"/>
          <w:color w:val="auto"/>
          <w:sz w:val="36"/>
          <w:szCs w:val="36"/>
          <w:highlight w:val="none"/>
          <w:lang w:val="zh-CN"/>
        </w:rPr>
      </w:pPr>
      <w:bookmarkStart w:id="149" w:name="_Toc19169"/>
      <w:r>
        <w:rPr>
          <w:rFonts w:hint="eastAsia" w:ascii="宋体" w:hAnsi="宋体"/>
          <w:color w:val="auto"/>
          <w:sz w:val="36"/>
          <w:szCs w:val="36"/>
          <w:highlight w:val="none"/>
          <w:lang w:val="zh-CN"/>
        </w:rPr>
        <w:t>第四章 评标办法</w:t>
      </w:r>
      <w:bookmarkEnd w:id="145"/>
      <w:bookmarkEnd w:id="146"/>
      <w:bookmarkEnd w:id="147"/>
      <w:bookmarkEnd w:id="148"/>
      <w:r>
        <w:rPr>
          <w:rFonts w:hint="eastAsia" w:ascii="宋体" w:hAnsi="宋体"/>
          <w:color w:val="auto"/>
          <w:sz w:val="36"/>
          <w:szCs w:val="36"/>
          <w:highlight w:val="none"/>
          <w:lang w:val="zh-CN"/>
        </w:rPr>
        <w:t>（综合评分法）</w:t>
      </w:r>
      <w:bookmarkEnd w:id="149"/>
    </w:p>
    <w:p w14:paraId="79B1C55F">
      <w:pPr>
        <w:pStyle w:val="3"/>
        <w:wordWrap w:val="0"/>
        <w:spacing w:before="200" w:after="200" w:line="360" w:lineRule="auto"/>
        <w:jc w:val="center"/>
        <w:rPr>
          <w:rFonts w:ascii="宋体" w:hAnsi="宋体" w:eastAsia="宋体"/>
          <w:color w:val="auto"/>
          <w:highlight w:val="none"/>
        </w:rPr>
      </w:pPr>
      <w:bookmarkStart w:id="150" w:name="_Toc481712045"/>
      <w:bookmarkStart w:id="151" w:name="_Toc260908199"/>
      <w:bookmarkStart w:id="152" w:name="_Toc259188727"/>
      <w:bookmarkStart w:id="153" w:name="_Toc270090084"/>
      <w:bookmarkStart w:id="154" w:name="_Toc520104003"/>
      <w:bookmarkStart w:id="155" w:name="_Toc19820086"/>
      <w:bookmarkStart w:id="156" w:name="_Toc24291"/>
      <w:bookmarkStart w:id="157" w:name="_Toc260907983"/>
      <w:bookmarkStart w:id="158" w:name="_Toc31667"/>
      <w:r>
        <w:rPr>
          <w:rFonts w:hint="eastAsia" w:ascii="宋体" w:hAnsi="宋体" w:eastAsia="宋体"/>
          <w:color w:val="auto"/>
          <w:highlight w:val="none"/>
        </w:rPr>
        <w:t>一、评标办法前附表</w:t>
      </w:r>
      <w:bookmarkEnd w:id="150"/>
      <w:bookmarkEnd w:id="151"/>
      <w:bookmarkEnd w:id="152"/>
      <w:bookmarkEnd w:id="153"/>
      <w:bookmarkEnd w:id="154"/>
      <w:bookmarkEnd w:id="155"/>
      <w:bookmarkEnd w:id="156"/>
      <w:bookmarkEnd w:id="157"/>
      <w:bookmarkEnd w:id="158"/>
    </w:p>
    <w:tbl>
      <w:tblPr>
        <w:tblStyle w:val="32"/>
        <w:tblW w:w="1006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96"/>
        <w:gridCol w:w="993"/>
        <w:gridCol w:w="1273"/>
        <w:gridCol w:w="6104"/>
      </w:tblGrid>
      <w:tr w14:paraId="4E6011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96" w:type="dxa"/>
            <w:vAlign w:val="center"/>
          </w:tcPr>
          <w:p w14:paraId="708CD277">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条款号</w:t>
            </w:r>
          </w:p>
        </w:tc>
        <w:tc>
          <w:tcPr>
            <w:tcW w:w="2266" w:type="dxa"/>
            <w:gridSpan w:val="2"/>
            <w:vAlign w:val="center"/>
          </w:tcPr>
          <w:p w14:paraId="4C17AAF1">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评审因素</w:t>
            </w:r>
          </w:p>
        </w:tc>
        <w:tc>
          <w:tcPr>
            <w:tcW w:w="6104" w:type="dxa"/>
            <w:vAlign w:val="center"/>
          </w:tcPr>
          <w:p w14:paraId="5F8CDA8A">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评审标准</w:t>
            </w:r>
          </w:p>
        </w:tc>
      </w:tr>
      <w:tr w14:paraId="76EF6A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1696" w:type="dxa"/>
            <w:vMerge w:val="restart"/>
            <w:vAlign w:val="center"/>
          </w:tcPr>
          <w:p w14:paraId="106F0F07">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符合性评审</w:t>
            </w:r>
          </w:p>
        </w:tc>
        <w:tc>
          <w:tcPr>
            <w:tcW w:w="2266" w:type="dxa"/>
            <w:gridSpan w:val="2"/>
            <w:vAlign w:val="center"/>
          </w:tcPr>
          <w:p w14:paraId="6BE24AEA">
            <w:pPr>
              <w:spacing w:before="120" w:beforeLines="50" w:after="60" w:afterLines="25"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投标文件格式</w:t>
            </w:r>
          </w:p>
        </w:tc>
        <w:tc>
          <w:tcPr>
            <w:tcW w:w="6104" w:type="dxa"/>
            <w:vAlign w:val="center"/>
          </w:tcPr>
          <w:p w14:paraId="73A8C315">
            <w:pPr>
              <w:spacing w:before="120" w:beforeLines="50" w:line="360" w:lineRule="auto"/>
              <w:jc w:val="both"/>
              <w:rPr>
                <w:rFonts w:ascii="宋体" w:hAnsi="宋体" w:cs="宋体"/>
                <w:color w:val="auto"/>
                <w:sz w:val="21"/>
                <w:szCs w:val="21"/>
                <w:highlight w:val="none"/>
              </w:rPr>
            </w:pPr>
            <w:r>
              <w:rPr>
                <w:rFonts w:hint="eastAsia" w:ascii="宋体" w:hAnsi="宋体" w:cs="宋体"/>
                <w:color w:val="auto"/>
                <w:sz w:val="21"/>
                <w:szCs w:val="21"/>
                <w:highlight w:val="none"/>
              </w:rPr>
              <w:t>符合 第二章 投标人须知“3.5.1投标文件的编制”要求和招标文件 第七章 投标文件格式要求。</w:t>
            </w:r>
          </w:p>
        </w:tc>
      </w:tr>
      <w:tr w14:paraId="4E739A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696" w:type="dxa"/>
            <w:vMerge w:val="continue"/>
            <w:vAlign w:val="center"/>
          </w:tcPr>
          <w:p w14:paraId="2A0E3C58">
            <w:pPr>
              <w:spacing w:line="360" w:lineRule="auto"/>
              <w:jc w:val="center"/>
              <w:rPr>
                <w:rFonts w:ascii="宋体" w:hAnsi="宋体" w:cs="宋体"/>
                <w:color w:val="auto"/>
                <w:sz w:val="21"/>
                <w:szCs w:val="21"/>
                <w:highlight w:val="none"/>
              </w:rPr>
            </w:pPr>
          </w:p>
        </w:tc>
        <w:tc>
          <w:tcPr>
            <w:tcW w:w="2266" w:type="dxa"/>
            <w:gridSpan w:val="2"/>
            <w:vAlign w:val="center"/>
          </w:tcPr>
          <w:p w14:paraId="471A87F0">
            <w:pPr>
              <w:spacing w:before="120" w:beforeLines="50" w:after="60" w:afterLines="25"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投标文件的签字盖章</w:t>
            </w:r>
          </w:p>
        </w:tc>
        <w:tc>
          <w:tcPr>
            <w:tcW w:w="6104" w:type="dxa"/>
            <w:vAlign w:val="center"/>
          </w:tcPr>
          <w:p w14:paraId="7B31E2D0">
            <w:pPr>
              <w:spacing w:before="120" w:beforeLines="50" w:line="360" w:lineRule="auto"/>
              <w:jc w:val="both"/>
              <w:rPr>
                <w:rFonts w:ascii="宋体" w:hAnsi="宋体" w:cs="宋体"/>
                <w:color w:val="auto"/>
                <w:sz w:val="21"/>
                <w:szCs w:val="21"/>
                <w:highlight w:val="none"/>
              </w:rPr>
            </w:pPr>
            <w:r>
              <w:rPr>
                <w:rFonts w:hint="eastAsia" w:ascii="宋体" w:hAnsi="宋体" w:cs="宋体"/>
                <w:color w:val="auto"/>
                <w:sz w:val="21"/>
                <w:szCs w:val="21"/>
                <w:highlight w:val="none"/>
              </w:rPr>
              <w:t>符合 第二章 投标人须知前附表“第3.5.3项”、第七章“投标文件格式”签字盖章的要求。</w:t>
            </w:r>
          </w:p>
        </w:tc>
      </w:tr>
      <w:tr w14:paraId="04CDC6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696" w:type="dxa"/>
            <w:vMerge w:val="continue"/>
            <w:vAlign w:val="center"/>
          </w:tcPr>
          <w:p w14:paraId="6C3A8289">
            <w:pPr>
              <w:spacing w:line="360" w:lineRule="auto"/>
              <w:jc w:val="center"/>
              <w:rPr>
                <w:rFonts w:ascii="宋体" w:hAnsi="宋体" w:cs="宋体"/>
                <w:color w:val="auto"/>
                <w:sz w:val="21"/>
                <w:szCs w:val="21"/>
                <w:highlight w:val="none"/>
              </w:rPr>
            </w:pPr>
          </w:p>
        </w:tc>
        <w:tc>
          <w:tcPr>
            <w:tcW w:w="2266" w:type="dxa"/>
            <w:gridSpan w:val="2"/>
            <w:vAlign w:val="center"/>
          </w:tcPr>
          <w:p w14:paraId="58005229">
            <w:pPr>
              <w:spacing w:before="120" w:beforeLines="50" w:after="60" w:afterLines="25"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投标报价</w:t>
            </w:r>
          </w:p>
        </w:tc>
        <w:tc>
          <w:tcPr>
            <w:tcW w:w="6104" w:type="dxa"/>
            <w:vAlign w:val="center"/>
          </w:tcPr>
          <w:p w14:paraId="2BE8A867">
            <w:pPr>
              <w:spacing w:before="120" w:beforeLines="50" w:line="360" w:lineRule="auto"/>
              <w:jc w:val="both"/>
              <w:rPr>
                <w:rFonts w:ascii="宋体" w:hAnsi="宋体" w:cs="宋体"/>
                <w:color w:val="auto"/>
                <w:sz w:val="21"/>
                <w:szCs w:val="21"/>
                <w:highlight w:val="none"/>
              </w:rPr>
            </w:pPr>
            <w:r>
              <w:rPr>
                <w:rFonts w:hint="eastAsia" w:ascii="宋体" w:hAnsi="宋体" w:cs="宋体"/>
                <w:color w:val="auto"/>
                <w:sz w:val="21"/>
                <w:szCs w:val="21"/>
                <w:highlight w:val="none"/>
              </w:rPr>
              <w:t>报价唯一，且符合本项目投标报价要求，且投标报价未超过最高限价。</w:t>
            </w:r>
          </w:p>
        </w:tc>
      </w:tr>
      <w:tr w14:paraId="2E8752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96" w:type="dxa"/>
            <w:vMerge w:val="continue"/>
            <w:vAlign w:val="center"/>
          </w:tcPr>
          <w:p w14:paraId="1662486E">
            <w:pPr>
              <w:spacing w:line="360" w:lineRule="auto"/>
              <w:rPr>
                <w:rFonts w:ascii="宋体" w:hAnsi="宋体" w:cs="宋体"/>
                <w:color w:val="auto"/>
                <w:sz w:val="21"/>
                <w:szCs w:val="21"/>
                <w:highlight w:val="none"/>
              </w:rPr>
            </w:pPr>
          </w:p>
        </w:tc>
        <w:tc>
          <w:tcPr>
            <w:tcW w:w="2266" w:type="dxa"/>
            <w:gridSpan w:val="2"/>
            <w:vAlign w:val="center"/>
          </w:tcPr>
          <w:p w14:paraId="681079DE">
            <w:pPr>
              <w:spacing w:before="120" w:beforeLines="50" w:after="60" w:afterLines="25"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合同履</w:t>
            </w:r>
            <w:r>
              <w:rPr>
                <w:rFonts w:hint="eastAsia" w:ascii="宋体" w:hAnsi="宋体" w:cs="宋体"/>
                <w:color w:val="auto"/>
                <w:sz w:val="21"/>
                <w:szCs w:val="21"/>
                <w:highlight w:val="none"/>
                <w:lang w:val="en-US" w:eastAsia="zh-CN"/>
              </w:rPr>
              <w:t>约</w:t>
            </w:r>
            <w:r>
              <w:rPr>
                <w:rFonts w:hint="eastAsia" w:ascii="宋体" w:hAnsi="宋体" w:cs="宋体"/>
                <w:color w:val="auto"/>
                <w:sz w:val="21"/>
                <w:szCs w:val="21"/>
                <w:highlight w:val="none"/>
              </w:rPr>
              <w:t>期限</w:t>
            </w:r>
          </w:p>
        </w:tc>
        <w:tc>
          <w:tcPr>
            <w:tcW w:w="6104" w:type="dxa"/>
            <w:vAlign w:val="center"/>
          </w:tcPr>
          <w:p w14:paraId="4609A18D">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符合 第二章 投标人须知前附表 “第1.3.2项”规定。</w:t>
            </w:r>
          </w:p>
        </w:tc>
      </w:tr>
      <w:tr w14:paraId="56EF39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696" w:type="dxa"/>
            <w:vMerge w:val="continue"/>
            <w:vAlign w:val="center"/>
          </w:tcPr>
          <w:p w14:paraId="4A64B059">
            <w:pPr>
              <w:spacing w:line="360" w:lineRule="auto"/>
              <w:rPr>
                <w:rFonts w:ascii="宋体" w:hAnsi="宋体" w:cs="宋体"/>
                <w:color w:val="auto"/>
                <w:sz w:val="21"/>
                <w:szCs w:val="21"/>
                <w:highlight w:val="none"/>
              </w:rPr>
            </w:pPr>
          </w:p>
        </w:tc>
        <w:tc>
          <w:tcPr>
            <w:tcW w:w="2266" w:type="dxa"/>
            <w:gridSpan w:val="2"/>
            <w:vAlign w:val="center"/>
          </w:tcPr>
          <w:p w14:paraId="333A3FD0">
            <w:pPr>
              <w:spacing w:before="120" w:beforeLines="50" w:after="60" w:afterLines="25"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服务</w:t>
            </w:r>
            <w:r>
              <w:rPr>
                <w:rFonts w:hint="eastAsia" w:ascii="宋体" w:hAnsi="宋体" w:cs="宋体"/>
                <w:color w:val="auto"/>
                <w:sz w:val="21"/>
                <w:szCs w:val="21"/>
                <w:highlight w:val="none"/>
              </w:rPr>
              <w:t>地点</w:t>
            </w:r>
          </w:p>
        </w:tc>
        <w:tc>
          <w:tcPr>
            <w:tcW w:w="6104" w:type="dxa"/>
            <w:vAlign w:val="center"/>
          </w:tcPr>
          <w:p w14:paraId="4D8AEC96">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符合 第二章 投标人须知前附表 “第1.3.3项”规定。</w:t>
            </w:r>
          </w:p>
        </w:tc>
      </w:tr>
      <w:tr w14:paraId="612B04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96" w:type="dxa"/>
            <w:vMerge w:val="continue"/>
            <w:vAlign w:val="center"/>
          </w:tcPr>
          <w:p w14:paraId="7C7D9406">
            <w:pPr>
              <w:spacing w:line="360" w:lineRule="auto"/>
              <w:rPr>
                <w:rFonts w:ascii="宋体" w:hAnsi="宋体" w:cs="宋体"/>
                <w:color w:val="auto"/>
                <w:sz w:val="21"/>
                <w:szCs w:val="21"/>
                <w:highlight w:val="none"/>
              </w:rPr>
            </w:pPr>
          </w:p>
        </w:tc>
        <w:tc>
          <w:tcPr>
            <w:tcW w:w="2266" w:type="dxa"/>
            <w:gridSpan w:val="2"/>
            <w:vAlign w:val="center"/>
          </w:tcPr>
          <w:p w14:paraId="429F765E">
            <w:pPr>
              <w:spacing w:before="120" w:beforeLines="50" w:after="60" w:afterLines="25"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服务标准</w:t>
            </w:r>
          </w:p>
        </w:tc>
        <w:tc>
          <w:tcPr>
            <w:tcW w:w="6104" w:type="dxa"/>
            <w:vAlign w:val="center"/>
          </w:tcPr>
          <w:p w14:paraId="416970A1">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符合 第二章 投标人须知前附表 “第1.3.4项”规定。</w:t>
            </w:r>
          </w:p>
        </w:tc>
      </w:tr>
      <w:tr w14:paraId="50DCF1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696" w:type="dxa"/>
            <w:vMerge w:val="continue"/>
            <w:vAlign w:val="center"/>
          </w:tcPr>
          <w:p w14:paraId="051B417D">
            <w:pPr>
              <w:spacing w:line="360" w:lineRule="auto"/>
              <w:rPr>
                <w:rFonts w:ascii="宋体" w:hAnsi="宋体" w:cs="宋体"/>
                <w:color w:val="auto"/>
                <w:sz w:val="21"/>
                <w:szCs w:val="21"/>
                <w:highlight w:val="none"/>
              </w:rPr>
            </w:pPr>
          </w:p>
        </w:tc>
        <w:tc>
          <w:tcPr>
            <w:tcW w:w="2266" w:type="dxa"/>
            <w:gridSpan w:val="2"/>
            <w:vAlign w:val="center"/>
          </w:tcPr>
          <w:p w14:paraId="73A25098">
            <w:pPr>
              <w:spacing w:before="120" w:beforeLines="50" w:after="60" w:afterLines="25" w:line="360" w:lineRule="auto"/>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投标有效期</w:t>
            </w:r>
          </w:p>
        </w:tc>
        <w:tc>
          <w:tcPr>
            <w:tcW w:w="6104" w:type="dxa"/>
            <w:vAlign w:val="center"/>
          </w:tcPr>
          <w:p w14:paraId="51E6FDD6">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符合 第二章 投标人须知前附表 “第3.3.1项”规定。</w:t>
            </w:r>
          </w:p>
        </w:tc>
      </w:tr>
      <w:tr w14:paraId="22B7A3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96" w:type="dxa"/>
            <w:vMerge w:val="continue"/>
            <w:vAlign w:val="center"/>
          </w:tcPr>
          <w:p w14:paraId="6FD264F0">
            <w:pPr>
              <w:spacing w:line="360" w:lineRule="auto"/>
              <w:rPr>
                <w:rFonts w:ascii="宋体" w:hAnsi="宋体" w:cs="宋体"/>
                <w:color w:val="auto"/>
                <w:sz w:val="21"/>
                <w:szCs w:val="21"/>
                <w:highlight w:val="none"/>
              </w:rPr>
            </w:pPr>
          </w:p>
        </w:tc>
        <w:tc>
          <w:tcPr>
            <w:tcW w:w="2266" w:type="dxa"/>
            <w:gridSpan w:val="2"/>
            <w:vAlign w:val="center"/>
          </w:tcPr>
          <w:p w14:paraId="544EAE21">
            <w:pPr>
              <w:pStyle w:val="75"/>
              <w:spacing w:before="120" w:beforeLines="50" w:beforeAutospacing="0" w:after="60" w:afterLines="25" w:afterAutospacing="0" w:line="360" w:lineRule="auto"/>
              <w:jc w:val="center"/>
              <w:rPr>
                <w:rFonts w:cs="宋体"/>
                <w:color w:val="auto"/>
                <w:sz w:val="21"/>
                <w:szCs w:val="21"/>
                <w:highlight w:val="none"/>
              </w:rPr>
            </w:pPr>
            <w:r>
              <w:rPr>
                <w:rFonts w:hint="eastAsia" w:cs="宋体"/>
                <w:color w:val="auto"/>
                <w:sz w:val="21"/>
                <w:szCs w:val="21"/>
                <w:highlight w:val="none"/>
              </w:rPr>
              <w:t>法定代表人身份证明书</w:t>
            </w:r>
          </w:p>
        </w:tc>
        <w:tc>
          <w:tcPr>
            <w:tcW w:w="6104" w:type="dxa"/>
            <w:vAlign w:val="center"/>
          </w:tcPr>
          <w:p w14:paraId="2D084444">
            <w:pPr>
              <w:autoSpaceDE w:val="0"/>
              <w:autoSpaceDN w:val="0"/>
              <w:adjustRightInd w:val="0"/>
              <w:spacing w:before="120" w:beforeLines="50" w:after="60" w:afterLines="25" w:line="360" w:lineRule="auto"/>
              <w:rPr>
                <w:rFonts w:ascii="宋体" w:hAnsi="宋体" w:cs="宋体"/>
                <w:color w:val="auto"/>
                <w:sz w:val="21"/>
                <w:szCs w:val="21"/>
                <w:highlight w:val="none"/>
              </w:rPr>
            </w:pPr>
            <w:r>
              <w:rPr>
                <w:rFonts w:hint="eastAsia" w:ascii="宋体" w:hAnsi="宋体" w:cs="宋体"/>
                <w:color w:val="auto"/>
                <w:sz w:val="21"/>
                <w:szCs w:val="21"/>
                <w:highlight w:val="none"/>
              </w:rPr>
              <w:t>按本招标文件给定的投标文件格式要求填写。</w:t>
            </w:r>
          </w:p>
        </w:tc>
      </w:tr>
      <w:tr w14:paraId="10756C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696" w:type="dxa"/>
            <w:vMerge w:val="continue"/>
            <w:vAlign w:val="center"/>
          </w:tcPr>
          <w:p w14:paraId="28E0566A">
            <w:pPr>
              <w:spacing w:line="360" w:lineRule="auto"/>
              <w:rPr>
                <w:rFonts w:ascii="宋体" w:hAnsi="宋体" w:cs="宋体"/>
                <w:color w:val="auto"/>
                <w:sz w:val="21"/>
                <w:szCs w:val="21"/>
                <w:highlight w:val="none"/>
              </w:rPr>
            </w:pPr>
          </w:p>
        </w:tc>
        <w:tc>
          <w:tcPr>
            <w:tcW w:w="2266" w:type="dxa"/>
            <w:gridSpan w:val="2"/>
            <w:vAlign w:val="center"/>
          </w:tcPr>
          <w:p w14:paraId="66F8B4CF">
            <w:pPr>
              <w:pStyle w:val="75"/>
              <w:spacing w:before="120" w:beforeLines="50" w:beforeAutospacing="0" w:after="0" w:afterAutospacing="0" w:line="360" w:lineRule="auto"/>
              <w:jc w:val="center"/>
              <w:rPr>
                <w:rFonts w:cs="宋体"/>
                <w:color w:val="auto"/>
                <w:sz w:val="21"/>
                <w:szCs w:val="21"/>
                <w:highlight w:val="none"/>
              </w:rPr>
            </w:pPr>
            <w:r>
              <w:rPr>
                <w:rFonts w:hint="eastAsia" w:cs="宋体"/>
                <w:color w:val="auto"/>
                <w:sz w:val="21"/>
                <w:szCs w:val="21"/>
                <w:highlight w:val="none"/>
              </w:rPr>
              <w:t>若法定代表人不能到场，应提供经有法定代表人身份证明书的授权委托书</w:t>
            </w:r>
          </w:p>
        </w:tc>
        <w:tc>
          <w:tcPr>
            <w:tcW w:w="6104" w:type="dxa"/>
            <w:vAlign w:val="center"/>
          </w:tcPr>
          <w:p w14:paraId="4AC641B4">
            <w:pPr>
              <w:autoSpaceDE w:val="0"/>
              <w:autoSpaceDN w:val="0"/>
              <w:adjustRightInd w:val="0"/>
              <w:spacing w:before="120" w:beforeLines="50" w:after="60" w:afterLines="25" w:line="360" w:lineRule="auto"/>
              <w:rPr>
                <w:rFonts w:ascii="宋体" w:hAnsi="宋体" w:cs="宋体"/>
                <w:color w:val="auto"/>
                <w:sz w:val="21"/>
                <w:szCs w:val="21"/>
                <w:highlight w:val="none"/>
              </w:rPr>
            </w:pPr>
            <w:r>
              <w:rPr>
                <w:rFonts w:hint="eastAsia" w:ascii="宋体" w:hAnsi="宋体" w:cs="宋体"/>
                <w:color w:val="auto"/>
                <w:sz w:val="21"/>
                <w:szCs w:val="21"/>
                <w:highlight w:val="none"/>
              </w:rPr>
              <w:t>按本招标文件给定的投标文件格式要求填写。</w:t>
            </w:r>
          </w:p>
        </w:tc>
      </w:tr>
      <w:tr w14:paraId="54A20E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96" w:type="dxa"/>
            <w:vMerge w:val="continue"/>
            <w:vAlign w:val="center"/>
          </w:tcPr>
          <w:p w14:paraId="0CABFEE1">
            <w:pPr>
              <w:spacing w:line="360" w:lineRule="auto"/>
              <w:rPr>
                <w:rFonts w:ascii="宋体" w:hAnsi="宋体" w:cs="宋体"/>
                <w:color w:val="auto"/>
                <w:sz w:val="21"/>
                <w:szCs w:val="21"/>
                <w:highlight w:val="none"/>
              </w:rPr>
            </w:pPr>
          </w:p>
        </w:tc>
        <w:tc>
          <w:tcPr>
            <w:tcW w:w="2266" w:type="dxa"/>
            <w:gridSpan w:val="2"/>
          </w:tcPr>
          <w:p w14:paraId="6E930270">
            <w:pPr>
              <w:pStyle w:val="75"/>
              <w:spacing w:before="120" w:beforeLines="50" w:beforeAutospacing="0" w:after="60" w:afterLines="25" w:afterAutospacing="0" w:line="360" w:lineRule="auto"/>
              <w:jc w:val="center"/>
              <w:rPr>
                <w:rFonts w:cs="宋体"/>
                <w:color w:val="auto"/>
                <w:kern w:val="2"/>
                <w:sz w:val="21"/>
                <w:szCs w:val="21"/>
                <w:highlight w:val="none"/>
              </w:rPr>
            </w:pPr>
            <w:r>
              <w:rPr>
                <w:rFonts w:hint="eastAsia" w:cs="宋体"/>
                <w:color w:val="auto"/>
                <w:sz w:val="21"/>
                <w:szCs w:val="21"/>
                <w:highlight w:val="none"/>
              </w:rPr>
              <w:t>投标文件递交人（法定代表人或授权代理人）居民身份证</w:t>
            </w:r>
          </w:p>
        </w:tc>
        <w:tc>
          <w:tcPr>
            <w:tcW w:w="6104" w:type="dxa"/>
            <w:vAlign w:val="center"/>
          </w:tcPr>
          <w:p w14:paraId="0E6C5DCA">
            <w:pPr>
              <w:spacing w:before="120" w:beforeLines="50" w:after="60" w:afterLines="25" w:line="360" w:lineRule="auto"/>
              <w:rPr>
                <w:rFonts w:ascii="宋体" w:hAnsi="宋体" w:cs="宋体"/>
                <w:color w:val="auto"/>
                <w:sz w:val="21"/>
                <w:szCs w:val="21"/>
                <w:highlight w:val="none"/>
              </w:rPr>
            </w:pPr>
            <w:r>
              <w:rPr>
                <w:rFonts w:hint="eastAsia" w:ascii="宋体" w:hAnsi="宋体" w:cs="宋体"/>
                <w:color w:val="auto"/>
                <w:sz w:val="21"/>
                <w:szCs w:val="21"/>
                <w:highlight w:val="none"/>
              </w:rPr>
              <w:t>具备有效证件</w:t>
            </w:r>
            <w:r>
              <w:rPr>
                <w:rFonts w:hint="eastAsia" w:ascii="宋体" w:hAnsi="宋体" w:cs="宋体"/>
                <w:color w:val="auto"/>
                <w:sz w:val="21"/>
                <w:szCs w:val="21"/>
                <w:highlight w:val="none"/>
                <w:lang w:val="en-US" w:eastAsia="zh-CN"/>
              </w:rPr>
              <w:t>原件扫描件</w:t>
            </w:r>
            <w:r>
              <w:rPr>
                <w:rFonts w:hint="eastAsia" w:ascii="宋体" w:hAnsi="宋体" w:cs="宋体"/>
                <w:color w:val="auto"/>
                <w:sz w:val="21"/>
                <w:szCs w:val="21"/>
                <w:highlight w:val="none"/>
              </w:rPr>
              <w:t>。</w:t>
            </w:r>
          </w:p>
        </w:tc>
      </w:tr>
      <w:tr w14:paraId="293BD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 w:hRule="atLeast"/>
          <w:jc w:val="center"/>
        </w:trPr>
        <w:tc>
          <w:tcPr>
            <w:tcW w:w="1696" w:type="dxa"/>
            <w:vMerge w:val="continue"/>
            <w:vAlign w:val="center"/>
          </w:tcPr>
          <w:p w14:paraId="0AE2F36D">
            <w:pPr>
              <w:spacing w:line="360" w:lineRule="auto"/>
              <w:rPr>
                <w:rFonts w:ascii="宋体" w:hAnsi="宋体" w:cs="宋体"/>
                <w:color w:val="auto"/>
                <w:sz w:val="21"/>
                <w:szCs w:val="21"/>
                <w:highlight w:val="none"/>
              </w:rPr>
            </w:pPr>
          </w:p>
        </w:tc>
        <w:tc>
          <w:tcPr>
            <w:tcW w:w="2266" w:type="dxa"/>
            <w:gridSpan w:val="2"/>
            <w:vAlign w:val="center"/>
          </w:tcPr>
          <w:p w14:paraId="0AE96DD8">
            <w:pPr>
              <w:spacing w:before="120" w:beforeLines="50" w:after="60" w:afterLines="25"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其他投标无效情形</w:t>
            </w:r>
          </w:p>
        </w:tc>
        <w:tc>
          <w:tcPr>
            <w:tcW w:w="6104" w:type="dxa"/>
            <w:vAlign w:val="center"/>
          </w:tcPr>
          <w:p w14:paraId="72B3BF12">
            <w:pPr>
              <w:widowControl w:val="0"/>
              <w:spacing w:before="120" w:beforeLines="50" w:line="360" w:lineRule="auto"/>
              <w:rPr>
                <w:rFonts w:ascii="宋体" w:hAnsi="宋体" w:cs="宋体"/>
                <w:color w:val="auto"/>
                <w:sz w:val="21"/>
                <w:szCs w:val="21"/>
                <w:highlight w:val="none"/>
              </w:rPr>
            </w:pPr>
            <w:r>
              <w:rPr>
                <w:rFonts w:hint="eastAsia" w:ascii="宋体" w:hAnsi="宋体" w:cs="宋体"/>
                <w:color w:val="auto"/>
                <w:sz w:val="21"/>
                <w:szCs w:val="21"/>
                <w:highlight w:val="none"/>
              </w:rPr>
              <w:t>投标人存在本章“其他投标无效情形”中任意情形之一的，投标无效。</w:t>
            </w:r>
          </w:p>
        </w:tc>
      </w:tr>
      <w:tr w14:paraId="532287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96" w:type="dxa"/>
            <w:vAlign w:val="center"/>
          </w:tcPr>
          <w:p w14:paraId="128AD2A1">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条款号</w:t>
            </w:r>
          </w:p>
        </w:tc>
        <w:tc>
          <w:tcPr>
            <w:tcW w:w="2266" w:type="dxa"/>
            <w:gridSpan w:val="2"/>
            <w:vAlign w:val="center"/>
          </w:tcPr>
          <w:p w14:paraId="27BA8018">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条款内容</w:t>
            </w:r>
          </w:p>
        </w:tc>
        <w:tc>
          <w:tcPr>
            <w:tcW w:w="6104" w:type="dxa"/>
            <w:vAlign w:val="center"/>
          </w:tcPr>
          <w:p w14:paraId="15258493">
            <w:pPr>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编列内容</w:t>
            </w:r>
          </w:p>
        </w:tc>
      </w:tr>
      <w:tr w14:paraId="200F6D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99" w:hRule="atLeast"/>
          <w:jc w:val="center"/>
        </w:trPr>
        <w:tc>
          <w:tcPr>
            <w:tcW w:w="1696" w:type="dxa"/>
            <w:vMerge w:val="restart"/>
            <w:vAlign w:val="center"/>
          </w:tcPr>
          <w:p w14:paraId="0DB4E872">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详细评审</w:t>
            </w:r>
          </w:p>
          <w:p w14:paraId="792A04C0">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（综合评分法）</w:t>
            </w:r>
          </w:p>
        </w:tc>
        <w:tc>
          <w:tcPr>
            <w:tcW w:w="993" w:type="dxa"/>
            <w:vAlign w:val="center"/>
          </w:tcPr>
          <w:p w14:paraId="01576463">
            <w:pPr>
              <w:snapToGrid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2.1</w:t>
            </w:r>
          </w:p>
        </w:tc>
        <w:tc>
          <w:tcPr>
            <w:tcW w:w="1273" w:type="dxa"/>
            <w:vAlign w:val="center"/>
          </w:tcPr>
          <w:p w14:paraId="3D73A6E6">
            <w:pPr>
              <w:snapToGrid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评标总得分</w:t>
            </w:r>
          </w:p>
        </w:tc>
        <w:tc>
          <w:tcPr>
            <w:tcW w:w="6104" w:type="dxa"/>
            <w:vAlign w:val="center"/>
          </w:tcPr>
          <w:p w14:paraId="0DA483F6">
            <w:pPr>
              <w:snapToGrid w:val="0"/>
              <w:spacing w:before="120" w:beforeLines="50" w:line="360" w:lineRule="auto"/>
              <w:rPr>
                <w:rFonts w:ascii="宋体" w:hAnsi="宋体" w:cs="宋体"/>
                <w:bCs/>
                <w:color w:val="auto"/>
                <w:kern w:val="2"/>
                <w:sz w:val="21"/>
                <w:szCs w:val="21"/>
                <w:highlight w:val="none"/>
              </w:rPr>
            </w:pPr>
            <w:r>
              <w:rPr>
                <w:rFonts w:hint="eastAsia" w:ascii="宋体" w:hAnsi="宋体" w:cs="宋体"/>
                <w:bCs/>
                <w:color w:val="auto"/>
                <w:kern w:val="2"/>
                <w:sz w:val="21"/>
                <w:szCs w:val="21"/>
                <w:highlight w:val="none"/>
              </w:rPr>
              <w:t>评标总得分＝F1×A1＋F2×A2＋ … ＋Fn×An，其中：</w:t>
            </w:r>
          </w:p>
          <w:p w14:paraId="52FA9D18">
            <w:pPr>
              <w:snapToGrid w:val="0"/>
              <w:spacing w:line="360" w:lineRule="auto"/>
              <w:rPr>
                <w:rFonts w:ascii="宋体" w:hAnsi="宋体" w:cs="宋体"/>
                <w:bCs/>
                <w:color w:val="auto"/>
                <w:kern w:val="2"/>
                <w:sz w:val="21"/>
                <w:szCs w:val="21"/>
                <w:highlight w:val="none"/>
              </w:rPr>
            </w:pPr>
            <w:r>
              <w:rPr>
                <w:rFonts w:hint="eastAsia" w:ascii="宋体" w:hAnsi="宋体" w:cs="宋体"/>
                <w:bCs/>
                <w:color w:val="auto"/>
                <w:kern w:val="2"/>
                <w:sz w:val="21"/>
                <w:szCs w:val="21"/>
                <w:highlight w:val="none"/>
              </w:rPr>
              <w:t>F1、F2、…、Fn分别为各项评审因素的得分；</w:t>
            </w:r>
          </w:p>
          <w:p w14:paraId="41DEF9E1">
            <w:pPr>
              <w:snapToGrid w:val="0"/>
              <w:spacing w:line="360" w:lineRule="auto"/>
              <w:rPr>
                <w:rFonts w:ascii="宋体" w:hAnsi="宋体" w:cs="宋体"/>
                <w:bCs/>
                <w:color w:val="auto"/>
                <w:sz w:val="21"/>
                <w:szCs w:val="21"/>
                <w:highlight w:val="none"/>
              </w:rPr>
            </w:pPr>
            <w:r>
              <w:rPr>
                <w:rFonts w:hint="eastAsia" w:ascii="宋体" w:hAnsi="宋体" w:cs="宋体"/>
                <w:bCs/>
                <w:color w:val="auto"/>
                <w:kern w:val="2"/>
                <w:sz w:val="21"/>
                <w:szCs w:val="21"/>
                <w:highlight w:val="none"/>
              </w:rPr>
              <w:t>A1、A2、…、An分别为各项评审因素所占的权重（A1＋A2＋…＋An＝1）。</w:t>
            </w:r>
          </w:p>
        </w:tc>
      </w:tr>
      <w:tr w14:paraId="2C6844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20" w:hRule="atLeast"/>
          <w:jc w:val="center"/>
        </w:trPr>
        <w:tc>
          <w:tcPr>
            <w:tcW w:w="1696" w:type="dxa"/>
            <w:vMerge w:val="continue"/>
            <w:vAlign w:val="center"/>
          </w:tcPr>
          <w:p w14:paraId="4BF7ACE8">
            <w:pPr>
              <w:spacing w:line="360" w:lineRule="auto"/>
              <w:jc w:val="center"/>
              <w:rPr>
                <w:rFonts w:ascii="宋体" w:hAnsi="宋体" w:cs="宋体"/>
                <w:color w:val="auto"/>
                <w:sz w:val="21"/>
                <w:szCs w:val="21"/>
                <w:highlight w:val="none"/>
              </w:rPr>
            </w:pPr>
          </w:p>
        </w:tc>
        <w:tc>
          <w:tcPr>
            <w:tcW w:w="993" w:type="dxa"/>
            <w:vAlign w:val="center"/>
          </w:tcPr>
          <w:p w14:paraId="62C5C193">
            <w:pPr>
              <w:snapToGrid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2.2</w:t>
            </w:r>
          </w:p>
        </w:tc>
        <w:tc>
          <w:tcPr>
            <w:tcW w:w="1273" w:type="dxa"/>
            <w:vAlign w:val="center"/>
          </w:tcPr>
          <w:p w14:paraId="047D3DF4">
            <w:pPr>
              <w:snapToGrid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评分因素分值及权重</w:t>
            </w:r>
          </w:p>
        </w:tc>
        <w:tc>
          <w:tcPr>
            <w:tcW w:w="6104" w:type="dxa"/>
            <w:vAlign w:val="center"/>
          </w:tcPr>
          <w:p w14:paraId="2DEFD356">
            <w:pPr>
              <w:snapToGrid w:val="0"/>
              <w:spacing w:before="120" w:beforeLines="50" w:line="360" w:lineRule="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报价部分F1：满分</w:t>
            </w:r>
            <w:r>
              <w:rPr>
                <w:rFonts w:hint="eastAsia" w:ascii="宋体" w:hAnsi="宋体" w:cs="宋体"/>
                <w:color w:val="auto"/>
                <w:kern w:val="2"/>
                <w:sz w:val="21"/>
                <w:szCs w:val="21"/>
                <w:highlight w:val="none"/>
                <w:lang w:val="en-US" w:eastAsia="zh-CN"/>
              </w:rPr>
              <w:t>2</w:t>
            </w:r>
            <w:r>
              <w:rPr>
                <w:rFonts w:hint="eastAsia" w:ascii="宋体" w:hAnsi="宋体" w:cs="宋体"/>
                <w:color w:val="auto"/>
                <w:kern w:val="2"/>
                <w:sz w:val="21"/>
                <w:szCs w:val="21"/>
                <w:highlight w:val="none"/>
              </w:rPr>
              <w:t>0分；</w:t>
            </w:r>
          </w:p>
          <w:p w14:paraId="60BF9B41">
            <w:pPr>
              <w:snapToGrid w:val="0"/>
              <w:spacing w:line="360" w:lineRule="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技术部分F2：满分</w:t>
            </w:r>
            <w:r>
              <w:rPr>
                <w:rFonts w:hint="eastAsia" w:ascii="宋体" w:hAnsi="宋体" w:cs="宋体"/>
                <w:color w:val="auto"/>
                <w:kern w:val="2"/>
                <w:sz w:val="21"/>
                <w:szCs w:val="21"/>
                <w:highlight w:val="none"/>
                <w:lang w:val="en-US" w:eastAsia="zh-CN"/>
              </w:rPr>
              <w:t>6</w:t>
            </w:r>
            <w:r>
              <w:rPr>
                <w:rFonts w:hint="eastAsia" w:ascii="宋体" w:hAnsi="宋体" w:cs="宋体"/>
                <w:color w:val="auto"/>
                <w:kern w:val="2"/>
                <w:sz w:val="21"/>
                <w:szCs w:val="21"/>
                <w:highlight w:val="none"/>
              </w:rPr>
              <w:t>0分；</w:t>
            </w:r>
          </w:p>
          <w:p w14:paraId="15014AC3">
            <w:pPr>
              <w:snapToGrid w:val="0"/>
              <w:spacing w:line="360" w:lineRule="auto"/>
              <w:rPr>
                <w:rFonts w:ascii="宋体" w:hAnsi="宋体" w:cs="宋体"/>
                <w:color w:val="auto"/>
                <w:sz w:val="21"/>
                <w:szCs w:val="21"/>
                <w:highlight w:val="none"/>
              </w:rPr>
            </w:pPr>
            <w:r>
              <w:rPr>
                <w:rFonts w:hint="eastAsia" w:ascii="宋体" w:hAnsi="宋体" w:cs="宋体"/>
                <w:color w:val="auto"/>
                <w:kern w:val="2"/>
                <w:sz w:val="21"/>
                <w:szCs w:val="21"/>
                <w:highlight w:val="none"/>
              </w:rPr>
              <w:t>商务部分F3：满分</w:t>
            </w:r>
            <w:r>
              <w:rPr>
                <w:rFonts w:hint="eastAsia" w:ascii="宋体" w:hAnsi="宋体" w:cs="宋体"/>
                <w:color w:val="auto"/>
                <w:kern w:val="2"/>
                <w:sz w:val="21"/>
                <w:szCs w:val="21"/>
                <w:highlight w:val="none"/>
                <w:lang w:val="en-US" w:eastAsia="zh-CN"/>
              </w:rPr>
              <w:t>2</w:t>
            </w:r>
            <w:r>
              <w:rPr>
                <w:rFonts w:hint="eastAsia" w:ascii="宋体" w:hAnsi="宋体" w:cs="宋体"/>
                <w:color w:val="auto"/>
                <w:kern w:val="2"/>
                <w:sz w:val="21"/>
                <w:szCs w:val="21"/>
                <w:highlight w:val="none"/>
              </w:rPr>
              <w:t>0分；</w:t>
            </w:r>
          </w:p>
        </w:tc>
      </w:tr>
      <w:tr w14:paraId="2E52D1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1696" w:type="dxa"/>
            <w:vMerge w:val="continue"/>
            <w:vAlign w:val="center"/>
          </w:tcPr>
          <w:p w14:paraId="798B41F2">
            <w:pPr>
              <w:spacing w:line="360" w:lineRule="auto"/>
              <w:jc w:val="center"/>
              <w:rPr>
                <w:rFonts w:ascii="宋体" w:hAnsi="宋体" w:cs="宋体"/>
                <w:color w:val="auto"/>
                <w:sz w:val="21"/>
                <w:szCs w:val="21"/>
                <w:highlight w:val="none"/>
              </w:rPr>
            </w:pPr>
          </w:p>
        </w:tc>
        <w:tc>
          <w:tcPr>
            <w:tcW w:w="993" w:type="dxa"/>
            <w:vAlign w:val="center"/>
          </w:tcPr>
          <w:p w14:paraId="2A2EFD33">
            <w:pPr>
              <w:snapToGrid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2.3</w:t>
            </w:r>
          </w:p>
        </w:tc>
        <w:tc>
          <w:tcPr>
            <w:tcW w:w="1273" w:type="dxa"/>
            <w:vAlign w:val="center"/>
          </w:tcPr>
          <w:p w14:paraId="222DC506">
            <w:pPr>
              <w:snapToGrid w:val="0"/>
              <w:spacing w:line="360" w:lineRule="auto"/>
              <w:jc w:val="center"/>
              <w:rPr>
                <w:rFonts w:ascii="宋体" w:hAnsi="宋体" w:cs="宋体"/>
                <w:b/>
                <w:color w:val="auto"/>
                <w:kern w:val="2"/>
                <w:sz w:val="21"/>
                <w:szCs w:val="21"/>
                <w:highlight w:val="none"/>
              </w:rPr>
            </w:pPr>
            <w:r>
              <w:rPr>
                <w:rFonts w:hint="eastAsia" w:ascii="宋体" w:hAnsi="宋体" w:cs="宋体"/>
                <w:b/>
                <w:color w:val="auto"/>
                <w:sz w:val="21"/>
                <w:szCs w:val="21"/>
                <w:highlight w:val="none"/>
              </w:rPr>
              <w:t>投标报价部分评审</w:t>
            </w:r>
          </w:p>
        </w:tc>
        <w:tc>
          <w:tcPr>
            <w:tcW w:w="6104" w:type="dxa"/>
            <w:vAlign w:val="center"/>
          </w:tcPr>
          <w:p w14:paraId="4658438C">
            <w:pPr>
              <w:snapToGrid w:val="0"/>
              <w:spacing w:line="360" w:lineRule="auto"/>
              <w:jc w:val="center"/>
              <w:rPr>
                <w:rFonts w:hint="default" w:ascii="宋体" w:hAnsi="宋体" w:eastAsia="宋体" w:cs="宋体"/>
                <w:b/>
                <w:color w:val="auto"/>
                <w:kern w:val="2"/>
                <w:sz w:val="21"/>
                <w:szCs w:val="21"/>
                <w:highlight w:val="none"/>
                <w:lang w:val="en-US" w:eastAsia="zh-CN"/>
              </w:rPr>
            </w:pPr>
            <w:r>
              <w:rPr>
                <w:rFonts w:hint="eastAsia" w:ascii="宋体" w:hAnsi="宋体" w:cs="宋体"/>
                <w:b/>
                <w:color w:val="auto"/>
                <w:sz w:val="21"/>
                <w:szCs w:val="21"/>
                <w:highlight w:val="none"/>
              </w:rPr>
              <w:t>F1＝</w:t>
            </w:r>
            <w:r>
              <w:rPr>
                <w:rFonts w:hint="eastAsia" w:ascii="宋体" w:hAnsi="宋体" w:cs="宋体"/>
                <w:b/>
                <w:color w:val="auto"/>
                <w:sz w:val="21"/>
                <w:szCs w:val="21"/>
                <w:highlight w:val="none"/>
                <w:lang w:val="en-US" w:eastAsia="zh-CN"/>
              </w:rPr>
              <w:t>20分</w:t>
            </w:r>
          </w:p>
        </w:tc>
      </w:tr>
      <w:tr w14:paraId="543B85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96" w:type="dxa"/>
            <w:vMerge w:val="continue"/>
            <w:vAlign w:val="center"/>
          </w:tcPr>
          <w:p w14:paraId="46057E01">
            <w:pPr>
              <w:spacing w:line="360" w:lineRule="auto"/>
              <w:jc w:val="center"/>
              <w:rPr>
                <w:rFonts w:ascii="宋体" w:hAnsi="宋体" w:cs="宋体"/>
                <w:color w:val="auto"/>
                <w:sz w:val="21"/>
                <w:szCs w:val="21"/>
                <w:highlight w:val="none"/>
              </w:rPr>
            </w:pPr>
          </w:p>
        </w:tc>
        <w:tc>
          <w:tcPr>
            <w:tcW w:w="2266" w:type="dxa"/>
            <w:gridSpan w:val="2"/>
            <w:vAlign w:val="center"/>
          </w:tcPr>
          <w:p w14:paraId="3C2CAAA5">
            <w:pPr>
              <w:snapToGrid w:val="0"/>
              <w:spacing w:line="360" w:lineRule="auto"/>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投标报价评审</w:t>
            </w:r>
          </w:p>
          <w:p w14:paraId="6DF3C344">
            <w:pPr>
              <w:snapToGrid w:val="0"/>
              <w:spacing w:line="360" w:lineRule="auto"/>
              <w:jc w:val="center"/>
              <w:rPr>
                <w:rFonts w:ascii="宋体" w:hAnsi="宋体" w:cs="宋体"/>
                <w:color w:val="auto"/>
                <w:sz w:val="21"/>
                <w:szCs w:val="21"/>
                <w:highlight w:val="none"/>
              </w:rPr>
            </w:pP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2</w:t>
            </w:r>
            <w:r>
              <w:rPr>
                <w:rFonts w:hint="eastAsia" w:ascii="宋体" w:hAnsi="宋体" w:cs="宋体"/>
                <w:color w:val="auto"/>
                <w:kern w:val="2"/>
                <w:sz w:val="21"/>
                <w:szCs w:val="21"/>
                <w:highlight w:val="none"/>
              </w:rPr>
              <w:t>0分）</w:t>
            </w:r>
          </w:p>
        </w:tc>
        <w:tc>
          <w:tcPr>
            <w:tcW w:w="6104" w:type="dxa"/>
            <w:vAlign w:val="center"/>
          </w:tcPr>
          <w:p w14:paraId="7BE783DF">
            <w:pPr>
              <w:widowControl w:val="0"/>
              <w:snapToGrid w:val="0"/>
              <w:spacing w:before="120" w:beforeLines="50" w:line="360" w:lineRule="auto"/>
              <w:rPr>
                <w:rFonts w:ascii="宋体" w:hAnsi="宋体" w:cs="宋体"/>
                <w:color w:val="auto"/>
                <w:sz w:val="21"/>
                <w:szCs w:val="21"/>
                <w:highlight w:val="none"/>
              </w:rPr>
            </w:pPr>
            <w:r>
              <w:rPr>
                <w:rFonts w:hint="eastAsia" w:ascii="宋体" w:hAnsi="宋体" w:cs="宋体"/>
                <w:color w:val="auto"/>
                <w:sz w:val="21"/>
                <w:szCs w:val="21"/>
                <w:highlight w:val="none"/>
              </w:rPr>
              <w:t>价格分采用低价优先法计算，即满足招标文件要求（即通过资格审查和符合性评审）且投标价格最低的投标报价为评标基准价。其他投标人的价格分统一按照下列公示计算：</w:t>
            </w:r>
          </w:p>
          <w:p w14:paraId="422A465B">
            <w:pPr>
              <w:pStyle w:val="63"/>
              <w:widowControl w:val="0"/>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投标报价得分=（评标基准价/投标报价）×</w:t>
            </w:r>
            <w:r>
              <w:rPr>
                <w:rFonts w:hint="eastAsia" w:ascii="宋体" w:hAnsi="宋体" w:cs="宋体"/>
                <w:color w:val="auto"/>
                <w:sz w:val="21"/>
                <w:szCs w:val="21"/>
                <w:highlight w:val="none"/>
                <w:lang w:val="en-US" w:eastAsia="zh-CN"/>
              </w:rPr>
              <w:t>20</w:t>
            </w:r>
          </w:p>
          <w:p w14:paraId="70A88D63">
            <w:pPr>
              <w:widowControl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注：</w:t>
            </w:r>
            <w:r>
              <w:rPr>
                <w:rFonts w:hint="eastAsia" w:ascii="宋体" w:hAnsi="宋体" w:eastAsia="宋体" w:cs="Times New Roman"/>
                <w:color w:val="auto"/>
                <w:sz w:val="21"/>
                <w:szCs w:val="21"/>
                <w:highlight w:val="none"/>
                <w:lang w:val="en-US" w:eastAsia="zh-CN"/>
              </w:rPr>
              <w:t>本项目非专门面向中小微企业采购，执行价格评审优惠的扶持政策，评审时小型、微型企业提供的产品价格给予相应的10%扣除。</w:t>
            </w:r>
          </w:p>
        </w:tc>
      </w:tr>
      <w:tr w14:paraId="77336A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1696" w:type="dxa"/>
            <w:vMerge w:val="continue"/>
            <w:vAlign w:val="center"/>
          </w:tcPr>
          <w:p w14:paraId="1717F57A">
            <w:pPr>
              <w:spacing w:line="360" w:lineRule="auto"/>
              <w:jc w:val="center"/>
              <w:rPr>
                <w:rFonts w:ascii="宋体" w:hAnsi="宋体" w:cs="宋体"/>
                <w:color w:val="auto"/>
                <w:sz w:val="21"/>
                <w:szCs w:val="21"/>
                <w:highlight w:val="none"/>
              </w:rPr>
            </w:pPr>
          </w:p>
        </w:tc>
        <w:tc>
          <w:tcPr>
            <w:tcW w:w="993" w:type="dxa"/>
            <w:vAlign w:val="center"/>
          </w:tcPr>
          <w:p w14:paraId="7AE4D649">
            <w:pPr>
              <w:snapToGrid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2.4</w:t>
            </w:r>
          </w:p>
        </w:tc>
        <w:tc>
          <w:tcPr>
            <w:tcW w:w="1273" w:type="dxa"/>
            <w:vAlign w:val="center"/>
          </w:tcPr>
          <w:p w14:paraId="2A3C51AB">
            <w:pPr>
              <w:snapToGrid w:val="0"/>
              <w:spacing w:before="72" w:beforeLines="30"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技术部分</w:t>
            </w:r>
          </w:p>
          <w:p w14:paraId="7F4AE493">
            <w:pPr>
              <w:snapToGrid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评审</w:t>
            </w:r>
          </w:p>
        </w:tc>
        <w:tc>
          <w:tcPr>
            <w:tcW w:w="6104" w:type="dxa"/>
            <w:vAlign w:val="center"/>
          </w:tcPr>
          <w:p w14:paraId="2BF64595">
            <w:pPr>
              <w:snapToGrid w:val="0"/>
              <w:spacing w:line="360" w:lineRule="auto"/>
              <w:jc w:val="center"/>
              <w:rPr>
                <w:rFonts w:hint="default" w:ascii="宋体" w:hAnsi="宋体" w:eastAsia="宋体" w:cs="宋体"/>
                <w:b/>
                <w:color w:val="auto"/>
                <w:kern w:val="2"/>
                <w:sz w:val="21"/>
                <w:szCs w:val="21"/>
                <w:highlight w:val="none"/>
                <w:lang w:val="en-US" w:eastAsia="zh-CN"/>
              </w:rPr>
            </w:pPr>
            <w:r>
              <w:rPr>
                <w:rFonts w:hint="eastAsia" w:ascii="宋体" w:hAnsi="宋体" w:cs="宋体"/>
                <w:b/>
                <w:color w:val="auto"/>
                <w:sz w:val="21"/>
                <w:szCs w:val="21"/>
                <w:highlight w:val="none"/>
              </w:rPr>
              <w:t>F2＝</w:t>
            </w:r>
            <w:r>
              <w:rPr>
                <w:rFonts w:hint="eastAsia" w:ascii="宋体" w:hAnsi="宋体" w:cs="宋体"/>
                <w:b/>
                <w:color w:val="auto"/>
                <w:sz w:val="21"/>
                <w:szCs w:val="21"/>
                <w:highlight w:val="none"/>
                <w:lang w:val="en-US" w:eastAsia="zh-CN"/>
              </w:rPr>
              <w:t>60分</w:t>
            </w:r>
          </w:p>
        </w:tc>
      </w:tr>
      <w:tr w14:paraId="0FDB15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96" w:type="dxa"/>
            <w:vMerge w:val="continue"/>
            <w:vAlign w:val="center"/>
          </w:tcPr>
          <w:p w14:paraId="38F6833E">
            <w:pPr>
              <w:spacing w:line="360" w:lineRule="auto"/>
              <w:jc w:val="center"/>
              <w:rPr>
                <w:rFonts w:ascii="宋体" w:hAnsi="宋体" w:cs="宋体"/>
                <w:color w:val="auto"/>
                <w:sz w:val="21"/>
                <w:szCs w:val="21"/>
                <w:highlight w:val="none"/>
              </w:rPr>
            </w:pPr>
          </w:p>
        </w:tc>
        <w:tc>
          <w:tcPr>
            <w:tcW w:w="2266" w:type="dxa"/>
            <w:gridSpan w:val="2"/>
            <w:tcBorders>
              <w:bottom w:val="single" w:color="auto" w:sz="4" w:space="0"/>
            </w:tcBorders>
            <w:vAlign w:val="center"/>
          </w:tcPr>
          <w:p w14:paraId="11651F34">
            <w:pPr>
              <w:spacing w:line="360" w:lineRule="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1.运维服务整体方案（满分</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分）</w:t>
            </w:r>
          </w:p>
        </w:tc>
        <w:tc>
          <w:tcPr>
            <w:tcW w:w="6104" w:type="dxa"/>
            <w:tcBorders>
              <w:bottom w:val="single" w:color="auto" w:sz="4" w:space="0"/>
            </w:tcBorders>
            <w:vAlign w:val="center"/>
          </w:tcPr>
          <w:p w14:paraId="20D23F1E">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1.方案完整覆盖本项目用油管理、保险办理、维修保养、例保检验、过路费管控、人员管理全流程，对项目重点难点分析全面，措施针对性强、可操作性强，完全匹配采购人需求的得</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分。</w:t>
            </w:r>
          </w:p>
          <w:p w14:paraId="42137B6C">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方案覆盖主要服务流程，对重点难点有一定分析，措施基本可行，基本匹配采购人需求的得</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p w14:paraId="3D984FF1">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方案内容不完整，关键环节缺失，措施缺乏针对性的，得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355709F9">
            <w:pPr>
              <w:spacing w:line="360" w:lineRule="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未提供方案的得 0 分。</w:t>
            </w:r>
          </w:p>
        </w:tc>
      </w:tr>
      <w:tr w14:paraId="083DFA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96" w:type="dxa"/>
            <w:vMerge w:val="continue"/>
            <w:vAlign w:val="center"/>
          </w:tcPr>
          <w:p w14:paraId="77958BE6">
            <w:pPr>
              <w:spacing w:line="360" w:lineRule="auto"/>
              <w:jc w:val="center"/>
              <w:rPr>
                <w:rFonts w:ascii="宋体" w:hAnsi="宋体" w:cs="宋体"/>
                <w:color w:val="auto"/>
                <w:sz w:val="21"/>
                <w:szCs w:val="21"/>
                <w:highlight w:val="none"/>
              </w:rPr>
            </w:pPr>
          </w:p>
        </w:tc>
        <w:tc>
          <w:tcPr>
            <w:tcW w:w="2266" w:type="dxa"/>
            <w:gridSpan w:val="2"/>
            <w:tcBorders>
              <w:bottom w:val="single" w:color="auto" w:sz="4" w:space="0"/>
            </w:tcBorders>
            <w:vAlign w:val="center"/>
          </w:tcPr>
          <w:p w14:paraId="1A07597E">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车辆用油保障方案（满分</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分）</w:t>
            </w:r>
          </w:p>
        </w:tc>
        <w:tc>
          <w:tcPr>
            <w:tcW w:w="6104" w:type="dxa"/>
            <w:tcBorders>
              <w:bottom w:val="single" w:color="auto" w:sz="4" w:space="0"/>
            </w:tcBorders>
            <w:vAlign w:val="center"/>
          </w:tcPr>
          <w:p w14:paraId="7BC75BB6">
            <w:pPr>
              <w:spacing w:line="360" w:lineRule="auto"/>
              <w:rPr>
                <w:rFonts w:hint="eastAsia" w:ascii="宋体" w:hAnsi="宋体" w:eastAsia="宋体" w:cs="宋体"/>
                <w:color w:val="auto"/>
                <w:sz w:val="21"/>
                <w:szCs w:val="21"/>
                <w:highlight w:val="none"/>
                <w:lang w:val="en-US" w:eastAsia="zh-CN"/>
              </w:rPr>
            </w:pPr>
            <w:r>
              <w:rPr>
                <w:rFonts w:ascii="宋体" w:hAnsi="宋体" w:eastAsia="宋体" w:cs="宋体"/>
                <w:sz w:val="24"/>
                <w:szCs w:val="24"/>
              </w:rPr>
              <w:t>1</w:t>
            </w:r>
            <w:r>
              <w:rPr>
                <w:rFonts w:hint="eastAsia" w:ascii="宋体" w:hAnsi="宋体" w:eastAsia="宋体" w:cs="宋体"/>
                <w:color w:val="auto"/>
                <w:sz w:val="21"/>
                <w:szCs w:val="21"/>
                <w:highlight w:val="none"/>
                <w:lang w:val="en-US" w:eastAsia="zh-CN"/>
              </w:rPr>
              <w:t>. 提供稳定的柴油、汽油供应渠道，能响应项目油耗、油价概算要求，有油价波动应对、用油台账管理、油耗监控措施的得8分。</w:t>
            </w:r>
          </w:p>
          <w:p w14:paraId="0F9DB55D">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有基本用油保障措施，能满足基础用油需求的得6分。</w:t>
            </w:r>
          </w:p>
          <w:p w14:paraId="237C5E20">
            <w:pPr>
              <w:spacing w:line="360" w:lineRule="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3. 措施不完善或未提供相关方案的得4分。</w:t>
            </w:r>
          </w:p>
        </w:tc>
      </w:tr>
      <w:tr w14:paraId="23ADDD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96" w:type="dxa"/>
            <w:vMerge w:val="continue"/>
            <w:vAlign w:val="center"/>
          </w:tcPr>
          <w:p w14:paraId="500C3BC3">
            <w:pPr>
              <w:spacing w:line="360" w:lineRule="auto"/>
              <w:jc w:val="center"/>
              <w:rPr>
                <w:rFonts w:ascii="宋体" w:hAnsi="宋体" w:cs="宋体"/>
                <w:color w:val="auto"/>
                <w:sz w:val="21"/>
                <w:szCs w:val="21"/>
                <w:highlight w:val="none"/>
              </w:rPr>
            </w:pPr>
          </w:p>
        </w:tc>
        <w:tc>
          <w:tcPr>
            <w:tcW w:w="2266" w:type="dxa"/>
            <w:gridSpan w:val="2"/>
            <w:tcBorders>
              <w:bottom w:val="single" w:color="auto" w:sz="4" w:space="0"/>
            </w:tcBorders>
            <w:vAlign w:val="center"/>
          </w:tcPr>
          <w:p w14:paraId="22CC3AC5">
            <w:pPr>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维修保养与例保检验方案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满分8分）</w:t>
            </w:r>
          </w:p>
        </w:tc>
        <w:tc>
          <w:tcPr>
            <w:tcW w:w="6104" w:type="dxa"/>
            <w:tcBorders>
              <w:bottom w:val="single" w:color="auto" w:sz="4" w:space="0"/>
            </w:tcBorders>
            <w:vAlign w:val="center"/>
          </w:tcPr>
          <w:p w14:paraId="6528AD26">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建立车辆定期保养、故障维修、例保检验闭环管理机制，响应及时，有明确的维修流程、质量管控、配件保障及应急抢修措施的得 8分。</w:t>
            </w:r>
          </w:p>
          <w:p w14:paraId="35872D98">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有基本维修保养和检验流程，措施基本可行的得6分。</w:t>
            </w:r>
          </w:p>
          <w:p w14:paraId="20B7535A">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方案不完善或未提供的得 4 分。</w:t>
            </w:r>
          </w:p>
        </w:tc>
      </w:tr>
      <w:tr w14:paraId="0C16AF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96" w:type="dxa"/>
            <w:vMerge w:val="continue"/>
            <w:vAlign w:val="center"/>
          </w:tcPr>
          <w:p w14:paraId="25D9103D">
            <w:pPr>
              <w:spacing w:line="360" w:lineRule="auto"/>
              <w:jc w:val="center"/>
              <w:rPr>
                <w:rFonts w:ascii="宋体" w:hAnsi="宋体" w:cs="宋体"/>
                <w:color w:val="auto"/>
                <w:sz w:val="21"/>
                <w:szCs w:val="21"/>
                <w:highlight w:val="none"/>
              </w:rPr>
            </w:pPr>
          </w:p>
        </w:tc>
        <w:tc>
          <w:tcPr>
            <w:tcW w:w="2266" w:type="dxa"/>
            <w:gridSpan w:val="2"/>
            <w:tcBorders>
              <w:bottom w:val="single" w:color="auto" w:sz="4" w:space="0"/>
            </w:tcBorders>
            <w:vAlign w:val="center"/>
          </w:tcPr>
          <w:p w14:paraId="17BA1775">
            <w:pPr>
              <w:spacing w:line="360" w:lineRule="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4.驾驶员管理与服务保障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满分8分）</w:t>
            </w:r>
          </w:p>
        </w:tc>
        <w:tc>
          <w:tcPr>
            <w:tcW w:w="6104" w:type="dxa"/>
            <w:tcBorders>
              <w:bottom w:val="single" w:color="auto" w:sz="4" w:space="0"/>
            </w:tcBorders>
            <w:vAlign w:val="center"/>
          </w:tcPr>
          <w:p w14:paraId="7D7894EE">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针对 17 名驾驶员的用工、社保、薪酬管理方案完善，有人员培训、服务规范、安全管理及备用驾驶员储备措施的得8分。</w:t>
            </w:r>
          </w:p>
          <w:p w14:paraId="414B1B82">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有基本人员管理措施的得6 分。</w:t>
            </w:r>
          </w:p>
          <w:p w14:paraId="2E4661C5">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方案不完善或未提供的得 4 分。</w:t>
            </w:r>
          </w:p>
        </w:tc>
      </w:tr>
      <w:tr w14:paraId="223354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96" w:type="dxa"/>
            <w:vMerge w:val="continue"/>
            <w:vAlign w:val="center"/>
          </w:tcPr>
          <w:p w14:paraId="108D51DE">
            <w:pPr>
              <w:spacing w:line="360" w:lineRule="auto"/>
              <w:jc w:val="center"/>
              <w:rPr>
                <w:rFonts w:ascii="宋体" w:hAnsi="宋体" w:cs="宋体"/>
                <w:color w:val="auto"/>
                <w:sz w:val="21"/>
                <w:szCs w:val="21"/>
                <w:highlight w:val="none"/>
              </w:rPr>
            </w:pPr>
          </w:p>
        </w:tc>
        <w:tc>
          <w:tcPr>
            <w:tcW w:w="2266" w:type="dxa"/>
            <w:gridSpan w:val="2"/>
            <w:tcBorders>
              <w:bottom w:val="single" w:color="auto" w:sz="4" w:space="0"/>
            </w:tcBorders>
            <w:vAlign w:val="center"/>
          </w:tcPr>
          <w:p w14:paraId="3E318866">
            <w:pPr>
              <w:spacing w:line="360" w:lineRule="auto"/>
              <w:rPr>
                <w:rFonts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3.用工及服务整体方案（满分</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分）</w:t>
            </w:r>
          </w:p>
        </w:tc>
        <w:tc>
          <w:tcPr>
            <w:tcW w:w="6104" w:type="dxa"/>
            <w:tcBorders>
              <w:bottom w:val="single" w:color="auto" w:sz="4" w:space="0"/>
            </w:tcBorders>
            <w:vAlign w:val="center"/>
          </w:tcPr>
          <w:p w14:paraId="10FF5BC3">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 方案完整覆盖火化岗、殡仪前台岗、安保岗、保洁岗、遗体收殓岗、遗体（骨灰）接运岗等所有岗位的用工配置、岗位职责、服务规范，对殡葬行业服务特殊性、项目重点难点分析全面，措施针对性强、可操作性强，完全匹配采购人需求的得 </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分。</w:t>
            </w:r>
          </w:p>
          <w:p w14:paraId="441FE81D">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 方案覆盖主要岗位服务流程，对重点难点有一定分析，措施基本可行，基本匹配采购人需求的得 </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p w14:paraId="138BD48D">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 方案内容不完整，关键岗位服务要求缺失，措施缺乏针对性的得 </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1C1EBE4E">
            <w:pPr>
              <w:spacing w:line="360" w:lineRule="auto"/>
              <w:rPr>
                <w:rFonts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4. 未提供方案的得 0 分。</w:t>
            </w:r>
          </w:p>
        </w:tc>
      </w:tr>
      <w:tr w14:paraId="053761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96" w:type="dxa"/>
            <w:vMerge w:val="continue"/>
            <w:vAlign w:val="center"/>
          </w:tcPr>
          <w:p w14:paraId="3E17C6FB">
            <w:pPr>
              <w:spacing w:line="360" w:lineRule="auto"/>
              <w:jc w:val="center"/>
              <w:rPr>
                <w:rFonts w:ascii="宋体" w:hAnsi="宋体" w:cs="宋体"/>
                <w:color w:val="auto"/>
                <w:sz w:val="21"/>
                <w:szCs w:val="21"/>
                <w:highlight w:val="none"/>
              </w:rPr>
            </w:pPr>
          </w:p>
        </w:tc>
        <w:tc>
          <w:tcPr>
            <w:tcW w:w="2266" w:type="dxa"/>
            <w:gridSpan w:val="2"/>
            <w:tcBorders>
              <w:bottom w:val="single" w:color="auto" w:sz="4" w:space="0"/>
            </w:tcBorders>
            <w:vAlign w:val="center"/>
          </w:tcPr>
          <w:p w14:paraId="68DE397B">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4.人员薪酬与社保保障方案（满分8分）</w:t>
            </w:r>
          </w:p>
        </w:tc>
        <w:tc>
          <w:tcPr>
            <w:tcW w:w="6104" w:type="dxa"/>
            <w:tcBorders>
              <w:bottom w:val="single" w:color="auto" w:sz="4" w:space="0"/>
            </w:tcBorders>
            <w:vAlign w:val="center"/>
          </w:tcPr>
          <w:p w14:paraId="1EE62346">
            <w:pPr>
              <w:spacing w:line="360" w:lineRule="auto"/>
              <w:rPr>
                <w:rFonts w:hint="eastAsia" w:ascii="宋体" w:hAnsi="宋体" w:eastAsia="宋体" w:cs="宋体"/>
                <w:color w:val="auto"/>
                <w:sz w:val="21"/>
                <w:szCs w:val="21"/>
                <w:highlight w:val="none"/>
                <w:lang w:val="en-US" w:eastAsia="zh-CN"/>
              </w:rPr>
            </w:pPr>
            <w:r>
              <w:rPr>
                <w:rFonts w:ascii="宋体" w:hAnsi="宋体" w:eastAsia="宋体" w:cs="宋体"/>
                <w:sz w:val="24"/>
                <w:szCs w:val="24"/>
              </w:rPr>
              <w:t>1</w:t>
            </w:r>
            <w:r>
              <w:rPr>
                <w:rFonts w:hint="eastAsia" w:ascii="宋体" w:hAnsi="宋体" w:eastAsia="宋体" w:cs="宋体"/>
                <w:color w:val="auto"/>
                <w:sz w:val="21"/>
                <w:szCs w:val="21"/>
                <w:highlight w:val="none"/>
                <w:lang w:val="en-US" w:eastAsia="zh-CN"/>
              </w:rPr>
              <w:t>. 明确各岗位人员薪资标准、社保缴纳基数与流程，提供薪酬发放、社保缴纳的保障措施，无拖欠、漏缴风险的得 8分。</w:t>
            </w:r>
          </w:p>
          <w:p w14:paraId="0B426904">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 有基本薪酬社保保障措施，能满足基础用工需求的得6 分。3. 措施不完善或未提供相关方案的得 </w:t>
            </w:r>
            <w:r>
              <w:rPr>
                <w:rFonts w:hint="eastAsia" w:ascii="宋体" w:hAnsi="宋体" w:cs="宋体"/>
                <w:color w:val="auto"/>
                <w:sz w:val="21"/>
                <w:szCs w:val="21"/>
                <w:highlight w:val="none"/>
                <w:lang w:val="en-US" w:eastAsia="zh-CN"/>
              </w:rPr>
              <w:t>4</w:t>
            </w:r>
            <w:bookmarkStart w:id="263" w:name="_GoBack"/>
            <w:bookmarkEnd w:id="263"/>
            <w:r>
              <w:rPr>
                <w:rFonts w:hint="eastAsia" w:ascii="宋体" w:hAnsi="宋体" w:eastAsia="宋体" w:cs="宋体"/>
                <w:color w:val="auto"/>
                <w:sz w:val="21"/>
                <w:szCs w:val="21"/>
                <w:highlight w:val="none"/>
                <w:lang w:val="en-US" w:eastAsia="zh-CN"/>
              </w:rPr>
              <w:t xml:space="preserve"> 分。 </w:t>
            </w:r>
          </w:p>
        </w:tc>
      </w:tr>
      <w:tr w14:paraId="1083AD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96" w:type="dxa"/>
            <w:vMerge w:val="continue"/>
            <w:vAlign w:val="center"/>
          </w:tcPr>
          <w:p w14:paraId="15FDDE8E">
            <w:pPr>
              <w:spacing w:line="360" w:lineRule="auto"/>
              <w:jc w:val="center"/>
              <w:rPr>
                <w:rFonts w:ascii="宋体" w:hAnsi="宋体" w:cs="宋体"/>
                <w:color w:val="auto"/>
                <w:sz w:val="21"/>
                <w:szCs w:val="21"/>
                <w:highlight w:val="none"/>
              </w:rPr>
            </w:pPr>
          </w:p>
        </w:tc>
        <w:tc>
          <w:tcPr>
            <w:tcW w:w="2266" w:type="dxa"/>
            <w:gridSpan w:val="2"/>
            <w:tcBorders>
              <w:bottom w:val="single" w:color="auto" w:sz="4" w:space="0"/>
            </w:tcBorders>
            <w:vAlign w:val="center"/>
          </w:tcPr>
          <w:p w14:paraId="47E78A81">
            <w:pPr>
              <w:spacing w:line="360" w:lineRule="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违约责任承诺</w:t>
            </w:r>
            <w:r>
              <w:rPr>
                <w:rFonts w:hint="eastAsia" w:ascii="宋体" w:hAnsi="宋体" w:cs="宋体"/>
                <w:color w:val="auto"/>
                <w:sz w:val="21"/>
                <w:szCs w:val="21"/>
                <w:highlight w:val="none"/>
                <w:lang w:val="en-US" w:eastAsia="zh-CN"/>
              </w:rPr>
              <w:t>评审评分（4分）</w:t>
            </w:r>
          </w:p>
        </w:tc>
        <w:tc>
          <w:tcPr>
            <w:tcW w:w="6104" w:type="dxa"/>
            <w:tcBorders>
              <w:bottom w:val="single" w:color="auto" w:sz="4" w:space="0"/>
            </w:tcBorders>
            <w:vAlign w:val="center"/>
          </w:tcPr>
          <w:p w14:paraId="6BF67FDD">
            <w:pPr>
              <w:spacing w:line="360" w:lineRule="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针对本项目提供违约责任承诺，包括①人员配置（2分），②服务质量（1分），③服务期限（1分）。</w:t>
            </w:r>
            <w:r>
              <w:rPr>
                <w:rFonts w:hint="eastAsia" w:ascii="宋体" w:hAnsi="宋体" w:cs="宋体"/>
                <w:color w:val="auto"/>
                <w:sz w:val="21"/>
                <w:szCs w:val="21"/>
                <w:highlight w:val="none"/>
              </w:rPr>
              <w:t>以上</w:t>
            </w:r>
            <w:r>
              <w:rPr>
                <w:rFonts w:hint="eastAsia" w:ascii="宋体" w:hAnsi="宋体" w:cs="宋体"/>
                <w:color w:val="auto"/>
                <w:sz w:val="21"/>
                <w:szCs w:val="21"/>
                <w:highlight w:val="none"/>
                <w:lang w:val="en-US" w:eastAsia="zh-CN"/>
              </w:rPr>
              <w:t>方面</w:t>
            </w:r>
            <w:r>
              <w:rPr>
                <w:rFonts w:hint="eastAsia" w:ascii="宋体" w:hAnsi="宋体" w:cs="宋体"/>
                <w:color w:val="auto"/>
                <w:sz w:val="21"/>
                <w:szCs w:val="21"/>
                <w:highlight w:val="none"/>
              </w:rPr>
              <w:t>每缺失一项</w:t>
            </w:r>
            <w:r>
              <w:rPr>
                <w:rFonts w:hint="eastAsia" w:ascii="宋体" w:hAnsi="宋体" w:cs="宋体"/>
                <w:color w:val="auto"/>
                <w:sz w:val="21"/>
                <w:szCs w:val="21"/>
                <w:highlight w:val="none"/>
                <w:lang w:val="en-US" w:eastAsia="zh-CN"/>
              </w:rPr>
              <w:t>或内容非针对本项目该项不得分</w:t>
            </w:r>
            <w:r>
              <w:rPr>
                <w:rFonts w:hint="eastAsia" w:ascii="宋体" w:hAnsi="宋体" w:cs="宋体"/>
                <w:color w:val="auto"/>
                <w:sz w:val="21"/>
                <w:szCs w:val="21"/>
                <w:highlight w:val="none"/>
              </w:rPr>
              <w:t>，有一项描述缺乏完整性、合理性的</w:t>
            </w:r>
            <w:r>
              <w:rPr>
                <w:rFonts w:hint="eastAsia" w:ascii="宋体" w:hAnsi="宋体" w:cs="宋体"/>
                <w:color w:val="auto"/>
                <w:sz w:val="21"/>
                <w:szCs w:val="21"/>
                <w:highlight w:val="none"/>
                <w:lang w:val="en-US" w:eastAsia="zh-CN"/>
              </w:rPr>
              <w:t>扣0.3</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直至该项扣完为止；</w:t>
            </w:r>
          </w:p>
        </w:tc>
      </w:tr>
      <w:tr w14:paraId="0FF166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1696" w:type="dxa"/>
            <w:vMerge w:val="continue"/>
            <w:vAlign w:val="center"/>
          </w:tcPr>
          <w:p w14:paraId="2A3721E1">
            <w:pPr>
              <w:spacing w:line="360" w:lineRule="auto"/>
              <w:jc w:val="center"/>
              <w:rPr>
                <w:rFonts w:ascii="宋体" w:hAnsi="宋体" w:cs="宋体"/>
                <w:color w:val="auto"/>
                <w:sz w:val="21"/>
                <w:szCs w:val="21"/>
                <w:highlight w:val="none"/>
              </w:rPr>
            </w:pPr>
          </w:p>
        </w:tc>
        <w:tc>
          <w:tcPr>
            <w:tcW w:w="993" w:type="dxa"/>
            <w:vAlign w:val="center"/>
          </w:tcPr>
          <w:p w14:paraId="7CF4B72B">
            <w:pPr>
              <w:snapToGrid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2.5</w:t>
            </w:r>
          </w:p>
        </w:tc>
        <w:tc>
          <w:tcPr>
            <w:tcW w:w="1273" w:type="dxa"/>
            <w:vAlign w:val="center"/>
          </w:tcPr>
          <w:p w14:paraId="1BC1C2CD">
            <w:pPr>
              <w:snapToGrid w:val="0"/>
              <w:spacing w:before="72" w:beforeLines="30"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商务部分</w:t>
            </w:r>
          </w:p>
          <w:p w14:paraId="3A84E068">
            <w:pPr>
              <w:snapToGrid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评审</w:t>
            </w:r>
          </w:p>
        </w:tc>
        <w:tc>
          <w:tcPr>
            <w:tcW w:w="6104" w:type="dxa"/>
            <w:vAlign w:val="center"/>
          </w:tcPr>
          <w:p w14:paraId="354ACE4C">
            <w:pPr>
              <w:snapToGrid w:val="0"/>
              <w:spacing w:line="360" w:lineRule="auto"/>
              <w:jc w:val="center"/>
              <w:rPr>
                <w:rFonts w:hint="default" w:ascii="宋体" w:hAnsi="宋体" w:eastAsia="宋体" w:cs="宋体"/>
                <w:b/>
                <w:color w:val="auto"/>
                <w:kern w:val="2"/>
                <w:sz w:val="21"/>
                <w:szCs w:val="21"/>
                <w:highlight w:val="none"/>
                <w:lang w:val="en-US" w:eastAsia="zh-CN"/>
              </w:rPr>
            </w:pPr>
            <w:r>
              <w:rPr>
                <w:rFonts w:hint="eastAsia" w:ascii="宋体" w:hAnsi="宋体" w:cs="宋体"/>
                <w:b/>
                <w:color w:val="auto"/>
                <w:sz w:val="21"/>
                <w:szCs w:val="21"/>
                <w:highlight w:val="none"/>
              </w:rPr>
              <w:t>F3＝</w:t>
            </w:r>
            <w:r>
              <w:rPr>
                <w:rFonts w:hint="eastAsia" w:ascii="宋体" w:hAnsi="宋体" w:cs="宋体"/>
                <w:b/>
                <w:color w:val="auto"/>
                <w:sz w:val="21"/>
                <w:szCs w:val="21"/>
                <w:highlight w:val="none"/>
                <w:lang w:val="en-US" w:eastAsia="zh-CN"/>
              </w:rPr>
              <w:t>20分</w:t>
            </w:r>
          </w:p>
        </w:tc>
      </w:tr>
      <w:tr w14:paraId="0CE2C9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1696" w:type="dxa"/>
            <w:vMerge w:val="continue"/>
            <w:vAlign w:val="center"/>
          </w:tcPr>
          <w:p w14:paraId="6EFFC172">
            <w:pPr>
              <w:spacing w:line="360" w:lineRule="auto"/>
              <w:jc w:val="center"/>
              <w:rPr>
                <w:rFonts w:ascii="宋体" w:hAnsi="宋体" w:cs="宋体"/>
                <w:color w:val="auto"/>
                <w:sz w:val="21"/>
                <w:szCs w:val="21"/>
                <w:highlight w:val="none"/>
              </w:rPr>
            </w:pPr>
          </w:p>
        </w:tc>
        <w:tc>
          <w:tcPr>
            <w:tcW w:w="2266" w:type="dxa"/>
            <w:gridSpan w:val="2"/>
            <w:vAlign w:val="center"/>
          </w:tcPr>
          <w:p w14:paraId="5D56B1A3">
            <w:pPr>
              <w:snapToGrid w:val="0"/>
              <w:spacing w:line="360" w:lineRule="auto"/>
              <w:jc w:val="center"/>
              <w:rPr>
                <w:rFonts w:hint="default" w:ascii="宋体" w:hAnsi="宋体" w:eastAsia="宋体" w:cs="宋体"/>
                <w:b/>
                <w:color w:val="auto"/>
                <w:sz w:val="21"/>
                <w:szCs w:val="21"/>
                <w:highlight w:val="none"/>
                <w:lang w:val="en-US" w:eastAsia="zh-CN"/>
              </w:rPr>
            </w:pPr>
            <w:r>
              <w:rPr>
                <w:rFonts w:hint="eastAsia" w:ascii="宋体" w:hAnsi="宋体" w:cs="宋体"/>
                <w:b w:val="0"/>
                <w:bCs/>
                <w:color w:val="auto"/>
                <w:sz w:val="21"/>
                <w:szCs w:val="21"/>
                <w:highlight w:val="none"/>
                <w:lang w:val="en-US" w:eastAsia="zh-CN"/>
              </w:rPr>
              <w:t>业务服务专业技能（10分）</w:t>
            </w:r>
          </w:p>
        </w:tc>
        <w:tc>
          <w:tcPr>
            <w:tcW w:w="6104" w:type="dxa"/>
            <w:vAlign w:val="center"/>
          </w:tcPr>
          <w:p w14:paraId="569875F9">
            <w:pPr>
              <w:numPr>
                <w:ilvl w:val="0"/>
                <w:numId w:val="0"/>
              </w:numPr>
              <w:snapToGrid w:val="0"/>
              <w:spacing w:line="360" w:lineRule="auto"/>
              <w:jc w:val="left"/>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sz w:val="21"/>
                <w:szCs w:val="21"/>
                <w:lang w:val="en-US" w:eastAsia="zh-CN" w:bidi="ar-SA"/>
              </w:rPr>
              <w:t>1、</w:t>
            </w:r>
            <w:r>
              <w:rPr>
                <w:rFonts w:hint="eastAsia" w:ascii="宋体" w:hAnsi="宋体" w:cs="宋体"/>
                <w:b w:val="0"/>
                <w:bCs/>
                <w:color w:val="auto"/>
                <w:sz w:val="21"/>
                <w:szCs w:val="21"/>
                <w:highlight w:val="none"/>
                <w:lang w:val="en-US" w:eastAsia="zh-CN"/>
              </w:rPr>
              <w:t>投标人需成立专门的项目团队，承诺定期提供服务报告，使采购人清晰了解投标人所提供的服务情况，内容包括但不限于服务人数，服务异常情况，沟通机制等情况。项目负责人需负责定期主动回访，为采购人提供项目整体情况沟通汇报得5分；</w:t>
            </w:r>
          </w:p>
          <w:p w14:paraId="48200259">
            <w:pPr>
              <w:numPr>
                <w:ilvl w:val="0"/>
                <w:numId w:val="0"/>
              </w:numPr>
              <w:snapToGrid w:val="0"/>
              <w:spacing w:line="360" w:lineRule="auto"/>
              <w:jc w:val="left"/>
              <w:rPr>
                <w:rFonts w:hint="default" w:ascii="宋体" w:hAnsi="宋体" w:eastAsia="宋体" w:cs="宋体"/>
                <w:b/>
                <w:color w:val="auto"/>
                <w:sz w:val="21"/>
                <w:szCs w:val="21"/>
                <w:highlight w:val="none"/>
                <w:lang w:val="en-US" w:eastAsia="zh-CN"/>
              </w:rPr>
            </w:pPr>
            <w:r>
              <w:rPr>
                <w:rFonts w:hint="eastAsia" w:ascii="宋体" w:hAnsi="宋体" w:cs="宋体"/>
                <w:b w:val="0"/>
                <w:bCs/>
                <w:color w:val="auto"/>
                <w:sz w:val="21"/>
                <w:szCs w:val="21"/>
                <w:highlight w:val="none"/>
                <w:lang w:val="en-US" w:eastAsia="zh-CN"/>
              </w:rPr>
              <w:t>2、拟投入本项目团队成员具备下列条件：提供具备人力资源和社会保障部门或民政部门颁发的</w:t>
            </w:r>
            <w:r>
              <w:rPr>
                <w:rFonts w:hint="eastAsia" w:ascii="宋体" w:hAnsi="宋体"/>
                <w:color w:val="auto"/>
                <w:sz w:val="21"/>
                <w:szCs w:val="21"/>
                <w:highlight w:val="none"/>
                <w:lang w:val="en-US" w:eastAsia="zh-CN"/>
              </w:rPr>
              <w:t>殡仪服务员</w:t>
            </w:r>
            <w:r>
              <w:rPr>
                <w:rFonts w:hint="eastAsia" w:ascii="宋体" w:hAnsi="宋体" w:cs="宋体"/>
                <w:b w:val="0"/>
                <w:bCs/>
                <w:color w:val="auto"/>
                <w:sz w:val="21"/>
                <w:szCs w:val="21"/>
                <w:highlight w:val="none"/>
                <w:lang w:val="en-US" w:eastAsia="zh-CN"/>
              </w:rPr>
              <w:t>证书、</w:t>
            </w:r>
            <w:r>
              <w:rPr>
                <w:rFonts w:hint="eastAsia" w:ascii="宋体" w:hAnsi="宋体"/>
                <w:color w:val="auto"/>
                <w:sz w:val="21"/>
                <w:szCs w:val="21"/>
                <w:highlight w:val="none"/>
                <w:lang w:val="en-US" w:eastAsia="zh-CN"/>
              </w:rPr>
              <w:t>遗体接运工证书、遗体防腐师、</w:t>
            </w:r>
            <w:r>
              <w:rPr>
                <w:rFonts w:hint="eastAsia" w:ascii="宋体" w:hAnsi="宋体" w:cs="宋体"/>
                <w:b w:val="0"/>
                <w:bCs/>
                <w:color w:val="auto"/>
                <w:sz w:val="21"/>
                <w:szCs w:val="21"/>
                <w:highlight w:val="none"/>
                <w:lang w:val="en-US" w:eastAsia="zh-CN"/>
              </w:rPr>
              <w:t>遗体整容师、</w:t>
            </w:r>
            <w:r>
              <w:rPr>
                <w:rFonts w:hint="eastAsia" w:ascii="宋体" w:hAnsi="宋体"/>
                <w:color w:val="auto"/>
                <w:sz w:val="21"/>
                <w:szCs w:val="21"/>
                <w:highlight w:val="none"/>
                <w:lang w:val="en-US" w:eastAsia="zh-CN"/>
              </w:rPr>
              <w:t>遗体火化师</w:t>
            </w:r>
            <w:r>
              <w:rPr>
                <w:rFonts w:hint="eastAsia" w:ascii="宋体" w:hAnsi="宋体" w:cs="宋体"/>
                <w:b w:val="0"/>
                <w:bCs/>
                <w:color w:val="auto"/>
                <w:sz w:val="21"/>
                <w:szCs w:val="21"/>
                <w:highlight w:val="none"/>
                <w:lang w:val="en-US" w:eastAsia="zh-CN"/>
              </w:rPr>
              <w:t>证书人员，每提供1项证书得1分，本项最高得5分；注：同一人获得上述证书不可重复计分。需提供上述人员有效证书扫描件；未提供不得分。</w:t>
            </w:r>
          </w:p>
        </w:tc>
      </w:tr>
      <w:tr w14:paraId="0983E0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6" w:hRule="atLeast"/>
          <w:jc w:val="center"/>
        </w:trPr>
        <w:tc>
          <w:tcPr>
            <w:tcW w:w="1696" w:type="dxa"/>
            <w:vMerge w:val="restart"/>
            <w:vAlign w:val="center"/>
          </w:tcPr>
          <w:p w14:paraId="2C7700E5">
            <w:pPr>
              <w:spacing w:line="360" w:lineRule="auto"/>
              <w:jc w:val="center"/>
              <w:rPr>
                <w:rFonts w:ascii="宋体" w:hAnsi="宋体" w:cs="宋体"/>
                <w:color w:val="auto"/>
                <w:sz w:val="21"/>
                <w:szCs w:val="21"/>
                <w:highlight w:val="none"/>
              </w:rPr>
            </w:pPr>
            <w:bookmarkStart w:id="159" w:name="_Toc19310"/>
            <w:bookmarkStart w:id="160" w:name="_Toc19820087"/>
            <w:bookmarkStart w:id="161" w:name="_Toc260907984"/>
            <w:bookmarkStart w:id="162" w:name="_Toc270090085"/>
            <w:bookmarkStart w:id="163" w:name="_Toc259188728"/>
            <w:bookmarkStart w:id="164" w:name="_Toc481712046"/>
            <w:bookmarkStart w:id="165" w:name="_Toc6000"/>
            <w:bookmarkStart w:id="166" w:name="_Toc260908200"/>
          </w:p>
        </w:tc>
        <w:tc>
          <w:tcPr>
            <w:tcW w:w="2266" w:type="dxa"/>
            <w:gridSpan w:val="2"/>
            <w:vAlign w:val="center"/>
          </w:tcPr>
          <w:p w14:paraId="63C8EDD4">
            <w:pPr>
              <w:snapToGrid w:val="0"/>
              <w:spacing w:line="360" w:lineRule="auto"/>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实体化运营（6分）</w:t>
            </w:r>
          </w:p>
        </w:tc>
        <w:tc>
          <w:tcPr>
            <w:tcW w:w="6104" w:type="dxa"/>
            <w:vAlign w:val="center"/>
          </w:tcPr>
          <w:p w14:paraId="521E7CBA">
            <w:pPr>
              <w:numPr>
                <w:ilvl w:val="0"/>
                <w:numId w:val="2"/>
              </w:numPr>
              <w:snapToGrid w:val="0"/>
              <w:spacing w:line="360" w:lineRule="auto"/>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经营场地实体化</w:t>
            </w:r>
          </w:p>
          <w:p w14:paraId="376F9CB7">
            <w:pPr>
              <w:numPr>
                <w:ilvl w:val="0"/>
                <w:numId w:val="0"/>
              </w:numPr>
              <w:snapToGrid w:val="0"/>
              <w:spacing w:line="360" w:lineRule="auto"/>
              <w:jc w:val="left"/>
              <w:rPr>
                <w:rFonts w:hint="eastAsia" w:ascii="宋体" w:hAnsi="宋体" w:cs="宋体"/>
                <w:b w:val="0"/>
                <w:bCs/>
                <w:color w:val="auto"/>
                <w:sz w:val="21"/>
                <w:szCs w:val="21"/>
                <w:highlight w:val="none"/>
                <w:lang w:val="en-US" w:eastAsia="zh-CN"/>
              </w:rPr>
            </w:pPr>
            <w:r>
              <w:rPr>
                <w:rFonts w:hint="eastAsia" w:ascii="宋体" w:hAnsi="宋体"/>
                <w:color w:val="auto"/>
                <w:sz w:val="21"/>
                <w:szCs w:val="21"/>
                <w:highlight w:val="none"/>
                <w:lang w:val="en-US" w:eastAsia="zh-CN"/>
              </w:rPr>
              <w:t>提供自有房产产权证明和场地实景照片证明具备稳定、合规的办公及服务场所的得2分；提供租赁合同和场地实景照片，证明具备稳定、合规的办公及服务场所，得1分；</w:t>
            </w:r>
            <w:r>
              <w:rPr>
                <w:rFonts w:hint="eastAsia" w:ascii="宋体" w:hAnsi="宋体" w:cs="宋体"/>
                <w:b w:val="0"/>
                <w:bCs/>
                <w:color w:val="auto"/>
                <w:sz w:val="21"/>
                <w:szCs w:val="21"/>
                <w:highlight w:val="none"/>
                <w:lang w:val="en-US" w:eastAsia="zh-CN"/>
              </w:rPr>
              <w:t>未提供不得分。</w:t>
            </w:r>
          </w:p>
          <w:p w14:paraId="48CDF0E4">
            <w:pPr>
              <w:numPr>
                <w:ilvl w:val="0"/>
                <w:numId w:val="2"/>
              </w:numPr>
              <w:snapToGrid w:val="0"/>
              <w:spacing w:line="360" w:lineRule="auto"/>
              <w:ind w:left="0" w:leftChars="0" w:firstLine="0" w:firstLineChars="0"/>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人员团队实体化.</w:t>
            </w:r>
          </w:p>
          <w:p w14:paraId="237BAA2A">
            <w:pPr>
              <w:numPr>
                <w:ilvl w:val="0"/>
                <w:numId w:val="0"/>
              </w:numPr>
              <w:snapToGrid w:val="0"/>
              <w:spacing w:line="360" w:lineRule="auto"/>
              <w:ind w:leftChars="0"/>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 xml:space="preserve"> 提供5名及以上核心在岗人员近3-6个月社保缴纳证明对应岗位资质证书，人员配置充足、材料完整，得3分； 提供1-3名核心人员社保及资质证明，人员配置基本满足项目需求，得2分；</w:t>
            </w:r>
          </w:p>
          <w:p w14:paraId="57EEAB3F">
            <w:pPr>
              <w:numPr>
                <w:ilvl w:val="0"/>
                <w:numId w:val="0"/>
              </w:numPr>
              <w:snapToGrid w:val="0"/>
              <w:spacing w:line="360" w:lineRule="auto"/>
              <w:jc w:val="left"/>
              <w:rPr>
                <w:rFonts w:hint="default" w:ascii="宋体" w:hAnsi="宋体" w:cs="宋体"/>
                <w:b w:val="0"/>
                <w:bCs/>
                <w:color w:val="auto"/>
                <w:sz w:val="21"/>
                <w:szCs w:val="21"/>
                <w:highlight w:val="none"/>
                <w:lang w:val="en-US" w:eastAsia="zh-CN"/>
              </w:rPr>
            </w:pPr>
            <w:r>
              <w:rPr>
                <w:rFonts w:hint="eastAsia" w:ascii="宋体" w:hAnsi="宋体"/>
                <w:color w:val="auto"/>
                <w:sz w:val="21"/>
                <w:szCs w:val="21"/>
                <w:highlight w:val="none"/>
                <w:lang w:val="en-US" w:eastAsia="zh-CN"/>
              </w:rPr>
              <w:t xml:space="preserve"> 仅提供人员名单，无社保、无资质佐证，得1分； 未提供任何人员实体化证明材料的不得分。</w:t>
            </w:r>
          </w:p>
        </w:tc>
      </w:tr>
      <w:tr w14:paraId="2F7793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1696" w:type="dxa"/>
            <w:vMerge w:val="continue"/>
            <w:vAlign w:val="center"/>
          </w:tcPr>
          <w:p w14:paraId="07775216">
            <w:pPr>
              <w:spacing w:line="360" w:lineRule="auto"/>
              <w:jc w:val="center"/>
              <w:rPr>
                <w:rFonts w:ascii="宋体" w:hAnsi="宋体" w:cs="宋体"/>
                <w:color w:val="auto"/>
                <w:sz w:val="21"/>
                <w:szCs w:val="21"/>
                <w:highlight w:val="none"/>
              </w:rPr>
            </w:pPr>
          </w:p>
        </w:tc>
        <w:tc>
          <w:tcPr>
            <w:tcW w:w="2266" w:type="dxa"/>
            <w:gridSpan w:val="2"/>
            <w:vAlign w:val="center"/>
          </w:tcPr>
          <w:p w14:paraId="39544018">
            <w:pPr>
              <w:snapToGrid w:val="0"/>
              <w:spacing w:line="360" w:lineRule="auto"/>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同类项目业绩（4分）</w:t>
            </w:r>
          </w:p>
        </w:tc>
        <w:tc>
          <w:tcPr>
            <w:tcW w:w="6104" w:type="dxa"/>
            <w:vAlign w:val="center"/>
          </w:tcPr>
          <w:p w14:paraId="2DA4E93E">
            <w:pPr>
              <w:numPr>
                <w:ilvl w:val="0"/>
                <w:numId w:val="0"/>
              </w:numPr>
              <w:snapToGrid w:val="0"/>
              <w:spacing w:line="360" w:lineRule="auto"/>
              <w:jc w:val="left"/>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投标人近 3 年（自投标截止日倒算）具有殡葬行业劳务服务或同类用工派遣项目业绩，每提供 1个有效业绩（需提供合同关键页复印件），得 2分，最高 </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分。</w:t>
            </w:r>
          </w:p>
        </w:tc>
      </w:tr>
    </w:tbl>
    <w:p w14:paraId="465D2AF0">
      <w:pPr>
        <w:rPr>
          <w:rFonts w:hint="eastAsia" w:ascii="宋体" w:hAnsi="宋体" w:eastAsia="宋体"/>
          <w:color w:val="auto"/>
          <w:highlight w:val="none"/>
        </w:rPr>
      </w:pPr>
      <w:r>
        <w:rPr>
          <w:rFonts w:hint="eastAsia" w:ascii="宋体" w:hAnsi="宋体" w:eastAsia="宋体"/>
          <w:color w:val="auto"/>
          <w:highlight w:val="none"/>
        </w:rPr>
        <w:br w:type="page"/>
      </w:r>
    </w:p>
    <w:p w14:paraId="3AD78769">
      <w:pPr>
        <w:pStyle w:val="3"/>
        <w:wordWrap w:val="0"/>
        <w:spacing w:before="200" w:after="200" w:line="360" w:lineRule="auto"/>
        <w:jc w:val="center"/>
        <w:rPr>
          <w:rFonts w:ascii="宋体" w:hAnsi="宋体" w:eastAsia="宋体"/>
          <w:color w:val="auto"/>
          <w:highlight w:val="none"/>
        </w:rPr>
      </w:pPr>
      <w:r>
        <w:rPr>
          <w:rFonts w:hint="eastAsia" w:ascii="宋体" w:hAnsi="宋体" w:eastAsia="宋体"/>
          <w:color w:val="auto"/>
          <w:highlight w:val="none"/>
        </w:rPr>
        <w:t>二、评标方法</w:t>
      </w:r>
      <w:bookmarkEnd w:id="159"/>
      <w:bookmarkEnd w:id="160"/>
      <w:bookmarkEnd w:id="161"/>
      <w:bookmarkEnd w:id="162"/>
      <w:bookmarkEnd w:id="163"/>
      <w:bookmarkEnd w:id="164"/>
      <w:bookmarkEnd w:id="165"/>
      <w:bookmarkEnd w:id="166"/>
    </w:p>
    <w:p w14:paraId="3ED32144">
      <w:pPr>
        <w:pStyle w:val="150"/>
        <w:spacing w:line="360" w:lineRule="auto"/>
        <w:rPr>
          <w:rFonts w:ascii="宋体" w:hAnsi="宋体" w:eastAsia="宋体"/>
          <w:b/>
          <w:bCs/>
          <w:color w:val="auto"/>
          <w:highlight w:val="none"/>
          <w:lang w:val="zh-CN"/>
        </w:rPr>
      </w:pPr>
      <w:bookmarkStart w:id="167" w:name="_Toc248767825"/>
      <w:r>
        <w:rPr>
          <w:rFonts w:ascii="宋体" w:hAnsi="宋体" w:eastAsia="宋体"/>
          <w:b/>
          <w:bCs/>
          <w:color w:val="auto"/>
          <w:highlight w:val="none"/>
          <w:lang w:val="zh-CN"/>
        </w:rPr>
        <w:t>2.1</w:t>
      </w:r>
      <w:r>
        <w:rPr>
          <w:rFonts w:hint="eastAsia" w:ascii="宋体" w:hAnsi="宋体" w:eastAsia="宋体"/>
          <w:b/>
          <w:bCs/>
          <w:color w:val="auto"/>
          <w:highlight w:val="none"/>
          <w:lang w:val="zh-CN"/>
        </w:rPr>
        <w:t>评标依据</w:t>
      </w:r>
    </w:p>
    <w:p w14:paraId="5794516E">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根据《中华人民共和国政府采购法》、《中华人民共和国政府采购法实施条例》、《政府采购货物和服务招标投标管理办法》（财政部令87号）等法律、法规。</w:t>
      </w:r>
    </w:p>
    <w:p w14:paraId="2DD62311">
      <w:pPr>
        <w:pStyle w:val="150"/>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2</w:t>
      </w:r>
      <w:r>
        <w:rPr>
          <w:rFonts w:ascii="宋体" w:hAnsi="宋体" w:eastAsia="宋体"/>
          <w:b/>
          <w:bCs/>
          <w:color w:val="auto"/>
          <w:highlight w:val="none"/>
          <w:lang w:val="zh-CN"/>
        </w:rPr>
        <w:t>.2</w:t>
      </w:r>
      <w:r>
        <w:rPr>
          <w:rFonts w:hint="eastAsia" w:ascii="宋体" w:hAnsi="宋体" w:eastAsia="宋体"/>
          <w:b/>
          <w:bCs/>
          <w:color w:val="auto"/>
          <w:highlight w:val="none"/>
          <w:lang w:val="zh-CN"/>
        </w:rPr>
        <w:t xml:space="preserve">采购人或者采购代理机构职责 </w:t>
      </w:r>
    </w:p>
    <w:p w14:paraId="0C603E61">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采购人或者采购代理机构负责组织评标工作，并履行下列职责：</w:t>
      </w:r>
    </w:p>
    <w:p w14:paraId="4F27E2E1">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（一）核对评审专家身份和采购人代表授权函，对评审专家在政府采购活动中的职责履行情况予以记录，并及时将有关违法违规行为向财政部门报告；</w:t>
      </w:r>
    </w:p>
    <w:p w14:paraId="2BC69F4C">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（二）宣布评标纪律；</w:t>
      </w:r>
    </w:p>
    <w:p w14:paraId="2CA35795">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（三）公布投标人名单，告知评审专家应当回避的情形；</w:t>
      </w:r>
    </w:p>
    <w:p w14:paraId="12FC6007">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（四）组织评标委员会推选评标组长，采购人代表不得担任组长；</w:t>
      </w:r>
    </w:p>
    <w:p w14:paraId="74E1B7AB">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（五）在评标期间采取必要的通讯管理措施，保证评标活动不受外界干扰；</w:t>
      </w:r>
    </w:p>
    <w:p w14:paraId="2366F3FD">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（六）根据评标委员会的要求介绍政府采购相关政策法规、招标文件；</w:t>
      </w:r>
    </w:p>
    <w:p w14:paraId="02DE52AD">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（七）维护评标秩序，监督评标委员会依照招标文件规定的评标程序、方法和标准进行独立评审，及时制止和纠正采购人代表、评审专家的倾向性言论或者违法违规行为；</w:t>
      </w:r>
    </w:p>
    <w:p w14:paraId="0CCE326B">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（八）核对评标结果，有《政府采购货物和服务招标投标管理办法》（财政部令87号）第六十四条规定情形的，要求评标委员会复核或者书面说明理由，评标委员会拒绝的，应予记录并向本级财政部门报告；</w:t>
      </w:r>
    </w:p>
    <w:p w14:paraId="2545E30E">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（九）评审工作完成后，按照规定向评审专家支付劳务报酬和异地评审差旅费，不得向评审专家以外的其他人员支付评审劳务报酬；</w:t>
      </w:r>
    </w:p>
    <w:p w14:paraId="4067D75C">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（十）处理与评标有关的其他事项。</w:t>
      </w:r>
    </w:p>
    <w:p w14:paraId="40D3830A">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采购人可以在评标前说明项目背景和采购需求，说明内容不得含有歧视性、倾向性意见，不得超出招标文件所述范围。说明应当提交书面材料，并随采购文件一并存档。</w:t>
      </w:r>
    </w:p>
    <w:p w14:paraId="322E2D1B">
      <w:pPr>
        <w:pStyle w:val="150"/>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2</w:t>
      </w:r>
      <w:r>
        <w:rPr>
          <w:rFonts w:ascii="宋体" w:hAnsi="宋体" w:eastAsia="宋体"/>
          <w:b/>
          <w:bCs/>
          <w:color w:val="auto"/>
          <w:highlight w:val="none"/>
          <w:lang w:val="zh-CN"/>
        </w:rPr>
        <w:t>.3</w:t>
      </w:r>
      <w:r>
        <w:rPr>
          <w:rFonts w:hint="eastAsia" w:ascii="宋体" w:hAnsi="宋体" w:eastAsia="宋体"/>
          <w:b/>
          <w:bCs/>
          <w:color w:val="auto"/>
          <w:highlight w:val="none"/>
          <w:lang w:val="zh-CN"/>
        </w:rPr>
        <w:t xml:space="preserve">评标委员会职责 </w:t>
      </w:r>
    </w:p>
    <w:p w14:paraId="38194192">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评标委员会负责具体评标事务，并独立履行下列职责：</w:t>
      </w:r>
    </w:p>
    <w:p w14:paraId="6561D93B">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（一）审查、评价投标文件是否符合招标文件的商务、技术等实质性要求；</w:t>
      </w:r>
    </w:p>
    <w:p w14:paraId="1D25C672">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（二）要求投标人对投标文件有关事项作出澄清或者说明；</w:t>
      </w:r>
    </w:p>
    <w:p w14:paraId="5DA3BE98">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（三）对投标文件进行比较和评价；</w:t>
      </w:r>
    </w:p>
    <w:p w14:paraId="4D27E269">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（四）确定中标候选人名单，以及根据采购人委托直接确定中标人；</w:t>
      </w:r>
    </w:p>
    <w:p w14:paraId="0D8AD35C">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（五）向采购人、采购代理机构或者有关部门报告评标中发现的违法行为。</w:t>
      </w:r>
    </w:p>
    <w:p w14:paraId="52F3DC7A">
      <w:pPr>
        <w:pStyle w:val="150"/>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2</w:t>
      </w:r>
      <w:r>
        <w:rPr>
          <w:rFonts w:ascii="宋体" w:hAnsi="宋体" w:eastAsia="宋体"/>
          <w:b/>
          <w:bCs/>
          <w:color w:val="auto"/>
          <w:highlight w:val="none"/>
          <w:lang w:val="zh-CN"/>
        </w:rPr>
        <w:t>.4</w:t>
      </w:r>
      <w:r>
        <w:rPr>
          <w:rFonts w:hint="eastAsia" w:ascii="宋体" w:hAnsi="宋体" w:eastAsia="宋体"/>
          <w:b/>
          <w:bCs/>
          <w:color w:val="auto"/>
          <w:highlight w:val="none"/>
          <w:lang w:val="zh-CN"/>
        </w:rPr>
        <w:t>评标纪律</w:t>
      </w:r>
    </w:p>
    <w:p w14:paraId="44002DBB">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（1）对评标内容和评标过程要严格保密，不得向投标人或与该过程无关的其它人员泄露。</w:t>
      </w:r>
    </w:p>
    <w:p w14:paraId="6F45C38A">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（2）评标期间的一切资料，包括评标意见、评标记录和评标结论，一律不得外传和泄露。</w:t>
      </w:r>
    </w:p>
    <w:p w14:paraId="43A1404F">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（3）任何属于投标文件审查、澄清、评价和比较的资料，不得向投标人或与该过程无关的其它人员泄露。</w:t>
      </w:r>
    </w:p>
    <w:p w14:paraId="27D349BA">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（4）所有资料（包括招标文件、投标文件、评标表格及各种文字记录）在评标结束后均应分别整理、存档备查，任何人不得复制和保留。</w:t>
      </w:r>
    </w:p>
    <w:p w14:paraId="0E547E69">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（5）评标期间，未经允许评标委员会以外的任何单位或部门不得参加评标和采访评标工作。</w:t>
      </w:r>
    </w:p>
    <w:p w14:paraId="477D8988">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（6）评标期间，评标人员不得外出，确需外出时应事先请假。</w:t>
      </w:r>
    </w:p>
    <w:p w14:paraId="54E615F5">
      <w:pPr>
        <w:widowControl w:val="0"/>
        <w:wordWrap w:val="0"/>
        <w:spacing w:line="336"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（7）评标期间，所有与会人员均不得私自以任何方式和投标人进行联系，需询问、澄清的问题由评委会统一组织办理。</w:t>
      </w:r>
    </w:p>
    <w:p w14:paraId="24DE6AEA">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（8）评标结束后，与会人员不得向外界透露评标人员的评标意见，如因此造成的后果由责任者承担。</w:t>
      </w:r>
    </w:p>
    <w:p w14:paraId="7E851D1D">
      <w:pPr>
        <w:pStyle w:val="150"/>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2</w:t>
      </w:r>
      <w:r>
        <w:rPr>
          <w:rFonts w:ascii="宋体" w:hAnsi="宋体" w:eastAsia="宋体"/>
          <w:b/>
          <w:bCs/>
          <w:color w:val="auto"/>
          <w:highlight w:val="none"/>
          <w:lang w:val="zh-CN"/>
        </w:rPr>
        <w:t>.5</w:t>
      </w:r>
      <w:r>
        <w:rPr>
          <w:rFonts w:hint="eastAsia" w:ascii="宋体" w:hAnsi="宋体" w:eastAsia="宋体"/>
          <w:b/>
          <w:bCs/>
          <w:color w:val="auto"/>
          <w:highlight w:val="none"/>
          <w:lang w:val="zh-CN"/>
        </w:rPr>
        <w:t>评标原则</w:t>
      </w:r>
    </w:p>
    <w:p w14:paraId="58F98751">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评标将遵循下列原则：</w:t>
      </w:r>
    </w:p>
    <w:p w14:paraId="69DBB862">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（1）坚持公平、公正、科学、择优的原则，本着实事求是的精神，不带有任何主观意愿和偏见，认真负责地做好评标工作，公平、公正地对待每一个投标人。</w:t>
      </w:r>
    </w:p>
    <w:p w14:paraId="61B426ED">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（2）全面分析，综合评审。</w:t>
      </w:r>
    </w:p>
    <w:p w14:paraId="18A6CC15">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（3）评标只对投标人的投标文件进行评审,投标文件以外的资料、信息不应作为评标的依据。</w:t>
      </w:r>
    </w:p>
    <w:p w14:paraId="01F37302">
      <w:pPr>
        <w:pStyle w:val="3"/>
        <w:spacing w:before="200" w:after="200" w:line="360" w:lineRule="auto"/>
        <w:jc w:val="center"/>
        <w:rPr>
          <w:rFonts w:ascii="宋体" w:hAnsi="宋体" w:eastAsia="宋体"/>
          <w:color w:val="auto"/>
          <w:highlight w:val="none"/>
        </w:rPr>
      </w:pPr>
      <w:bookmarkStart w:id="168" w:name="_Toc260908201"/>
      <w:bookmarkStart w:id="169" w:name="_Toc481712047"/>
      <w:bookmarkStart w:id="170" w:name="_Toc503259470"/>
      <w:bookmarkStart w:id="171" w:name="_Toc260907985"/>
      <w:bookmarkStart w:id="172" w:name="_Toc19820088"/>
      <w:bookmarkStart w:id="173" w:name="_Toc270090086"/>
      <w:bookmarkStart w:id="174" w:name="_Toc11198"/>
      <w:bookmarkStart w:id="175" w:name="_Toc21067"/>
      <w:bookmarkStart w:id="176" w:name="_Toc259188729"/>
      <w:r>
        <w:rPr>
          <w:rFonts w:hint="eastAsia" w:ascii="宋体" w:hAnsi="宋体" w:eastAsia="宋体"/>
          <w:color w:val="auto"/>
          <w:highlight w:val="none"/>
        </w:rPr>
        <w:t>三、评标程序</w:t>
      </w:r>
      <w:bookmarkEnd w:id="167"/>
      <w:bookmarkEnd w:id="168"/>
      <w:bookmarkEnd w:id="169"/>
      <w:bookmarkEnd w:id="170"/>
      <w:bookmarkEnd w:id="171"/>
      <w:bookmarkEnd w:id="172"/>
      <w:bookmarkEnd w:id="173"/>
      <w:bookmarkEnd w:id="174"/>
      <w:bookmarkEnd w:id="175"/>
      <w:bookmarkEnd w:id="176"/>
    </w:p>
    <w:p w14:paraId="531DA4A7">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本次招标所采用的评标方法根据《政府采购货物和服务招标投标管理办法》（财政部令87号）第五十五条规定的“综合评分法”，即：投标文件满足招标文件全部实质性要求，且按照评审因素的量化指标评审得分最高的投标人为中标候选人的评标方法。评标只对通过资格审查的投标文件进行评审。评标按：符合性审查→投标报价部分评审→技术部分评审→商务部分评审→得分汇总→评标报告编写的程序进行。</w:t>
      </w:r>
    </w:p>
    <w:p w14:paraId="567D8416">
      <w:pPr>
        <w:pStyle w:val="150"/>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3.</w:t>
      </w:r>
      <w:r>
        <w:rPr>
          <w:rFonts w:ascii="宋体" w:hAnsi="宋体" w:eastAsia="宋体"/>
          <w:b/>
          <w:bCs/>
          <w:color w:val="auto"/>
          <w:highlight w:val="none"/>
          <w:lang w:val="zh-CN"/>
        </w:rPr>
        <w:t>1</w:t>
      </w:r>
      <w:r>
        <w:rPr>
          <w:rFonts w:hint="eastAsia" w:ascii="宋体" w:hAnsi="宋体" w:eastAsia="宋体"/>
          <w:b/>
          <w:bCs/>
          <w:color w:val="auto"/>
          <w:highlight w:val="none"/>
          <w:lang w:val="zh-CN"/>
        </w:rPr>
        <w:t>符合性审查</w:t>
      </w:r>
    </w:p>
    <w:p w14:paraId="57ABB4FD">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依据招标文件规定，评标委员会对符合资格审查的投标人的投标文件从有效性、完整性及对招标文件实质性响应等方面进行审查，详见“评标办法前附表”。</w:t>
      </w:r>
    </w:p>
    <w:p w14:paraId="2317471A">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符合性评审中“其他投标无效情形”如下：</w:t>
      </w:r>
    </w:p>
    <w:p w14:paraId="47A75BBF">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1、投标人未按第二章 投标人须知前附表 第10.5项“第四项”规定递交相关证件原件的。</w:t>
      </w:r>
    </w:p>
    <w:p w14:paraId="33B1F946">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2、未按照招标文件的规定提交投标保证金的。</w:t>
      </w:r>
    </w:p>
    <w:p w14:paraId="631D2E05">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3、投标文件未按招标文件要求签署、盖章的。</w:t>
      </w:r>
    </w:p>
    <w:p w14:paraId="0EBB377B">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4、不具备招标文件中规定的资格要求的。</w:t>
      </w:r>
    </w:p>
    <w:p w14:paraId="0447C1B4">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5、报价超过招标文件中规定的预算金额或者最高限价的。</w:t>
      </w:r>
    </w:p>
    <w:p w14:paraId="704C490E">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6、投标文件含有采购人不能接受的附加条件的。</w:t>
      </w:r>
    </w:p>
    <w:p w14:paraId="21452AAA">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7、法律、法规和招标文件规定的其他无效情形。</w:t>
      </w:r>
    </w:p>
    <w:p w14:paraId="6354C6B2">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8、有弄虚作假或有其他违法行为的。</w:t>
      </w:r>
    </w:p>
    <w:p w14:paraId="4D36B366">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9、不按评标委员会要求澄清、说明或补正的。</w:t>
      </w:r>
    </w:p>
    <w:p w14:paraId="6700ECAC">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0</w:t>
      </w:r>
      <w:r>
        <w:rPr>
          <w:rFonts w:hint="eastAsia" w:ascii="宋体" w:hAnsi="宋体"/>
          <w:color w:val="auto"/>
          <w:sz w:val="21"/>
          <w:szCs w:val="21"/>
          <w:highlight w:val="none"/>
        </w:rPr>
        <w:t>、按招标文件要求提交投标保证金但有瑕疵的。</w:t>
      </w:r>
    </w:p>
    <w:p w14:paraId="6FB3ACE0">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1</w:t>
      </w:r>
      <w:r>
        <w:rPr>
          <w:rFonts w:hint="eastAsia" w:ascii="宋体" w:hAnsi="宋体"/>
          <w:color w:val="auto"/>
          <w:sz w:val="21"/>
          <w:szCs w:val="21"/>
          <w:highlight w:val="none"/>
        </w:rPr>
        <w:t>、未按招标文件规定格式填写，内容不全或者关键内容字迹模糊，无法辨认的。</w:t>
      </w:r>
    </w:p>
    <w:p w14:paraId="2AF65AA2">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2</w:t>
      </w:r>
      <w:r>
        <w:rPr>
          <w:rFonts w:hint="eastAsia" w:ascii="宋体" w:hAnsi="宋体"/>
          <w:color w:val="auto"/>
          <w:sz w:val="21"/>
          <w:szCs w:val="21"/>
          <w:highlight w:val="none"/>
        </w:rPr>
        <w:t>、投标人名称或组织结构与资格审查不一致的。</w:t>
      </w:r>
    </w:p>
    <w:p w14:paraId="7946E1E3">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3</w:t>
      </w:r>
      <w:r>
        <w:rPr>
          <w:rFonts w:hint="eastAsia" w:ascii="宋体" w:hAnsi="宋体"/>
          <w:color w:val="auto"/>
          <w:sz w:val="21"/>
          <w:szCs w:val="21"/>
          <w:highlight w:val="none"/>
        </w:rPr>
        <w:t>、投标人提交的投标文件格式不符合第二章 投标人须知前附表 “第</w:t>
      </w:r>
      <w:r>
        <w:rPr>
          <w:rFonts w:ascii="宋体" w:hAnsi="宋体"/>
          <w:color w:val="auto"/>
          <w:sz w:val="21"/>
          <w:szCs w:val="21"/>
          <w:highlight w:val="none"/>
        </w:rPr>
        <w:t>3</w:t>
      </w:r>
      <w:r>
        <w:rPr>
          <w:rFonts w:hint="eastAsia" w:ascii="宋体" w:hAnsi="宋体"/>
          <w:color w:val="auto"/>
          <w:sz w:val="21"/>
          <w:szCs w:val="21"/>
          <w:highlight w:val="none"/>
        </w:rPr>
        <w:t>.5</w:t>
      </w:r>
      <w:r>
        <w:rPr>
          <w:rFonts w:ascii="宋体" w:hAnsi="宋体"/>
          <w:color w:val="auto"/>
          <w:sz w:val="21"/>
          <w:szCs w:val="21"/>
          <w:highlight w:val="none"/>
        </w:rPr>
        <w:t>.1</w:t>
      </w:r>
      <w:r>
        <w:rPr>
          <w:rFonts w:hint="eastAsia" w:ascii="宋体" w:hAnsi="宋体"/>
          <w:color w:val="auto"/>
          <w:sz w:val="21"/>
          <w:szCs w:val="21"/>
          <w:highlight w:val="none"/>
        </w:rPr>
        <w:t>项”规定的。</w:t>
      </w:r>
    </w:p>
    <w:p w14:paraId="579EB42B">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4</w:t>
      </w:r>
      <w:r>
        <w:rPr>
          <w:rFonts w:hint="eastAsia" w:ascii="宋体" w:hAnsi="宋体"/>
          <w:color w:val="auto"/>
          <w:sz w:val="21"/>
          <w:szCs w:val="21"/>
          <w:highlight w:val="none"/>
        </w:rPr>
        <w:t>、投标人在投标文件上签名的人员与其他投标人在投标文件上的签名人员为同一人的。</w:t>
      </w:r>
    </w:p>
    <w:p w14:paraId="0AF6967E">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5</w:t>
      </w:r>
      <w:r>
        <w:rPr>
          <w:rFonts w:hint="eastAsia" w:ascii="宋体" w:hAnsi="宋体"/>
          <w:color w:val="auto"/>
          <w:sz w:val="21"/>
          <w:szCs w:val="21"/>
          <w:highlight w:val="none"/>
        </w:rPr>
        <w:t>、符合本章节3</w:t>
      </w:r>
      <w:r>
        <w:rPr>
          <w:rFonts w:ascii="宋体" w:hAnsi="宋体"/>
          <w:color w:val="auto"/>
          <w:sz w:val="21"/>
          <w:szCs w:val="21"/>
          <w:highlight w:val="none"/>
        </w:rPr>
        <w:t>.2</w:t>
      </w:r>
      <w:r>
        <w:rPr>
          <w:rFonts w:hint="eastAsia" w:ascii="宋体" w:hAnsi="宋体"/>
          <w:color w:val="auto"/>
          <w:sz w:val="21"/>
          <w:szCs w:val="21"/>
          <w:highlight w:val="none"/>
        </w:rPr>
        <w:t>中“报价过低情形澄清”情况的。</w:t>
      </w:r>
    </w:p>
    <w:p w14:paraId="0725C7BF">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6</w:t>
      </w:r>
      <w:r>
        <w:rPr>
          <w:rFonts w:hint="eastAsia" w:ascii="宋体" w:hAnsi="宋体"/>
          <w:color w:val="auto"/>
          <w:sz w:val="21"/>
          <w:szCs w:val="21"/>
          <w:highlight w:val="none"/>
        </w:rPr>
        <w:t>、联合体各方再以自己名义单独或参加其他联合体在同一标段中投标的。</w:t>
      </w:r>
    </w:p>
    <w:p w14:paraId="6CCDA42B">
      <w:pPr>
        <w:widowControl w:val="0"/>
        <w:wordWrap w:val="0"/>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7、投标人存在第二章投标人须知前附表1.4.3“投标人不得存在的其他情形”中所述情况的。</w:t>
      </w:r>
    </w:p>
    <w:p w14:paraId="13764F48">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8</w:t>
      </w:r>
      <w:r>
        <w:rPr>
          <w:rFonts w:hint="eastAsia" w:ascii="宋体" w:hAnsi="宋体"/>
          <w:color w:val="auto"/>
          <w:sz w:val="21"/>
          <w:szCs w:val="21"/>
          <w:highlight w:val="none"/>
        </w:rPr>
        <w:t>、有下列情形之一的，经评标委员会集体表决后认定，视为投标人串通投标，其投标无效，并提请有关</w:t>
      </w:r>
      <w:r>
        <w:rPr>
          <w:rFonts w:ascii="宋体" w:hAnsi="宋体"/>
          <w:color w:val="auto"/>
          <w:sz w:val="21"/>
          <w:szCs w:val="21"/>
          <w:highlight w:val="none"/>
        </w:rPr>
        <w:t>监管部门</w:t>
      </w:r>
      <w:r>
        <w:rPr>
          <w:rFonts w:hint="eastAsia" w:ascii="宋体" w:hAnsi="宋体"/>
          <w:color w:val="auto"/>
          <w:sz w:val="21"/>
          <w:szCs w:val="21"/>
          <w:highlight w:val="none"/>
        </w:rPr>
        <w:t>依法予以处罚：</w:t>
      </w:r>
    </w:p>
    <w:p w14:paraId="03537590">
      <w:pPr>
        <w:pStyle w:val="63"/>
        <w:spacing w:line="360" w:lineRule="auto"/>
        <w:rPr>
          <w:rFonts w:ascii="宋体" w:hAnsi="宋体"/>
          <w:color w:val="auto"/>
          <w:szCs w:val="21"/>
          <w:highlight w:val="none"/>
        </w:rPr>
      </w:pPr>
      <w:r>
        <w:rPr>
          <w:rFonts w:hint="eastAsia" w:ascii="宋体" w:hAnsi="宋体"/>
          <w:color w:val="auto"/>
          <w:szCs w:val="21"/>
          <w:highlight w:val="none"/>
        </w:rPr>
        <w:t>（1）不同投标人的投标文件由同一单位或者个人编制；</w:t>
      </w:r>
    </w:p>
    <w:p w14:paraId="78294DAE">
      <w:pPr>
        <w:pStyle w:val="63"/>
        <w:spacing w:line="360" w:lineRule="auto"/>
        <w:rPr>
          <w:rFonts w:ascii="宋体" w:hAnsi="宋体"/>
          <w:color w:val="auto"/>
          <w:szCs w:val="21"/>
          <w:highlight w:val="none"/>
        </w:rPr>
      </w:pPr>
      <w:r>
        <w:rPr>
          <w:rFonts w:hint="eastAsia" w:ascii="宋体" w:hAnsi="宋体"/>
          <w:color w:val="auto"/>
          <w:szCs w:val="21"/>
          <w:highlight w:val="none"/>
        </w:rPr>
        <w:t>（2）不同投标人委托同一单位或者个人办理投标事宜；</w:t>
      </w:r>
    </w:p>
    <w:p w14:paraId="7F657AB5">
      <w:pPr>
        <w:pStyle w:val="63"/>
        <w:spacing w:line="360" w:lineRule="auto"/>
        <w:rPr>
          <w:rFonts w:ascii="宋体" w:hAnsi="宋体"/>
          <w:color w:val="auto"/>
          <w:szCs w:val="21"/>
          <w:highlight w:val="none"/>
        </w:rPr>
      </w:pPr>
      <w:r>
        <w:rPr>
          <w:rFonts w:hint="eastAsia" w:ascii="宋体" w:hAnsi="宋体"/>
          <w:color w:val="auto"/>
          <w:szCs w:val="21"/>
          <w:highlight w:val="none"/>
        </w:rPr>
        <w:t>（3）不同投标人的投标文件载明的项目管理成员或者联系人员为同一人；</w:t>
      </w:r>
    </w:p>
    <w:p w14:paraId="24F1D0F7">
      <w:pPr>
        <w:pStyle w:val="63"/>
        <w:spacing w:line="360" w:lineRule="auto"/>
        <w:rPr>
          <w:rFonts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14:paraId="1134802A">
      <w:pPr>
        <w:pStyle w:val="63"/>
        <w:spacing w:line="360" w:lineRule="auto"/>
        <w:rPr>
          <w:rFonts w:ascii="宋体" w:hAnsi="宋体"/>
          <w:color w:val="auto"/>
          <w:szCs w:val="21"/>
          <w:highlight w:val="none"/>
        </w:rPr>
      </w:pPr>
      <w:r>
        <w:rPr>
          <w:rFonts w:hint="eastAsia" w:ascii="宋体" w:hAnsi="宋体"/>
          <w:color w:val="auto"/>
          <w:szCs w:val="21"/>
          <w:highlight w:val="none"/>
        </w:rPr>
        <w:t>（5）不同投标人的投标文件相互混装；</w:t>
      </w:r>
    </w:p>
    <w:p w14:paraId="78E5A868">
      <w:pPr>
        <w:pStyle w:val="63"/>
        <w:spacing w:line="360" w:lineRule="auto"/>
        <w:rPr>
          <w:rFonts w:ascii="宋体" w:hAnsi="宋体"/>
          <w:color w:val="auto"/>
          <w:szCs w:val="21"/>
          <w:highlight w:val="none"/>
        </w:rPr>
      </w:pPr>
      <w:r>
        <w:rPr>
          <w:rFonts w:hint="eastAsia" w:ascii="宋体" w:hAnsi="宋体"/>
          <w:color w:val="auto"/>
          <w:szCs w:val="21"/>
          <w:highlight w:val="none"/>
        </w:rPr>
        <w:t>（6）不同投标人的投标保证金从同一单位或者个人的账户转出</w:t>
      </w:r>
    </w:p>
    <w:p w14:paraId="46464D2F">
      <w:pPr>
        <w:widowControl w:val="0"/>
        <w:wordWrap w:val="0"/>
        <w:spacing w:line="360" w:lineRule="auto"/>
        <w:ind w:firstLine="420" w:firstLineChars="200"/>
        <w:rPr>
          <w:rFonts w:ascii="宋体" w:hAnsi="宋体"/>
          <w:color w:val="auto"/>
          <w:sz w:val="21"/>
          <w:szCs w:val="21"/>
          <w:highlight w:val="none"/>
        </w:rPr>
      </w:pPr>
      <w:bookmarkStart w:id="177" w:name="_Hlk15230321"/>
      <w:r>
        <w:rPr>
          <w:rFonts w:hint="eastAsia" w:ascii="宋体" w:hAnsi="宋体"/>
          <w:color w:val="auto"/>
          <w:sz w:val="21"/>
          <w:szCs w:val="21"/>
          <w:highlight w:val="none"/>
        </w:rPr>
        <w:t>（</w:t>
      </w:r>
      <w:r>
        <w:rPr>
          <w:rFonts w:ascii="宋体" w:hAnsi="宋体"/>
          <w:color w:val="auto"/>
          <w:sz w:val="21"/>
          <w:szCs w:val="21"/>
          <w:highlight w:val="none"/>
        </w:rPr>
        <w:t>7</w:t>
      </w:r>
      <w:r>
        <w:rPr>
          <w:rFonts w:hint="eastAsia" w:ascii="宋体" w:hAnsi="宋体"/>
          <w:color w:val="auto"/>
          <w:sz w:val="21"/>
          <w:szCs w:val="21"/>
          <w:highlight w:val="none"/>
        </w:rPr>
        <w:t>）评标委员会认定的其他串通投标情形。</w:t>
      </w:r>
      <w:bookmarkEnd w:id="177"/>
    </w:p>
    <w:p w14:paraId="3D994749">
      <w:pPr>
        <w:pStyle w:val="150"/>
        <w:spacing w:line="360" w:lineRule="auto"/>
        <w:rPr>
          <w:rFonts w:ascii="宋体" w:hAnsi="宋体" w:eastAsia="宋体"/>
          <w:b/>
          <w:bCs/>
          <w:color w:val="auto"/>
          <w:highlight w:val="none"/>
          <w:lang w:val="zh-CN"/>
        </w:rPr>
      </w:pPr>
      <w:r>
        <w:rPr>
          <w:rFonts w:hint="eastAsia" w:ascii="宋体" w:hAnsi="宋体" w:eastAsia="宋体"/>
          <w:b/>
          <w:bCs/>
          <w:color w:val="auto"/>
          <w:highlight w:val="none"/>
          <w:lang w:val="zh-CN"/>
        </w:rPr>
        <w:t>3.</w:t>
      </w:r>
      <w:r>
        <w:rPr>
          <w:rFonts w:ascii="宋体" w:hAnsi="宋体" w:eastAsia="宋体"/>
          <w:b/>
          <w:bCs/>
          <w:color w:val="auto"/>
          <w:highlight w:val="none"/>
          <w:lang w:val="zh-CN"/>
        </w:rPr>
        <w:t>2</w:t>
      </w:r>
      <w:r>
        <w:rPr>
          <w:rFonts w:hint="eastAsia" w:ascii="宋体" w:hAnsi="宋体" w:eastAsia="宋体"/>
          <w:b/>
          <w:bCs/>
          <w:color w:val="auto"/>
          <w:highlight w:val="none"/>
          <w:lang w:val="zh-CN"/>
        </w:rPr>
        <w:t>投标报价部分评审</w:t>
      </w:r>
    </w:p>
    <w:p w14:paraId="63A10D51">
      <w:pPr>
        <w:widowControl w:val="0"/>
        <w:wordWrap w:val="0"/>
        <w:spacing w:line="360" w:lineRule="auto"/>
        <w:ind w:firstLine="420" w:firstLineChars="200"/>
        <w:rPr>
          <w:rFonts w:ascii="宋体" w:hAnsi="宋体"/>
          <w:color w:val="auto"/>
          <w:sz w:val="21"/>
          <w:szCs w:val="21"/>
          <w:highlight w:val="none"/>
        </w:rPr>
      </w:pPr>
      <w:bookmarkStart w:id="178" w:name="_Toc229583209"/>
      <w:bookmarkStart w:id="179" w:name="_Toc260908205"/>
      <w:bookmarkStart w:id="180" w:name="_Toc260907989"/>
      <w:r>
        <w:rPr>
          <w:rFonts w:hint="eastAsia" w:ascii="宋体" w:hAnsi="宋体"/>
          <w:color w:val="auto"/>
          <w:sz w:val="21"/>
          <w:szCs w:val="21"/>
          <w:highlight w:val="none"/>
        </w:rPr>
        <w:t>详见“评标办法前附表”。</w:t>
      </w:r>
    </w:p>
    <w:p w14:paraId="4A8FCE89">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1.投标文件内容澄清</w:t>
      </w:r>
    </w:p>
    <w:p w14:paraId="694F8E2E">
      <w:pPr>
        <w:widowControl w:val="0"/>
        <w:wordWrap w:val="0"/>
        <w:spacing w:line="360" w:lineRule="auto"/>
        <w:ind w:firstLine="420" w:firstLineChars="200"/>
        <w:rPr>
          <w:rFonts w:ascii="宋体" w:hAnsi="宋体" w:cs="宋体"/>
          <w:color w:val="auto"/>
          <w:sz w:val="21"/>
          <w:szCs w:val="21"/>
          <w:highlight w:val="none"/>
        </w:rPr>
      </w:pPr>
      <w:r>
        <w:rPr>
          <w:rFonts w:hint="eastAsia" w:ascii="宋体" w:hAnsi="宋体"/>
          <w:color w:val="auto"/>
          <w:sz w:val="21"/>
          <w:szCs w:val="21"/>
          <w:highlight w:val="none"/>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01C7A371">
      <w:pPr>
        <w:keepNext/>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2.报价不一致情形澄清</w:t>
      </w:r>
    </w:p>
    <w:p w14:paraId="54145F11">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投标文件报价出现前后不一致的，除招标文件另有规定外，按照下列规定修正： </w:t>
      </w:r>
    </w:p>
    <w:p w14:paraId="667ADECE">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（1）投标文件中开标一览表（报价表）内容与投标文件中相应内容不一致的，以开标一览表（报价表）为准；</w:t>
      </w:r>
    </w:p>
    <w:p w14:paraId="5CD75040">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（2）大写金额和小写金额不一致的，以大写金额为准；</w:t>
      </w:r>
    </w:p>
    <w:p w14:paraId="31C4CAC0">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（3）单价金额小数点或者百分比有明显错位的，以开标一览表的总价为准，并修改单价；</w:t>
      </w:r>
    </w:p>
    <w:p w14:paraId="2C6213F3">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（4）总价金额与按单价汇总金额不一致的，以单价金额计算结果为准。</w:t>
      </w:r>
    </w:p>
    <w:p w14:paraId="5195559A">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同时出现两种以上不一致的，按照前款规定的顺序修正。修正后的报价按照招标文件规定并经投标人确认后产生约束力，投标人不确认的，其投标无效。</w:t>
      </w:r>
    </w:p>
    <w:p w14:paraId="4FF18A74">
      <w:pPr>
        <w:keepNext/>
        <w:widowControl w:val="0"/>
        <w:wordWrap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3.报价合理性说明</w:t>
      </w:r>
    </w:p>
    <w:p w14:paraId="50A8A9FB">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评委会</w:t>
      </w:r>
      <w:r>
        <w:rPr>
          <w:rFonts w:hint="eastAsia" w:ascii="宋体" w:hAnsi="宋体" w:eastAsia="宋体" w:cs="宋体"/>
          <w:sz w:val="24"/>
          <w:szCs w:val="24"/>
          <w:highlight w:val="none"/>
          <w:lang w:val="en-US" w:eastAsia="zh-CN" w:bidi="ar-SA"/>
        </w:rPr>
        <w:t>认为</w:t>
      </w:r>
      <w:r>
        <w:rPr>
          <w:rFonts w:hint="eastAsia" w:ascii="宋体" w:hAnsi="宋体" w:cs="宋体"/>
          <w:sz w:val="24"/>
          <w:szCs w:val="24"/>
          <w:highlight w:val="none"/>
          <w:lang w:val="en-US" w:eastAsia="zh-CN" w:bidi="ar-SA"/>
        </w:rPr>
        <w:t>投标人</w:t>
      </w:r>
      <w:r>
        <w:rPr>
          <w:rFonts w:hint="eastAsia" w:ascii="宋体" w:hAnsi="宋体" w:eastAsia="宋体" w:cs="宋体"/>
          <w:sz w:val="24"/>
          <w:szCs w:val="24"/>
          <w:highlight w:val="none"/>
          <w:lang w:val="en-US" w:eastAsia="zh-CN" w:bidi="ar-SA"/>
        </w:rPr>
        <w:t>的报价明显低于其他通过符合性审查供应商的报价，有可能影响产品质量或者不能诚信履约的，应当要求其在评审现场合理的时间内提供书面说明，必要时提交相关证明材料；供应商不能证明其报价合理性的，</w:t>
      </w:r>
      <w:r>
        <w:rPr>
          <w:rFonts w:hint="eastAsia" w:ascii="宋体" w:hAnsi="宋体" w:cs="宋体"/>
          <w:sz w:val="24"/>
          <w:szCs w:val="24"/>
          <w:highlight w:val="none"/>
          <w:lang w:val="en-US" w:eastAsia="zh-CN" w:bidi="ar-SA"/>
        </w:rPr>
        <w:t>评委会</w:t>
      </w:r>
      <w:r>
        <w:rPr>
          <w:rFonts w:hint="eastAsia" w:ascii="宋体" w:hAnsi="宋体" w:eastAsia="宋体" w:cs="宋体"/>
          <w:sz w:val="24"/>
          <w:szCs w:val="24"/>
          <w:highlight w:val="none"/>
          <w:lang w:val="en-US" w:eastAsia="zh-CN" w:bidi="ar-SA"/>
        </w:rPr>
        <w:t>应当将其作为无效</w:t>
      </w:r>
      <w:r>
        <w:rPr>
          <w:rFonts w:hint="eastAsia" w:ascii="宋体" w:hAnsi="宋体" w:cs="宋体"/>
          <w:sz w:val="24"/>
          <w:szCs w:val="24"/>
          <w:highlight w:val="none"/>
          <w:lang w:val="en-US" w:eastAsia="zh-CN" w:bidi="ar-SA"/>
        </w:rPr>
        <w:t>投标</w:t>
      </w:r>
      <w:r>
        <w:rPr>
          <w:rFonts w:hint="eastAsia" w:ascii="宋体" w:hAnsi="宋体" w:eastAsia="宋体" w:cs="宋体"/>
          <w:sz w:val="24"/>
          <w:szCs w:val="24"/>
          <w:highlight w:val="none"/>
          <w:lang w:val="en-US" w:eastAsia="zh-CN" w:bidi="ar-SA"/>
        </w:rPr>
        <w:t>处理。</w:t>
      </w:r>
    </w:p>
    <w:p w14:paraId="22A8270B">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评审中出现下列情形之一的，评审委员会应当启动异常低价投标（响应）审查程序： </w:t>
      </w:r>
    </w:p>
    <w:p w14:paraId="30794A29">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1.投标（响应）报价低于全部通过符合性审查供应商投标（响应）报价平均值50%的，即投标（响应）报价&lt;全部通过符合性审查供应商投标（响应）报价平均值×50%； </w:t>
      </w:r>
    </w:p>
    <w:p w14:paraId="62463708">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2.投标（响应）报价低于通过符合性审查的次低报价供应商投标（响应）报价50%的，即投标（响应）报价&lt;通过符合性审查的次低报价供应商投标（响应）报价×50%； </w:t>
      </w:r>
    </w:p>
    <w:p w14:paraId="28CEEF14">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3.投标（响应）报价低于采购项目最高限价45%的，即投标（响应）报价&lt;采购项目最高限价×45%； </w:t>
      </w:r>
    </w:p>
    <w:p w14:paraId="728F5E1F">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4.评审委员会基于专业判断，认为供应商报价过低，有可能影响产品质量或者不能诚信履约的其他情形。 </w:t>
      </w:r>
    </w:p>
    <w:p w14:paraId="08B9AAF7">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ind w:left="0" w:right="0" w:firstLine="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采购人可以结合具体项目实际情况，提高上述第1项至第3项中启动异常低价投标（响应）审查的数值标准，但是最高不得超过65%。 </w:t>
      </w:r>
    </w:p>
    <w:p w14:paraId="51391649">
      <w:pPr>
        <w:pStyle w:val="150"/>
        <w:spacing w:line="360" w:lineRule="auto"/>
        <w:rPr>
          <w:rFonts w:ascii="宋体" w:hAnsi="宋体" w:eastAsia="宋体"/>
          <w:b/>
          <w:bCs/>
          <w:color w:val="auto"/>
          <w:highlight w:val="none"/>
          <w:lang w:val="zh-CN"/>
        </w:rPr>
      </w:pPr>
      <w:r>
        <w:rPr>
          <w:rFonts w:ascii="宋体" w:hAnsi="宋体" w:eastAsia="宋体"/>
          <w:b/>
          <w:bCs/>
          <w:color w:val="auto"/>
          <w:highlight w:val="none"/>
          <w:lang w:val="zh-CN"/>
        </w:rPr>
        <w:t>3.3</w:t>
      </w:r>
      <w:r>
        <w:rPr>
          <w:rFonts w:hint="eastAsia" w:ascii="宋体" w:hAnsi="宋体" w:eastAsia="宋体"/>
          <w:b/>
          <w:bCs/>
          <w:color w:val="auto"/>
          <w:highlight w:val="none"/>
          <w:lang w:val="zh-CN"/>
        </w:rPr>
        <w:t>技术及商务部分评审</w:t>
      </w:r>
    </w:p>
    <w:p w14:paraId="574D7FC5">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详见“评标办法前附表”。</w:t>
      </w:r>
    </w:p>
    <w:p w14:paraId="645E136B">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（1）评标委员会按照客观、公正、审慎的原则，根据招标文件规定的评审程序、评审方法和评审标准进行独立评审；评标委员会评委应首先对各投标人投标文件进行评审，并按招标文件规定分值评分。</w:t>
      </w:r>
    </w:p>
    <w:p w14:paraId="11B9185C">
      <w:pPr>
        <w:widowControl w:val="0"/>
        <w:wordWrap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（2）统计分数原则：计算算术平均分值为投标人的技术部分得分（保留小数点后两位）。</w:t>
      </w:r>
    </w:p>
    <w:p w14:paraId="7D29FCDA">
      <w:pPr>
        <w:widowControl w:val="0"/>
        <w:wordWrap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lang w:eastAsia="zh-CN"/>
        </w:rPr>
        <w:t>）</w:t>
      </w:r>
      <w:r>
        <w:rPr>
          <w:rFonts w:hint="eastAsia" w:ascii="宋体" w:hAnsi="宋体"/>
          <w:color w:val="auto"/>
          <w:sz w:val="21"/>
          <w:szCs w:val="21"/>
          <w:highlight w:val="none"/>
        </w:rPr>
        <w:t>采购项目需要落实的政府采购政策</w:t>
      </w:r>
    </w:p>
    <w:p w14:paraId="72D826DA">
      <w:pPr>
        <w:widowControl w:val="0"/>
        <w:wordWrap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①</w:t>
      </w:r>
      <w:r>
        <w:rPr>
          <w:rFonts w:hint="eastAsia" w:ascii="宋体" w:hAnsi="宋体"/>
          <w:color w:val="auto"/>
          <w:sz w:val="21"/>
          <w:szCs w:val="21"/>
          <w:highlight w:val="none"/>
        </w:rPr>
        <w:t>节能产品及环境标志产品认定</w:t>
      </w:r>
    </w:p>
    <w:p w14:paraId="36D025E9">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1.1</w:t>
      </w:r>
      <w:r>
        <w:rPr>
          <w:rFonts w:hint="eastAsia" w:ascii="宋体" w:hAnsi="宋体"/>
          <w:color w:val="auto"/>
          <w:sz w:val="21"/>
          <w:szCs w:val="21"/>
          <w:highlight w:val="none"/>
          <w:lang w:eastAsia="zh-CN"/>
        </w:rPr>
        <w:t>投标人</w:t>
      </w:r>
      <w:r>
        <w:rPr>
          <w:rFonts w:hint="eastAsia" w:ascii="宋体" w:hAnsi="宋体"/>
          <w:color w:val="auto"/>
          <w:sz w:val="21"/>
          <w:szCs w:val="21"/>
          <w:highlight w:val="none"/>
        </w:rPr>
        <w:t>根据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及市场监管总局关于发布参与实施政府采购节能产品、环境标志产品认证机构名录的公告2019年第16号，节能产品是指列入财政部和国家发改委公布的《节能产品政府采购品目清单》中的产品，政府强制采购节能产品是指“品目清单”中以“★”标注类别的产品。</w:t>
      </w:r>
    </w:p>
    <w:p w14:paraId="5DB03C7E">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1.2产品属于财政部和国家发改委公布的当期《节能产品政府采购品目清单》中以“★”标注类别的节能产品，</w:t>
      </w:r>
      <w:r>
        <w:rPr>
          <w:rFonts w:hint="eastAsia" w:ascii="宋体" w:hAnsi="宋体"/>
          <w:color w:val="auto"/>
          <w:sz w:val="21"/>
          <w:szCs w:val="21"/>
          <w:highlight w:val="none"/>
          <w:lang w:eastAsia="zh-CN"/>
        </w:rPr>
        <w:t>投标人</w:t>
      </w:r>
      <w:r>
        <w:rPr>
          <w:rFonts w:hint="eastAsia" w:ascii="宋体" w:hAnsi="宋体"/>
          <w:color w:val="auto"/>
          <w:sz w:val="21"/>
          <w:szCs w:val="21"/>
          <w:highlight w:val="none"/>
        </w:rPr>
        <w:t>需在文件中提供节能产品认证证书。</w:t>
      </w:r>
    </w:p>
    <w:p w14:paraId="71EB815A">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财政部、发展改革委、生态环境部、市场监管总局“关于调整优化节能产品、环境标志产品政府采购执行机制的通知财库〔2019〕9号”、“关于印发环境标志产品政府采购品目清单的通知”财库〔2019〕18号及“关于印发节能产品政府采购品目清单的通知”财库〔2019〕19号、市场监管总局关于发布参与实施政府采购节能产品、环境标志产品认证机构名录的公告2019年第16号可通过中国政府采购网（http://www.ccgp.gov.cn/）查阅、下载。</w:t>
      </w:r>
    </w:p>
    <w:p w14:paraId="0CA0284E">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②</w:t>
      </w:r>
      <w:r>
        <w:rPr>
          <w:rFonts w:hint="eastAsia" w:ascii="宋体" w:hAnsi="宋体"/>
          <w:color w:val="auto"/>
          <w:sz w:val="21"/>
          <w:szCs w:val="21"/>
          <w:highlight w:val="none"/>
        </w:rPr>
        <w:t>小型和微型企业价格评分优惠政策</w:t>
      </w:r>
    </w:p>
    <w:p w14:paraId="21EA1E4D">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2.1根据《财政部、工业和信息化部关于印发《政府采购促进中小企业发展管理办法》的通知》（财库〔2020〕46号）、财库〔2022〕19号《关于进一步加大政府采购支持中小企业力度的通知》的规定，的规定，在政府采购活动中，</w:t>
      </w:r>
      <w:r>
        <w:rPr>
          <w:rFonts w:hint="eastAsia" w:ascii="宋体" w:hAnsi="宋体"/>
          <w:color w:val="auto"/>
          <w:sz w:val="21"/>
          <w:szCs w:val="21"/>
          <w:highlight w:val="none"/>
          <w:lang w:eastAsia="zh-CN"/>
        </w:rPr>
        <w:t>投标人</w:t>
      </w:r>
      <w:r>
        <w:rPr>
          <w:rFonts w:hint="eastAsia" w:ascii="宋体" w:hAnsi="宋体"/>
          <w:color w:val="auto"/>
          <w:sz w:val="21"/>
          <w:szCs w:val="21"/>
          <w:highlight w:val="none"/>
        </w:rPr>
        <w:t>提供的货物、工程或者服务符合下列情形的，享受中小企业扶持政策：</w:t>
      </w:r>
    </w:p>
    <w:p w14:paraId="46D72D8E">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（1）在货物采购项目中，货物由中小企业制造，即货物由中小企业生产且使用该中小企业商号或者注册商标；</w:t>
      </w:r>
    </w:p>
    <w:p w14:paraId="1110C868">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（2）在工程采购项目中，工程由中小企业承建，即工程施工单位为中小企业；</w:t>
      </w:r>
    </w:p>
    <w:p w14:paraId="37C4CA33">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（3）在服务采购项目中，服务由中小企业承接，即提供服务的人员为中小企业依照《中华人民共和国劳动合同法》订立劳动合同的从业人员。</w:t>
      </w:r>
    </w:p>
    <w:p w14:paraId="3B09E533">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在货物采购项目中，</w:t>
      </w:r>
      <w:r>
        <w:rPr>
          <w:rFonts w:hint="eastAsia" w:ascii="宋体" w:hAnsi="宋体"/>
          <w:color w:val="auto"/>
          <w:sz w:val="21"/>
          <w:szCs w:val="21"/>
          <w:highlight w:val="none"/>
          <w:lang w:eastAsia="zh-CN"/>
        </w:rPr>
        <w:t>投标人</w:t>
      </w:r>
      <w:r>
        <w:rPr>
          <w:rFonts w:hint="eastAsia" w:ascii="宋体" w:hAnsi="宋体"/>
          <w:color w:val="auto"/>
          <w:sz w:val="21"/>
          <w:szCs w:val="21"/>
          <w:highlight w:val="none"/>
        </w:rPr>
        <w:t>提供的货物既有中小企业制造货物，也有大型企业制造货物的，不享受中小企业扶持政策。</w:t>
      </w:r>
    </w:p>
    <w:p w14:paraId="50306E5F">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以联合体形式参加政府采购活动，联合体各方均为中小企业的，联合体视同中小企业。其中，联合体各方均为小微企业的，联合体视同小微企业。</w:t>
      </w:r>
    </w:p>
    <w:p w14:paraId="68F81CD6">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2.2本办法所称中小企业，是指在中华人民共和国境内依法设立，依据国务院批准的中小企业划分标准（详见《关于印发中小企业划型标准规定的通知》（工信部联企业〔2011〕300号））确定的中型企业、小型企业和微型企业，但与大企业的负责人为同一人，或者与大企业存在直接控股、管理关系的除外。</w:t>
      </w:r>
    </w:p>
    <w:p w14:paraId="3EC8C41B">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2.3对于经主管预算单位统筹后未预留份额专门面向中小企业采购的采购项目，以及预留份额项目中的非预留部分采购包，对符合规定的小微企业报价给予10%（工程项目为3%）的扣除，用扣除后的价格参加评审。</w:t>
      </w:r>
    </w:p>
    <w:p w14:paraId="0B803677">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组成联合体或者接受分包的小微企业与联合体内其他企业、分包企业之间存在直接控股、管理关系的，不享受价格扣除优惠政策。</w:t>
      </w:r>
    </w:p>
    <w:p w14:paraId="0EEB2A20">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注：根据《关于进一步加大政府采购支持中小企业力度的通知》（财库〔2022〕19号）的要求，本项目对符合规定的小微企业报价给予10%（工程项目为3%）的扣除，用扣除后的价格参加评审。</w:t>
      </w:r>
    </w:p>
    <w:p w14:paraId="69F7ABF9">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2.4中小企业参加政府采购活动，应当出具《中小企业声明函》，否则不得享受相关中小企业扶持政策。</w:t>
      </w:r>
    </w:p>
    <w:p w14:paraId="53003A85">
      <w:pPr>
        <w:spacing w:line="360" w:lineRule="auto"/>
        <w:ind w:firstLine="420" w:firstLineChars="200"/>
        <w:rPr>
          <w:rFonts w:hint="eastAsia" w:ascii="宋体" w:hAnsi="宋体"/>
          <w:color w:val="auto"/>
          <w:highlight w:val="none"/>
        </w:rPr>
      </w:pPr>
      <w:r>
        <w:rPr>
          <w:rFonts w:hint="eastAsia" w:ascii="宋体" w:hAnsi="宋体"/>
          <w:color w:val="auto"/>
          <w:sz w:val="21"/>
          <w:szCs w:val="21"/>
          <w:highlight w:val="none"/>
        </w:rPr>
        <w:t>2.5按规定享受扶持政策获得政府采购合同的，小微企业不得将合同分包给大中型企业，中型企业不得将合同分包给大型企业。</w:t>
      </w:r>
    </w:p>
    <w:p w14:paraId="08C6371C">
      <w:pPr>
        <w:keepNext w:val="0"/>
        <w:keepLines w:val="0"/>
        <w:pageBreakBefore w:val="0"/>
        <w:widowControl w:val="0"/>
        <w:kinsoku/>
        <w:wordWrap/>
        <w:overflowPunct/>
        <w:topLinePunct w:val="0"/>
        <w:autoSpaceDE/>
        <w:autoSpaceDN/>
        <w:bidi w:val="0"/>
        <w:adjustRightInd/>
        <w:snapToGrid/>
        <w:spacing w:after="120" w:afterLines="50" w:line="360" w:lineRule="auto"/>
        <w:jc w:val="center"/>
        <w:textAlignment w:val="auto"/>
        <w:rPr>
          <w:rFonts w:ascii="宋体" w:hAnsi="宋体" w:cs="宋体"/>
          <w:b/>
          <w:color w:val="auto"/>
          <w:sz w:val="24"/>
          <w:szCs w:val="22"/>
          <w:highlight w:val="none"/>
        </w:rPr>
      </w:pPr>
      <w:r>
        <w:rPr>
          <w:rFonts w:hint="eastAsia" w:ascii="宋体" w:hAnsi="宋体" w:cs="宋体"/>
          <w:b/>
          <w:color w:val="auto"/>
          <w:sz w:val="24"/>
          <w:szCs w:val="22"/>
          <w:highlight w:val="none"/>
        </w:rPr>
        <w:t>统计上大中小微型企业划分标准</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1429"/>
        <w:gridCol w:w="709"/>
        <w:gridCol w:w="1134"/>
        <w:gridCol w:w="1701"/>
        <w:gridCol w:w="1418"/>
        <w:gridCol w:w="992"/>
      </w:tblGrid>
      <w:tr w14:paraId="3A40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774" w:type="dxa"/>
            <w:tcBorders>
              <w:top w:val="single" w:color="auto" w:sz="4" w:space="0"/>
              <w:left w:val="single" w:color="auto" w:sz="4" w:space="0"/>
              <w:bottom w:val="single" w:color="auto" w:sz="4" w:space="0"/>
              <w:right w:val="single" w:color="auto" w:sz="4" w:space="0"/>
            </w:tcBorders>
            <w:noWrap w:val="0"/>
            <w:vAlign w:val="center"/>
          </w:tcPr>
          <w:p w14:paraId="6B63E58E">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行业名称</w:t>
            </w:r>
          </w:p>
        </w:tc>
        <w:tc>
          <w:tcPr>
            <w:tcW w:w="1429" w:type="dxa"/>
            <w:tcBorders>
              <w:top w:val="single" w:color="auto" w:sz="4" w:space="0"/>
              <w:left w:val="single" w:color="auto" w:sz="4" w:space="0"/>
              <w:bottom w:val="single" w:color="auto" w:sz="4" w:space="0"/>
              <w:right w:val="single" w:color="auto" w:sz="4" w:space="0"/>
            </w:tcBorders>
            <w:noWrap w:val="0"/>
            <w:vAlign w:val="center"/>
          </w:tcPr>
          <w:p w14:paraId="059E5FF8">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指标名称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95FF61A">
            <w:pPr>
              <w:spacing w:line="24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计量</w:t>
            </w:r>
          </w:p>
          <w:p w14:paraId="216FAE39">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7D12A7">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大型</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DB4CBBE">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中型</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344771F">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小型</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EC17003">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微型</w:t>
            </w:r>
          </w:p>
        </w:tc>
      </w:tr>
      <w:tr w14:paraId="6CA8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1774" w:type="dxa"/>
            <w:tcBorders>
              <w:top w:val="single" w:color="auto" w:sz="4" w:space="0"/>
              <w:left w:val="single" w:color="auto" w:sz="4" w:space="0"/>
              <w:bottom w:val="single" w:color="auto" w:sz="4" w:space="0"/>
              <w:right w:val="single" w:color="auto" w:sz="4" w:space="0"/>
            </w:tcBorders>
            <w:noWrap w:val="0"/>
            <w:vAlign w:val="center"/>
          </w:tcPr>
          <w:p w14:paraId="3BC48528">
            <w:pPr>
              <w:spacing w:line="240" w:lineRule="exact"/>
              <w:rPr>
                <w:rFonts w:ascii="宋体" w:hAnsi="宋体" w:cs="宋体"/>
                <w:color w:val="auto"/>
                <w:kern w:val="0"/>
                <w:szCs w:val="21"/>
                <w:highlight w:val="none"/>
              </w:rPr>
            </w:pPr>
            <w:r>
              <w:rPr>
                <w:rFonts w:hint="eastAsia" w:ascii="宋体" w:hAnsi="宋体" w:cs="宋体"/>
                <w:color w:val="auto"/>
                <w:kern w:val="0"/>
                <w:szCs w:val="21"/>
                <w:highlight w:val="none"/>
              </w:rPr>
              <w:t>农、林、牧、渔业</w:t>
            </w:r>
          </w:p>
        </w:tc>
        <w:tc>
          <w:tcPr>
            <w:tcW w:w="1429" w:type="dxa"/>
            <w:tcBorders>
              <w:top w:val="single" w:color="auto" w:sz="4" w:space="0"/>
              <w:left w:val="single" w:color="auto" w:sz="4" w:space="0"/>
              <w:bottom w:val="single" w:color="auto" w:sz="4" w:space="0"/>
              <w:right w:val="single" w:color="auto" w:sz="4" w:space="0"/>
            </w:tcBorders>
            <w:noWrap w:val="0"/>
            <w:vAlign w:val="center"/>
          </w:tcPr>
          <w:p w14:paraId="77BC5B7F">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8F25ACD">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E3729E">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Y≥20000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35215E3">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500≤Y＜20000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E3C8D0A">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50≤Y＜500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8F30023">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3BDD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774" w:type="dxa"/>
            <w:vMerge w:val="restart"/>
            <w:tcBorders>
              <w:top w:val="single" w:color="auto" w:sz="4" w:space="0"/>
              <w:left w:val="single" w:color="auto" w:sz="4" w:space="0"/>
              <w:bottom w:val="single" w:color="auto" w:sz="4" w:space="0"/>
              <w:right w:val="single" w:color="auto" w:sz="4" w:space="0"/>
            </w:tcBorders>
            <w:noWrap w:val="0"/>
            <w:vAlign w:val="center"/>
          </w:tcPr>
          <w:p w14:paraId="1EF65A56">
            <w:pPr>
              <w:spacing w:line="240" w:lineRule="exact"/>
              <w:rPr>
                <w:rFonts w:ascii="宋体" w:hAnsi="宋体" w:cs="宋体"/>
                <w:color w:val="auto"/>
                <w:kern w:val="0"/>
                <w:szCs w:val="21"/>
                <w:highlight w:val="none"/>
              </w:rPr>
            </w:pPr>
            <w:r>
              <w:rPr>
                <w:rFonts w:hint="eastAsia" w:ascii="宋体" w:hAnsi="宋体" w:cs="宋体"/>
                <w:color w:val="auto"/>
                <w:kern w:val="0"/>
                <w:szCs w:val="21"/>
                <w:highlight w:val="none"/>
              </w:rPr>
              <w:t>工业 *</w:t>
            </w:r>
          </w:p>
        </w:tc>
        <w:tc>
          <w:tcPr>
            <w:tcW w:w="1429" w:type="dxa"/>
            <w:tcBorders>
              <w:top w:val="single" w:color="auto" w:sz="4" w:space="0"/>
              <w:left w:val="single" w:color="auto" w:sz="4" w:space="0"/>
              <w:bottom w:val="single" w:color="auto" w:sz="4" w:space="0"/>
              <w:right w:val="single" w:color="auto" w:sz="4" w:space="0"/>
            </w:tcBorders>
            <w:noWrap w:val="0"/>
            <w:vAlign w:val="center"/>
          </w:tcPr>
          <w:p w14:paraId="5982BC10">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D44014A">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119563F">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4FDCEC9">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3AD25F2">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93670A6">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53AD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774" w:type="dxa"/>
            <w:vMerge w:val="continue"/>
            <w:tcBorders>
              <w:top w:val="single" w:color="auto" w:sz="4" w:space="0"/>
              <w:left w:val="single" w:color="auto" w:sz="4" w:space="0"/>
              <w:bottom w:val="single" w:color="auto" w:sz="4" w:space="0"/>
              <w:right w:val="single" w:color="auto" w:sz="4" w:space="0"/>
            </w:tcBorders>
            <w:noWrap w:val="0"/>
            <w:vAlign w:val="center"/>
          </w:tcPr>
          <w:p w14:paraId="0911CC43">
            <w:pPr>
              <w:rPr>
                <w:rFonts w:ascii="宋体" w:hAnsi="宋体" w:cs="宋体"/>
                <w:color w:val="auto"/>
                <w:kern w:val="0"/>
                <w:szCs w:val="21"/>
                <w:highlight w:val="none"/>
              </w:rPr>
            </w:pPr>
          </w:p>
        </w:tc>
        <w:tc>
          <w:tcPr>
            <w:tcW w:w="1429" w:type="dxa"/>
            <w:tcBorders>
              <w:top w:val="single" w:color="auto" w:sz="4" w:space="0"/>
              <w:left w:val="single" w:color="auto" w:sz="4" w:space="0"/>
              <w:bottom w:val="single" w:color="auto" w:sz="4" w:space="0"/>
              <w:right w:val="single" w:color="auto" w:sz="4" w:space="0"/>
            </w:tcBorders>
            <w:noWrap w:val="0"/>
            <w:vAlign w:val="center"/>
          </w:tcPr>
          <w:p w14:paraId="795898D7">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27FB946">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8D5F998">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Y≥40000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214F1E5">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9DB0E49">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300≤Y＜2000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C2D3C9C">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5A1D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774" w:type="dxa"/>
            <w:vMerge w:val="restart"/>
            <w:tcBorders>
              <w:top w:val="single" w:color="auto" w:sz="4" w:space="0"/>
              <w:left w:val="single" w:color="auto" w:sz="4" w:space="0"/>
              <w:bottom w:val="single" w:color="auto" w:sz="4" w:space="0"/>
              <w:right w:val="single" w:color="auto" w:sz="4" w:space="0"/>
            </w:tcBorders>
            <w:noWrap w:val="0"/>
            <w:vAlign w:val="center"/>
          </w:tcPr>
          <w:p w14:paraId="15014BE6">
            <w:pPr>
              <w:spacing w:line="240" w:lineRule="exact"/>
              <w:rPr>
                <w:rFonts w:ascii="宋体" w:hAnsi="宋体" w:cs="宋体"/>
                <w:color w:val="auto"/>
                <w:kern w:val="0"/>
                <w:szCs w:val="21"/>
                <w:highlight w:val="none"/>
              </w:rPr>
            </w:pPr>
            <w:r>
              <w:rPr>
                <w:rFonts w:hint="eastAsia" w:ascii="宋体" w:hAnsi="宋体" w:cs="宋体"/>
                <w:color w:val="auto"/>
                <w:kern w:val="0"/>
                <w:szCs w:val="21"/>
                <w:highlight w:val="none"/>
              </w:rPr>
              <w:t>建筑业</w:t>
            </w:r>
          </w:p>
        </w:tc>
        <w:tc>
          <w:tcPr>
            <w:tcW w:w="1429" w:type="dxa"/>
            <w:tcBorders>
              <w:top w:val="single" w:color="auto" w:sz="4" w:space="0"/>
              <w:left w:val="single" w:color="auto" w:sz="4" w:space="0"/>
              <w:bottom w:val="single" w:color="auto" w:sz="4" w:space="0"/>
              <w:right w:val="single" w:color="auto" w:sz="4" w:space="0"/>
            </w:tcBorders>
            <w:noWrap w:val="0"/>
            <w:vAlign w:val="center"/>
          </w:tcPr>
          <w:p w14:paraId="25B092F2">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5E90451">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7CD834">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Y≥80000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E17E6AD">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4708FFE">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300≤Y＜6000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7FFC017">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7654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774" w:type="dxa"/>
            <w:vMerge w:val="continue"/>
            <w:tcBorders>
              <w:top w:val="single" w:color="auto" w:sz="4" w:space="0"/>
              <w:left w:val="single" w:color="auto" w:sz="4" w:space="0"/>
              <w:bottom w:val="single" w:color="auto" w:sz="4" w:space="0"/>
              <w:right w:val="single" w:color="auto" w:sz="4" w:space="0"/>
            </w:tcBorders>
            <w:noWrap w:val="0"/>
            <w:vAlign w:val="center"/>
          </w:tcPr>
          <w:p w14:paraId="27E3E247">
            <w:pPr>
              <w:rPr>
                <w:rFonts w:ascii="宋体" w:hAnsi="宋体" w:cs="宋体"/>
                <w:color w:val="auto"/>
                <w:kern w:val="0"/>
                <w:szCs w:val="21"/>
                <w:highlight w:val="none"/>
              </w:rPr>
            </w:pPr>
          </w:p>
        </w:tc>
        <w:tc>
          <w:tcPr>
            <w:tcW w:w="1429" w:type="dxa"/>
            <w:tcBorders>
              <w:top w:val="single" w:color="auto" w:sz="4" w:space="0"/>
              <w:left w:val="single" w:color="auto" w:sz="4" w:space="0"/>
              <w:bottom w:val="single" w:color="auto" w:sz="4" w:space="0"/>
              <w:right w:val="single" w:color="auto" w:sz="4" w:space="0"/>
            </w:tcBorders>
            <w:noWrap w:val="0"/>
            <w:vAlign w:val="center"/>
          </w:tcPr>
          <w:p w14:paraId="73018DBB">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4CFA9BB">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612EBCE">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Z≥80000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E7A2A7B">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3C3D1BF">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300≤Z＜5000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14EBE9A">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Z＜300</w:t>
            </w:r>
          </w:p>
        </w:tc>
      </w:tr>
      <w:tr w14:paraId="6636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1774" w:type="dxa"/>
            <w:vMerge w:val="restart"/>
            <w:tcBorders>
              <w:top w:val="single" w:color="auto" w:sz="4" w:space="0"/>
              <w:left w:val="single" w:color="auto" w:sz="4" w:space="0"/>
              <w:bottom w:val="single" w:color="auto" w:sz="4" w:space="0"/>
              <w:right w:val="single" w:color="auto" w:sz="4" w:space="0"/>
            </w:tcBorders>
            <w:noWrap w:val="0"/>
            <w:vAlign w:val="center"/>
          </w:tcPr>
          <w:p w14:paraId="3B706000">
            <w:pPr>
              <w:spacing w:line="240" w:lineRule="exact"/>
              <w:rPr>
                <w:rFonts w:ascii="宋体" w:hAnsi="宋体" w:cs="宋体"/>
                <w:color w:val="auto"/>
                <w:kern w:val="0"/>
                <w:szCs w:val="21"/>
                <w:highlight w:val="none"/>
              </w:rPr>
            </w:pPr>
            <w:r>
              <w:rPr>
                <w:rFonts w:hint="eastAsia" w:ascii="宋体" w:hAnsi="宋体" w:cs="宋体"/>
                <w:color w:val="auto"/>
                <w:kern w:val="0"/>
                <w:szCs w:val="21"/>
                <w:highlight w:val="none"/>
              </w:rPr>
              <w:t>批发业</w:t>
            </w:r>
          </w:p>
        </w:tc>
        <w:tc>
          <w:tcPr>
            <w:tcW w:w="1429" w:type="dxa"/>
            <w:tcBorders>
              <w:top w:val="single" w:color="auto" w:sz="4" w:space="0"/>
              <w:left w:val="single" w:color="auto" w:sz="4" w:space="0"/>
              <w:bottom w:val="single" w:color="auto" w:sz="4" w:space="0"/>
              <w:right w:val="single" w:color="auto" w:sz="4" w:space="0"/>
            </w:tcBorders>
            <w:noWrap w:val="0"/>
            <w:vAlign w:val="center"/>
          </w:tcPr>
          <w:p w14:paraId="27196A88">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BBBBCF8">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676DF1B">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X≥200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6B86D90">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20≤X＜200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43A9F82">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5≤X＜20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5C50F6F">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X＜5</w:t>
            </w:r>
          </w:p>
        </w:tc>
      </w:tr>
      <w:tr w14:paraId="5397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1774" w:type="dxa"/>
            <w:vMerge w:val="continue"/>
            <w:tcBorders>
              <w:top w:val="single" w:color="auto" w:sz="4" w:space="0"/>
              <w:left w:val="single" w:color="auto" w:sz="4" w:space="0"/>
              <w:bottom w:val="single" w:color="auto" w:sz="4" w:space="0"/>
              <w:right w:val="single" w:color="auto" w:sz="4" w:space="0"/>
            </w:tcBorders>
            <w:noWrap w:val="0"/>
            <w:vAlign w:val="center"/>
          </w:tcPr>
          <w:p w14:paraId="1BBC4D37">
            <w:pPr>
              <w:rPr>
                <w:rFonts w:ascii="宋体" w:hAnsi="宋体" w:cs="宋体"/>
                <w:color w:val="auto"/>
                <w:kern w:val="0"/>
                <w:szCs w:val="21"/>
                <w:highlight w:val="none"/>
              </w:rPr>
            </w:pPr>
          </w:p>
        </w:tc>
        <w:tc>
          <w:tcPr>
            <w:tcW w:w="1429" w:type="dxa"/>
            <w:tcBorders>
              <w:top w:val="single" w:color="auto" w:sz="4" w:space="0"/>
              <w:left w:val="single" w:color="auto" w:sz="4" w:space="0"/>
              <w:bottom w:val="single" w:color="auto" w:sz="4" w:space="0"/>
              <w:right w:val="single" w:color="auto" w:sz="4" w:space="0"/>
            </w:tcBorders>
            <w:noWrap w:val="0"/>
            <w:vAlign w:val="center"/>
          </w:tcPr>
          <w:p w14:paraId="5C7DDA19">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6CE5436">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940D553">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Y≥40000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191FDB3">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F6F9E07">
            <w:pPr>
              <w:spacing w:line="240" w:lineRule="exact"/>
              <w:ind w:left="-1" w:leftChars="-1" w:hanging="1"/>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4720F72">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Y＜1000</w:t>
            </w:r>
          </w:p>
        </w:tc>
      </w:tr>
      <w:tr w14:paraId="6D6D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774" w:type="dxa"/>
            <w:vMerge w:val="restart"/>
            <w:tcBorders>
              <w:top w:val="single" w:color="auto" w:sz="4" w:space="0"/>
              <w:left w:val="single" w:color="auto" w:sz="4" w:space="0"/>
              <w:bottom w:val="single" w:color="auto" w:sz="4" w:space="0"/>
              <w:right w:val="single" w:color="auto" w:sz="4" w:space="0"/>
            </w:tcBorders>
            <w:noWrap w:val="0"/>
            <w:vAlign w:val="center"/>
          </w:tcPr>
          <w:p w14:paraId="0D53EDE6">
            <w:pPr>
              <w:spacing w:line="240" w:lineRule="exact"/>
              <w:rPr>
                <w:rFonts w:ascii="宋体" w:hAnsi="宋体" w:cs="宋体"/>
                <w:color w:val="auto"/>
                <w:kern w:val="0"/>
                <w:szCs w:val="21"/>
                <w:highlight w:val="none"/>
              </w:rPr>
            </w:pPr>
            <w:r>
              <w:rPr>
                <w:rFonts w:hint="eastAsia" w:ascii="宋体" w:hAnsi="宋体" w:cs="宋体"/>
                <w:color w:val="auto"/>
                <w:kern w:val="0"/>
                <w:szCs w:val="21"/>
                <w:highlight w:val="none"/>
              </w:rPr>
              <w:t>零售业</w:t>
            </w:r>
          </w:p>
        </w:tc>
        <w:tc>
          <w:tcPr>
            <w:tcW w:w="1429" w:type="dxa"/>
            <w:tcBorders>
              <w:top w:val="single" w:color="auto" w:sz="4" w:space="0"/>
              <w:left w:val="single" w:color="auto" w:sz="4" w:space="0"/>
              <w:bottom w:val="single" w:color="auto" w:sz="4" w:space="0"/>
              <w:right w:val="single" w:color="auto" w:sz="4" w:space="0"/>
            </w:tcBorders>
            <w:noWrap w:val="0"/>
            <w:vAlign w:val="center"/>
          </w:tcPr>
          <w:p w14:paraId="662521B8">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6AF10F4">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287D69C">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36BC343">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50≤X＜300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17323EB">
            <w:pPr>
              <w:spacing w:line="240" w:lineRule="exact"/>
              <w:ind w:left="-1" w:leftChars="-1" w:hanging="1"/>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10≤X＜50 </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651937D">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1694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774" w:type="dxa"/>
            <w:vMerge w:val="continue"/>
            <w:tcBorders>
              <w:top w:val="single" w:color="auto" w:sz="4" w:space="0"/>
              <w:left w:val="single" w:color="auto" w:sz="4" w:space="0"/>
              <w:bottom w:val="single" w:color="auto" w:sz="4" w:space="0"/>
              <w:right w:val="single" w:color="auto" w:sz="4" w:space="0"/>
            </w:tcBorders>
            <w:noWrap w:val="0"/>
            <w:vAlign w:val="center"/>
          </w:tcPr>
          <w:p w14:paraId="7CC3C119">
            <w:pPr>
              <w:rPr>
                <w:rFonts w:ascii="宋体" w:hAnsi="宋体" w:cs="宋体"/>
                <w:color w:val="auto"/>
                <w:kern w:val="0"/>
                <w:szCs w:val="21"/>
                <w:highlight w:val="none"/>
              </w:rPr>
            </w:pPr>
          </w:p>
        </w:tc>
        <w:tc>
          <w:tcPr>
            <w:tcW w:w="1429" w:type="dxa"/>
            <w:tcBorders>
              <w:top w:val="single" w:color="auto" w:sz="4" w:space="0"/>
              <w:left w:val="single" w:color="auto" w:sz="4" w:space="0"/>
              <w:bottom w:val="single" w:color="auto" w:sz="4" w:space="0"/>
              <w:right w:val="single" w:color="auto" w:sz="4" w:space="0"/>
            </w:tcBorders>
            <w:noWrap w:val="0"/>
            <w:vAlign w:val="center"/>
          </w:tcPr>
          <w:p w14:paraId="3C8542C1">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746A089">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10071A">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Y≥20000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78ACD7">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500≤Y＜20000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2E8B9F4">
            <w:pPr>
              <w:spacing w:line="240" w:lineRule="exact"/>
              <w:ind w:left="-1" w:leftChars="-1" w:hanging="1"/>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100≤Y＜500 </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47E6BFA">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6092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1774" w:type="dxa"/>
            <w:vMerge w:val="restart"/>
            <w:tcBorders>
              <w:top w:val="single" w:color="auto" w:sz="4" w:space="0"/>
              <w:left w:val="single" w:color="auto" w:sz="4" w:space="0"/>
              <w:bottom w:val="single" w:color="auto" w:sz="4" w:space="0"/>
              <w:right w:val="single" w:color="auto" w:sz="4" w:space="0"/>
            </w:tcBorders>
            <w:noWrap w:val="0"/>
            <w:vAlign w:val="center"/>
          </w:tcPr>
          <w:p w14:paraId="6B67A652">
            <w:pPr>
              <w:spacing w:line="240" w:lineRule="exact"/>
              <w:rPr>
                <w:rFonts w:ascii="宋体" w:hAnsi="宋体" w:cs="宋体"/>
                <w:color w:val="auto"/>
                <w:kern w:val="0"/>
                <w:szCs w:val="21"/>
                <w:highlight w:val="none"/>
              </w:rPr>
            </w:pPr>
            <w:r>
              <w:rPr>
                <w:rFonts w:hint="eastAsia" w:ascii="宋体" w:hAnsi="宋体" w:cs="宋体"/>
                <w:color w:val="auto"/>
                <w:kern w:val="0"/>
                <w:szCs w:val="21"/>
                <w:highlight w:val="none"/>
              </w:rPr>
              <w:t>交通运输业 *</w:t>
            </w:r>
          </w:p>
        </w:tc>
        <w:tc>
          <w:tcPr>
            <w:tcW w:w="1429" w:type="dxa"/>
            <w:tcBorders>
              <w:top w:val="single" w:color="auto" w:sz="4" w:space="0"/>
              <w:left w:val="single" w:color="auto" w:sz="4" w:space="0"/>
              <w:bottom w:val="single" w:color="auto" w:sz="4" w:space="0"/>
              <w:right w:val="single" w:color="auto" w:sz="4" w:space="0"/>
            </w:tcBorders>
            <w:noWrap w:val="0"/>
            <w:vAlign w:val="center"/>
          </w:tcPr>
          <w:p w14:paraId="2B201ED7">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762A2DD">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F558A13">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95D1B90">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17FA6B7">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F48B3FD">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04B7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774" w:type="dxa"/>
            <w:vMerge w:val="continue"/>
            <w:tcBorders>
              <w:top w:val="single" w:color="auto" w:sz="4" w:space="0"/>
              <w:left w:val="single" w:color="auto" w:sz="4" w:space="0"/>
              <w:bottom w:val="single" w:color="auto" w:sz="4" w:space="0"/>
              <w:right w:val="single" w:color="auto" w:sz="4" w:space="0"/>
            </w:tcBorders>
            <w:noWrap w:val="0"/>
            <w:vAlign w:val="center"/>
          </w:tcPr>
          <w:p w14:paraId="708C7AC1">
            <w:pPr>
              <w:rPr>
                <w:rFonts w:ascii="宋体" w:hAnsi="宋体" w:cs="宋体"/>
                <w:color w:val="auto"/>
                <w:kern w:val="0"/>
                <w:szCs w:val="21"/>
                <w:highlight w:val="none"/>
              </w:rPr>
            </w:pPr>
          </w:p>
        </w:tc>
        <w:tc>
          <w:tcPr>
            <w:tcW w:w="1429" w:type="dxa"/>
            <w:tcBorders>
              <w:top w:val="single" w:color="auto" w:sz="4" w:space="0"/>
              <w:left w:val="single" w:color="auto" w:sz="4" w:space="0"/>
              <w:bottom w:val="single" w:color="auto" w:sz="4" w:space="0"/>
              <w:right w:val="single" w:color="auto" w:sz="4" w:space="0"/>
            </w:tcBorders>
            <w:noWrap w:val="0"/>
            <w:vAlign w:val="center"/>
          </w:tcPr>
          <w:p w14:paraId="35FD505B">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6B15A7B">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5735AB4">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8A5961">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5588DD3">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200≤Y＜3000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4484F7D">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Y＜200</w:t>
            </w:r>
          </w:p>
        </w:tc>
      </w:tr>
      <w:tr w14:paraId="4727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1774" w:type="dxa"/>
            <w:vMerge w:val="restart"/>
            <w:tcBorders>
              <w:top w:val="single" w:color="auto" w:sz="4" w:space="0"/>
              <w:left w:val="single" w:color="auto" w:sz="4" w:space="0"/>
              <w:bottom w:val="single" w:color="auto" w:sz="4" w:space="0"/>
              <w:right w:val="single" w:color="auto" w:sz="4" w:space="0"/>
            </w:tcBorders>
            <w:noWrap w:val="0"/>
            <w:vAlign w:val="center"/>
          </w:tcPr>
          <w:p w14:paraId="6A1BAC90">
            <w:pPr>
              <w:spacing w:line="240" w:lineRule="exact"/>
              <w:rPr>
                <w:rFonts w:ascii="宋体" w:hAnsi="宋体" w:cs="宋体"/>
                <w:color w:val="auto"/>
                <w:kern w:val="0"/>
                <w:szCs w:val="21"/>
                <w:highlight w:val="none"/>
              </w:rPr>
            </w:pPr>
            <w:r>
              <w:rPr>
                <w:rFonts w:hint="eastAsia" w:ascii="宋体" w:hAnsi="宋体" w:cs="宋体"/>
                <w:color w:val="auto"/>
                <w:kern w:val="0"/>
                <w:szCs w:val="21"/>
                <w:highlight w:val="none"/>
              </w:rPr>
              <w:t>仓储业</w:t>
            </w:r>
          </w:p>
        </w:tc>
        <w:tc>
          <w:tcPr>
            <w:tcW w:w="1429" w:type="dxa"/>
            <w:tcBorders>
              <w:top w:val="single" w:color="auto" w:sz="4" w:space="0"/>
              <w:left w:val="single" w:color="auto" w:sz="4" w:space="0"/>
              <w:bottom w:val="single" w:color="auto" w:sz="4" w:space="0"/>
              <w:right w:val="single" w:color="auto" w:sz="4" w:space="0"/>
            </w:tcBorders>
            <w:noWrap w:val="0"/>
            <w:vAlign w:val="center"/>
          </w:tcPr>
          <w:p w14:paraId="4D86C4C3">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F1CF920">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7F88CCE">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X≥200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B3D78E6">
            <w:pPr>
              <w:spacing w:line="240" w:lineRule="exact"/>
              <w:ind w:left="18" w:leftChars="-51" w:hanging="120" w:hangingChars="60"/>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BE5C2B7">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20≤X＜100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C533E5A">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6380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1774" w:type="dxa"/>
            <w:vMerge w:val="continue"/>
            <w:tcBorders>
              <w:top w:val="single" w:color="auto" w:sz="4" w:space="0"/>
              <w:left w:val="single" w:color="auto" w:sz="4" w:space="0"/>
              <w:bottom w:val="single" w:color="auto" w:sz="4" w:space="0"/>
              <w:right w:val="single" w:color="auto" w:sz="4" w:space="0"/>
            </w:tcBorders>
            <w:noWrap w:val="0"/>
            <w:vAlign w:val="center"/>
          </w:tcPr>
          <w:p w14:paraId="13757349">
            <w:pPr>
              <w:rPr>
                <w:rFonts w:ascii="宋体" w:hAnsi="宋体" w:cs="宋体"/>
                <w:color w:val="auto"/>
                <w:kern w:val="0"/>
                <w:szCs w:val="21"/>
                <w:highlight w:val="none"/>
              </w:rPr>
            </w:pPr>
          </w:p>
        </w:tc>
        <w:tc>
          <w:tcPr>
            <w:tcW w:w="1429" w:type="dxa"/>
            <w:tcBorders>
              <w:top w:val="single" w:color="auto" w:sz="4" w:space="0"/>
              <w:left w:val="single" w:color="auto" w:sz="4" w:space="0"/>
              <w:bottom w:val="single" w:color="auto" w:sz="4" w:space="0"/>
              <w:right w:val="single" w:color="auto" w:sz="4" w:space="0"/>
            </w:tcBorders>
            <w:noWrap w:val="0"/>
            <w:vAlign w:val="center"/>
          </w:tcPr>
          <w:p w14:paraId="49E8BA1B">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00B2663">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5C5B69">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1D470EB">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70B4147">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4C07A94">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3EA2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1774" w:type="dxa"/>
            <w:vMerge w:val="restart"/>
            <w:tcBorders>
              <w:top w:val="single" w:color="auto" w:sz="4" w:space="0"/>
              <w:left w:val="single" w:color="auto" w:sz="4" w:space="0"/>
              <w:bottom w:val="single" w:color="auto" w:sz="4" w:space="0"/>
              <w:right w:val="single" w:color="auto" w:sz="4" w:space="0"/>
            </w:tcBorders>
            <w:noWrap w:val="0"/>
            <w:vAlign w:val="center"/>
          </w:tcPr>
          <w:p w14:paraId="3F841596">
            <w:pPr>
              <w:spacing w:line="240" w:lineRule="exact"/>
              <w:rPr>
                <w:rFonts w:ascii="宋体" w:hAnsi="宋体" w:cs="宋体"/>
                <w:color w:val="auto"/>
                <w:kern w:val="0"/>
                <w:szCs w:val="21"/>
                <w:highlight w:val="none"/>
              </w:rPr>
            </w:pPr>
            <w:r>
              <w:rPr>
                <w:rFonts w:hint="eastAsia" w:ascii="宋体" w:hAnsi="宋体" w:cs="宋体"/>
                <w:color w:val="auto"/>
                <w:kern w:val="0"/>
                <w:szCs w:val="21"/>
                <w:highlight w:val="none"/>
              </w:rPr>
              <w:t>邮政业</w:t>
            </w:r>
          </w:p>
        </w:tc>
        <w:tc>
          <w:tcPr>
            <w:tcW w:w="1429" w:type="dxa"/>
            <w:tcBorders>
              <w:top w:val="single" w:color="auto" w:sz="4" w:space="0"/>
              <w:left w:val="single" w:color="auto" w:sz="4" w:space="0"/>
              <w:bottom w:val="single" w:color="auto" w:sz="4" w:space="0"/>
              <w:right w:val="single" w:color="auto" w:sz="4" w:space="0"/>
            </w:tcBorders>
            <w:noWrap w:val="0"/>
            <w:vAlign w:val="center"/>
          </w:tcPr>
          <w:p w14:paraId="7FA9120E">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8AF6924">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5AB2C7">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1EA3638">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D16C15D">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7ADA690">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73D2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74" w:type="dxa"/>
            <w:vMerge w:val="continue"/>
            <w:tcBorders>
              <w:top w:val="single" w:color="auto" w:sz="4" w:space="0"/>
              <w:left w:val="single" w:color="auto" w:sz="4" w:space="0"/>
              <w:bottom w:val="single" w:color="auto" w:sz="4" w:space="0"/>
              <w:right w:val="single" w:color="auto" w:sz="4" w:space="0"/>
            </w:tcBorders>
            <w:noWrap w:val="0"/>
            <w:vAlign w:val="center"/>
          </w:tcPr>
          <w:p w14:paraId="64FC4D5F">
            <w:pPr>
              <w:rPr>
                <w:rFonts w:ascii="宋体" w:hAnsi="宋体" w:cs="宋体"/>
                <w:color w:val="auto"/>
                <w:kern w:val="0"/>
                <w:szCs w:val="21"/>
                <w:highlight w:val="none"/>
              </w:rPr>
            </w:pPr>
          </w:p>
        </w:tc>
        <w:tc>
          <w:tcPr>
            <w:tcW w:w="1429" w:type="dxa"/>
            <w:tcBorders>
              <w:top w:val="single" w:color="auto" w:sz="4" w:space="0"/>
              <w:left w:val="single" w:color="auto" w:sz="4" w:space="0"/>
              <w:bottom w:val="single" w:color="auto" w:sz="4" w:space="0"/>
              <w:right w:val="single" w:color="auto" w:sz="4" w:space="0"/>
            </w:tcBorders>
            <w:noWrap w:val="0"/>
            <w:vAlign w:val="center"/>
          </w:tcPr>
          <w:p w14:paraId="6CA88516">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0AAA8B0">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433565E">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BFF53E4">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FD1E15">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DE940B9">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1C5E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774" w:type="dxa"/>
            <w:vMerge w:val="restart"/>
            <w:tcBorders>
              <w:top w:val="single" w:color="auto" w:sz="4" w:space="0"/>
              <w:left w:val="single" w:color="auto" w:sz="4" w:space="0"/>
              <w:bottom w:val="single" w:color="auto" w:sz="4" w:space="0"/>
              <w:right w:val="single" w:color="auto" w:sz="4" w:space="0"/>
            </w:tcBorders>
            <w:noWrap w:val="0"/>
            <w:vAlign w:val="center"/>
          </w:tcPr>
          <w:p w14:paraId="0C50522A">
            <w:pPr>
              <w:spacing w:line="240" w:lineRule="exact"/>
              <w:rPr>
                <w:rFonts w:ascii="宋体" w:hAnsi="宋体" w:cs="宋体"/>
                <w:color w:val="auto"/>
                <w:kern w:val="0"/>
                <w:szCs w:val="21"/>
                <w:highlight w:val="none"/>
              </w:rPr>
            </w:pPr>
            <w:r>
              <w:rPr>
                <w:rFonts w:hint="eastAsia" w:ascii="宋体" w:hAnsi="宋体" w:cs="宋体"/>
                <w:color w:val="auto"/>
                <w:kern w:val="0"/>
                <w:szCs w:val="21"/>
                <w:highlight w:val="none"/>
              </w:rPr>
              <w:t>住宿业</w:t>
            </w:r>
          </w:p>
        </w:tc>
        <w:tc>
          <w:tcPr>
            <w:tcW w:w="1429" w:type="dxa"/>
            <w:tcBorders>
              <w:top w:val="single" w:color="auto" w:sz="4" w:space="0"/>
              <w:left w:val="single" w:color="auto" w:sz="4" w:space="0"/>
              <w:bottom w:val="single" w:color="auto" w:sz="4" w:space="0"/>
              <w:right w:val="single" w:color="auto" w:sz="4" w:space="0"/>
            </w:tcBorders>
            <w:noWrap w:val="0"/>
            <w:vAlign w:val="center"/>
          </w:tcPr>
          <w:p w14:paraId="6764970C">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98D838A">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5B2072">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A68CEF1">
            <w:pPr>
              <w:spacing w:line="240" w:lineRule="exact"/>
              <w:ind w:left="18" w:leftChars="-51" w:hanging="120" w:hangingChars="60"/>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F2A7BE">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5CB624D">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3B19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1774" w:type="dxa"/>
            <w:vMerge w:val="continue"/>
            <w:tcBorders>
              <w:top w:val="single" w:color="auto" w:sz="4" w:space="0"/>
              <w:left w:val="single" w:color="auto" w:sz="4" w:space="0"/>
              <w:bottom w:val="single" w:color="auto" w:sz="4" w:space="0"/>
              <w:right w:val="single" w:color="auto" w:sz="4" w:space="0"/>
            </w:tcBorders>
            <w:noWrap w:val="0"/>
            <w:vAlign w:val="center"/>
          </w:tcPr>
          <w:p w14:paraId="4D16241A">
            <w:pPr>
              <w:rPr>
                <w:rFonts w:ascii="宋体" w:hAnsi="宋体" w:cs="宋体"/>
                <w:color w:val="auto"/>
                <w:kern w:val="0"/>
                <w:szCs w:val="21"/>
                <w:highlight w:val="none"/>
              </w:rPr>
            </w:pPr>
          </w:p>
        </w:tc>
        <w:tc>
          <w:tcPr>
            <w:tcW w:w="1429" w:type="dxa"/>
            <w:tcBorders>
              <w:top w:val="single" w:color="auto" w:sz="4" w:space="0"/>
              <w:left w:val="single" w:color="auto" w:sz="4" w:space="0"/>
              <w:bottom w:val="single" w:color="auto" w:sz="4" w:space="0"/>
              <w:right w:val="single" w:color="auto" w:sz="4" w:space="0"/>
            </w:tcBorders>
            <w:noWrap w:val="0"/>
            <w:vAlign w:val="center"/>
          </w:tcPr>
          <w:p w14:paraId="1ABDF63C">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0D0A46D">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B03F60A">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A8C5940">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642A664">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A950DB6">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0928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jc w:val="center"/>
        </w:trPr>
        <w:tc>
          <w:tcPr>
            <w:tcW w:w="1774" w:type="dxa"/>
            <w:vMerge w:val="restart"/>
            <w:tcBorders>
              <w:top w:val="single" w:color="auto" w:sz="4" w:space="0"/>
              <w:left w:val="single" w:color="auto" w:sz="4" w:space="0"/>
              <w:bottom w:val="single" w:color="auto" w:sz="4" w:space="0"/>
              <w:right w:val="single" w:color="auto" w:sz="4" w:space="0"/>
            </w:tcBorders>
            <w:noWrap w:val="0"/>
            <w:vAlign w:val="center"/>
          </w:tcPr>
          <w:p w14:paraId="40A391C7">
            <w:pPr>
              <w:spacing w:line="240" w:lineRule="exact"/>
              <w:rPr>
                <w:rFonts w:ascii="宋体" w:hAnsi="宋体" w:cs="宋体"/>
                <w:color w:val="auto"/>
                <w:kern w:val="0"/>
                <w:szCs w:val="21"/>
                <w:highlight w:val="none"/>
              </w:rPr>
            </w:pPr>
            <w:r>
              <w:rPr>
                <w:rFonts w:hint="eastAsia" w:ascii="宋体" w:hAnsi="宋体" w:cs="宋体"/>
                <w:color w:val="auto"/>
                <w:kern w:val="0"/>
                <w:szCs w:val="21"/>
                <w:highlight w:val="none"/>
              </w:rPr>
              <w:t>餐饮业</w:t>
            </w:r>
          </w:p>
        </w:tc>
        <w:tc>
          <w:tcPr>
            <w:tcW w:w="1429" w:type="dxa"/>
            <w:tcBorders>
              <w:top w:val="single" w:color="auto" w:sz="4" w:space="0"/>
              <w:left w:val="single" w:color="auto" w:sz="4" w:space="0"/>
              <w:bottom w:val="single" w:color="auto" w:sz="4" w:space="0"/>
              <w:right w:val="single" w:color="auto" w:sz="4" w:space="0"/>
            </w:tcBorders>
            <w:noWrap w:val="0"/>
            <w:vAlign w:val="center"/>
          </w:tcPr>
          <w:p w14:paraId="10FB37A2">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55478AE">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BCC64BB">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4DF576">
            <w:pPr>
              <w:spacing w:line="240" w:lineRule="exact"/>
              <w:ind w:left="18" w:leftChars="-51" w:hanging="120" w:hangingChars="60"/>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0F25E29">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08B13D3">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38A1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774" w:type="dxa"/>
            <w:vMerge w:val="continue"/>
            <w:tcBorders>
              <w:top w:val="single" w:color="auto" w:sz="4" w:space="0"/>
              <w:left w:val="single" w:color="auto" w:sz="4" w:space="0"/>
              <w:bottom w:val="single" w:color="auto" w:sz="4" w:space="0"/>
              <w:right w:val="single" w:color="auto" w:sz="4" w:space="0"/>
            </w:tcBorders>
            <w:noWrap w:val="0"/>
            <w:vAlign w:val="center"/>
          </w:tcPr>
          <w:p w14:paraId="0C884BCD">
            <w:pPr>
              <w:rPr>
                <w:rFonts w:ascii="宋体" w:hAnsi="宋体" w:cs="宋体"/>
                <w:color w:val="auto"/>
                <w:kern w:val="0"/>
                <w:szCs w:val="21"/>
                <w:highlight w:val="none"/>
              </w:rPr>
            </w:pPr>
          </w:p>
        </w:tc>
        <w:tc>
          <w:tcPr>
            <w:tcW w:w="1429" w:type="dxa"/>
            <w:tcBorders>
              <w:top w:val="single" w:color="auto" w:sz="4" w:space="0"/>
              <w:left w:val="single" w:color="auto" w:sz="4" w:space="0"/>
              <w:bottom w:val="single" w:color="auto" w:sz="4" w:space="0"/>
              <w:right w:val="single" w:color="auto" w:sz="4" w:space="0"/>
            </w:tcBorders>
            <w:noWrap w:val="0"/>
            <w:vAlign w:val="center"/>
          </w:tcPr>
          <w:p w14:paraId="2F40710B">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9164E05">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EF52F5C">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A62151">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2FBC9F2">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2ECAB8F">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2FA0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jc w:val="center"/>
        </w:trPr>
        <w:tc>
          <w:tcPr>
            <w:tcW w:w="1774" w:type="dxa"/>
            <w:vMerge w:val="restart"/>
            <w:tcBorders>
              <w:top w:val="single" w:color="auto" w:sz="4" w:space="0"/>
              <w:left w:val="single" w:color="auto" w:sz="4" w:space="0"/>
              <w:bottom w:val="single" w:color="auto" w:sz="4" w:space="0"/>
              <w:right w:val="single" w:color="auto" w:sz="4" w:space="0"/>
            </w:tcBorders>
            <w:noWrap w:val="0"/>
            <w:vAlign w:val="center"/>
          </w:tcPr>
          <w:p w14:paraId="09594BA2">
            <w:pPr>
              <w:spacing w:line="240" w:lineRule="exact"/>
              <w:rPr>
                <w:rFonts w:ascii="宋体" w:hAnsi="宋体" w:cs="宋体"/>
                <w:color w:val="auto"/>
                <w:kern w:val="0"/>
                <w:szCs w:val="21"/>
                <w:highlight w:val="none"/>
              </w:rPr>
            </w:pPr>
            <w:r>
              <w:rPr>
                <w:rFonts w:hint="eastAsia" w:ascii="宋体" w:hAnsi="宋体" w:cs="宋体"/>
                <w:color w:val="auto"/>
                <w:kern w:val="0"/>
                <w:szCs w:val="21"/>
                <w:highlight w:val="none"/>
              </w:rPr>
              <w:t>信息传输业 *</w:t>
            </w:r>
          </w:p>
        </w:tc>
        <w:tc>
          <w:tcPr>
            <w:tcW w:w="1429" w:type="dxa"/>
            <w:tcBorders>
              <w:top w:val="single" w:color="auto" w:sz="4" w:space="0"/>
              <w:left w:val="single" w:color="auto" w:sz="4" w:space="0"/>
              <w:bottom w:val="single" w:color="auto" w:sz="4" w:space="0"/>
              <w:right w:val="single" w:color="auto" w:sz="4" w:space="0"/>
            </w:tcBorders>
            <w:noWrap w:val="0"/>
            <w:vAlign w:val="center"/>
          </w:tcPr>
          <w:p w14:paraId="72CE7C31">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76A8E03">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4F94C2">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X≥2000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931497A">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CA83982">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3CF81F8">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4958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774" w:type="dxa"/>
            <w:vMerge w:val="continue"/>
            <w:tcBorders>
              <w:top w:val="single" w:color="auto" w:sz="4" w:space="0"/>
              <w:left w:val="single" w:color="auto" w:sz="4" w:space="0"/>
              <w:bottom w:val="single" w:color="auto" w:sz="4" w:space="0"/>
              <w:right w:val="single" w:color="auto" w:sz="4" w:space="0"/>
            </w:tcBorders>
            <w:noWrap w:val="0"/>
            <w:vAlign w:val="center"/>
          </w:tcPr>
          <w:p w14:paraId="11BFC96A">
            <w:pPr>
              <w:rPr>
                <w:rFonts w:ascii="宋体" w:hAnsi="宋体" w:cs="宋体"/>
                <w:color w:val="auto"/>
                <w:kern w:val="0"/>
                <w:szCs w:val="21"/>
                <w:highlight w:val="none"/>
              </w:rPr>
            </w:pPr>
          </w:p>
        </w:tc>
        <w:tc>
          <w:tcPr>
            <w:tcW w:w="1429" w:type="dxa"/>
            <w:tcBorders>
              <w:top w:val="single" w:color="auto" w:sz="4" w:space="0"/>
              <w:left w:val="single" w:color="auto" w:sz="4" w:space="0"/>
              <w:bottom w:val="single" w:color="auto" w:sz="4" w:space="0"/>
              <w:right w:val="single" w:color="auto" w:sz="4" w:space="0"/>
            </w:tcBorders>
            <w:noWrap w:val="0"/>
            <w:vAlign w:val="center"/>
          </w:tcPr>
          <w:p w14:paraId="03404E4E">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C8BAC8A">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E9E08C5">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Y≥100000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820F82B">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1000≤Y＜100000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CA54D3">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3A9AFB6">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2146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774" w:type="dxa"/>
            <w:vMerge w:val="restart"/>
            <w:tcBorders>
              <w:top w:val="single" w:color="auto" w:sz="4" w:space="0"/>
              <w:left w:val="single" w:color="auto" w:sz="4" w:space="0"/>
              <w:bottom w:val="single" w:color="auto" w:sz="4" w:space="0"/>
              <w:right w:val="single" w:color="auto" w:sz="4" w:space="0"/>
            </w:tcBorders>
            <w:noWrap w:val="0"/>
            <w:vAlign w:val="center"/>
          </w:tcPr>
          <w:p w14:paraId="7DB9B3C2">
            <w:pPr>
              <w:spacing w:line="240" w:lineRule="exact"/>
              <w:rPr>
                <w:rFonts w:ascii="宋体" w:hAnsi="宋体" w:cs="宋体"/>
                <w:color w:val="auto"/>
                <w:spacing w:val="-12"/>
                <w:kern w:val="0"/>
                <w:szCs w:val="21"/>
                <w:highlight w:val="none"/>
              </w:rPr>
            </w:pPr>
            <w:r>
              <w:rPr>
                <w:rFonts w:hint="eastAsia" w:ascii="宋体" w:hAnsi="宋体" w:cs="宋体"/>
                <w:color w:val="auto"/>
                <w:spacing w:val="-12"/>
                <w:kern w:val="0"/>
                <w:szCs w:val="21"/>
                <w:highlight w:val="none"/>
              </w:rPr>
              <w:t>软件和信息技术服</w:t>
            </w:r>
            <w:r>
              <w:rPr>
                <w:rFonts w:hint="eastAsia" w:ascii="宋体" w:hAnsi="宋体" w:cs="宋体"/>
                <w:color w:val="auto"/>
                <w:kern w:val="0"/>
                <w:szCs w:val="21"/>
                <w:highlight w:val="none"/>
              </w:rPr>
              <w:t>务业</w:t>
            </w:r>
          </w:p>
        </w:tc>
        <w:tc>
          <w:tcPr>
            <w:tcW w:w="1429" w:type="dxa"/>
            <w:tcBorders>
              <w:top w:val="single" w:color="auto" w:sz="4" w:space="0"/>
              <w:left w:val="single" w:color="auto" w:sz="4" w:space="0"/>
              <w:bottom w:val="single" w:color="auto" w:sz="4" w:space="0"/>
              <w:right w:val="single" w:color="auto" w:sz="4" w:space="0"/>
            </w:tcBorders>
            <w:noWrap w:val="0"/>
            <w:vAlign w:val="center"/>
          </w:tcPr>
          <w:p w14:paraId="41DDD9E7">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0AC9149">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6F3E634">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6D3872">
            <w:pPr>
              <w:spacing w:line="240" w:lineRule="exact"/>
              <w:ind w:left="18" w:leftChars="-51" w:hanging="120" w:hangingChars="60"/>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0BCF9CF">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FC99F72">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56E0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74" w:type="dxa"/>
            <w:vMerge w:val="continue"/>
            <w:tcBorders>
              <w:top w:val="single" w:color="auto" w:sz="4" w:space="0"/>
              <w:left w:val="single" w:color="auto" w:sz="4" w:space="0"/>
              <w:bottom w:val="single" w:color="auto" w:sz="4" w:space="0"/>
              <w:right w:val="single" w:color="auto" w:sz="4" w:space="0"/>
            </w:tcBorders>
            <w:noWrap w:val="0"/>
            <w:vAlign w:val="center"/>
          </w:tcPr>
          <w:p w14:paraId="31FB6959">
            <w:pPr>
              <w:rPr>
                <w:rFonts w:ascii="宋体" w:hAnsi="宋体" w:cs="宋体"/>
                <w:color w:val="auto"/>
                <w:spacing w:val="-12"/>
                <w:kern w:val="0"/>
                <w:szCs w:val="21"/>
                <w:highlight w:val="none"/>
              </w:rPr>
            </w:pPr>
          </w:p>
        </w:tc>
        <w:tc>
          <w:tcPr>
            <w:tcW w:w="1429" w:type="dxa"/>
            <w:tcBorders>
              <w:top w:val="single" w:color="auto" w:sz="4" w:space="0"/>
              <w:left w:val="single" w:color="auto" w:sz="4" w:space="0"/>
              <w:bottom w:val="single" w:color="auto" w:sz="4" w:space="0"/>
              <w:right w:val="single" w:color="auto" w:sz="4" w:space="0"/>
            </w:tcBorders>
            <w:noWrap w:val="0"/>
            <w:vAlign w:val="center"/>
          </w:tcPr>
          <w:p w14:paraId="75D8BE4F">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675D58E">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70366E">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ACF264F">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0FCD97D">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50≤Y＜1000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D07391E">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61E0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774" w:type="dxa"/>
            <w:vMerge w:val="restart"/>
            <w:tcBorders>
              <w:top w:val="single" w:color="auto" w:sz="4" w:space="0"/>
              <w:left w:val="single" w:color="auto" w:sz="4" w:space="0"/>
              <w:bottom w:val="single" w:color="auto" w:sz="4" w:space="0"/>
              <w:right w:val="single" w:color="auto" w:sz="4" w:space="0"/>
            </w:tcBorders>
            <w:noWrap w:val="0"/>
            <w:vAlign w:val="center"/>
          </w:tcPr>
          <w:p w14:paraId="660ECFF3">
            <w:pPr>
              <w:spacing w:line="240" w:lineRule="exact"/>
              <w:rPr>
                <w:rFonts w:ascii="宋体" w:hAnsi="宋体" w:cs="宋体"/>
                <w:color w:val="auto"/>
                <w:kern w:val="0"/>
                <w:szCs w:val="21"/>
                <w:highlight w:val="none"/>
              </w:rPr>
            </w:pPr>
            <w:r>
              <w:rPr>
                <w:rFonts w:hint="eastAsia" w:ascii="宋体" w:hAnsi="宋体" w:cs="宋体"/>
                <w:color w:val="auto"/>
                <w:kern w:val="0"/>
                <w:szCs w:val="21"/>
                <w:highlight w:val="none"/>
              </w:rPr>
              <w:t>房地产开发经营</w:t>
            </w:r>
          </w:p>
        </w:tc>
        <w:tc>
          <w:tcPr>
            <w:tcW w:w="1429" w:type="dxa"/>
            <w:tcBorders>
              <w:top w:val="single" w:color="auto" w:sz="4" w:space="0"/>
              <w:left w:val="single" w:color="auto" w:sz="4" w:space="0"/>
              <w:bottom w:val="single" w:color="auto" w:sz="4" w:space="0"/>
              <w:right w:val="single" w:color="auto" w:sz="4" w:space="0"/>
            </w:tcBorders>
            <w:noWrap w:val="0"/>
            <w:vAlign w:val="center"/>
          </w:tcPr>
          <w:p w14:paraId="1B5639CB">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A90AE88">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FE898CE">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Y≥200000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D2BB8DB">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1000≤Y＜200000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76EBD9D">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B63A827">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1F25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1774" w:type="dxa"/>
            <w:vMerge w:val="continue"/>
            <w:tcBorders>
              <w:top w:val="single" w:color="auto" w:sz="4" w:space="0"/>
              <w:left w:val="single" w:color="auto" w:sz="4" w:space="0"/>
              <w:bottom w:val="single" w:color="auto" w:sz="4" w:space="0"/>
              <w:right w:val="single" w:color="auto" w:sz="4" w:space="0"/>
            </w:tcBorders>
            <w:noWrap w:val="0"/>
            <w:vAlign w:val="center"/>
          </w:tcPr>
          <w:p w14:paraId="2204886B">
            <w:pPr>
              <w:rPr>
                <w:rFonts w:ascii="宋体" w:hAnsi="宋体" w:cs="宋体"/>
                <w:color w:val="auto"/>
                <w:kern w:val="0"/>
                <w:szCs w:val="21"/>
                <w:highlight w:val="none"/>
              </w:rPr>
            </w:pPr>
          </w:p>
        </w:tc>
        <w:tc>
          <w:tcPr>
            <w:tcW w:w="1429" w:type="dxa"/>
            <w:tcBorders>
              <w:top w:val="single" w:color="auto" w:sz="4" w:space="0"/>
              <w:left w:val="single" w:color="auto" w:sz="4" w:space="0"/>
              <w:bottom w:val="single" w:color="auto" w:sz="4" w:space="0"/>
              <w:right w:val="single" w:color="auto" w:sz="4" w:space="0"/>
            </w:tcBorders>
            <w:noWrap w:val="0"/>
            <w:vAlign w:val="center"/>
          </w:tcPr>
          <w:p w14:paraId="103CB91A">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97A7A0B">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ECFA732">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Z≥10000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F61CCCB">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789C661">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2000≤Z＜5000   </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F9B5D6A">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Z＜2000</w:t>
            </w:r>
          </w:p>
        </w:tc>
      </w:tr>
      <w:tr w14:paraId="407D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774" w:type="dxa"/>
            <w:vMerge w:val="restart"/>
            <w:tcBorders>
              <w:top w:val="single" w:color="auto" w:sz="4" w:space="0"/>
              <w:left w:val="single" w:color="auto" w:sz="4" w:space="0"/>
              <w:bottom w:val="single" w:color="auto" w:sz="4" w:space="0"/>
              <w:right w:val="single" w:color="auto" w:sz="4" w:space="0"/>
            </w:tcBorders>
            <w:noWrap w:val="0"/>
            <w:vAlign w:val="center"/>
          </w:tcPr>
          <w:p w14:paraId="18DA1E09">
            <w:pPr>
              <w:spacing w:line="240" w:lineRule="exact"/>
              <w:rPr>
                <w:rFonts w:ascii="宋体" w:hAnsi="宋体" w:cs="宋体"/>
                <w:color w:val="auto"/>
                <w:kern w:val="0"/>
                <w:szCs w:val="21"/>
                <w:highlight w:val="none"/>
              </w:rPr>
            </w:pPr>
            <w:r>
              <w:rPr>
                <w:rFonts w:hint="eastAsia" w:ascii="宋体" w:hAnsi="宋体" w:cs="宋体"/>
                <w:color w:val="auto"/>
                <w:kern w:val="0"/>
                <w:szCs w:val="21"/>
                <w:highlight w:val="none"/>
              </w:rPr>
              <w:t>物业管理</w:t>
            </w:r>
          </w:p>
        </w:tc>
        <w:tc>
          <w:tcPr>
            <w:tcW w:w="1429" w:type="dxa"/>
            <w:tcBorders>
              <w:top w:val="single" w:color="auto" w:sz="4" w:space="0"/>
              <w:left w:val="single" w:color="auto" w:sz="4" w:space="0"/>
              <w:bottom w:val="single" w:color="auto" w:sz="4" w:space="0"/>
              <w:right w:val="single" w:color="auto" w:sz="4" w:space="0"/>
            </w:tcBorders>
            <w:noWrap w:val="0"/>
            <w:vAlign w:val="center"/>
          </w:tcPr>
          <w:p w14:paraId="7A768635">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8979E9C">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40E19D7">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ED8FBD4">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411243">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78CD2D3">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1708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774" w:type="dxa"/>
            <w:vMerge w:val="continue"/>
            <w:tcBorders>
              <w:top w:val="single" w:color="auto" w:sz="4" w:space="0"/>
              <w:left w:val="single" w:color="auto" w:sz="4" w:space="0"/>
              <w:bottom w:val="single" w:color="auto" w:sz="4" w:space="0"/>
              <w:right w:val="single" w:color="auto" w:sz="4" w:space="0"/>
            </w:tcBorders>
            <w:noWrap w:val="0"/>
            <w:vAlign w:val="center"/>
          </w:tcPr>
          <w:p w14:paraId="037EA9DB">
            <w:pPr>
              <w:rPr>
                <w:rFonts w:ascii="宋体" w:hAnsi="宋体" w:cs="宋体"/>
                <w:color w:val="auto"/>
                <w:kern w:val="0"/>
                <w:szCs w:val="21"/>
                <w:highlight w:val="none"/>
              </w:rPr>
            </w:pPr>
          </w:p>
        </w:tc>
        <w:tc>
          <w:tcPr>
            <w:tcW w:w="1429" w:type="dxa"/>
            <w:tcBorders>
              <w:top w:val="single" w:color="auto" w:sz="4" w:space="0"/>
              <w:left w:val="single" w:color="auto" w:sz="4" w:space="0"/>
              <w:bottom w:val="single" w:color="auto" w:sz="4" w:space="0"/>
              <w:right w:val="single" w:color="auto" w:sz="4" w:space="0"/>
            </w:tcBorders>
            <w:noWrap w:val="0"/>
            <w:vAlign w:val="center"/>
          </w:tcPr>
          <w:p w14:paraId="6C130DCB">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74D5B3A">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626BF0B">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Y≥5000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09A6E72">
            <w:pPr>
              <w:spacing w:line="240" w:lineRule="exact"/>
              <w:ind w:left="18" w:leftChars="-51" w:hanging="120" w:hangingChars="60"/>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1000≤Y＜5000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237C4E0">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500≤Y＜1000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AB86862">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Y＜500</w:t>
            </w:r>
          </w:p>
        </w:tc>
      </w:tr>
      <w:tr w14:paraId="5C9B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74" w:type="dxa"/>
            <w:vMerge w:val="restart"/>
            <w:tcBorders>
              <w:top w:val="single" w:color="auto" w:sz="4" w:space="0"/>
              <w:left w:val="single" w:color="auto" w:sz="4" w:space="0"/>
              <w:bottom w:val="single" w:color="auto" w:sz="4" w:space="0"/>
              <w:right w:val="single" w:color="auto" w:sz="4" w:space="0"/>
            </w:tcBorders>
            <w:noWrap w:val="0"/>
            <w:vAlign w:val="center"/>
          </w:tcPr>
          <w:p w14:paraId="0194614E">
            <w:pPr>
              <w:spacing w:line="240" w:lineRule="exact"/>
              <w:rPr>
                <w:rFonts w:ascii="宋体" w:hAnsi="宋体" w:cs="宋体"/>
                <w:color w:val="auto"/>
                <w:kern w:val="0"/>
                <w:szCs w:val="21"/>
                <w:highlight w:val="none"/>
              </w:rPr>
            </w:pPr>
            <w:r>
              <w:rPr>
                <w:rFonts w:hint="eastAsia" w:ascii="宋体" w:hAnsi="宋体" w:cs="宋体"/>
                <w:color w:val="auto"/>
                <w:kern w:val="0"/>
                <w:szCs w:val="21"/>
                <w:highlight w:val="none"/>
              </w:rPr>
              <w:t>租赁和商务服务业</w:t>
            </w:r>
          </w:p>
        </w:tc>
        <w:tc>
          <w:tcPr>
            <w:tcW w:w="1429" w:type="dxa"/>
            <w:tcBorders>
              <w:top w:val="single" w:color="auto" w:sz="4" w:space="0"/>
              <w:left w:val="single" w:color="auto" w:sz="4" w:space="0"/>
              <w:bottom w:val="single" w:color="auto" w:sz="4" w:space="0"/>
              <w:right w:val="single" w:color="auto" w:sz="4" w:space="0"/>
            </w:tcBorders>
            <w:noWrap w:val="0"/>
            <w:vAlign w:val="center"/>
          </w:tcPr>
          <w:p w14:paraId="6501D093">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38A959D">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81F9E73">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07B0789">
            <w:pPr>
              <w:spacing w:line="240" w:lineRule="exact"/>
              <w:ind w:left="18" w:leftChars="-51" w:hanging="120" w:hangingChars="60"/>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D32E4C2">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96F61CD">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5A89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1774" w:type="dxa"/>
            <w:vMerge w:val="continue"/>
            <w:tcBorders>
              <w:top w:val="single" w:color="auto" w:sz="4" w:space="0"/>
              <w:left w:val="single" w:color="auto" w:sz="4" w:space="0"/>
              <w:bottom w:val="single" w:color="auto" w:sz="4" w:space="0"/>
              <w:right w:val="single" w:color="auto" w:sz="4" w:space="0"/>
            </w:tcBorders>
            <w:noWrap w:val="0"/>
            <w:vAlign w:val="center"/>
          </w:tcPr>
          <w:p w14:paraId="551B001B">
            <w:pPr>
              <w:rPr>
                <w:rFonts w:ascii="宋体" w:hAnsi="宋体" w:cs="宋体"/>
                <w:color w:val="auto"/>
                <w:kern w:val="0"/>
                <w:szCs w:val="21"/>
                <w:highlight w:val="none"/>
              </w:rPr>
            </w:pPr>
          </w:p>
        </w:tc>
        <w:tc>
          <w:tcPr>
            <w:tcW w:w="1429" w:type="dxa"/>
            <w:tcBorders>
              <w:top w:val="single" w:color="auto" w:sz="4" w:space="0"/>
              <w:left w:val="single" w:color="auto" w:sz="4" w:space="0"/>
              <w:bottom w:val="single" w:color="auto" w:sz="4" w:space="0"/>
              <w:right w:val="single" w:color="auto" w:sz="4" w:space="0"/>
            </w:tcBorders>
            <w:noWrap w:val="0"/>
            <w:vAlign w:val="center"/>
          </w:tcPr>
          <w:p w14:paraId="0E4DC9E6">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1825B95">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FA77526">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Z≥120000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21F4F85">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8000≤Z＜120000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8AA2E3">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100≤Z＜8000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901C751">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Z＜100</w:t>
            </w:r>
          </w:p>
        </w:tc>
      </w:tr>
      <w:tr w14:paraId="7AB8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774" w:type="dxa"/>
            <w:tcBorders>
              <w:top w:val="single" w:color="auto" w:sz="4" w:space="0"/>
              <w:left w:val="single" w:color="auto" w:sz="4" w:space="0"/>
              <w:bottom w:val="single" w:color="auto" w:sz="4" w:space="0"/>
              <w:right w:val="single" w:color="auto" w:sz="4" w:space="0"/>
            </w:tcBorders>
            <w:noWrap w:val="0"/>
            <w:vAlign w:val="center"/>
          </w:tcPr>
          <w:p w14:paraId="6C1C9090">
            <w:pPr>
              <w:spacing w:line="240" w:lineRule="exact"/>
              <w:rPr>
                <w:rFonts w:ascii="宋体" w:hAnsi="宋体" w:cs="宋体"/>
                <w:color w:val="auto"/>
                <w:kern w:val="0"/>
                <w:szCs w:val="21"/>
                <w:highlight w:val="none"/>
              </w:rPr>
            </w:pPr>
            <w:r>
              <w:rPr>
                <w:rFonts w:hint="eastAsia" w:ascii="宋体" w:hAnsi="宋体" w:cs="宋体"/>
                <w:color w:val="auto"/>
                <w:kern w:val="0"/>
                <w:szCs w:val="21"/>
                <w:highlight w:val="none"/>
              </w:rPr>
              <w:t>其他未列明行业 *</w:t>
            </w:r>
          </w:p>
        </w:tc>
        <w:tc>
          <w:tcPr>
            <w:tcW w:w="1429" w:type="dxa"/>
            <w:tcBorders>
              <w:top w:val="single" w:color="auto" w:sz="4" w:space="0"/>
              <w:left w:val="single" w:color="auto" w:sz="4" w:space="0"/>
              <w:bottom w:val="single" w:color="auto" w:sz="4" w:space="0"/>
              <w:right w:val="single" w:color="auto" w:sz="4" w:space="0"/>
            </w:tcBorders>
            <w:noWrap w:val="0"/>
            <w:vAlign w:val="center"/>
          </w:tcPr>
          <w:p w14:paraId="0F038108">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58AFDC0">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A65CB70">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08CCC86">
            <w:pPr>
              <w:spacing w:line="240" w:lineRule="exact"/>
              <w:ind w:left="18" w:leftChars="-51" w:hanging="120" w:hangingChars="60"/>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97FEBB1">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A297EBE">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bl>
    <w:p w14:paraId="01D142F2">
      <w:pPr>
        <w:adjustRightInd w:val="0"/>
        <w:snapToGrid w:val="0"/>
        <w:spacing w:line="460" w:lineRule="exact"/>
        <w:ind w:firstLine="434" w:firstLineChars="200"/>
        <w:rPr>
          <w:rFonts w:hint="eastAsia"/>
          <w:color w:val="auto"/>
          <w:sz w:val="21"/>
          <w:szCs w:val="21"/>
          <w:highlight w:val="none"/>
        </w:rPr>
      </w:pPr>
      <w:r>
        <w:rPr>
          <w:rFonts w:hint="eastAsia" w:ascii="宋体" w:hAnsi="宋体" w:cs="宋体"/>
          <w:b/>
          <w:color w:val="auto"/>
          <w:spacing w:val="8"/>
          <w:szCs w:val="21"/>
          <w:highlight w:val="none"/>
        </w:rPr>
        <w:t>说明：</w:t>
      </w:r>
      <w:r>
        <w:rPr>
          <w:rFonts w:hint="eastAsia" w:ascii="宋体" w:hAnsi="宋体"/>
          <w:color w:val="auto"/>
          <w:highlight w:val="none"/>
        </w:rPr>
        <w:t>1</w:t>
      </w:r>
      <w:r>
        <w:rPr>
          <w:rFonts w:hint="eastAsia"/>
          <w:color w:val="auto"/>
          <w:sz w:val="21"/>
          <w:szCs w:val="21"/>
          <w:highlight w:val="none"/>
        </w:rPr>
        <w:t>.大型、中型和小型企业须同时满足所列指标的下限，否则下划一档；微型企业只须满足所列指标中的一项即可。</w:t>
      </w:r>
    </w:p>
    <w:p w14:paraId="1B0E53B2">
      <w:pPr>
        <w:adjustRightInd w:val="0"/>
        <w:snapToGrid w:val="0"/>
        <w:spacing w:line="460" w:lineRule="exact"/>
        <w:ind w:firstLine="420" w:firstLineChars="200"/>
        <w:rPr>
          <w:rFonts w:hint="eastAsia"/>
          <w:color w:val="auto"/>
          <w:sz w:val="21"/>
          <w:szCs w:val="21"/>
          <w:highlight w:val="none"/>
        </w:rPr>
      </w:pPr>
      <w:r>
        <w:rPr>
          <w:rFonts w:hint="eastAsia"/>
          <w:color w:val="auto"/>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8FAB366">
      <w:pPr>
        <w:spacing w:line="360" w:lineRule="auto"/>
        <w:ind w:firstLine="420" w:firstLineChars="200"/>
        <w:rPr>
          <w:rFonts w:hint="eastAsia" w:ascii="宋体" w:hAnsi="宋体"/>
          <w:color w:val="auto"/>
          <w:highlight w:val="none"/>
        </w:rPr>
      </w:pPr>
      <w:r>
        <w:rPr>
          <w:rFonts w:hint="eastAsia"/>
          <w:color w:val="auto"/>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F579E7B">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③</w:t>
      </w:r>
      <w:r>
        <w:rPr>
          <w:rFonts w:hint="eastAsia" w:ascii="宋体" w:hAnsi="宋体"/>
          <w:color w:val="auto"/>
          <w:sz w:val="21"/>
          <w:szCs w:val="21"/>
          <w:highlight w:val="none"/>
        </w:rPr>
        <w:t>监狱企业优惠政策</w:t>
      </w:r>
    </w:p>
    <w:p w14:paraId="267B6D48">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3.1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327C8D8">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3.2监狱企业参加政府采购活动时，需具有省级以上监狱管理局、戒毒管理局（含新疆生产建设兵团）出具的属于监狱企业的证明文件。（注：监狱企业参加政府采购活动时提供满足此项内容的声明函即可，并对声明函的真实性负责。）</w:t>
      </w:r>
    </w:p>
    <w:p w14:paraId="052DCA2B">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3.3在政府采购活动中，监狱企业视同小型、微型企业，享受预留份额、评审中价格扣除等政府采购促进中小企业发展的政府采购政策。</w:t>
      </w:r>
    </w:p>
    <w:p w14:paraId="045A4B96">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④</w:t>
      </w:r>
      <w:r>
        <w:rPr>
          <w:rFonts w:hint="eastAsia" w:ascii="宋体" w:hAnsi="宋体"/>
          <w:color w:val="auto"/>
          <w:sz w:val="21"/>
          <w:szCs w:val="21"/>
          <w:highlight w:val="none"/>
        </w:rPr>
        <w:t>残疾人福利性单位优惠政策</w:t>
      </w:r>
    </w:p>
    <w:p w14:paraId="72C1CA56">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4.1根据《三部门联合发布关于促进残疾人就业政府采购政策的通知》（财库〔2017〕141号）的规定，享受政府采购支持政策的残疾人福利性单位应当同时满足以下条件：</w:t>
      </w:r>
    </w:p>
    <w:p w14:paraId="693C88A3">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①安置的残疾人占本单位在职职工人数的比例不低于25%（含25%），并且安置的残疾人人数不少于10人（含10人）；</w:t>
      </w:r>
    </w:p>
    <w:p w14:paraId="54A530EB">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②依法与安置的每位残疾人签订了一年以上（含一年）的劳动合同或服务协议；</w:t>
      </w:r>
    </w:p>
    <w:p w14:paraId="361989ED">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③为安置的每位残疾人按月足额缴纳了基本养老保险、基本医疗保险、失业保险、工伤保险和生育保险等社会保险费；</w:t>
      </w:r>
    </w:p>
    <w:p w14:paraId="07C90378">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④通过银行等金融机构向安置的每位残疾人，按月支付了不低于单位所在区县适用的经省级人民政府批准的月最低工资标准的工资；</w:t>
      </w:r>
    </w:p>
    <w:p w14:paraId="71777563">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⑤提供本单位制造的货物、承担的工程或者服务（以下简称产品），或者提供其他残疾人福利性单位制造的货物（不包括使用非残疾人福利性单位注册商标的货物）。</w:t>
      </w:r>
    </w:p>
    <w:p w14:paraId="3922B802">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72334FF">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4.2符合条件的残疾人福利性单位在参加政府采购活动时，应当按《三部门联合发布关于促进残疾人就业政府采购政策的通知》（财库〔2017〕141号）提供规定的《残疾人福利性单位声明函》，并对声明的真实性负责。</w:t>
      </w:r>
    </w:p>
    <w:p w14:paraId="11354DE7">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4.3本项目针对残疾人福利性单位产品的价格给予10%（工程项目为3%）的扣除，用扣除后的价格参与评审。残疾人福利性单位属于小型、微型企业的，不重复享受政策。</w:t>
      </w:r>
    </w:p>
    <w:p w14:paraId="3CEF0E10">
      <w:pPr>
        <w:spacing w:line="360" w:lineRule="auto"/>
        <w:ind w:firstLine="420" w:firstLineChars="200"/>
        <w:rPr>
          <w:rFonts w:hint="eastAsia" w:ascii="宋体" w:hAnsi="宋体"/>
          <w:color w:val="auto"/>
          <w:highlight w:val="none"/>
        </w:rPr>
      </w:pPr>
      <w:r>
        <w:rPr>
          <w:rFonts w:hint="eastAsia" w:ascii="宋体" w:hAnsi="宋体"/>
          <w:color w:val="auto"/>
          <w:sz w:val="21"/>
          <w:szCs w:val="21"/>
          <w:highlight w:val="none"/>
        </w:rPr>
        <w:t>4.4根据《中华人民共和国政府采购法》、《中华人民共和国政府采购法实施条例》、《政府采购货物和服务招标投标管理办法》(财政部令第87号)的规定，采购人应当在货物服务招标投标活动中落实节约能源、保护环境、扶持不发达地区和少数民族地区、促进中小企业发展等政府采购政策。</w:t>
      </w:r>
    </w:p>
    <w:p w14:paraId="4047F75E">
      <w:pPr>
        <w:pStyle w:val="3"/>
        <w:wordWrap w:val="0"/>
        <w:spacing w:before="200" w:after="200" w:line="360" w:lineRule="auto"/>
        <w:jc w:val="center"/>
        <w:rPr>
          <w:rFonts w:ascii="宋体" w:hAnsi="宋体" w:eastAsia="宋体"/>
          <w:color w:val="auto"/>
          <w:highlight w:val="none"/>
        </w:rPr>
      </w:pPr>
      <w:bookmarkStart w:id="181" w:name="_Toc259188730"/>
      <w:bookmarkStart w:id="182" w:name="_Toc260908202"/>
      <w:bookmarkStart w:id="183" w:name="_Toc248767826"/>
      <w:bookmarkStart w:id="184" w:name="_Toc260907986"/>
      <w:bookmarkStart w:id="185" w:name="_Toc481712048"/>
      <w:bookmarkStart w:id="186" w:name="_Toc270090087"/>
      <w:bookmarkStart w:id="187" w:name="_Toc8674"/>
      <w:bookmarkStart w:id="188" w:name="_Toc315"/>
      <w:bookmarkStart w:id="189" w:name="_Toc13407769"/>
      <w:r>
        <w:rPr>
          <w:rFonts w:hint="eastAsia" w:ascii="宋体" w:hAnsi="宋体" w:eastAsia="宋体"/>
          <w:color w:val="auto"/>
          <w:highlight w:val="none"/>
        </w:rPr>
        <w:t>四、</w:t>
      </w:r>
      <w:bookmarkEnd w:id="181"/>
      <w:bookmarkEnd w:id="182"/>
      <w:bookmarkEnd w:id="183"/>
      <w:bookmarkEnd w:id="184"/>
      <w:bookmarkEnd w:id="185"/>
      <w:bookmarkEnd w:id="186"/>
      <w:r>
        <w:rPr>
          <w:rFonts w:hint="eastAsia" w:ascii="宋体" w:hAnsi="宋体" w:eastAsia="宋体"/>
          <w:color w:val="auto"/>
          <w:highlight w:val="none"/>
        </w:rPr>
        <w:t>汇总评标结果</w:t>
      </w:r>
      <w:bookmarkEnd w:id="187"/>
      <w:bookmarkEnd w:id="188"/>
      <w:bookmarkEnd w:id="189"/>
    </w:p>
    <w:p w14:paraId="3E9889A0">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1.各项评分因素得分乘以相对应的权重系数后的总和即为投标人最后得分。</w:t>
      </w:r>
    </w:p>
    <w:p w14:paraId="43E78D58">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2.经评标委员会认定评分畸高、畸低的，评标委员会应当当场修改评标结果，并在评标报告中记载。</w:t>
      </w:r>
    </w:p>
    <w:p w14:paraId="7968D585">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914BC99">
      <w:pPr>
        <w:pStyle w:val="3"/>
        <w:wordWrap w:val="0"/>
        <w:spacing w:before="200" w:after="200" w:line="360" w:lineRule="auto"/>
        <w:jc w:val="center"/>
        <w:rPr>
          <w:rFonts w:ascii="宋体" w:hAnsi="宋体" w:eastAsia="宋体"/>
          <w:color w:val="auto"/>
          <w:highlight w:val="none"/>
        </w:rPr>
      </w:pPr>
      <w:bookmarkStart w:id="190" w:name="_Toc30917"/>
      <w:bookmarkStart w:id="191" w:name="_Toc13407770"/>
      <w:bookmarkStart w:id="192" w:name="_Toc8063"/>
      <w:r>
        <w:rPr>
          <w:rFonts w:hint="eastAsia" w:ascii="宋体" w:hAnsi="宋体" w:eastAsia="宋体"/>
          <w:color w:val="auto"/>
          <w:highlight w:val="none"/>
        </w:rPr>
        <w:t>五、推荐中标候选人</w:t>
      </w:r>
      <w:bookmarkEnd w:id="190"/>
      <w:bookmarkEnd w:id="191"/>
      <w:bookmarkEnd w:id="192"/>
    </w:p>
    <w:p w14:paraId="5AD40EBE">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评标委员会按评标办法的公式计算出各投标人的总得分，评标结果按评审后总得分由高到低顺序排列。得分相同的，按投标报价由低到高顺序排列。投标文件满足招标文件全部实质性要求，且按照评审因素的量化指标评审得分最高的投标人为排名第一的中标候选人。</w:t>
      </w:r>
    </w:p>
    <w:p w14:paraId="1360DE01">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在得分和报价均相同时，按下列顺序进行推荐：</w:t>
      </w:r>
    </w:p>
    <w:p w14:paraId="66B840DD">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1.若存在节能环保产品参与投标，根据《中华人民共和国政府采购法》、《中华人民共和国政府采购法实施条例》、</w:t>
      </w:r>
      <w:r>
        <w:rPr>
          <w:rFonts w:hint="eastAsia" w:ascii="宋体" w:hAnsi="宋体" w:cs="宋体"/>
          <w:color w:val="auto"/>
          <w:sz w:val="21"/>
          <w:szCs w:val="21"/>
          <w:highlight w:val="none"/>
        </w:rPr>
        <w:t>《政府采购货物和服务招标投标管理办法》（财政部令87号）</w:t>
      </w:r>
      <w:r>
        <w:rPr>
          <w:rFonts w:hint="eastAsia" w:ascii="宋体" w:hAnsi="宋体"/>
          <w:color w:val="auto"/>
          <w:sz w:val="21"/>
          <w:szCs w:val="21"/>
          <w:highlight w:val="none"/>
        </w:rPr>
        <w:t>的规定，优先采购节能环保产品。</w:t>
      </w:r>
    </w:p>
    <w:p w14:paraId="62EB0D7E">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2.评标委员会根据全体评标成员签字的原始评标记录和评标结果编写评标报告。</w:t>
      </w:r>
    </w:p>
    <w:p w14:paraId="4280B006">
      <w:pPr>
        <w:pStyle w:val="3"/>
        <w:wordWrap w:val="0"/>
        <w:spacing w:before="200" w:after="200" w:line="360" w:lineRule="auto"/>
        <w:jc w:val="center"/>
        <w:rPr>
          <w:rFonts w:ascii="宋体" w:hAnsi="宋体" w:eastAsia="宋体"/>
          <w:color w:val="auto"/>
          <w:highlight w:val="none"/>
        </w:rPr>
      </w:pPr>
      <w:bookmarkStart w:id="193" w:name="_Toc13407771"/>
      <w:bookmarkStart w:id="194" w:name="_Toc22598"/>
      <w:bookmarkStart w:id="195" w:name="_Toc23289"/>
      <w:r>
        <w:rPr>
          <w:rFonts w:hint="eastAsia" w:ascii="宋体" w:hAnsi="宋体" w:eastAsia="宋体"/>
          <w:color w:val="auto"/>
          <w:highlight w:val="none"/>
        </w:rPr>
        <w:t>六、特殊情况的处置程序</w:t>
      </w:r>
      <w:bookmarkEnd w:id="193"/>
      <w:bookmarkEnd w:id="194"/>
      <w:bookmarkEnd w:id="195"/>
    </w:p>
    <w:p w14:paraId="3761FE30">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6.1关于评标活动暂停</w:t>
      </w:r>
    </w:p>
    <w:p w14:paraId="7F797EFC">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评标委员会应当执行连续评标的原则，按评标办法中规定的程序、内容、方法、标准完成全部评标工作。只有发生不可抗力导致评标工作无法继续时，评标活动方可暂停。</w:t>
      </w:r>
    </w:p>
    <w:p w14:paraId="21D6E4CF">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发生评标暂停情况时，评标委员会应当封存全部投标文件和评标记录，待不可抗力的影响结束且具备继续评标的条件时，由原评标委员会继续评标。</w:t>
      </w:r>
    </w:p>
    <w:p w14:paraId="172EFC54">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6.2关于评标中途更换评委</w:t>
      </w:r>
    </w:p>
    <w:p w14:paraId="145FC35E">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除非发生下列情况之一，评标委员会成员不得在评标中途更换：</w:t>
      </w:r>
    </w:p>
    <w:p w14:paraId="597D91D0">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（1）因不可抗拒的客观原因，不能到场或需在评标中途退出评标活动。</w:t>
      </w:r>
    </w:p>
    <w:p w14:paraId="4456D3C1">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（2）根据法律法规规定，某个或某几个评标委员会成员需要回避。</w:t>
      </w:r>
    </w:p>
    <w:p w14:paraId="2F543F19">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退出评标的评标委员会成员，其已完成的评标行为无效。由采购人根据本招标文件规定的评标委员会成员生产方式另行确定替代者进行评标。</w:t>
      </w:r>
    </w:p>
    <w:p w14:paraId="597715F3">
      <w:pPr>
        <w:keepNext/>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6.3记名投票</w:t>
      </w:r>
    </w:p>
    <w:p w14:paraId="28E01816">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在任何评标环节中，需评标委员会就某项定性的评审结论做出表决的，由评标委员会全体成员按照少数服从多数的原则，以记名投票方式表决。</w:t>
      </w:r>
    </w:p>
    <w:p w14:paraId="7153F651">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6.4补充条款</w:t>
      </w:r>
    </w:p>
    <w:p w14:paraId="7CE9D0D4">
      <w:pPr>
        <w:widowControl w:val="0"/>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评标中若遇特殊问题，由评标委员会根据有关法律、法规、规定研究决定。</w:t>
      </w:r>
    </w:p>
    <w:p w14:paraId="18D5E753">
      <w:pPr>
        <w:pStyle w:val="63"/>
        <w:rPr>
          <w:rFonts w:ascii="宋体" w:hAnsi="宋体"/>
          <w:color w:val="auto"/>
          <w:highlight w:val="none"/>
        </w:rPr>
      </w:pPr>
    </w:p>
    <w:p w14:paraId="451779B6">
      <w:pPr>
        <w:pStyle w:val="63"/>
        <w:rPr>
          <w:color w:val="auto"/>
          <w:highlight w:val="none"/>
        </w:rPr>
        <w:sectPr>
          <w:pgSz w:w="11907" w:h="16840"/>
          <w:pgMar w:top="1440" w:right="1080" w:bottom="1440" w:left="1080" w:header="850" w:footer="992" w:gutter="0"/>
          <w:cols w:space="720" w:num="1"/>
          <w:docGrid w:linePitch="286" w:charSpace="0"/>
        </w:sectPr>
      </w:pPr>
    </w:p>
    <w:p w14:paraId="36AECB3A">
      <w:pPr>
        <w:pStyle w:val="2"/>
        <w:numPr>
          <w:ilvl w:val="0"/>
          <w:numId w:val="3"/>
        </w:numPr>
        <w:spacing w:before="240" w:after="240" w:line="360" w:lineRule="auto"/>
        <w:jc w:val="center"/>
        <w:rPr>
          <w:rFonts w:hint="eastAsia" w:ascii="宋体" w:hAnsi="宋体"/>
          <w:color w:val="auto"/>
          <w:sz w:val="36"/>
          <w:szCs w:val="36"/>
          <w:highlight w:val="none"/>
          <w:lang w:val="zh-CN"/>
        </w:rPr>
      </w:pPr>
      <w:bookmarkStart w:id="196" w:name="_Toc20042"/>
      <w:r>
        <w:rPr>
          <w:rFonts w:hint="eastAsia" w:ascii="宋体" w:hAnsi="宋体"/>
          <w:color w:val="auto"/>
          <w:sz w:val="36"/>
          <w:szCs w:val="36"/>
          <w:highlight w:val="none"/>
          <w:lang w:val="zh-CN"/>
        </w:rPr>
        <w:t>合同</w:t>
      </w:r>
      <w:bookmarkEnd w:id="178"/>
      <w:r>
        <w:rPr>
          <w:rFonts w:hint="eastAsia" w:ascii="宋体" w:hAnsi="宋体"/>
          <w:color w:val="auto"/>
          <w:sz w:val="36"/>
          <w:szCs w:val="36"/>
          <w:highlight w:val="none"/>
          <w:lang w:val="zh-CN"/>
        </w:rPr>
        <w:t>条款及格式</w:t>
      </w:r>
      <w:bookmarkEnd w:id="179"/>
      <w:bookmarkEnd w:id="180"/>
      <w:bookmarkEnd w:id="196"/>
    </w:p>
    <w:p w14:paraId="3D9E7871">
      <w:pPr>
        <w:ind w:firstLine="354" w:firstLineChars="147"/>
        <w:textAlignment w:val="baseline"/>
        <w:outlineLvl w:val="9"/>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本格式条款仅作为双方签订合同的参考，为阐明各方的权利和义务，双方可根据实际项目进行调整。</w:t>
      </w:r>
    </w:p>
    <w:p w14:paraId="5AE5D686">
      <w:pPr>
        <w:ind w:firstLine="420" w:firstLineChars="0"/>
        <w:jc w:val="both"/>
        <w:textAlignment w:val="baseline"/>
        <w:outlineLvl w:val="9"/>
        <w:rPr>
          <w:rFonts w:hint="eastAsia" w:ascii="宋体" w:hAnsi="宋体" w:eastAsia="宋体" w:cs="宋体"/>
          <w:b/>
          <w:color w:val="auto"/>
          <w:sz w:val="24"/>
          <w:szCs w:val="24"/>
        </w:rPr>
      </w:pPr>
    </w:p>
    <w:p w14:paraId="7ACD6F27">
      <w:pPr>
        <w:ind w:firstLine="420" w:firstLineChars="0"/>
        <w:jc w:val="both"/>
        <w:textAlignment w:val="baseline"/>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注：最终以甲乙双方最终签订的合同为准。</w:t>
      </w:r>
    </w:p>
    <w:p w14:paraId="12F7C204">
      <w:pPr>
        <w:rPr>
          <w:rFonts w:hint="eastAsia"/>
          <w:lang w:val="zh-CN"/>
        </w:rPr>
      </w:pPr>
    </w:p>
    <w:p w14:paraId="1717DAA4">
      <w:pPr>
        <w:pStyle w:val="31"/>
        <w:jc w:val="center"/>
        <w:rPr>
          <w:rFonts w:hint="eastAsia" w:ascii="宋体" w:hAnsi="宋体" w:eastAsia="宋体" w:cs="宋体"/>
          <w:color w:val="auto"/>
          <w:sz w:val="40"/>
          <w:szCs w:val="40"/>
          <w:highlight w:val="none"/>
          <w:lang w:eastAsia="zh-CN"/>
        </w:rPr>
      </w:pPr>
      <w:r>
        <w:rPr>
          <w:rFonts w:hint="eastAsia" w:ascii="宋体" w:hAnsi="宋体" w:eastAsia="宋体" w:cs="宋体"/>
          <w:b/>
          <w:bCs/>
          <w:color w:val="auto"/>
          <w:spacing w:val="15"/>
          <w:sz w:val="72"/>
          <w:szCs w:val="72"/>
          <w:highlight w:val="none"/>
          <w:shd w:val="clear" w:color="auto" w:fill="FFFFFF"/>
          <w:lang w:eastAsia="zh-CN"/>
        </w:rPr>
        <w:t>政府采购合同</w:t>
      </w:r>
    </w:p>
    <w:p w14:paraId="1CE97E5C">
      <w:pPr>
        <w:pStyle w:val="31"/>
        <w:jc w:val="center"/>
        <w:rPr>
          <w:rFonts w:hint="eastAsia" w:ascii="宋体" w:hAnsi="宋体" w:eastAsia="宋体" w:cs="宋体"/>
          <w:color w:val="auto"/>
          <w:sz w:val="40"/>
          <w:szCs w:val="40"/>
          <w:highlight w:val="none"/>
          <w:lang w:eastAsia="zh-CN"/>
        </w:rPr>
      </w:pPr>
      <w:r>
        <w:rPr>
          <w:rFonts w:hint="eastAsia" w:ascii="宋体" w:hAnsi="宋体" w:eastAsia="宋体" w:cs="宋体"/>
          <w:color w:val="auto"/>
          <w:sz w:val="40"/>
          <w:szCs w:val="40"/>
          <w:highlight w:val="none"/>
          <w:shd w:val="clear" w:color="auto" w:fill="FFFFFF"/>
          <w:lang w:eastAsia="zh-CN"/>
        </w:rPr>
        <w:t>（电子交易项目适用）</w:t>
      </w:r>
    </w:p>
    <w:p w14:paraId="36AB6A37">
      <w:pPr>
        <w:pStyle w:val="31"/>
        <w:rPr>
          <w:rFonts w:hint="eastAsia" w:ascii="宋体" w:hAnsi="宋体" w:eastAsia="宋体" w:cs="宋体"/>
          <w:color w:val="auto"/>
          <w:sz w:val="44"/>
          <w:szCs w:val="44"/>
          <w:highlight w:val="none"/>
          <w:lang w:eastAsia="zh-CN"/>
        </w:rPr>
      </w:pPr>
    </w:p>
    <w:p w14:paraId="41DD3AFF">
      <w:pPr>
        <w:pStyle w:val="31"/>
        <w:rPr>
          <w:rFonts w:hint="eastAsia" w:ascii="宋体" w:hAnsi="宋体" w:eastAsia="宋体" w:cs="宋体"/>
          <w:color w:val="auto"/>
          <w:sz w:val="44"/>
          <w:szCs w:val="44"/>
          <w:highlight w:val="none"/>
          <w:lang w:eastAsia="zh-CN"/>
        </w:rPr>
      </w:pPr>
    </w:p>
    <w:tbl>
      <w:tblPr>
        <w:tblStyle w:val="32"/>
        <w:tblW w:w="0" w:type="auto"/>
        <w:tblInd w:w="0" w:type="dxa"/>
        <w:shd w:val="clear" w:color="auto" w:fill="FFFFFF"/>
        <w:tblLayout w:type="autofit"/>
        <w:tblCellMar>
          <w:top w:w="15" w:type="dxa"/>
          <w:left w:w="15" w:type="dxa"/>
          <w:bottom w:w="15" w:type="dxa"/>
          <w:right w:w="15" w:type="dxa"/>
        </w:tblCellMar>
      </w:tblPr>
      <w:tblGrid>
        <w:gridCol w:w="4103"/>
        <w:gridCol w:w="5944"/>
      </w:tblGrid>
      <w:tr w14:paraId="56BAB721">
        <w:tblPrEx>
          <w:shd w:val="clear" w:color="auto" w:fill="FFFFFF"/>
          <w:tblCellMar>
            <w:top w:w="15" w:type="dxa"/>
            <w:left w:w="15" w:type="dxa"/>
            <w:bottom w:w="15" w:type="dxa"/>
            <w:right w:w="15" w:type="dxa"/>
          </w:tblCellMar>
        </w:tblPrEx>
        <w:tc>
          <w:tcPr>
            <w:tcW w:w="5400"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1265AE2A">
            <w:pPr>
              <w:pStyle w:val="31"/>
              <w:wordWrap w:val="0"/>
              <w:jc w:val="righ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 目 名 称：</w:t>
            </w:r>
          </w:p>
        </w:tc>
        <w:tc>
          <w:tcPr>
            <w:tcW w:w="7995"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64D4E265">
            <w:pPr>
              <w:pStyle w:val="31"/>
              <w:wordWrap w:val="0"/>
              <w:rPr>
                <w:rFonts w:hint="eastAsia" w:ascii="宋体" w:hAnsi="宋体" w:eastAsia="宋体" w:cs="宋体"/>
                <w:color w:val="auto"/>
                <w:sz w:val="32"/>
                <w:szCs w:val="32"/>
                <w:highlight w:val="none"/>
                <w:lang w:eastAsia="zh-CN"/>
              </w:rPr>
            </w:pPr>
            <w:r>
              <w:rPr>
                <w:rStyle w:val="39"/>
                <w:rFonts w:hint="eastAsia" w:ascii="宋体" w:hAnsi="宋体" w:eastAsia="宋体" w:cs="宋体"/>
                <w:color w:val="auto"/>
                <w:sz w:val="32"/>
                <w:szCs w:val="32"/>
                <w:highlight w:val="none"/>
                <w:u w:val="single"/>
                <w:lang w:eastAsia="zh-CN"/>
              </w:rPr>
              <w:t xml:space="preserve">                </w:t>
            </w:r>
          </w:p>
        </w:tc>
      </w:tr>
      <w:tr w14:paraId="5CBFC448">
        <w:tblPrEx>
          <w:shd w:val="clear" w:color="auto" w:fill="FFFFFF"/>
          <w:tblCellMar>
            <w:top w:w="15" w:type="dxa"/>
            <w:left w:w="15" w:type="dxa"/>
            <w:bottom w:w="15" w:type="dxa"/>
            <w:right w:w="15" w:type="dxa"/>
          </w:tblCellMar>
        </w:tblPrEx>
        <w:trPr>
          <w:trHeight w:val="495" w:hRule="atLeast"/>
        </w:trPr>
        <w:tc>
          <w:tcPr>
            <w:tcW w:w="5400"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68E5CCED">
            <w:pPr>
              <w:pStyle w:val="31"/>
              <w:rPr>
                <w:rFonts w:hint="eastAsia" w:ascii="宋体" w:hAnsi="宋体" w:eastAsia="宋体" w:cs="宋体"/>
                <w:color w:val="auto"/>
                <w:sz w:val="32"/>
                <w:szCs w:val="32"/>
                <w:highlight w:val="none"/>
              </w:rPr>
            </w:pPr>
          </w:p>
        </w:tc>
        <w:tc>
          <w:tcPr>
            <w:tcW w:w="7995"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7A748F8F">
            <w:pPr>
              <w:pStyle w:val="31"/>
              <w:rPr>
                <w:rFonts w:hint="eastAsia" w:ascii="宋体" w:hAnsi="宋体" w:eastAsia="宋体" w:cs="宋体"/>
                <w:color w:val="auto"/>
                <w:sz w:val="32"/>
                <w:szCs w:val="32"/>
                <w:highlight w:val="none"/>
              </w:rPr>
            </w:pPr>
          </w:p>
        </w:tc>
      </w:tr>
      <w:tr w14:paraId="16B57AB1">
        <w:tblPrEx>
          <w:tblCellMar>
            <w:top w:w="15" w:type="dxa"/>
            <w:left w:w="15" w:type="dxa"/>
            <w:bottom w:w="15" w:type="dxa"/>
            <w:right w:w="15" w:type="dxa"/>
          </w:tblCellMar>
        </w:tblPrEx>
        <w:tc>
          <w:tcPr>
            <w:tcW w:w="5400"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2DE784E0">
            <w:pPr>
              <w:pStyle w:val="31"/>
              <w:wordWrap w:val="0"/>
              <w:jc w:val="righ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shd w:val="clear" w:color="auto" w:fill="FFFFFF"/>
              </w:rPr>
              <w:t>合 同 编 号：</w:t>
            </w:r>
          </w:p>
        </w:tc>
        <w:tc>
          <w:tcPr>
            <w:tcW w:w="7995"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74A92F39">
            <w:pPr>
              <w:pStyle w:val="31"/>
              <w:wordWrap w:val="0"/>
              <w:rPr>
                <w:rFonts w:hint="eastAsia" w:ascii="宋体" w:hAnsi="宋体" w:eastAsia="宋体" w:cs="宋体"/>
                <w:color w:val="auto"/>
                <w:sz w:val="32"/>
                <w:szCs w:val="32"/>
                <w:highlight w:val="none"/>
              </w:rPr>
            </w:pPr>
            <w:r>
              <w:rPr>
                <w:rStyle w:val="39"/>
                <w:rFonts w:hint="eastAsia" w:ascii="宋体" w:hAnsi="宋体" w:eastAsia="宋体" w:cs="宋体"/>
                <w:color w:val="auto"/>
                <w:sz w:val="32"/>
                <w:szCs w:val="32"/>
                <w:highlight w:val="none"/>
                <w:u w:val="single"/>
                <w:shd w:val="clear" w:color="auto" w:fill="FFFFFF"/>
                <w:lang w:eastAsia="zh-CN"/>
              </w:rPr>
              <w:t xml:space="preserve">               </w:t>
            </w:r>
            <w:r>
              <w:rPr>
                <w:rFonts w:hint="eastAsia" w:ascii="宋体" w:hAnsi="宋体" w:eastAsia="宋体" w:cs="宋体"/>
                <w:color w:val="auto"/>
                <w:sz w:val="32"/>
                <w:szCs w:val="32"/>
                <w:highlight w:val="none"/>
              </w:rPr>
              <w:t>（系统编号）</w:t>
            </w:r>
          </w:p>
        </w:tc>
      </w:tr>
      <w:tr w14:paraId="6CBF612F">
        <w:tblPrEx>
          <w:shd w:val="clear" w:color="auto" w:fill="FFFFFF"/>
          <w:tblCellMar>
            <w:top w:w="15" w:type="dxa"/>
            <w:left w:w="15" w:type="dxa"/>
            <w:bottom w:w="15" w:type="dxa"/>
            <w:right w:w="15" w:type="dxa"/>
          </w:tblCellMar>
        </w:tblPrEx>
        <w:tc>
          <w:tcPr>
            <w:tcW w:w="5400"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4DE9BB4E">
            <w:pPr>
              <w:pStyle w:val="31"/>
              <w:rPr>
                <w:rFonts w:hint="eastAsia" w:ascii="宋体" w:hAnsi="宋体" w:eastAsia="宋体" w:cs="宋体"/>
                <w:color w:val="auto"/>
                <w:sz w:val="32"/>
                <w:szCs w:val="32"/>
                <w:highlight w:val="none"/>
              </w:rPr>
            </w:pPr>
          </w:p>
        </w:tc>
        <w:tc>
          <w:tcPr>
            <w:tcW w:w="7995"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20F468CF">
            <w:pPr>
              <w:pStyle w:val="31"/>
              <w:rPr>
                <w:rFonts w:hint="eastAsia" w:ascii="宋体" w:hAnsi="宋体" w:eastAsia="宋体" w:cs="宋体"/>
                <w:color w:val="auto"/>
                <w:sz w:val="32"/>
                <w:szCs w:val="32"/>
                <w:highlight w:val="none"/>
              </w:rPr>
            </w:pPr>
          </w:p>
        </w:tc>
      </w:tr>
      <w:tr w14:paraId="4266A819">
        <w:tblPrEx>
          <w:shd w:val="clear" w:color="auto" w:fill="FFFFFF"/>
          <w:tblCellMar>
            <w:top w:w="15" w:type="dxa"/>
            <w:left w:w="15" w:type="dxa"/>
            <w:bottom w:w="15" w:type="dxa"/>
            <w:right w:w="15" w:type="dxa"/>
          </w:tblCellMar>
        </w:tblPrEx>
        <w:tc>
          <w:tcPr>
            <w:tcW w:w="5400"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30D7C058">
            <w:pPr>
              <w:pStyle w:val="31"/>
              <w:rPr>
                <w:rFonts w:hint="eastAsia" w:ascii="宋体" w:hAnsi="宋体" w:eastAsia="宋体" w:cs="宋体"/>
                <w:color w:val="auto"/>
                <w:sz w:val="32"/>
                <w:szCs w:val="32"/>
                <w:highlight w:val="none"/>
              </w:rPr>
            </w:pPr>
          </w:p>
        </w:tc>
        <w:tc>
          <w:tcPr>
            <w:tcW w:w="7995"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037066AA">
            <w:pPr>
              <w:pStyle w:val="31"/>
              <w:wordWrap w:val="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（自编号，如有）</w:t>
            </w:r>
          </w:p>
        </w:tc>
      </w:tr>
      <w:tr w14:paraId="4B86C753">
        <w:tblPrEx>
          <w:shd w:val="clear" w:color="auto" w:fill="FFFFFF"/>
          <w:tblCellMar>
            <w:top w:w="15" w:type="dxa"/>
            <w:left w:w="15" w:type="dxa"/>
            <w:bottom w:w="15" w:type="dxa"/>
            <w:right w:w="15" w:type="dxa"/>
          </w:tblCellMar>
        </w:tblPrEx>
        <w:tc>
          <w:tcPr>
            <w:tcW w:w="5400"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17DFAB5E">
            <w:pPr>
              <w:pStyle w:val="31"/>
              <w:rPr>
                <w:rFonts w:hint="eastAsia" w:ascii="宋体" w:hAnsi="宋体" w:eastAsia="宋体" w:cs="宋体"/>
                <w:color w:val="auto"/>
                <w:sz w:val="32"/>
                <w:szCs w:val="32"/>
                <w:highlight w:val="none"/>
              </w:rPr>
            </w:pPr>
          </w:p>
        </w:tc>
        <w:tc>
          <w:tcPr>
            <w:tcW w:w="7995"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2717DCF0">
            <w:pPr>
              <w:pStyle w:val="31"/>
              <w:rPr>
                <w:rFonts w:hint="eastAsia" w:ascii="宋体" w:hAnsi="宋体" w:eastAsia="宋体" w:cs="宋体"/>
                <w:color w:val="auto"/>
                <w:sz w:val="32"/>
                <w:szCs w:val="32"/>
                <w:highlight w:val="none"/>
              </w:rPr>
            </w:pPr>
          </w:p>
        </w:tc>
      </w:tr>
      <w:tr w14:paraId="32350E38">
        <w:tblPrEx>
          <w:tblCellMar>
            <w:top w:w="15" w:type="dxa"/>
            <w:left w:w="15" w:type="dxa"/>
            <w:bottom w:w="15" w:type="dxa"/>
            <w:right w:w="15" w:type="dxa"/>
          </w:tblCellMar>
        </w:tblPrEx>
        <w:tc>
          <w:tcPr>
            <w:tcW w:w="5400"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24614638">
            <w:pPr>
              <w:pStyle w:val="31"/>
              <w:wordWrap w:val="0"/>
              <w:jc w:val="righ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shd w:val="clear" w:color="auto" w:fill="FFFFFF"/>
              </w:rPr>
              <w:t xml:space="preserve">甲 </w:t>
            </w:r>
            <w:r>
              <w:rPr>
                <w:rFonts w:hint="eastAsia" w:ascii="宋体" w:hAnsi="宋体" w:eastAsia="宋体" w:cs="宋体"/>
                <w:color w:val="auto"/>
                <w:sz w:val="32"/>
                <w:szCs w:val="32"/>
                <w:highlight w:val="none"/>
                <w:shd w:val="clear" w:color="auto" w:fill="FFFFFF"/>
                <w:lang w:eastAsia="zh-CN"/>
              </w:rPr>
              <w:t xml:space="preserve"> </w:t>
            </w:r>
            <w:r>
              <w:rPr>
                <w:rFonts w:hint="eastAsia" w:ascii="宋体" w:hAnsi="宋体" w:eastAsia="宋体" w:cs="宋体"/>
                <w:color w:val="auto"/>
                <w:sz w:val="32"/>
                <w:szCs w:val="32"/>
                <w:highlight w:val="none"/>
                <w:shd w:val="clear" w:color="auto" w:fill="FFFFFF"/>
              </w:rPr>
              <w:t xml:space="preserve"> </w:t>
            </w:r>
            <w:r>
              <w:rPr>
                <w:rFonts w:hint="eastAsia" w:ascii="宋体" w:hAnsi="宋体" w:eastAsia="宋体" w:cs="宋体"/>
                <w:color w:val="auto"/>
                <w:sz w:val="32"/>
                <w:szCs w:val="32"/>
                <w:highlight w:val="none"/>
                <w:shd w:val="clear" w:color="auto" w:fill="FFFFFF"/>
                <w:lang w:eastAsia="zh-CN"/>
              </w:rPr>
              <w:t xml:space="preserve">  </w:t>
            </w:r>
            <w:r>
              <w:rPr>
                <w:rFonts w:hint="eastAsia" w:ascii="宋体" w:hAnsi="宋体" w:eastAsia="宋体" w:cs="宋体"/>
                <w:color w:val="auto"/>
                <w:sz w:val="32"/>
                <w:szCs w:val="32"/>
                <w:highlight w:val="none"/>
                <w:shd w:val="clear" w:color="auto" w:fill="FFFFFF"/>
              </w:rPr>
              <w:t xml:space="preserve"> 方：</w:t>
            </w:r>
          </w:p>
        </w:tc>
        <w:tc>
          <w:tcPr>
            <w:tcW w:w="7995"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279BC111">
            <w:pPr>
              <w:pStyle w:val="31"/>
              <w:wordWrap w:val="0"/>
              <w:rPr>
                <w:rFonts w:hint="eastAsia" w:ascii="宋体" w:hAnsi="宋体" w:eastAsia="宋体" w:cs="宋体"/>
                <w:color w:val="auto"/>
                <w:sz w:val="32"/>
                <w:szCs w:val="32"/>
                <w:highlight w:val="none"/>
                <w:lang w:eastAsia="zh-CN"/>
              </w:rPr>
            </w:pPr>
            <w:r>
              <w:rPr>
                <w:rStyle w:val="39"/>
                <w:rFonts w:hint="eastAsia" w:ascii="宋体" w:hAnsi="宋体" w:eastAsia="宋体" w:cs="宋体"/>
                <w:color w:val="auto"/>
                <w:sz w:val="32"/>
                <w:szCs w:val="32"/>
                <w:highlight w:val="none"/>
                <w:u w:val="single"/>
                <w:shd w:val="clear" w:color="auto" w:fill="FFFFFF"/>
                <w:lang w:eastAsia="zh-CN"/>
              </w:rPr>
              <w:t xml:space="preserve">                   </w:t>
            </w:r>
          </w:p>
        </w:tc>
      </w:tr>
      <w:tr w14:paraId="5C4125D8">
        <w:tblPrEx>
          <w:tblCellMar>
            <w:top w:w="15" w:type="dxa"/>
            <w:left w:w="15" w:type="dxa"/>
            <w:bottom w:w="15" w:type="dxa"/>
            <w:right w:w="15" w:type="dxa"/>
          </w:tblCellMar>
        </w:tblPrEx>
        <w:tc>
          <w:tcPr>
            <w:tcW w:w="5400"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6F28D1AA">
            <w:pPr>
              <w:pStyle w:val="31"/>
              <w:rPr>
                <w:rFonts w:hint="eastAsia" w:ascii="宋体" w:hAnsi="宋体" w:eastAsia="宋体" w:cs="宋体"/>
                <w:color w:val="auto"/>
                <w:sz w:val="32"/>
                <w:szCs w:val="32"/>
                <w:highlight w:val="none"/>
              </w:rPr>
            </w:pPr>
          </w:p>
        </w:tc>
        <w:tc>
          <w:tcPr>
            <w:tcW w:w="7995"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0018A97E">
            <w:pPr>
              <w:pStyle w:val="31"/>
              <w:rPr>
                <w:rFonts w:hint="eastAsia" w:ascii="宋体" w:hAnsi="宋体" w:eastAsia="宋体" w:cs="宋体"/>
                <w:color w:val="auto"/>
                <w:sz w:val="32"/>
                <w:szCs w:val="32"/>
                <w:highlight w:val="none"/>
              </w:rPr>
            </w:pPr>
          </w:p>
        </w:tc>
      </w:tr>
      <w:tr w14:paraId="2CF21238">
        <w:tblPrEx>
          <w:tblCellMar>
            <w:top w:w="15" w:type="dxa"/>
            <w:left w:w="15" w:type="dxa"/>
            <w:bottom w:w="15" w:type="dxa"/>
            <w:right w:w="15" w:type="dxa"/>
          </w:tblCellMar>
        </w:tblPrEx>
        <w:trPr>
          <w:trHeight w:val="855" w:hRule="atLeast"/>
        </w:trPr>
        <w:tc>
          <w:tcPr>
            <w:tcW w:w="5400"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164725A3">
            <w:pPr>
              <w:pStyle w:val="31"/>
              <w:wordWrap w:val="0"/>
              <w:jc w:val="righ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shd w:val="clear" w:color="auto" w:fill="FFFFFF"/>
              </w:rPr>
              <w:t xml:space="preserve">乙 </w:t>
            </w:r>
            <w:r>
              <w:rPr>
                <w:rFonts w:hint="eastAsia" w:ascii="宋体" w:hAnsi="宋体" w:eastAsia="宋体" w:cs="宋体"/>
                <w:color w:val="auto"/>
                <w:sz w:val="32"/>
                <w:szCs w:val="32"/>
                <w:highlight w:val="none"/>
                <w:shd w:val="clear" w:color="auto" w:fill="FFFFFF"/>
                <w:lang w:eastAsia="zh-CN"/>
              </w:rPr>
              <w:t xml:space="preserve"> </w:t>
            </w:r>
            <w:r>
              <w:rPr>
                <w:rFonts w:hint="eastAsia" w:ascii="宋体" w:hAnsi="宋体" w:eastAsia="宋体" w:cs="宋体"/>
                <w:color w:val="auto"/>
                <w:sz w:val="32"/>
                <w:szCs w:val="32"/>
                <w:highlight w:val="none"/>
                <w:shd w:val="clear" w:color="auto" w:fill="FFFFFF"/>
              </w:rPr>
              <w:t xml:space="preserve"> </w:t>
            </w:r>
            <w:r>
              <w:rPr>
                <w:rFonts w:hint="eastAsia" w:ascii="宋体" w:hAnsi="宋体" w:eastAsia="宋体" w:cs="宋体"/>
                <w:color w:val="auto"/>
                <w:sz w:val="32"/>
                <w:szCs w:val="32"/>
                <w:highlight w:val="none"/>
                <w:shd w:val="clear" w:color="auto" w:fill="FFFFFF"/>
                <w:lang w:eastAsia="zh-CN"/>
              </w:rPr>
              <w:t xml:space="preserve">  </w:t>
            </w:r>
            <w:r>
              <w:rPr>
                <w:rFonts w:hint="eastAsia" w:ascii="宋体" w:hAnsi="宋体" w:eastAsia="宋体" w:cs="宋体"/>
                <w:color w:val="auto"/>
                <w:sz w:val="32"/>
                <w:szCs w:val="32"/>
                <w:highlight w:val="none"/>
                <w:shd w:val="clear" w:color="auto" w:fill="FFFFFF"/>
              </w:rPr>
              <w:t xml:space="preserve"> 方：</w:t>
            </w:r>
          </w:p>
        </w:tc>
        <w:tc>
          <w:tcPr>
            <w:tcW w:w="7995" w:type="dxa"/>
            <w:tcBorders>
              <w:top w:val="single" w:color="FFFFFF" w:sz="6" w:space="0"/>
              <w:left w:val="single" w:color="FFFFFF" w:sz="6" w:space="0"/>
              <w:bottom w:val="single" w:color="FFFFFF" w:sz="6" w:space="0"/>
              <w:right w:val="single" w:color="FFFFFF" w:sz="6" w:space="0"/>
            </w:tcBorders>
            <w:shd w:val="clear" w:color="auto" w:fill="auto"/>
            <w:noWrap w:val="0"/>
            <w:tcMar>
              <w:top w:w="75" w:type="dxa"/>
              <w:left w:w="150" w:type="dxa"/>
              <w:bottom w:w="75" w:type="dxa"/>
              <w:right w:w="150" w:type="dxa"/>
            </w:tcMar>
            <w:vAlign w:val="top"/>
          </w:tcPr>
          <w:p w14:paraId="5FF5BF22">
            <w:pPr>
              <w:pStyle w:val="31"/>
              <w:wordWrap w:val="0"/>
              <w:rPr>
                <w:rFonts w:hint="eastAsia" w:ascii="宋体" w:hAnsi="宋体" w:eastAsia="宋体" w:cs="宋体"/>
                <w:color w:val="auto"/>
                <w:sz w:val="32"/>
                <w:szCs w:val="32"/>
                <w:highlight w:val="none"/>
                <w:lang w:eastAsia="zh-CN"/>
              </w:rPr>
            </w:pPr>
            <w:r>
              <w:rPr>
                <w:rStyle w:val="39"/>
                <w:rFonts w:hint="eastAsia" w:ascii="宋体" w:hAnsi="宋体" w:eastAsia="宋体" w:cs="宋体"/>
                <w:color w:val="auto"/>
                <w:sz w:val="32"/>
                <w:szCs w:val="32"/>
                <w:highlight w:val="none"/>
                <w:u w:val="single"/>
                <w:shd w:val="clear" w:color="auto" w:fill="FFFFFF"/>
                <w:lang w:eastAsia="zh-CN"/>
              </w:rPr>
              <w:t xml:space="preserve">                   </w:t>
            </w:r>
          </w:p>
        </w:tc>
      </w:tr>
    </w:tbl>
    <w:p w14:paraId="652C7B94">
      <w:pPr>
        <w:numPr>
          <w:ilvl w:val="0"/>
          <w:numId w:val="0"/>
        </w:numPr>
        <w:rPr>
          <w:color w:val="auto"/>
          <w:highlight w:val="none"/>
          <w:lang w:val="zh-CN"/>
        </w:rPr>
      </w:pPr>
      <w:r>
        <w:rPr>
          <w:rFonts w:hint="eastAsia" w:ascii="宋体" w:hAnsi="宋体" w:eastAsia="宋体" w:cs="宋体"/>
          <w:color w:val="auto"/>
          <w:sz w:val="36"/>
          <w:szCs w:val="36"/>
          <w:highlight w:val="none"/>
          <w:lang w:eastAsia="zh-CN"/>
        </w:rPr>
        <w:br w:type="page"/>
      </w:r>
    </w:p>
    <w:tbl>
      <w:tblPr>
        <w:tblStyle w:val="32"/>
        <w:tblW w:w="9497" w:type="dxa"/>
        <w:jc w:val="center"/>
        <w:tblLayout w:type="fixed"/>
        <w:tblCellMar>
          <w:top w:w="0" w:type="dxa"/>
          <w:left w:w="108" w:type="dxa"/>
          <w:bottom w:w="0" w:type="dxa"/>
          <w:right w:w="108" w:type="dxa"/>
        </w:tblCellMar>
      </w:tblPr>
      <w:tblGrid>
        <w:gridCol w:w="2484"/>
        <w:gridCol w:w="7013"/>
      </w:tblGrid>
      <w:tr w14:paraId="1116D78B">
        <w:tblPrEx>
          <w:tblCellMar>
            <w:top w:w="0" w:type="dxa"/>
            <w:left w:w="108" w:type="dxa"/>
            <w:bottom w:w="0" w:type="dxa"/>
            <w:right w:w="108" w:type="dxa"/>
          </w:tblCellMar>
        </w:tblPrEx>
        <w:trPr>
          <w:trHeight w:val="480" w:hRule="atLeast"/>
          <w:jc w:val="center"/>
        </w:trPr>
        <w:tc>
          <w:tcPr>
            <w:tcW w:w="2484" w:type="dxa"/>
            <w:vAlign w:val="center"/>
          </w:tcPr>
          <w:p w14:paraId="21898EE4">
            <w:pPr>
              <w:spacing w:line="360" w:lineRule="auto"/>
              <w:jc w:val="both"/>
              <w:rPr>
                <w:rFonts w:hint="eastAsia" w:ascii="宋体" w:hAnsi="宋体" w:cs="Arial"/>
                <w:b/>
                <w:color w:val="auto"/>
                <w:sz w:val="24"/>
                <w:highlight w:val="none"/>
              </w:rPr>
            </w:pPr>
            <w:bookmarkStart w:id="197" w:name="_Toc15242784"/>
            <w:bookmarkStart w:id="198" w:name="_Toc229583225"/>
            <w:bookmarkStart w:id="199" w:name="_Toc260908037"/>
            <w:bookmarkStart w:id="200" w:name="_Toc224363907"/>
            <w:bookmarkStart w:id="201" w:name="_Toc260908253"/>
          </w:p>
          <w:p w14:paraId="200538FE">
            <w:pPr>
              <w:rPr>
                <w:rFonts w:hint="eastAsia" w:ascii="宋体" w:hAnsi="宋体" w:cs="Arial"/>
                <w:b/>
                <w:color w:val="auto"/>
                <w:sz w:val="24"/>
                <w:highlight w:val="none"/>
              </w:rPr>
            </w:pPr>
          </w:p>
          <w:p w14:paraId="21E1EE79">
            <w:pPr>
              <w:rPr>
                <w:rFonts w:hint="eastAsia" w:ascii="宋体" w:hAnsi="宋体" w:cs="Arial"/>
                <w:b/>
                <w:color w:val="auto"/>
                <w:sz w:val="24"/>
                <w:highlight w:val="none"/>
              </w:rPr>
            </w:pPr>
          </w:p>
          <w:p w14:paraId="1E54F6C8">
            <w:pPr>
              <w:rPr>
                <w:rFonts w:ascii="宋体" w:hAnsi="宋体"/>
                <w:b/>
                <w:color w:val="auto"/>
                <w:sz w:val="24"/>
                <w:highlight w:val="none"/>
              </w:rPr>
            </w:pPr>
            <w:r>
              <w:rPr>
                <w:rFonts w:hint="eastAsia" w:ascii="宋体" w:hAnsi="宋体" w:cs="Arial"/>
                <w:b/>
                <w:color w:val="auto"/>
                <w:sz w:val="24"/>
                <w:highlight w:val="none"/>
              </w:rPr>
              <w:t>甲方(采购人公章)</w:t>
            </w:r>
          </w:p>
        </w:tc>
        <w:tc>
          <w:tcPr>
            <w:tcW w:w="7013" w:type="dxa"/>
            <w:vAlign w:val="center"/>
          </w:tcPr>
          <w:p w14:paraId="213FD0DC">
            <w:pPr>
              <w:rPr>
                <w:rFonts w:ascii="宋体" w:hAnsi="宋体"/>
                <w:b/>
                <w:color w:val="auto"/>
                <w:sz w:val="24"/>
                <w:highlight w:val="none"/>
              </w:rPr>
            </w:pPr>
          </w:p>
        </w:tc>
      </w:tr>
      <w:tr w14:paraId="5F9564FB">
        <w:tblPrEx>
          <w:tblCellMar>
            <w:top w:w="0" w:type="dxa"/>
            <w:left w:w="108" w:type="dxa"/>
            <w:bottom w:w="0" w:type="dxa"/>
            <w:right w:w="108" w:type="dxa"/>
          </w:tblCellMar>
        </w:tblPrEx>
        <w:trPr>
          <w:trHeight w:val="480" w:hRule="atLeast"/>
          <w:jc w:val="center"/>
        </w:trPr>
        <w:tc>
          <w:tcPr>
            <w:tcW w:w="2484" w:type="dxa"/>
            <w:vAlign w:val="center"/>
          </w:tcPr>
          <w:p w14:paraId="57C566C1">
            <w:pPr>
              <w:rPr>
                <w:rFonts w:ascii="宋体" w:hAnsi="宋体"/>
                <w:b/>
                <w:color w:val="auto"/>
                <w:sz w:val="24"/>
                <w:highlight w:val="none"/>
              </w:rPr>
            </w:pPr>
          </w:p>
        </w:tc>
        <w:tc>
          <w:tcPr>
            <w:tcW w:w="7013" w:type="dxa"/>
            <w:vAlign w:val="center"/>
          </w:tcPr>
          <w:p w14:paraId="182AC332">
            <w:pPr>
              <w:tabs>
                <w:tab w:val="left" w:pos="1657"/>
              </w:tabs>
              <w:rPr>
                <w:rFonts w:ascii="宋体" w:hAnsi="宋体" w:cs="Arial"/>
                <w:b/>
                <w:color w:val="auto"/>
                <w:sz w:val="24"/>
                <w:highlight w:val="none"/>
              </w:rPr>
            </w:pPr>
            <w:r>
              <w:rPr>
                <w:rFonts w:hint="eastAsia" w:ascii="宋体" w:hAnsi="宋体" w:cs="Arial"/>
                <w:b/>
                <w:color w:val="auto"/>
                <w:sz w:val="24"/>
                <w:highlight w:val="none"/>
              </w:rPr>
              <w:t>地    址：</w:t>
            </w:r>
          </w:p>
        </w:tc>
      </w:tr>
      <w:tr w14:paraId="30CB654E">
        <w:tblPrEx>
          <w:tblCellMar>
            <w:top w:w="0" w:type="dxa"/>
            <w:left w:w="108" w:type="dxa"/>
            <w:bottom w:w="0" w:type="dxa"/>
            <w:right w:w="108" w:type="dxa"/>
          </w:tblCellMar>
        </w:tblPrEx>
        <w:trPr>
          <w:trHeight w:val="480" w:hRule="atLeast"/>
          <w:jc w:val="center"/>
        </w:trPr>
        <w:tc>
          <w:tcPr>
            <w:tcW w:w="2484" w:type="dxa"/>
            <w:vAlign w:val="center"/>
          </w:tcPr>
          <w:p w14:paraId="6EB82DA4">
            <w:pPr>
              <w:rPr>
                <w:rFonts w:ascii="宋体" w:hAnsi="宋体"/>
                <w:b/>
                <w:color w:val="auto"/>
                <w:sz w:val="24"/>
                <w:highlight w:val="none"/>
              </w:rPr>
            </w:pPr>
          </w:p>
        </w:tc>
        <w:tc>
          <w:tcPr>
            <w:tcW w:w="7013" w:type="dxa"/>
            <w:vAlign w:val="center"/>
          </w:tcPr>
          <w:p w14:paraId="598D16FA">
            <w:pPr>
              <w:tabs>
                <w:tab w:val="left" w:pos="1657"/>
              </w:tabs>
              <w:rPr>
                <w:rFonts w:ascii="宋体" w:hAnsi="宋体" w:cs="Arial"/>
                <w:b/>
                <w:color w:val="auto"/>
                <w:sz w:val="24"/>
                <w:highlight w:val="none"/>
              </w:rPr>
            </w:pPr>
            <w:r>
              <w:rPr>
                <w:rFonts w:hint="eastAsia" w:ascii="宋体" w:hAnsi="宋体" w:cs="Arial"/>
                <w:b/>
                <w:color w:val="auto"/>
                <w:sz w:val="24"/>
                <w:highlight w:val="none"/>
              </w:rPr>
              <w:t>邮    编：</w:t>
            </w:r>
          </w:p>
        </w:tc>
      </w:tr>
      <w:tr w14:paraId="49C80FFE">
        <w:tblPrEx>
          <w:tblCellMar>
            <w:top w:w="0" w:type="dxa"/>
            <w:left w:w="108" w:type="dxa"/>
            <w:bottom w:w="0" w:type="dxa"/>
            <w:right w:w="108" w:type="dxa"/>
          </w:tblCellMar>
        </w:tblPrEx>
        <w:trPr>
          <w:trHeight w:val="480" w:hRule="atLeast"/>
          <w:jc w:val="center"/>
        </w:trPr>
        <w:tc>
          <w:tcPr>
            <w:tcW w:w="2484" w:type="dxa"/>
            <w:vAlign w:val="center"/>
          </w:tcPr>
          <w:p w14:paraId="287E0248">
            <w:pPr>
              <w:rPr>
                <w:rFonts w:ascii="宋体" w:hAnsi="宋体"/>
                <w:b/>
                <w:color w:val="auto"/>
                <w:sz w:val="24"/>
                <w:highlight w:val="none"/>
              </w:rPr>
            </w:pPr>
          </w:p>
        </w:tc>
        <w:tc>
          <w:tcPr>
            <w:tcW w:w="7013" w:type="dxa"/>
            <w:vAlign w:val="center"/>
          </w:tcPr>
          <w:p w14:paraId="4E468CEC">
            <w:pPr>
              <w:tabs>
                <w:tab w:val="left" w:pos="1657"/>
              </w:tabs>
              <w:rPr>
                <w:rFonts w:ascii="宋体" w:hAnsi="宋体" w:cs="Arial"/>
                <w:b/>
                <w:color w:val="auto"/>
                <w:sz w:val="24"/>
                <w:highlight w:val="none"/>
              </w:rPr>
            </w:pPr>
            <w:r>
              <w:rPr>
                <w:rFonts w:hint="eastAsia" w:ascii="宋体" w:hAnsi="宋体" w:cs="Arial"/>
                <w:b/>
                <w:color w:val="auto"/>
                <w:sz w:val="24"/>
                <w:highlight w:val="none"/>
              </w:rPr>
              <w:t>法定代表人或委托代理人：</w:t>
            </w:r>
          </w:p>
        </w:tc>
      </w:tr>
      <w:tr w14:paraId="66127031">
        <w:tblPrEx>
          <w:tblCellMar>
            <w:top w:w="0" w:type="dxa"/>
            <w:left w:w="108" w:type="dxa"/>
            <w:bottom w:w="0" w:type="dxa"/>
            <w:right w:w="108" w:type="dxa"/>
          </w:tblCellMar>
        </w:tblPrEx>
        <w:trPr>
          <w:trHeight w:val="480" w:hRule="atLeast"/>
          <w:jc w:val="center"/>
        </w:trPr>
        <w:tc>
          <w:tcPr>
            <w:tcW w:w="2484" w:type="dxa"/>
            <w:vAlign w:val="center"/>
          </w:tcPr>
          <w:p w14:paraId="71B99E0E">
            <w:pPr>
              <w:rPr>
                <w:rFonts w:ascii="宋体" w:hAnsi="宋体"/>
                <w:b/>
                <w:color w:val="auto"/>
                <w:sz w:val="24"/>
                <w:highlight w:val="none"/>
              </w:rPr>
            </w:pPr>
          </w:p>
        </w:tc>
        <w:tc>
          <w:tcPr>
            <w:tcW w:w="7013" w:type="dxa"/>
            <w:vAlign w:val="center"/>
          </w:tcPr>
          <w:p w14:paraId="75BBA11D">
            <w:pPr>
              <w:tabs>
                <w:tab w:val="left" w:pos="1657"/>
              </w:tabs>
              <w:rPr>
                <w:rFonts w:ascii="宋体" w:hAnsi="宋体" w:cs="Arial"/>
                <w:b/>
                <w:color w:val="auto"/>
                <w:sz w:val="24"/>
                <w:highlight w:val="none"/>
              </w:rPr>
            </w:pPr>
            <w:r>
              <w:rPr>
                <w:rFonts w:hint="eastAsia" w:ascii="宋体" w:hAnsi="宋体" w:cs="Arial"/>
                <w:b/>
                <w:color w:val="auto"/>
                <w:sz w:val="24"/>
                <w:highlight w:val="none"/>
              </w:rPr>
              <w:t>项目(技术)负责人：</w:t>
            </w:r>
          </w:p>
        </w:tc>
      </w:tr>
      <w:tr w14:paraId="481115A8">
        <w:tblPrEx>
          <w:tblCellMar>
            <w:top w:w="0" w:type="dxa"/>
            <w:left w:w="108" w:type="dxa"/>
            <w:bottom w:w="0" w:type="dxa"/>
            <w:right w:w="108" w:type="dxa"/>
          </w:tblCellMar>
        </w:tblPrEx>
        <w:trPr>
          <w:trHeight w:val="480" w:hRule="atLeast"/>
          <w:jc w:val="center"/>
        </w:trPr>
        <w:tc>
          <w:tcPr>
            <w:tcW w:w="2484" w:type="dxa"/>
            <w:vAlign w:val="center"/>
          </w:tcPr>
          <w:p w14:paraId="2ED95AA2">
            <w:pPr>
              <w:rPr>
                <w:rFonts w:ascii="宋体" w:hAnsi="宋体"/>
                <w:b/>
                <w:color w:val="auto"/>
                <w:sz w:val="24"/>
                <w:highlight w:val="none"/>
              </w:rPr>
            </w:pPr>
          </w:p>
        </w:tc>
        <w:tc>
          <w:tcPr>
            <w:tcW w:w="7013" w:type="dxa"/>
            <w:vAlign w:val="center"/>
          </w:tcPr>
          <w:p w14:paraId="4EE8F082">
            <w:pPr>
              <w:tabs>
                <w:tab w:val="left" w:pos="1657"/>
              </w:tabs>
              <w:rPr>
                <w:rFonts w:ascii="宋体" w:hAnsi="宋体" w:cs="Arial"/>
                <w:b/>
                <w:color w:val="auto"/>
                <w:sz w:val="24"/>
                <w:highlight w:val="none"/>
              </w:rPr>
            </w:pPr>
            <w:r>
              <w:rPr>
                <w:rFonts w:hint="eastAsia" w:ascii="宋体" w:hAnsi="宋体" w:cs="Arial"/>
                <w:b/>
                <w:color w:val="auto"/>
                <w:sz w:val="24"/>
                <w:highlight w:val="none"/>
              </w:rPr>
              <w:t>电    话：</w:t>
            </w:r>
          </w:p>
        </w:tc>
      </w:tr>
      <w:tr w14:paraId="1F2BF165">
        <w:tblPrEx>
          <w:tblCellMar>
            <w:top w:w="0" w:type="dxa"/>
            <w:left w:w="108" w:type="dxa"/>
            <w:bottom w:w="0" w:type="dxa"/>
            <w:right w:w="108" w:type="dxa"/>
          </w:tblCellMar>
        </w:tblPrEx>
        <w:trPr>
          <w:trHeight w:val="480" w:hRule="atLeast"/>
          <w:jc w:val="center"/>
        </w:trPr>
        <w:tc>
          <w:tcPr>
            <w:tcW w:w="2484" w:type="dxa"/>
            <w:vAlign w:val="center"/>
          </w:tcPr>
          <w:p w14:paraId="6CF0A7CF">
            <w:pPr>
              <w:rPr>
                <w:rFonts w:ascii="宋体" w:hAnsi="宋体"/>
                <w:b/>
                <w:color w:val="auto"/>
                <w:sz w:val="24"/>
                <w:highlight w:val="none"/>
              </w:rPr>
            </w:pPr>
          </w:p>
        </w:tc>
        <w:tc>
          <w:tcPr>
            <w:tcW w:w="7013" w:type="dxa"/>
            <w:vAlign w:val="center"/>
          </w:tcPr>
          <w:p w14:paraId="0E595111">
            <w:pPr>
              <w:tabs>
                <w:tab w:val="left" w:pos="1657"/>
              </w:tabs>
              <w:rPr>
                <w:rFonts w:ascii="宋体" w:hAnsi="宋体" w:cs="Arial"/>
                <w:b/>
                <w:color w:val="auto"/>
                <w:sz w:val="24"/>
                <w:highlight w:val="none"/>
              </w:rPr>
            </w:pPr>
            <w:r>
              <w:rPr>
                <w:rFonts w:hint="eastAsia" w:ascii="宋体" w:hAnsi="宋体" w:cs="Arial"/>
                <w:b/>
                <w:color w:val="auto"/>
                <w:sz w:val="24"/>
                <w:highlight w:val="none"/>
              </w:rPr>
              <w:t>开 户 银  行：</w:t>
            </w:r>
          </w:p>
        </w:tc>
      </w:tr>
      <w:tr w14:paraId="223E6892">
        <w:tblPrEx>
          <w:tblCellMar>
            <w:top w:w="0" w:type="dxa"/>
            <w:left w:w="108" w:type="dxa"/>
            <w:bottom w:w="0" w:type="dxa"/>
            <w:right w:w="108" w:type="dxa"/>
          </w:tblCellMar>
        </w:tblPrEx>
        <w:trPr>
          <w:trHeight w:val="480" w:hRule="atLeast"/>
          <w:jc w:val="center"/>
        </w:trPr>
        <w:tc>
          <w:tcPr>
            <w:tcW w:w="2484" w:type="dxa"/>
            <w:vAlign w:val="center"/>
          </w:tcPr>
          <w:p w14:paraId="25AA3D40">
            <w:pPr>
              <w:rPr>
                <w:rFonts w:ascii="宋体" w:hAnsi="宋体"/>
                <w:b/>
                <w:color w:val="auto"/>
                <w:sz w:val="24"/>
                <w:highlight w:val="none"/>
              </w:rPr>
            </w:pPr>
          </w:p>
        </w:tc>
        <w:tc>
          <w:tcPr>
            <w:tcW w:w="7013" w:type="dxa"/>
            <w:vAlign w:val="center"/>
          </w:tcPr>
          <w:p w14:paraId="1368F2FC">
            <w:pPr>
              <w:rPr>
                <w:rFonts w:ascii="宋体" w:hAnsi="宋体"/>
                <w:b/>
                <w:color w:val="auto"/>
                <w:sz w:val="24"/>
                <w:highlight w:val="none"/>
              </w:rPr>
            </w:pPr>
            <w:r>
              <w:rPr>
                <w:rFonts w:hint="eastAsia" w:ascii="宋体" w:hAnsi="宋体" w:cs="Arial"/>
                <w:b/>
                <w:color w:val="auto"/>
                <w:sz w:val="24"/>
                <w:highlight w:val="none"/>
              </w:rPr>
              <w:t>账    号：</w:t>
            </w:r>
          </w:p>
        </w:tc>
      </w:tr>
      <w:tr w14:paraId="3CE3D19F">
        <w:tblPrEx>
          <w:tblCellMar>
            <w:top w:w="0" w:type="dxa"/>
            <w:left w:w="108" w:type="dxa"/>
            <w:bottom w:w="0" w:type="dxa"/>
            <w:right w:w="108" w:type="dxa"/>
          </w:tblCellMar>
        </w:tblPrEx>
        <w:trPr>
          <w:trHeight w:val="480" w:hRule="atLeast"/>
          <w:jc w:val="center"/>
        </w:trPr>
        <w:tc>
          <w:tcPr>
            <w:tcW w:w="2484" w:type="dxa"/>
            <w:vAlign w:val="center"/>
          </w:tcPr>
          <w:p w14:paraId="2C3E4380">
            <w:pPr>
              <w:rPr>
                <w:rFonts w:ascii="宋体" w:hAnsi="宋体"/>
                <w:b/>
                <w:color w:val="auto"/>
                <w:sz w:val="24"/>
                <w:highlight w:val="none"/>
              </w:rPr>
            </w:pPr>
          </w:p>
        </w:tc>
        <w:tc>
          <w:tcPr>
            <w:tcW w:w="7013" w:type="dxa"/>
            <w:vAlign w:val="center"/>
          </w:tcPr>
          <w:p w14:paraId="6B1779D4">
            <w:pPr>
              <w:rPr>
                <w:rFonts w:ascii="宋体" w:hAnsi="宋体"/>
                <w:b/>
                <w:color w:val="auto"/>
                <w:sz w:val="24"/>
                <w:highlight w:val="none"/>
              </w:rPr>
            </w:pPr>
          </w:p>
        </w:tc>
      </w:tr>
      <w:tr w14:paraId="212FF860">
        <w:tblPrEx>
          <w:tblCellMar>
            <w:top w:w="0" w:type="dxa"/>
            <w:left w:w="108" w:type="dxa"/>
            <w:bottom w:w="0" w:type="dxa"/>
            <w:right w:w="108" w:type="dxa"/>
          </w:tblCellMar>
        </w:tblPrEx>
        <w:trPr>
          <w:trHeight w:val="480" w:hRule="atLeast"/>
          <w:jc w:val="center"/>
        </w:trPr>
        <w:tc>
          <w:tcPr>
            <w:tcW w:w="2484" w:type="dxa"/>
            <w:vAlign w:val="center"/>
          </w:tcPr>
          <w:p w14:paraId="3CA4056F">
            <w:pPr>
              <w:ind w:firstLine="241" w:firstLineChars="100"/>
              <w:rPr>
                <w:rFonts w:ascii="宋体" w:hAnsi="宋体"/>
                <w:b/>
                <w:color w:val="auto"/>
                <w:sz w:val="24"/>
                <w:highlight w:val="none"/>
              </w:rPr>
            </w:pPr>
            <w:r>
              <w:rPr>
                <w:rFonts w:hint="eastAsia" w:ascii="宋体" w:hAnsi="宋体" w:cs="Arial"/>
                <w:b/>
                <w:color w:val="auto"/>
                <w:sz w:val="24"/>
                <w:highlight w:val="none"/>
              </w:rPr>
              <w:t>乙方(</w:t>
            </w:r>
            <w:r>
              <w:rPr>
                <w:rFonts w:hint="eastAsia" w:ascii="宋体" w:hAnsi="宋体" w:cs="Arial"/>
                <w:b/>
                <w:color w:val="auto"/>
                <w:sz w:val="24"/>
                <w:highlight w:val="none"/>
                <w:lang w:eastAsia="zh-CN"/>
              </w:rPr>
              <w:t>投标人</w:t>
            </w:r>
            <w:r>
              <w:rPr>
                <w:rFonts w:hint="eastAsia" w:ascii="宋体" w:hAnsi="宋体" w:cs="Arial"/>
                <w:b/>
                <w:color w:val="auto"/>
                <w:sz w:val="24"/>
                <w:highlight w:val="none"/>
              </w:rPr>
              <w:t>公章)</w:t>
            </w:r>
          </w:p>
        </w:tc>
        <w:tc>
          <w:tcPr>
            <w:tcW w:w="7013" w:type="dxa"/>
            <w:vAlign w:val="center"/>
          </w:tcPr>
          <w:p w14:paraId="55AFACF5">
            <w:pPr>
              <w:rPr>
                <w:rFonts w:ascii="宋体" w:hAnsi="宋体"/>
                <w:b/>
                <w:color w:val="auto"/>
                <w:sz w:val="24"/>
                <w:highlight w:val="none"/>
              </w:rPr>
            </w:pPr>
            <w:r>
              <w:rPr>
                <w:rFonts w:hint="eastAsia" w:ascii="宋体" w:hAnsi="宋体" w:cs="Arial"/>
                <w:b/>
                <w:color w:val="auto"/>
                <w:sz w:val="24"/>
                <w:highlight w:val="none"/>
              </w:rPr>
              <w:t xml:space="preserve">名        称： </w:t>
            </w:r>
          </w:p>
        </w:tc>
      </w:tr>
      <w:tr w14:paraId="092F09FA">
        <w:tblPrEx>
          <w:tblCellMar>
            <w:top w:w="0" w:type="dxa"/>
            <w:left w:w="108" w:type="dxa"/>
            <w:bottom w:w="0" w:type="dxa"/>
            <w:right w:w="108" w:type="dxa"/>
          </w:tblCellMar>
        </w:tblPrEx>
        <w:trPr>
          <w:trHeight w:val="480" w:hRule="atLeast"/>
          <w:jc w:val="center"/>
        </w:trPr>
        <w:tc>
          <w:tcPr>
            <w:tcW w:w="2484" w:type="dxa"/>
            <w:vAlign w:val="center"/>
          </w:tcPr>
          <w:p w14:paraId="44732D3F">
            <w:pPr>
              <w:rPr>
                <w:rFonts w:ascii="宋体" w:hAnsi="宋体"/>
                <w:b/>
                <w:color w:val="auto"/>
                <w:sz w:val="24"/>
                <w:highlight w:val="none"/>
              </w:rPr>
            </w:pPr>
          </w:p>
        </w:tc>
        <w:tc>
          <w:tcPr>
            <w:tcW w:w="7013" w:type="dxa"/>
            <w:vAlign w:val="center"/>
          </w:tcPr>
          <w:p w14:paraId="724702A0">
            <w:pPr>
              <w:tabs>
                <w:tab w:val="left" w:pos="1657"/>
              </w:tabs>
              <w:rPr>
                <w:rFonts w:ascii="宋体" w:hAnsi="宋体" w:cs="Arial"/>
                <w:b/>
                <w:color w:val="auto"/>
                <w:sz w:val="24"/>
                <w:highlight w:val="none"/>
              </w:rPr>
            </w:pPr>
            <w:r>
              <w:rPr>
                <w:rFonts w:hint="eastAsia" w:ascii="宋体" w:hAnsi="宋体" w:cs="Arial"/>
                <w:b/>
                <w:color w:val="auto"/>
                <w:sz w:val="24"/>
                <w:highlight w:val="none"/>
              </w:rPr>
              <w:t>地    址：</w:t>
            </w:r>
          </w:p>
        </w:tc>
      </w:tr>
      <w:tr w14:paraId="07B65187">
        <w:tblPrEx>
          <w:tblCellMar>
            <w:top w:w="0" w:type="dxa"/>
            <w:left w:w="108" w:type="dxa"/>
            <w:bottom w:w="0" w:type="dxa"/>
            <w:right w:w="108" w:type="dxa"/>
          </w:tblCellMar>
        </w:tblPrEx>
        <w:trPr>
          <w:trHeight w:val="480" w:hRule="atLeast"/>
          <w:jc w:val="center"/>
        </w:trPr>
        <w:tc>
          <w:tcPr>
            <w:tcW w:w="2484" w:type="dxa"/>
            <w:vAlign w:val="center"/>
          </w:tcPr>
          <w:p w14:paraId="72BE5AF1">
            <w:pPr>
              <w:rPr>
                <w:rFonts w:ascii="宋体" w:hAnsi="宋体"/>
                <w:b/>
                <w:color w:val="auto"/>
                <w:sz w:val="24"/>
                <w:highlight w:val="none"/>
              </w:rPr>
            </w:pPr>
          </w:p>
        </w:tc>
        <w:tc>
          <w:tcPr>
            <w:tcW w:w="7013" w:type="dxa"/>
            <w:vAlign w:val="center"/>
          </w:tcPr>
          <w:p w14:paraId="43002B85">
            <w:pPr>
              <w:tabs>
                <w:tab w:val="left" w:pos="1657"/>
              </w:tabs>
              <w:rPr>
                <w:rFonts w:ascii="宋体" w:hAnsi="宋体" w:cs="Arial"/>
                <w:b/>
                <w:color w:val="auto"/>
                <w:sz w:val="24"/>
                <w:highlight w:val="none"/>
              </w:rPr>
            </w:pPr>
            <w:r>
              <w:rPr>
                <w:rFonts w:hint="eastAsia" w:ascii="宋体" w:hAnsi="宋体" w:cs="Arial"/>
                <w:b/>
                <w:color w:val="auto"/>
                <w:sz w:val="24"/>
                <w:highlight w:val="none"/>
              </w:rPr>
              <w:t>邮    编：</w:t>
            </w:r>
          </w:p>
        </w:tc>
      </w:tr>
      <w:tr w14:paraId="6FA2DA71">
        <w:tblPrEx>
          <w:tblCellMar>
            <w:top w:w="0" w:type="dxa"/>
            <w:left w:w="108" w:type="dxa"/>
            <w:bottom w:w="0" w:type="dxa"/>
            <w:right w:w="108" w:type="dxa"/>
          </w:tblCellMar>
        </w:tblPrEx>
        <w:trPr>
          <w:trHeight w:val="480" w:hRule="atLeast"/>
          <w:jc w:val="center"/>
        </w:trPr>
        <w:tc>
          <w:tcPr>
            <w:tcW w:w="2484" w:type="dxa"/>
            <w:vAlign w:val="center"/>
          </w:tcPr>
          <w:p w14:paraId="0907C330">
            <w:pPr>
              <w:rPr>
                <w:rFonts w:ascii="宋体" w:hAnsi="宋体"/>
                <w:b/>
                <w:color w:val="auto"/>
                <w:sz w:val="24"/>
                <w:highlight w:val="none"/>
              </w:rPr>
            </w:pPr>
          </w:p>
        </w:tc>
        <w:tc>
          <w:tcPr>
            <w:tcW w:w="7013" w:type="dxa"/>
            <w:vAlign w:val="center"/>
          </w:tcPr>
          <w:p w14:paraId="3C2CF641">
            <w:pPr>
              <w:tabs>
                <w:tab w:val="left" w:pos="1657"/>
              </w:tabs>
              <w:rPr>
                <w:rFonts w:ascii="宋体" w:hAnsi="宋体" w:cs="Arial"/>
                <w:b/>
                <w:color w:val="auto"/>
                <w:sz w:val="24"/>
                <w:highlight w:val="none"/>
              </w:rPr>
            </w:pPr>
            <w:r>
              <w:rPr>
                <w:rFonts w:hint="eastAsia" w:ascii="宋体" w:hAnsi="宋体" w:cs="Arial"/>
                <w:b/>
                <w:color w:val="auto"/>
                <w:sz w:val="24"/>
                <w:highlight w:val="none"/>
              </w:rPr>
              <w:t>法定代表人或委托代理人：</w:t>
            </w:r>
          </w:p>
        </w:tc>
      </w:tr>
      <w:tr w14:paraId="19878A43">
        <w:tblPrEx>
          <w:tblCellMar>
            <w:top w:w="0" w:type="dxa"/>
            <w:left w:w="108" w:type="dxa"/>
            <w:bottom w:w="0" w:type="dxa"/>
            <w:right w:w="108" w:type="dxa"/>
          </w:tblCellMar>
        </w:tblPrEx>
        <w:trPr>
          <w:trHeight w:val="480" w:hRule="atLeast"/>
          <w:jc w:val="center"/>
        </w:trPr>
        <w:tc>
          <w:tcPr>
            <w:tcW w:w="2484" w:type="dxa"/>
            <w:vAlign w:val="center"/>
          </w:tcPr>
          <w:p w14:paraId="221B2A47">
            <w:pPr>
              <w:rPr>
                <w:rFonts w:ascii="宋体" w:hAnsi="宋体"/>
                <w:b/>
                <w:color w:val="auto"/>
                <w:sz w:val="24"/>
                <w:highlight w:val="none"/>
              </w:rPr>
            </w:pPr>
          </w:p>
        </w:tc>
        <w:tc>
          <w:tcPr>
            <w:tcW w:w="7013" w:type="dxa"/>
            <w:vAlign w:val="center"/>
          </w:tcPr>
          <w:p w14:paraId="42DB92ED">
            <w:pPr>
              <w:tabs>
                <w:tab w:val="left" w:pos="1657"/>
              </w:tabs>
              <w:rPr>
                <w:rFonts w:ascii="宋体" w:hAnsi="宋体" w:cs="Arial"/>
                <w:b/>
                <w:color w:val="auto"/>
                <w:sz w:val="24"/>
                <w:highlight w:val="none"/>
              </w:rPr>
            </w:pPr>
            <w:r>
              <w:rPr>
                <w:rFonts w:hint="eastAsia" w:ascii="宋体" w:hAnsi="宋体" w:cs="Arial"/>
                <w:b/>
                <w:color w:val="auto"/>
                <w:sz w:val="24"/>
                <w:highlight w:val="none"/>
              </w:rPr>
              <w:t>项目(技术)负责人：</w:t>
            </w:r>
          </w:p>
        </w:tc>
      </w:tr>
      <w:tr w14:paraId="4B23AD52">
        <w:tblPrEx>
          <w:tblCellMar>
            <w:top w:w="0" w:type="dxa"/>
            <w:left w:w="108" w:type="dxa"/>
            <w:bottom w:w="0" w:type="dxa"/>
            <w:right w:w="108" w:type="dxa"/>
          </w:tblCellMar>
        </w:tblPrEx>
        <w:trPr>
          <w:trHeight w:val="480" w:hRule="atLeast"/>
          <w:jc w:val="center"/>
        </w:trPr>
        <w:tc>
          <w:tcPr>
            <w:tcW w:w="2484" w:type="dxa"/>
            <w:vAlign w:val="center"/>
          </w:tcPr>
          <w:p w14:paraId="5D08B777">
            <w:pPr>
              <w:rPr>
                <w:rFonts w:ascii="宋体" w:hAnsi="宋体"/>
                <w:b/>
                <w:color w:val="auto"/>
                <w:sz w:val="24"/>
                <w:highlight w:val="none"/>
              </w:rPr>
            </w:pPr>
          </w:p>
        </w:tc>
        <w:tc>
          <w:tcPr>
            <w:tcW w:w="7013" w:type="dxa"/>
            <w:vAlign w:val="center"/>
          </w:tcPr>
          <w:p w14:paraId="1A04B551">
            <w:pPr>
              <w:tabs>
                <w:tab w:val="left" w:pos="1657"/>
              </w:tabs>
              <w:rPr>
                <w:rFonts w:ascii="宋体" w:hAnsi="宋体" w:cs="Arial"/>
                <w:b/>
                <w:color w:val="auto"/>
                <w:sz w:val="24"/>
                <w:highlight w:val="none"/>
              </w:rPr>
            </w:pPr>
            <w:r>
              <w:rPr>
                <w:rFonts w:hint="eastAsia" w:ascii="宋体" w:hAnsi="宋体" w:cs="Arial"/>
                <w:b/>
                <w:color w:val="auto"/>
                <w:sz w:val="24"/>
                <w:highlight w:val="none"/>
              </w:rPr>
              <w:t>电    话：</w:t>
            </w:r>
          </w:p>
        </w:tc>
      </w:tr>
      <w:tr w14:paraId="488E8D1A">
        <w:tblPrEx>
          <w:tblCellMar>
            <w:top w:w="0" w:type="dxa"/>
            <w:left w:w="108" w:type="dxa"/>
            <w:bottom w:w="0" w:type="dxa"/>
            <w:right w:w="108" w:type="dxa"/>
          </w:tblCellMar>
        </w:tblPrEx>
        <w:trPr>
          <w:trHeight w:val="480" w:hRule="atLeast"/>
          <w:jc w:val="center"/>
        </w:trPr>
        <w:tc>
          <w:tcPr>
            <w:tcW w:w="2484" w:type="dxa"/>
            <w:vAlign w:val="center"/>
          </w:tcPr>
          <w:p w14:paraId="4BB9ED4C">
            <w:pPr>
              <w:rPr>
                <w:rFonts w:ascii="宋体" w:hAnsi="宋体"/>
                <w:b/>
                <w:color w:val="auto"/>
                <w:sz w:val="24"/>
                <w:highlight w:val="none"/>
              </w:rPr>
            </w:pPr>
          </w:p>
        </w:tc>
        <w:tc>
          <w:tcPr>
            <w:tcW w:w="7013" w:type="dxa"/>
            <w:vAlign w:val="center"/>
          </w:tcPr>
          <w:p w14:paraId="60576B92">
            <w:pPr>
              <w:tabs>
                <w:tab w:val="left" w:pos="1657"/>
              </w:tabs>
              <w:rPr>
                <w:rFonts w:ascii="宋体" w:hAnsi="宋体" w:cs="Arial"/>
                <w:b/>
                <w:color w:val="auto"/>
                <w:sz w:val="24"/>
                <w:highlight w:val="none"/>
              </w:rPr>
            </w:pPr>
            <w:r>
              <w:rPr>
                <w:rFonts w:hint="eastAsia" w:ascii="宋体" w:hAnsi="宋体" w:cs="Arial"/>
                <w:b/>
                <w:color w:val="auto"/>
                <w:sz w:val="24"/>
                <w:highlight w:val="none"/>
              </w:rPr>
              <w:t>开 户 银  行：</w:t>
            </w:r>
          </w:p>
        </w:tc>
      </w:tr>
      <w:tr w14:paraId="72EEE7CA">
        <w:tblPrEx>
          <w:tblCellMar>
            <w:top w:w="0" w:type="dxa"/>
            <w:left w:w="108" w:type="dxa"/>
            <w:bottom w:w="0" w:type="dxa"/>
            <w:right w:w="108" w:type="dxa"/>
          </w:tblCellMar>
        </w:tblPrEx>
        <w:trPr>
          <w:trHeight w:val="480" w:hRule="atLeast"/>
          <w:jc w:val="center"/>
        </w:trPr>
        <w:tc>
          <w:tcPr>
            <w:tcW w:w="2484" w:type="dxa"/>
            <w:vAlign w:val="center"/>
          </w:tcPr>
          <w:p w14:paraId="37B36AFF">
            <w:pPr>
              <w:rPr>
                <w:rFonts w:ascii="宋体" w:hAnsi="宋体"/>
                <w:b/>
                <w:color w:val="auto"/>
                <w:sz w:val="24"/>
                <w:highlight w:val="none"/>
              </w:rPr>
            </w:pPr>
          </w:p>
        </w:tc>
        <w:tc>
          <w:tcPr>
            <w:tcW w:w="7013" w:type="dxa"/>
            <w:vAlign w:val="center"/>
          </w:tcPr>
          <w:p w14:paraId="34AE4540">
            <w:pPr>
              <w:rPr>
                <w:rFonts w:ascii="宋体" w:hAnsi="宋体"/>
                <w:b/>
                <w:color w:val="auto"/>
                <w:sz w:val="24"/>
                <w:highlight w:val="none"/>
              </w:rPr>
            </w:pPr>
            <w:r>
              <w:rPr>
                <w:rFonts w:hint="eastAsia" w:ascii="宋体" w:hAnsi="宋体" w:cs="Arial"/>
                <w:b/>
                <w:color w:val="auto"/>
                <w:sz w:val="24"/>
                <w:highlight w:val="none"/>
              </w:rPr>
              <w:t>账    号：     </w:t>
            </w:r>
          </w:p>
        </w:tc>
      </w:tr>
      <w:tr w14:paraId="784D35C5">
        <w:tblPrEx>
          <w:tblCellMar>
            <w:top w:w="0" w:type="dxa"/>
            <w:left w:w="108" w:type="dxa"/>
            <w:bottom w:w="0" w:type="dxa"/>
            <w:right w:w="108" w:type="dxa"/>
          </w:tblCellMar>
        </w:tblPrEx>
        <w:trPr>
          <w:trHeight w:val="480" w:hRule="atLeast"/>
          <w:jc w:val="center"/>
        </w:trPr>
        <w:tc>
          <w:tcPr>
            <w:tcW w:w="2484" w:type="dxa"/>
            <w:vAlign w:val="center"/>
          </w:tcPr>
          <w:p w14:paraId="3B4B37E1">
            <w:pPr>
              <w:rPr>
                <w:rFonts w:ascii="宋体" w:hAnsi="宋体"/>
                <w:b/>
                <w:color w:val="auto"/>
                <w:sz w:val="24"/>
                <w:highlight w:val="none"/>
              </w:rPr>
            </w:pPr>
          </w:p>
        </w:tc>
        <w:tc>
          <w:tcPr>
            <w:tcW w:w="7013" w:type="dxa"/>
            <w:vAlign w:val="center"/>
          </w:tcPr>
          <w:p w14:paraId="1301E1A9">
            <w:pPr>
              <w:rPr>
                <w:rFonts w:ascii="宋体" w:hAnsi="宋体" w:cs="Arial"/>
                <w:b/>
                <w:color w:val="auto"/>
                <w:sz w:val="24"/>
                <w:highlight w:val="none"/>
              </w:rPr>
            </w:pPr>
          </w:p>
        </w:tc>
      </w:tr>
    </w:tbl>
    <w:p w14:paraId="32FD4C27">
      <w:pPr>
        <w:spacing w:line="360" w:lineRule="auto"/>
        <w:ind w:firstLine="482" w:firstLineChars="200"/>
        <w:jc w:val="center"/>
        <w:rPr>
          <w:rFonts w:ascii="宋体" w:hAnsi="宋体"/>
          <w:b/>
          <w:color w:val="auto"/>
          <w:sz w:val="24"/>
          <w:highlight w:val="none"/>
        </w:rPr>
      </w:pPr>
    </w:p>
    <w:p w14:paraId="0676D5F9">
      <w:pPr>
        <w:autoSpaceDE w:val="0"/>
        <w:autoSpaceDN w:val="0"/>
        <w:adjustRightInd w:val="0"/>
        <w:spacing w:line="640" w:lineRule="exact"/>
        <w:jc w:val="center"/>
        <w:rPr>
          <w:rFonts w:hint="eastAsia" w:ascii="宋体" w:hAnsi="宋体"/>
          <w:b/>
          <w:color w:val="auto"/>
          <w:sz w:val="32"/>
          <w:szCs w:val="32"/>
          <w:highlight w:val="none"/>
          <w:lang w:eastAsia="zh-CN"/>
        </w:rPr>
        <w:sectPr>
          <w:pgSz w:w="11907" w:h="16840"/>
          <w:pgMar w:top="1440" w:right="1080" w:bottom="1440" w:left="1080" w:header="850" w:footer="992" w:gutter="0"/>
          <w:cols w:space="720" w:num="1"/>
          <w:docGrid w:linePitch="286" w:charSpace="0"/>
        </w:sectPr>
      </w:pPr>
    </w:p>
    <w:p w14:paraId="34FED119">
      <w:pPr>
        <w:autoSpaceDE w:val="0"/>
        <w:autoSpaceDN w:val="0"/>
        <w:adjustRightInd w:val="0"/>
        <w:spacing w:line="640" w:lineRule="exact"/>
        <w:jc w:val="center"/>
        <w:rPr>
          <w:rFonts w:ascii="宋体" w:hAnsi="宋体"/>
          <w:b/>
          <w:color w:val="auto"/>
          <w:sz w:val="32"/>
          <w:szCs w:val="32"/>
          <w:highlight w:val="none"/>
        </w:rPr>
      </w:pPr>
      <w:r>
        <w:rPr>
          <w:rFonts w:hint="eastAsia" w:ascii="宋体" w:hAnsi="宋体"/>
          <w:b/>
          <w:color w:val="auto"/>
          <w:sz w:val="32"/>
          <w:szCs w:val="32"/>
          <w:highlight w:val="none"/>
          <w:lang w:eastAsia="zh-CN"/>
        </w:rPr>
        <w:t>禄劝彝族苗族自治县殡仪馆2026 —2028年遗体接运服务和殡仪业务服务项目</w:t>
      </w:r>
      <w:r>
        <w:rPr>
          <w:rFonts w:hint="eastAsia" w:ascii="宋体" w:hAnsi="宋体"/>
          <w:b/>
          <w:color w:val="auto"/>
          <w:sz w:val="32"/>
          <w:szCs w:val="32"/>
          <w:highlight w:val="none"/>
        </w:rPr>
        <w:t>业务合同</w:t>
      </w:r>
    </w:p>
    <w:p w14:paraId="603ED6A7">
      <w:pPr>
        <w:autoSpaceDE w:val="0"/>
        <w:autoSpaceDN w:val="0"/>
        <w:adjustRightInd w:val="0"/>
        <w:spacing w:line="640" w:lineRule="exact"/>
        <w:ind w:firstLine="480" w:firstLineChars="200"/>
        <w:rPr>
          <w:rFonts w:ascii="宋体" w:hAnsi="宋体"/>
          <w:color w:val="auto"/>
          <w:sz w:val="24"/>
          <w:highlight w:val="none"/>
        </w:rPr>
      </w:pPr>
    </w:p>
    <w:p w14:paraId="631436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63C097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6B223395">
      <w:pPr>
        <w:pStyle w:val="227"/>
        <w:spacing w:line="360" w:lineRule="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____________________ 根据《中华人民共和国民法典》《中华人民共和国政府采购法》等相关法律法规，甲乙双方本着平等自愿、公平诚信的原则，就乙方为甲方提供殡葬服务车辆运维及劳务人员服务事宜，签订本合同</w:t>
      </w:r>
      <w:r>
        <w:rPr>
          <w:rFonts w:hint="eastAsia" w:ascii="Segoe UI Emoji" w:hAnsi="Segoe UI Emoji" w:eastAsia="宋体" w:cs="Segoe UI Emoji"/>
          <w:i w:val="0"/>
          <w:iCs w:val="0"/>
          <w:caps w:val="0"/>
          <w:color w:val="000000"/>
          <w:spacing w:val="0"/>
          <w:sz w:val="24"/>
          <w:szCs w:val="24"/>
          <w:lang w:eastAsia="zh-CN"/>
        </w:rPr>
        <w:t>。</w:t>
      </w:r>
      <w:r>
        <w:rPr>
          <w:rFonts w:ascii="Segoe UI Emoji" w:hAnsi="Segoe UI Emoji" w:eastAsia="Segoe UI Emoji" w:cs="Segoe UI Emoji"/>
          <w:i w:val="0"/>
          <w:iCs w:val="0"/>
          <w:caps w:val="0"/>
          <w:color w:val="000000"/>
          <w:spacing w:val="0"/>
          <w:sz w:val="24"/>
          <w:szCs w:val="24"/>
        </w:rPr>
        <w:t>以资共同信守。</w:t>
      </w:r>
    </w:p>
    <w:p w14:paraId="69BE5425">
      <w:pPr>
        <w:pStyle w:val="227"/>
        <w:numPr>
          <w:ilvl w:val="0"/>
          <w:numId w:val="4"/>
        </w:numPr>
        <w:spacing w:line="360" w:lineRule="auto"/>
        <w:ind w:left="120" w:leftChars="0" w:firstLine="0" w:firstLineChars="0"/>
        <w:rPr>
          <w:rFonts w:ascii="Segoe UI Emoji" w:hAnsi="Segoe UI Emoji" w:eastAsia="Segoe UI Emoji" w:cs="Segoe UI Emoji"/>
          <w:b/>
          <w:bCs/>
          <w:i w:val="0"/>
          <w:iCs w:val="0"/>
          <w:caps w:val="0"/>
          <w:color w:val="000000"/>
          <w:spacing w:val="0"/>
          <w:sz w:val="24"/>
          <w:szCs w:val="24"/>
        </w:rPr>
      </w:pPr>
      <w:r>
        <w:rPr>
          <w:rFonts w:ascii="Segoe UI Emoji" w:hAnsi="Segoe UI Emoji" w:eastAsia="Segoe UI Emoji" w:cs="Segoe UI Emoji"/>
          <w:b/>
          <w:bCs/>
          <w:i w:val="0"/>
          <w:iCs w:val="0"/>
          <w:caps w:val="0"/>
          <w:color w:val="000000"/>
          <w:spacing w:val="0"/>
          <w:sz w:val="24"/>
          <w:szCs w:val="24"/>
        </w:rPr>
        <w:t xml:space="preserve">服务项目与内容 </w:t>
      </w:r>
    </w:p>
    <w:p w14:paraId="480BC6B0">
      <w:pPr>
        <w:pStyle w:val="227"/>
        <w:numPr>
          <w:ilvl w:val="0"/>
          <w:numId w:val="0"/>
        </w:numPr>
        <w:spacing w:line="360" w:lineRule="auto"/>
        <w:ind w:left="120" w:leftChars="0" w:firstLine="480" w:firstLineChars="200"/>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本项目包含车辆运维服务与劳务人员服务两部分，具体内容如下： </w:t>
      </w:r>
    </w:p>
    <w:p w14:paraId="13A7E96D">
      <w:pPr>
        <w:pStyle w:val="227"/>
        <w:numPr>
          <w:ilvl w:val="0"/>
          <w:numId w:val="5"/>
        </w:numPr>
        <w:spacing w:line="360" w:lineRule="auto"/>
        <w:ind w:left="240" w:leftChars="0" w:firstLine="0" w:firstLineChars="0"/>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车辆运维服务 乙方为甲方提供17辆服务车辆的全周期运维保障服务，具体包括： </w:t>
      </w:r>
    </w:p>
    <w:p w14:paraId="664E4AF8">
      <w:pPr>
        <w:pStyle w:val="227"/>
        <w:numPr>
          <w:ilvl w:val="0"/>
          <w:numId w:val="0"/>
        </w:numPr>
        <w:spacing w:line="360" w:lineRule="auto"/>
        <w:ind w:left="240" w:leftChars="0" w:firstLine="480" w:firstLineChars="200"/>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1. 车辆用油保障：按甲方车辆年度行驶需求，提供柴油、汽油供应服务，保障油耗符合测算标准（柴油车每公里耗油0.12升，汽油车每公里耗油0.08升），并建立用油台账，每月向甲方报送用油明细。</w:t>
      </w:r>
    </w:p>
    <w:p w14:paraId="42FEF99D">
      <w:pPr>
        <w:pStyle w:val="227"/>
        <w:numPr>
          <w:ilvl w:val="0"/>
          <w:numId w:val="0"/>
        </w:numPr>
        <w:spacing w:line="360" w:lineRule="auto"/>
        <w:ind w:left="240" w:leftChars="0"/>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w:t>
      </w:r>
      <w:r>
        <w:rPr>
          <w:rFonts w:hint="eastAsia" w:ascii="Segoe UI Emoji" w:hAnsi="Segoe UI Emoji" w:eastAsia="宋体" w:cs="Segoe UI Emoji"/>
          <w:i w:val="0"/>
          <w:iCs w:val="0"/>
          <w:caps w:val="0"/>
          <w:color w:val="000000"/>
          <w:spacing w:val="0"/>
          <w:sz w:val="24"/>
          <w:szCs w:val="24"/>
          <w:lang w:val="en-US" w:eastAsia="zh-CN"/>
        </w:rPr>
        <w:t xml:space="preserve">   </w:t>
      </w:r>
      <w:r>
        <w:rPr>
          <w:rFonts w:ascii="Segoe UI Emoji" w:hAnsi="Segoe UI Emoji" w:eastAsia="Segoe UI Emoji" w:cs="Segoe UI Emoji"/>
          <w:i w:val="0"/>
          <w:iCs w:val="0"/>
          <w:caps w:val="0"/>
          <w:color w:val="000000"/>
          <w:spacing w:val="0"/>
          <w:sz w:val="24"/>
          <w:szCs w:val="24"/>
        </w:rPr>
        <w:t xml:space="preserve">2. 车辆保险服务：按均价5500元/辆的标准，为所有车辆办理交强险、商业险等保险，确保车辆保险持续有效，无脱保情况。 </w:t>
      </w:r>
    </w:p>
    <w:p w14:paraId="134A81B7">
      <w:pPr>
        <w:pStyle w:val="227"/>
        <w:numPr>
          <w:ilvl w:val="0"/>
          <w:numId w:val="0"/>
        </w:numPr>
        <w:spacing w:line="360" w:lineRule="auto"/>
        <w:ind w:left="240" w:leftChars="0" w:firstLine="480" w:firstLineChars="200"/>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3. 车辆维修保养服务：按10000元/辆/年的标准，提供车辆定期保养、故障维修、配件更换服务，建立维修保养档案，定期向甲方反馈车辆状况。</w:t>
      </w:r>
    </w:p>
    <w:p w14:paraId="0D1C7CBF">
      <w:pPr>
        <w:pStyle w:val="227"/>
        <w:numPr>
          <w:ilvl w:val="0"/>
          <w:numId w:val="0"/>
        </w:numPr>
        <w:spacing w:line="360" w:lineRule="auto"/>
        <w:ind w:left="240" w:leftChars="0" w:firstLine="480" w:firstLineChars="200"/>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4. 车辆过路费保障：负责九龙、转龙等乡镇殡葬服务相关的车辆过路费支付与台账管理，按年度去世人数概算提供服务。 </w:t>
      </w:r>
    </w:p>
    <w:p w14:paraId="69D1B557">
      <w:pPr>
        <w:pStyle w:val="227"/>
        <w:numPr>
          <w:ilvl w:val="0"/>
          <w:numId w:val="0"/>
        </w:numPr>
        <w:spacing w:line="360" w:lineRule="auto"/>
        <w:ind w:firstLine="720" w:firstLineChars="300"/>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5. 车辆例保检验服务：按每辆车出车一次10元的标准，提供年度3500车次的车辆例保检验服务，确保车辆检验合格、合规运营。</w:t>
      </w:r>
    </w:p>
    <w:p w14:paraId="231206A1">
      <w:pPr>
        <w:pStyle w:val="227"/>
        <w:numPr>
          <w:ilvl w:val="0"/>
          <w:numId w:val="0"/>
        </w:numPr>
        <w:spacing w:line="360" w:lineRule="auto"/>
        <w:ind w:firstLine="720" w:firstLineChars="300"/>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6. 车辆驾驶员服务：乙方配备17名驾驶员，负责甲方车辆的日常驾驶、安全运营，保障殡葬服务用车需求。</w:t>
      </w:r>
    </w:p>
    <w:p w14:paraId="4A9F0187">
      <w:pPr>
        <w:pStyle w:val="227"/>
        <w:numPr>
          <w:ilvl w:val="0"/>
          <w:numId w:val="0"/>
        </w:numPr>
        <w:spacing w:line="360" w:lineRule="auto"/>
        <w:ind w:firstLine="720" w:firstLineChars="300"/>
        <w:rPr>
          <w:rFonts w:ascii="Segoe UI Emoji" w:hAnsi="Segoe UI Emoji" w:eastAsia="Segoe UI Emoji" w:cs="Segoe UI Emoji"/>
          <w:i w:val="0"/>
          <w:iCs w:val="0"/>
          <w:caps w:val="0"/>
          <w:color w:val="000000"/>
          <w:spacing w:val="0"/>
          <w:sz w:val="24"/>
          <w:szCs w:val="24"/>
        </w:rPr>
      </w:pPr>
    </w:p>
    <w:p w14:paraId="49F96E56">
      <w:pPr>
        <w:pStyle w:val="227"/>
        <w:numPr>
          <w:ilvl w:val="0"/>
          <w:numId w:val="0"/>
        </w:numPr>
        <w:spacing w:line="360" w:lineRule="auto"/>
        <w:ind w:firstLine="720" w:firstLineChars="300"/>
        <w:rPr>
          <w:rFonts w:ascii="Segoe UI Emoji" w:hAnsi="Segoe UI Emoji" w:eastAsia="Segoe UI Emoji" w:cs="Segoe UI Emoji"/>
          <w:i w:val="0"/>
          <w:iCs w:val="0"/>
          <w:caps w:val="0"/>
          <w:color w:val="000000"/>
          <w:spacing w:val="0"/>
          <w:sz w:val="24"/>
          <w:szCs w:val="24"/>
        </w:rPr>
      </w:pPr>
    </w:p>
    <w:p w14:paraId="1549CAA3">
      <w:pPr>
        <w:pStyle w:val="227"/>
        <w:numPr>
          <w:ilvl w:val="0"/>
          <w:numId w:val="0"/>
        </w:numPr>
        <w:spacing w:line="360" w:lineRule="auto"/>
        <w:ind w:firstLine="720" w:firstLineChars="300"/>
        <w:rPr>
          <w:rFonts w:ascii="Segoe UI Emoji" w:hAnsi="Segoe UI Emoji" w:eastAsia="Segoe UI Emoji" w:cs="Segoe UI Emoji"/>
          <w:i w:val="0"/>
          <w:iCs w:val="0"/>
          <w:caps w:val="0"/>
          <w:color w:val="000000"/>
          <w:spacing w:val="0"/>
          <w:sz w:val="24"/>
          <w:szCs w:val="24"/>
        </w:rPr>
      </w:pPr>
    </w:p>
    <w:p w14:paraId="472AC4DD">
      <w:pPr>
        <w:pStyle w:val="227"/>
        <w:numPr>
          <w:ilvl w:val="0"/>
          <w:numId w:val="0"/>
        </w:numPr>
        <w:spacing w:line="360" w:lineRule="auto"/>
        <w:ind w:firstLine="720" w:firstLineChars="300"/>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（二）劳务人员服务 乙方为甲方提供19名劳务人员的派遣与管理服务，覆盖以下岗位： </w:t>
      </w:r>
    </w:p>
    <w:tbl>
      <w:tblPr>
        <w:tblStyle w:val="3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66"/>
        <w:gridCol w:w="4049"/>
        <w:gridCol w:w="1038"/>
        <w:gridCol w:w="4234"/>
      </w:tblGrid>
      <w:tr w14:paraId="3BCC8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20FA202">
            <w:pPr>
              <w:keepNext w:val="0"/>
              <w:keepLines w:val="0"/>
              <w:widowControl/>
              <w:suppressLineNumbers w:val="0"/>
              <w:jc w:val="left"/>
              <w:rPr>
                <w:b/>
                <w:bCs/>
              </w:rPr>
            </w:pPr>
            <w:r>
              <w:rPr>
                <w:rFonts w:ascii="宋体" w:hAnsi="宋体" w:eastAsia="宋体" w:cs="宋体"/>
                <w:b/>
                <w:bCs/>
                <w:kern w:val="0"/>
                <w:sz w:val="24"/>
                <w:szCs w:val="24"/>
                <w:lang w:val="en-US" w:eastAsia="zh-CN" w:bidi="ar"/>
              </w:rPr>
              <w:t>序号</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858FE33">
            <w:pPr>
              <w:keepNext w:val="0"/>
              <w:keepLines w:val="0"/>
              <w:widowControl/>
              <w:suppressLineNumbers w:val="0"/>
              <w:jc w:val="left"/>
              <w:rPr>
                <w:b/>
                <w:bCs/>
              </w:rPr>
            </w:pPr>
            <w:r>
              <w:rPr>
                <w:rFonts w:ascii="宋体" w:hAnsi="宋体" w:eastAsia="宋体" w:cs="宋体"/>
                <w:b/>
                <w:bCs/>
                <w:kern w:val="0"/>
                <w:sz w:val="24"/>
                <w:szCs w:val="24"/>
                <w:lang w:val="en-US" w:eastAsia="zh-CN" w:bidi="ar"/>
              </w:rPr>
              <w:t>岗位</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A1B62BF">
            <w:pPr>
              <w:keepNext w:val="0"/>
              <w:keepLines w:val="0"/>
              <w:widowControl/>
              <w:suppressLineNumbers w:val="0"/>
              <w:jc w:val="left"/>
              <w:rPr>
                <w:b/>
                <w:bCs/>
              </w:rPr>
            </w:pPr>
            <w:r>
              <w:rPr>
                <w:rFonts w:ascii="宋体" w:hAnsi="宋体" w:eastAsia="宋体" w:cs="宋体"/>
                <w:b/>
                <w:bCs/>
                <w:kern w:val="0"/>
                <w:sz w:val="24"/>
                <w:szCs w:val="24"/>
                <w:lang w:val="en-US" w:eastAsia="zh-CN" w:bidi="ar"/>
              </w:rPr>
              <w:t>用工人数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6604600">
            <w:pPr>
              <w:keepNext w:val="0"/>
              <w:keepLines w:val="0"/>
              <w:widowControl/>
              <w:suppressLineNumbers w:val="0"/>
              <w:jc w:val="left"/>
              <w:rPr>
                <w:b/>
                <w:bCs/>
              </w:rPr>
            </w:pPr>
            <w:r>
              <w:rPr>
                <w:rFonts w:ascii="宋体" w:hAnsi="宋体" w:eastAsia="宋体" w:cs="宋体"/>
                <w:b/>
                <w:bCs/>
                <w:kern w:val="0"/>
                <w:sz w:val="24"/>
                <w:szCs w:val="24"/>
                <w:lang w:val="en-US" w:eastAsia="zh-CN" w:bidi="ar"/>
              </w:rPr>
              <w:t>服务内容</w:t>
            </w:r>
          </w:p>
        </w:tc>
      </w:tr>
      <w:tr w14:paraId="17B83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C34A414">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EC2391E">
            <w:pPr>
              <w:keepNext w:val="0"/>
              <w:keepLines w:val="0"/>
              <w:widowControl/>
              <w:suppressLineNumbers w:val="0"/>
              <w:jc w:val="left"/>
            </w:pPr>
            <w:r>
              <w:rPr>
                <w:rFonts w:ascii="宋体" w:hAnsi="宋体" w:eastAsia="宋体" w:cs="宋体"/>
                <w:kern w:val="0"/>
                <w:sz w:val="24"/>
                <w:szCs w:val="24"/>
                <w:lang w:val="en-US" w:eastAsia="zh-CN" w:bidi="ar"/>
              </w:rPr>
              <w:t>火化岗</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C8F451A">
            <w:pPr>
              <w:keepNext w:val="0"/>
              <w:keepLines w:val="0"/>
              <w:widowControl/>
              <w:suppressLineNumbers w:val="0"/>
              <w:jc w:val="left"/>
            </w:pPr>
            <w:r>
              <w:rPr>
                <w:rFonts w:ascii="宋体" w:hAnsi="宋体" w:eastAsia="宋体" w:cs="宋体"/>
                <w:kern w:val="0"/>
                <w:sz w:val="24"/>
                <w:szCs w:val="24"/>
                <w:lang w:val="en-US" w:eastAsia="zh-CN" w:bidi="ar"/>
              </w:rPr>
              <w:t>6</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801B1D3">
            <w:pPr>
              <w:keepNext w:val="0"/>
              <w:keepLines w:val="0"/>
              <w:widowControl/>
              <w:suppressLineNumbers w:val="0"/>
              <w:jc w:val="left"/>
            </w:pPr>
            <w:r>
              <w:rPr>
                <w:rFonts w:ascii="宋体" w:hAnsi="宋体" w:eastAsia="宋体" w:cs="宋体"/>
                <w:kern w:val="0"/>
                <w:sz w:val="24"/>
                <w:szCs w:val="24"/>
                <w:lang w:val="en-US" w:eastAsia="zh-CN" w:bidi="ar"/>
              </w:rPr>
              <w:t>遗体火化操作、设备维护、现场服务等</w:t>
            </w:r>
          </w:p>
        </w:tc>
      </w:tr>
      <w:tr w14:paraId="0F906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59D63C8">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5ACE61D">
            <w:pPr>
              <w:keepNext w:val="0"/>
              <w:keepLines w:val="0"/>
              <w:widowControl/>
              <w:suppressLineNumbers w:val="0"/>
              <w:jc w:val="left"/>
            </w:pPr>
            <w:r>
              <w:rPr>
                <w:rFonts w:ascii="宋体" w:hAnsi="宋体" w:eastAsia="宋体" w:cs="宋体"/>
                <w:kern w:val="0"/>
                <w:sz w:val="24"/>
                <w:szCs w:val="24"/>
                <w:lang w:val="en-US" w:eastAsia="zh-CN" w:bidi="ar"/>
              </w:rPr>
              <w:t>殡仪前台岗</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FE40AA3">
            <w:pPr>
              <w:keepNext w:val="0"/>
              <w:keepLines w:val="0"/>
              <w:widowControl/>
              <w:suppressLineNumbers w:val="0"/>
              <w:jc w:val="left"/>
            </w:pPr>
            <w:r>
              <w:rPr>
                <w:rFonts w:ascii="宋体" w:hAnsi="宋体" w:eastAsia="宋体" w:cs="宋体"/>
                <w:kern w:val="0"/>
                <w:sz w:val="24"/>
                <w:szCs w:val="24"/>
                <w:lang w:val="en-US" w:eastAsia="zh-CN" w:bidi="ar"/>
              </w:rPr>
              <w:t>4</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E23409D">
            <w:pPr>
              <w:keepNext w:val="0"/>
              <w:keepLines w:val="0"/>
              <w:widowControl/>
              <w:suppressLineNumbers w:val="0"/>
              <w:jc w:val="left"/>
            </w:pPr>
            <w:r>
              <w:rPr>
                <w:rFonts w:ascii="宋体" w:hAnsi="宋体" w:eastAsia="宋体" w:cs="宋体"/>
                <w:kern w:val="0"/>
                <w:sz w:val="24"/>
                <w:szCs w:val="24"/>
                <w:lang w:val="en-US" w:eastAsia="zh-CN" w:bidi="ar"/>
              </w:rPr>
              <w:t>业务接待、咨询引导、手续办理等</w:t>
            </w:r>
          </w:p>
        </w:tc>
      </w:tr>
      <w:tr w14:paraId="75769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994E2C1">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A6AEE87">
            <w:pPr>
              <w:keepNext w:val="0"/>
              <w:keepLines w:val="0"/>
              <w:widowControl/>
              <w:suppressLineNumbers w:val="0"/>
              <w:jc w:val="left"/>
            </w:pPr>
            <w:r>
              <w:rPr>
                <w:rFonts w:ascii="宋体" w:hAnsi="宋体" w:eastAsia="宋体" w:cs="宋体"/>
                <w:kern w:val="0"/>
                <w:sz w:val="24"/>
                <w:szCs w:val="24"/>
                <w:lang w:val="en-US" w:eastAsia="zh-CN" w:bidi="ar"/>
              </w:rPr>
              <w:t>安保岗</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FAFD4ED">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B1602A8">
            <w:pPr>
              <w:keepNext w:val="0"/>
              <w:keepLines w:val="0"/>
              <w:widowControl/>
              <w:suppressLineNumbers w:val="0"/>
              <w:jc w:val="left"/>
            </w:pPr>
            <w:r>
              <w:rPr>
                <w:rFonts w:ascii="宋体" w:hAnsi="宋体" w:eastAsia="宋体" w:cs="宋体"/>
                <w:kern w:val="0"/>
                <w:sz w:val="24"/>
                <w:szCs w:val="24"/>
                <w:lang w:val="en-US" w:eastAsia="zh-CN" w:bidi="ar"/>
              </w:rPr>
              <w:t>园区安全值守、秩序维护、应急处置等</w:t>
            </w:r>
          </w:p>
        </w:tc>
      </w:tr>
      <w:tr w14:paraId="17DE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C34FCBF">
            <w:pPr>
              <w:keepNext w:val="0"/>
              <w:keepLines w:val="0"/>
              <w:widowControl/>
              <w:suppressLineNumbers w:val="0"/>
              <w:jc w:val="left"/>
            </w:pPr>
            <w:r>
              <w:rPr>
                <w:rFonts w:ascii="宋体" w:hAnsi="宋体" w:eastAsia="宋体" w:cs="宋体"/>
                <w:kern w:val="0"/>
                <w:sz w:val="24"/>
                <w:szCs w:val="24"/>
                <w:lang w:val="en-US" w:eastAsia="zh-CN" w:bidi="ar"/>
              </w:rPr>
              <w:t>4</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A66D139">
            <w:pPr>
              <w:keepNext w:val="0"/>
              <w:keepLines w:val="0"/>
              <w:widowControl/>
              <w:suppressLineNumbers w:val="0"/>
              <w:jc w:val="left"/>
            </w:pPr>
            <w:r>
              <w:rPr>
                <w:rFonts w:ascii="宋体" w:hAnsi="宋体" w:eastAsia="宋体" w:cs="宋体"/>
                <w:kern w:val="0"/>
                <w:sz w:val="24"/>
                <w:szCs w:val="24"/>
                <w:lang w:val="en-US" w:eastAsia="zh-CN" w:bidi="ar"/>
              </w:rPr>
              <w:t>保洁岗</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E09B3D2">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B96C723">
            <w:pPr>
              <w:keepNext w:val="0"/>
              <w:keepLines w:val="0"/>
              <w:widowControl/>
              <w:suppressLineNumbers w:val="0"/>
              <w:jc w:val="left"/>
            </w:pPr>
            <w:r>
              <w:rPr>
                <w:rFonts w:ascii="宋体" w:hAnsi="宋体" w:eastAsia="宋体" w:cs="宋体"/>
                <w:kern w:val="0"/>
                <w:sz w:val="24"/>
                <w:szCs w:val="24"/>
                <w:lang w:val="en-US" w:eastAsia="zh-CN" w:bidi="ar"/>
              </w:rPr>
              <w:t>园区公共区域、服务场所日常保洁、环境维护等</w:t>
            </w:r>
          </w:p>
        </w:tc>
      </w:tr>
      <w:tr w14:paraId="16C3C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2A58BC5">
            <w:pPr>
              <w:keepNext w:val="0"/>
              <w:keepLines w:val="0"/>
              <w:widowControl/>
              <w:suppressLineNumbers w:val="0"/>
              <w:jc w:val="left"/>
            </w:pPr>
            <w:r>
              <w:rPr>
                <w:rFonts w:ascii="宋体" w:hAnsi="宋体" w:eastAsia="宋体" w:cs="宋体"/>
                <w:kern w:val="0"/>
                <w:sz w:val="24"/>
                <w:szCs w:val="24"/>
                <w:lang w:val="en-US" w:eastAsia="zh-CN" w:bidi="ar"/>
              </w:rPr>
              <w:t>5</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B7272A0">
            <w:pPr>
              <w:keepNext w:val="0"/>
              <w:keepLines w:val="0"/>
              <w:widowControl/>
              <w:suppressLineNumbers w:val="0"/>
              <w:jc w:val="left"/>
            </w:pPr>
            <w:r>
              <w:rPr>
                <w:rFonts w:ascii="宋体" w:hAnsi="宋体" w:eastAsia="宋体" w:cs="宋体"/>
                <w:kern w:val="0"/>
                <w:sz w:val="24"/>
                <w:szCs w:val="24"/>
                <w:lang w:val="en-US" w:eastAsia="zh-CN" w:bidi="ar"/>
              </w:rPr>
              <w:t>绿化维护岗</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7E37E7D">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02AAD78">
            <w:pPr>
              <w:keepNext w:val="0"/>
              <w:keepLines w:val="0"/>
              <w:widowControl/>
              <w:suppressLineNumbers w:val="0"/>
              <w:jc w:val="left"/>
            </w:pPr>
            <w:r>
              <w:rPr>
                <w:rFonts w:ascii="宋体" w:hAnsi="宋体" w:eastAsia="宋体" w:cs="宋体"/>
                <w:kern w:val="0"/>
                <w:sz w:val="24"/>
                <w:szCs w:val="24"/>
                <w:lang w:val="en-US" w:eastAsia="zh-CN" w:bidi="ar"/>
              </w:rPr>
              <w:t>园区绿化养护、植被修剪、环境美化等</w:t>
            </w:r>
          </w:p>
        </w:tc>
      </w:tr>
      <w:tr w14:paraId="2A07F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5E00195">
            <w:pPr>
              <w:keepNext w:val="0"/>
              <w:keepLines w:val="0"/>
              <w:widowControl/>
              <w:suppressLineNumbers w:val="0"/>
              <w:jc w:val="left"/>
            </w:pPr>
            <w:r>
              <w:rPr>
                <w:rFonts w:ascii="宋体" w:hAnsi="宋体" w:eastAsia="宋体" w:cs="宋体"/>
                <w:kern w:val="0"/>
                <w:sz w:val="24"/>
                <w:szCs w:val="24"/>
                <w:lang w:val="en-US" w:eastAsia="zh-CN" w:bidi="ar"/>
              </w:rPr>
              <w:t>6</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4E6E9E1">
            <w:pPr>
              <w:keepNext w:val="0"/>
              <w:keepLines w:val="0"/>
              <w:widowControl/>
              <w:suppressLineNumbers w:val="0"/>
              <w:jc w:val="left"/>
            </w:pPr>
            <w:r>
              <w:rPr>
                <w:rFonts w:ascii="宋体" w:hAnsi="宋体" w:eastAsia="宋体" w:cs="宋体"/>
                <w:kern w:val="0"/>
                <w:sz w:val="24"/>
                <w:szCs w:val="24"/>
                <w:lang w:val="en-US" w:eastAsia="zh-CN" w:bidi="ar"/>
              </w:rPr>
              <w:t>遗体收殓岗（含面容清理、化妆和吊唁服务）</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841D7C9">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839A618">
            <w:pPr>
              <w:keepNext w:val="0"/>
              <w:keepLines w:val="0"/>
              <w:widowControl/>
              <w:suppressLineNumbers w:val="0"/>
              <w:jc w:val="left"/>
            </w:pPr>
            <w:r>
              <w:rPr>
                <w:rFonts w:ascii="宋体" w:hAnsi="宋体" w:eastAsia="宋体" w:cs="宋体"/>
                <w:kern w:val="0"/>
                <w:sz w:val="24"/>
                <w:szCs w:val="24"/>
                <w:lang w:val="en-US" w:eastAsia="zh-CN" w:bidi="ar"/>
              </w:rPr>
              <w:t>遗体收殓、面容整理、化妆、吊唁服务保障等</w:t>
            </w:r>
          </w:p>
        </w:tc>
      </w:tr>
      <w:tr w14:paraId="69067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16C213E">
            <w:pPr>
              <w:keepNext w:val="0"/>
              <w:keepLines w:val="0"/>
              <w:widowControl/>
              <w:suppressLineNumbers w:val="0"/>
              <w:jc w:val="left"/>
            </w:pPr>
            <w:r>
              <w:rPr>
                <w:rFonts w:ascii="宋体" w:hAnsi="宋体" w:eastAsia="宋体" w:cs="宋体"/>
                <w:kern w:val="0"/>
                <w:sz w:val="24"/>
                <w:szCs w:val="24"/>
                <w:lang w:val="en-US" w:eastAsia="zh-CN" w:bidi="ar"/>
              </w:rPr>
              <w:t>7</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ABA0958">
            <w:pPr>
              <w:keepNext w:val="0"/>
              <w:keepLines w:val="0"/>
              <w:widowControl/>
              <w:suppressLineNumbers w:val="0"/>
              <w:jc w:val="left"/>
            </w:pPr>
            <w:r>
              <w:rPr>
                <w:rFonts w:ascii="宋体" w:hAnsi="宋体" w:eastAsia="宋体" w:cs="宋体"/>
                <w:kern w:val="0"/>
                <w:sz w:val="24"/>
                <w:szCs w:val="24"/>
                <w:lang w:val="en-US" w:eastAsia="zh-CN" w:bidi="ar"/>
              </w:rPr>
              <w:t>遗体（骨灰）接运管理岗</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2EFD896">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2BEAB73">
            <w:pPr>
              <w:keepNext w:val="0"/>
              <w:keepLines w:val="0"/>
              <w:widowControl/>
              <w:suppressLineNumbers w:val="0"/>
              <w:jc w:val="left"/>
            </w:pPr>
            <w:r>
              <w:rPr>
                <w:rFonts w:ascii="宋体" w:hAnsi="宋体" w:eastAsia="宋体" w:cs="宋体"/>
                <w:kern w:val="0"/>
                <w:sz w:val="24"/>
                <w:szCs w:val="24"/>
                <w:lang w:val="en-US" w:eastAsia="zh-CN" w:bidi="ar"/>
              </w:rPr>
              <w:t>遗体 / 骨灰接运调度、流程管理、服务保障等</w:t>
            </w:r>
          </w:p>
        </w:tc>
      </w:tr>
    </w:tbl>
    <w:p w14:paraId="0C9AB598">
      <w:pPr>
        <w:pStyle w:val="227"/>
        <w:numPr>
          <w:ilvl w:val="0"/>
          <w:numId w:val="0"/>
        </w:numPr>
        <w:spacing w:line="360" w:lineRule="auto"/>
        <w:ind w:firstLine="720" w:firstLineChars="300"/>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乙方负责劳务人员的招聘、培训、薪酬发放、社保缴纳、日常管理及应急替补，确保人员稳定在岗，符合甲方服务标准。 </w:t>
      </w:r>
    </w:p>
    <w:p w14:paraId="3E66D82A">
      <w:pPr>
        <w:pStyle w:val="227"/>
        <w:numPr>
          <w:ilvl w:val="0"/>
          <w:numId w:val="4"/>
        </w:numPr>
        <w:spacing w:line="360" w:lineRule="auto"/>
        <w:ind w:left="120" w:leftChars="0" w:firstLine="0" w:firstLineChars="0"/>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b/>
          <w:bCs/>
          <w:i w:val="0"/>
          <w:iCs w:val="0"/>
          <w:caps w:val="0"/>
          <w:color w:val="000000"/>
          <w:spacing w:val="0"/>
          <w:sz w:val="24"/>
          <w:szCs w:val="24"/>
        </w:rPr>
        <w:t>服务期限</w:t>
      </w:r>
      <w:r>
        <w:rPr>
          <w:rFonts w:ascii="Segoe UI Emoji" w:hAnsi="Segoe UI Emoji" w:eastAsia="Segoe UI Emoji" w:cs="Segoe UI Emoji"/>
          <w:i w:val="0"/>
          <w:iCs w:val="0"/>
          <w:caps w:val="0"/>
          <w:color w:val="000000"/>
          <w:spacing w:val="0"/>
          <w:sz w:val="24"/>
          <w:szCs w:val="24"/>
        </w:rPr>
        <w:t xml:space="preserve"> </w:t>
      </w:r>
    </w:p>
    <w:p w14:paraId="2833209E">
      <w:pPr>
        <w:pStyle w:val="227"/>
        <w:numPr>
          <w:ilvl w:val="0"/>
          <w:numId w:val="0"/>
        </w:numPr>
        <w:spacing w:line="360" w:lineRule="auto"/>
        <w:ind w:left="120" w:leftChars="0" w:firstLine="240" w:firstLineChars="100"/>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本合同服务期限自____年__月__日起至____年__月__日止，共计__年。 合同期满前30日，双方可协商续约事宜，如无异议，可续签合同；如一方不再续约，应提前30日书面通知对方。  </w:t>
      </w:r>
      <w:r>
        <w:rPr>
          <w:rFonts w:ascii="Segoe UI Emoji" w:hAnsi="Segoe UI Emoji" w:eastAsia="Segoe UI Emoji" w:cs="Segoe UI Emoji"/>
          <w:b/>
          <w:bCs/>
          <w:i w:val="0"/>
          <w:iCs w:val="0"/>
          <w:caps w:val="0"/>
          <w:color w:val="000000"/>
          <w:spacing w:val="0"/>
          <w:sz w:val="24"/>
          <w:szCs w:val="24"/>
        </w:rPr>
        <w:t>三、合同金额与支付方式</w:t>
      </w:r>
      <w:r>
        <w:rPr>
          <w:rFonts w:ascii="Segoe UI Emoji" w:hAnsi="Segoe UI Emoji" w:eastAsia="Segoe UI Emoji" w:cs="Segoe UI Emoji"/>
          <w:i w:val="0"/>
          <w:iCs w:val="0"/>
          <w:caps w:val="0"/>
          <w:color w:val="000000"/>
          <w:spacing w:val="0"/>
          <w:sz w:val="24"/>
          <w:szCs w:val="24"/>
        </w:rPr>
        <w:t xml:space="preserve"> </w:t>
      </w:r>
    </w:p>
    <w:p w14:paraId="5DFA1FBD">
      <w:pPr>
        <w:pStyle w:val="227"/>
        <w:numPr>
          <w:ilvl w:val="0"/>
          <w:numId w:val="6"/>
        </w:numPr>
        <w:spacing w:line="360" w:lineRule="auto"/>
        <w:ind w:left="480" w:leftChars="0" w:firstLine="0" w:firstLineChars="0"/>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合同总金额 本合同年度总金额为人民币______元（大写：____________________元整），包含车辆运维费用、劳务人员人工成本、社保费用、劳务服务管理费等所有费用，具体明细如下： 1. 车辆运维服务费用：______元/年（含用油、保险、维修保养、过路费、驾驶员人工费、例保检验费）； 2. 劳务人员服务费用：______元/年（含人员薪资、单位缴纳社会保险、劳务服务管理费）。 （注：以上金额为双方确认的年度包干价，除双方书面确认的服务范围调整外，甲方无需支付额外费用。） </w:t>
      </w:r>
    </w:p>
    <w:p w14:paraId="73C85FDB">
      <w:pPr>
        <w:pStyle w:val="227"/>
        <w:numPr>
          <w:ilvl w:val="0"/>
          <w:numId w:val="6"/>
        </w:numPr>
        <w:spacing w:line="360" w:lineRule="auto"/>
        <w:ind w:left="480" w:leftChars="0" w:firstLine="0" w:firstLineChars="0"/>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支付方式 1. 支付周期：按季度/半年度/年度支付，乙方按合同约定完成当期服务后，向甲方提交付款申请及相关凭证（费用明细、服务记录、社保缴纳证明等）。</w:t>
      </w:r>
      <w:r>
        <w:rPr>
          <w:rFonts w:hint="eastAsia" w:ascii="Segoe UI Emoji" w:hAnsi="Segoe UI Emoji" w:eastAsia="Segoe UI Emoji" w:cs="Segoe UI Emoji"/>
          <w:i w:val="0"/>
          <w:iCs w:val="0"/>
          <w:caps w:val="0"/>
          <w:color w:val="000000"/>
          <w:spacing w:val="0"/>
          <w:sz w:val="24"/>
          <w:szCs w:val="24"/>
          <w:lang w:val="en-US" w:eastAsia="zh-Hans"/>
        </w:rPr>
        <w:t>2.</w:t>
      </w:r>
      <w:r>
        <w:rPr>
          <w:rFonts w:ascii="Segoe UI Emoji" w:hAnsi="Segoe UI Emoji" w:eastAsia="Segoe UI Emoji" w:cs="Segoe UI Emoji"/>
          <w:i w:val="0"/>
          <w:iCs w:val="0"/>
          <w:caps w:val="0"/>
          <w:color w:val="000000"/>
          <w:spacing w:val="0"/>
          <w:sz w:val="24"/>
          <w:szCs w:val="24"/>
        </w:rPr>
        <w:t>支付流程：甲方收到乙方付款申请及合格凭证后，在__个工作日内完成审核，审核通过后__个工作日内，将对应款项支付至乙方指定账户。</w:t>
      </w:r>
      <w:r>
        <w:rPr>
          <w:rFonts w:hint="eastAsia" w:ascii="Segoe UI Emoji" w:hAnsi="Segoe UI Emoji" w:eastAsia="Segoe UI Emoji" w:cs="Segoe UI Emoji"/>
          <w:i w:val="0"/>
          <w:iCs w:val="0"/>
          <w:caps w:val="0"/>
          <w:color w:val="000000"/>
          <w:spacing w:val="0"/>
          <w:sz w:val="24"/>
          <w:szCs w:val="24"/>
          <w:lang w:val="en-US" w:eastAsia="zh-Hans"/>
        </w:rPr>
        <w:t>3.</w:t>
      </w:r>
      <w:r>
        <w:rPr>
          <w:rFonts w:ascii="Segoe UI Emoji" w:hAnsi="Segoe UI Emoji" w:eastAsia="Segoe UI Emoji" w:cs="Segoe UI Emoji"/>
          <w:i w:val="0"/>
          <w:iCs w:val="0"/>
          <w:caps w:val="0"/>
          <w:color w:val="000000"/>
          <w:spacing w:val="0"/>
          <w:sz w:val="24"/>
          <w:szCs w:val="24"/>
        </w:rPr>
        <w:t xml:space="preserve">乙方账户信息： 开户名：____________________ 开户行：____________________ 账号：____________________ </w:t>
      </w:r>
    </w:p>
    <w:p w14:paraId="57D559C0">
      <w:pPr>
        <w:pStyle w:val="227"/>
        <w:numPr>
          <w:ilvl w:val="0"/>
          <w:numId w:val="0"/>
        </w:numPr>
        <w:spacing w:line="360" w:lineRule="auto"/>
        <w:ind w:left="120" w:leftChars="0"/>
        <w:rPr>
          <w:rFonts w:ascii="Segoe UI Emoji" w:hAnsi="Segoe UI Emoji" w:eastAsia="Segoe UI Emoji" w:cs="Segoe UI Emoji"/>
          <w:b/>
          <w:bCs/>
          <w:i w:val="0"/>
          <w:iCs w:val="0"/>
          <w:caps w:val="0"/>
          <w:color w:val="000000"/>
          <w:spacing w:val="0"/>
          <w:sz w:val="24"/>
          <w:szCs w:val="24"/>
        </w:rPr>
      </w:pPr>
      <w:r>
        <w:rPr>
          <w:rFonts w:hint="eastAsia" w:ascii="Segoe UI Emoji" w:hAnsi="Segoe UI Emoji" w:eastAsia="宋体" w:cs="Segoe UI Emoji"/>
          <w:b/>
          <w:bCs/>
          <w:i w:val="0"/>
          <w:iCs w:val="0"/>
          <w:caps w:val="0"/>
          <w:color w:val="000000"/>
          <w:spacing w:val="0"/>
          <w:sz w:val="24"/>
          <w:szCs w:val="24"/>
          <w:lang w:val="en-US" w:eastAsia="zh-CN"/>
        </w:rPr>
        <w:t>四、</w:t>
      </w:r>
      <w:r>
        <w:rPr>
          <w:rFonts w:ascii="Segoe UI Emoji" w:hAnsi="Segoe UI Emoji" w:eastAsia="Segoe UI Emoji" w:cs="Segoe UI Emoji"/>
          <w:b/>
          <w:bCs/>
          <w:i w:val="0"/>
          <w:iCs w:val="0"/>
          <w:caps w:val="0"/>
          <w:color w:val="000000"/>
          <w:spacing w:val="0"/>
          <w:sz w:val="24"/>
          <w:szCs w:val="24"/>
        </w:rPr>
        <w:t>双方权利与义务</w:t>
      </w:r>
    </w:p>
    <w:p w14:paraId="3E9D540B">
      <w:pPr>
        <w:pStyle w:val="227"/>
        <w:numPr>
          <w:ilvl w:val="0"/>
          <w:numId w:val="0"/>
        </w:numPr>
        <w:spacing w:line="360" w:lineRule="auto"/>
        <w:ind w:left="120" w:leftChars="0"/>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（一）甲方权利与义务 1. 有权对乙方的服务质量、人员配置、车辆运维情况进行监督、检查和考核，对不符合合同约定的事项，有权要求乙方限期整改。 2. 按合同约定及时支付服务费用，为乙方提供必要的服务场地和工作条件。 3. 明确各岗位服务标准和工作要求，及时向乙方反馈服务中存在的问题。 4. 不得要求乙方人员从事合同约定以外的违法违规工作，不得克扣、拖欠乙方人员的合理待遇。</w:t>
      </w:r>
    </w:p>
    <w:p w14:paraId="4EF9745D">
      <w:pPr>
        <w:pStyle w:val="227"/>
        <w:numPr>
          <w:ilvl w:val="0"/>
          <w:numId w:val="0"/>
        </w:numPr>
        <w:spacing w:line="360" w:lineRule="auto"/>
        <w:ind w:left="120" w:leftChars="0"/>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（二）乙方权利与义务 1. 严格按照合同约定提供服务，确保车辆运维合规、劳务人员服务达标，建立完善的服务台账，定期向甲方报送服务情况。 2. 负责车辆的日常安全管理、维修保养、保险续保，确保车辆性能良好、合规运营；负责劳务人员的薪酬发放、社保缴纳，按测算标准足额支付人员待遇，无拖欠、漏缴情况。 3. 建立应急保障机制：车辆故障/维修时，及时提供备用车辆；劳务人员缺位时，24小时内完成替补，确保服务不中断。 4. 负责服务人员的岗前培训、安全培训、服务礼仪培训，确保人员具备相应岗位技能和职业素养；负责服务过程中的安全责任，因乙方操作不当、人员违规造成的安全事故，由乙方承担全部责任。 5. 接受甲方的监督、检查和考核，对甲方提出的整改要求，应在__个工作日内完成整改并反馈。 </w:t>
      </w:r>
    </w:p>
    <w:p w14:paraId="60C35672">
      <w:pPr>
        <w:pStyle w:val="227"/>
        <w:numPr>
          <w:ilvl w:val="0"/>
          <w:numId w:val="0"/>
        </w:numPr>
        <w:spacing w:line="360" w:lineRule="auto"/>
        <w:ind w:left="120" w:leftChars="0"/>
        <w:rPr>
          <w:rFonts w:ascii="Segoe UI Emoji" w:hAnsi="Segoe UI Emoji" w:eastAsia="Segoe UI Emoji" w:cs="Segoe UI Emoji"/>
          <w:b/>
          <w:bCs/>
          <w:i w:val="0"/>
          <w:iCs w:val="0"/>
          <w:caps w:val="0"/>
          <w:color w:val="000000"/>
          <w:spacing w:val="0"/>
          <w:sz w:val="24"/>
          <w:szCs w:val="24"/>
        </w:rPr>
      </w:pPr>
      <w:r>
        <w:rPr>
          <w:rFonts w:ascii="Segoe UI Emoji" w:hAnsi="Segoe UI Emoji" w:eastAsia="Segoe UI Emoji" w:cs="Segoe UI Emoji"/>
          <w:b/>
          <w:bCs/>
          <w:i w:val="0"/>
          <w:iCs w:val="0"/>
          <w:caps w:val="0"/>
          <w:color w:val="000000"/>
          <w:spacing w:val="0"/>
          <w:sz w:val="24"/>
          <w:szCs w:val="24"/>
        </w:rPr>
        <w:t xml:space="preserve">五、服务标准与考核 </w:t>
      </w:r>
    </w:p>
    <w:p w14:paraId="5D773080">
      <w:pPr>
        <w:pStyle w:val="227"/>
        <w:numPr>
          <w:ilvl w:val="0"/>
          <w:numId w:val="0"/>
        </w:numPr>
        <w:spacing w:line="360" w:lineRule="auto"/>
        <w:ind w:left="120" w:leftChars="0" w:firstLine="240" w:firstLineChars="100"/>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车辆运维服务标准*：车辆用油、保险、维修保养、检验等费用支出合规，台账清晰； - 车辆完好率≥95%，故障响应时间≤2小时，应急抢修及时； 驾驶员无重大交通违法记录，服务规范，无安全事故。 </w:t>
      </w:r>
    </w:p>
    <w:p w14:paraId="4E352D99">
      <w:pPr>
        <w:pStyle w:val="227"/>
        <w:numPr>
          <w:ilvl w:val="0"/>
          <w:numId w:val="0"/>
        </w:numPr>
        <w:spacing w:line="360" w:lineRule="auto"/>
        <w:ind w:left="120" w:leftChars="0" w:firstLine="240" w:firstLineChars="100"/>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2. 劳务人员服务标准：各岗位人员配置到位，在岗率100%，无长期缺岗情况； - 人员服务符合殡葬行业规范，态度良好，无有效投诉； 薪酬、社保按时足额发放缴纳，无违规用工情况。</w:t>
      </w:r>
    </w:p>
    <w:p w14:paraId="701FB756">
      <w:pPr>
        <w:pStyle w:val="227"/>
        <w:numPr>
          <w:ilvl w:val="0"/>
          <w:numId w:val="0"/>
        </w:numPr>
        <w:spacing w:line="360" w:lineRule="auto"/>
        <w:ind w:left="120" w:leftChars="0" w:firstLine="240" w:firstLineChars="100"/>
        <w:rPr>
          <w:rFonts w:ascii="Segoe UI Emoji" w:hAnsi="Segoe UI Emoji" w:eastAsia="Segoe UI Emoji" w:cs="Segoe UI Emoji"/>
          <w:b/>
          <w:bCs/>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3. 考核机制：甲方每季度对乙方服务进行考核，考核不合格的，甲方有权扣除当期__%的服务费用；连续两次考核不合格的，甲方有权单方解除合同，乙方需承担违约责任。 --- ## </w:t>
      </w:r>
      <w:r>
        <w:rPr>
          <w:rFonts w:ascii="Segoe UI Emoji" w:hAnsi="Segoe UI Emoji" w:eastAsia="Segoe UI Emoji" w:cs="Segoe UI Emoji"/>
          <w:b/>
          <w:bCs/>
          <w:i w:val="0"/>
          <w:iCs w:val="0"/>
          <w:caps w:val="0"/>
          <w:color w:val="000000"/>
          <w:spacing w:val="0"/>
          <w:sz w:val="24"/>
          <w:szCs w:val="24"/>
        </w:rPr>
        <w:t xml:space="preserve">六、违约责任 </w:t>
      </w:r>
    </w:p>
    <w:p w14:paraId="47F9D879">
      <w:pPr>
        <w:pStyle w:val="227"/>
        <w:numPr>
          <w:ilvl w:val="0"/>
          <w:numId w:val="0"/>
        </w:numPr>
        <w:spacing w:line="360" w:lineRule="auto"/>
        <w:ind w:left="120" w:leftChars="0" w:firstLine="240" w:firstLineChars="100"/>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甲方逾期支付服务费用的，每逾期一日，按应付未付金额的__‰向乙方支付违约金；逾期超过__日的，乙方有权暂停服务，由此造成的损失由甲方承担。 2. 乙方未按合同约定提供服务，或服务质量不达标，经甲方要求整改后仍未整改的，甲方有权扣除对应服务费用；造成甲方损失的，乙方应全额赔偿。 3. 乙方拖欠劳务人员薪酬、社保，或因违规用工引发纠纷的，由乙方承担全部责任，甲方有权单方解除合同，乙方需向甲方支付合同总金额__%的违约金。 4. 乙方未按约定保障车辆合规运营、发生重大安全事故或造成甲方声誉损失的，甲方有权单方解除合同，乙方需向甲方支付合同总金额__%的违约金，并赔偿甲方全部损失。 </w:t>
      </w:r>
      <w:r>
        <w:rPr>
          <w:rFonts w:ascii="Segoe UI Emoji" w:hAnsi="Segoe UI Emoji" w:eastAsia="Segoe UI Emoji" w:cs="Segoe UI Emoji"/>
          <w:b/>
          <w:bCs/>
          <w:i w:val="0"/>
          <w:iCs w:val="0"/>
          <w:caps w:val="0"/>
          <w:color w:val="000000"/>
          <w:spacing w:val="0"/>
          <w:sz w:val="24"/>
          <w:szCs w:val="24"/>
        </w:rPr>
        <w:t xml:space="preserve">七、合同变更与解除 </w:t>
      </w:r>
    </w:p>
    <w:p w14:paraId="71D5A142">
      <w:pPr>
        <w:pStyle w:val="227"/>
        <w:numPr>
          <w:ilvl w:val="0"/>
          <w:numId w:val="0"/>
        </w:numPr>
        <w:spacing w:line="360" w:lineRule="auto"/>
        <w:ind w:left="120" w:leftChars="0" w:firstLine="240" w:firstLineChars="100"/>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1. 任何一方需变更合同内容，应提前__日书面通知对方，经双方协商一致后，签订补充协议，补充协议与本合同具有同等法律效力。 2. 乙方出现下列情形之一的，甲方有权单方解除合同： - 服务考核连续两次不合格，整改后仍不达标； - 违规用工、拖欠人员薪酬社保，引发重大纠纷； - 车辆运维严重不达标，造成甲方服务中断或重大安全事故； - 擅自转包、分包本合同服务项目。 3. 甲方无故单方解除合同的，应向乙方支付合同总金额__%的违约金，并赔偿乙方的合理损失。 </w:t>
      </w:r>
    </w:p>
    <w:p w14:paraId="0CE69A46">
      <w:pPr>
        <w:pStyle w:val="227"/>
        <w:numPr>
          <w:ilvl w:val="0"/>
          <w:numId w:val="0"/>
        </w:numPr>
        <w:spacing w:line="360" w:lineRule="auto"/>
        <w:ind w:left="120" w:leftChars="0" w:firstLine="240" w:firstLineChars="100"/>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b/>
          <w:bCs/>
          <w:i w:val="0"/>
          <w:iCs w:val="0"/>
          <w:caps w:val="0"/>
          <w:color w:val="000000"/>
          <w:spacing w:val="0"/>
          <w:sz w:val="24"/>
          <w:szCs w:val="24"/>
        </w:rPr>
        <w:t xml:space="preserve"> 八、争议解决</w:t>
      </w:r>
      <w:r>
        <w:rPr>
          <w:rFonts w:ascii="Segoe UI Emoji" w:hAnsi="Segoe UI Emoji" w:eastAsia="Segoe UI Emoji" w:cs="Segoe UI Emoji"/>
          <w:i w:val="0"/>
          <w:iCs w:val="0"/>
          <w:caps w:val="0"/>
          <w:color w:val="000000"/>
          <w:spacing w:val="0"/>
          <w:sz w:val="24"/>
          <w:szCs w:val="24"/>
        </w:rPr>
        <w:t xml:space="preserve"> </w:t>
      </w:r>
    </w:p>
    <w:p w14:paraId="660477FC">
      <w:pPr>
        <w:pStyle w:val="227"/>
        <w:numPr>
          <w:ilvl w:val="0"/>
          <w:numId w:val="0"/>
        </w:numPr>
        <w:spacing w:line="360" w:lineRule="auto"/>
        <w:ind w:left="120" w:leftChars="0" w:firstLine="240" w:firstLineChars="100"/>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本合同履行过程中发生的争议，双方应首先友好协商解决；协商不成的，任何一方均可向甲方所在地人民法院提起诉讼。 </w:t>
      </w:r>
    </w:p>
    <w:p w14:paraId="7DBFD8DA">
      <w:pPr>
        <w:pStyle w:val="227"/>
        <w:numPr>
          <w:ilvl w:val="0"/>
          <w:numId w:val="7"/>
        </w:numPr>
        <w:spacing w:line="360" w:lineRule="auto"/>
        <w:ind w:left="480" w:leftChars="0" w:firstLine="0" w:firstLineChars="0"/>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b/>
          <w:bCs/>
          <w:i w:val="0"/>
          <w:iCs w:val="0"/>
          <w:caps w:val="0"/>
          <w:color w:val="000000"/>
          <w:spacing w:val="0"/>
          <w:sz w:val="24"/>
          <w:szCs w:val="24"/>
        </w:rPr>
        <w:t>其他条款</w:t>
      </w:r>
      <w:r>
        <w:rPr>
          <w:rFonts w:ascii="Segoe UI Emoji" w:hAnsi="Segoe UI Emoji" w:eastAsia="Segoe UI Emoji" w:cs="Segoe UI Emoji"/>
          <w:i w:val="0"/>
          <w:iCs w:val="0"/>
          <w:caps w:val="0"/>
          <w:color w:val="000000"/>
          <w:spacing w:val="0"/>
          <w:sz w:val="24"/>
          <w:szCs w:val="24"/>
        </w:rPr>
        <w:t xml:space="preserve"> 1. 本合同未尽事宜，双方可另行协商并签订补充协议，补充协议与本合同具有同等法律效力。 2. 本合同一式__份，甲方执__份，乙方执__份，自双方签字盖章之日起生效。 3. 乙方提交的投标文件、服务方案、报价明细等，为本合同的组成部分，与本合同具有同等法律效力。</w:t>
      </w:r>
    </w:p>
    <w:p w14:paraId="37F5269E">
      <w:pPr>
        <w:pStyle w:val="227"/>
        <w:numPr>
          <w:ilvl w:val="0"/>
          <w:numId w:val="0"/>
        </w:numPr>
        <w:spacing w:line="360" w:lineRule="auto"/>
        <w:ind w:left="480" w:leftChars="0" w:firstLine="240" w:firstLineChars="100"/>
        <w:rPr>
          <w:rFonts w:ascii="Segoe UI Emoji" w:hAnsi="Segoe UI Emoji" w:eastAsia="Segoe UI Emoji" w:cs="Segoe UI Emoji"/>
          <w:i w:val="0"/>
          <w:iCs w:val="0"/>
          <w:caps w:val="0"/>
          <w:color w:val="000000"/>
          <w:spacing w:val="0"/>
          <w:sz w:val="24"/>
          <w:szCs w:val="24"/>
        </w:rPr>
      </w:pPr>
    </w:p>
    <w:p w14:paraId="33E3960D">
      <w:pPr>
        <w:pStyle w:val="227"/>
        <w:keepNext w:val="0"/>
        <w:keepLines w:val="0"/>
        <w:pageBreakBefore w:val="0"/>
        <w:widowControl/>
        <w:numPr>
          <w:ilvl w:val="0"/>
          <w:numId w:val="0"/>
        </w:numPr>
        <w:kinsoku/>
        <w:wordWrap/>
        <w:overflowPunct/>
        <w:topLinePunct w:val="0"/>
        <w:autoSpaceDE/>
        <w:autoSpaceDN/>
        <w:bidi w:val="0"/>
        <w:adjustRightInd/>
        <w:snapToGrid/>
        <w:spacing w:line="360" w:lineRule="auto"/>
        <w:ind w:left="480" w:leftChars="0" w:firstLine="240" w:firstLineChars="1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甲方（盖章）：____________________</w:t>
      </w:r>
    </w:p>
    <w:p w14:paraId="24CC6BA9">
      <w:pPr>
        <w:pStyle w:val="227"/>
        <w:keepNext w:val="0"/>
        <w:keepLines w:val="0"/>
        <w:pageBreakBefore w:val="0"/>
        <w:widowControl/>
        <w:numPr>
          <w:ilvl w:val="0"/>
          <w:numId w:val="0"/>
        </w:numPr>
        <w:kinsoku/>
        <w:wordWrap/>
        <w:overflowPunct/>
        <w:topLinePunct w:val="0"/>
        <w:autoSpaceDE/>
        <w:autoSpaceDN/>
        <w:bidi w:val="0"/>
        <w:adjustRightInd/>
        <w:snapToGrid/>
        <w:spacing w:line="360" w:lineRule="auto"/>
        <w:ind w:left="480" w:leftChars="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w:t>
      </w:r>
      <w:r>
        <w:rPr>
          <w:rFonts w:hint="eastAsia" w:ascii="Segoe UI Emoji" w:hAnsi="Segoe UI Emoji" w:eastAsia="宋体" w:cs="Segoe UI Emoji"/>
          <w:i w:val="0"/>
          <w:iCs w:val="0"/>
          <w:caps w:val="0"/>
          <w:color w:val="000000"/>
          <w:spacing w:val="0"/>
          <w:sz w:val="24"/>
          <w:szCs w:val="24"/>
          <w:lang w:val="en-US" w:eastAsia="zh-CN"/>
        </w:rPr>
        <w:t xml:space="preserve"> </w:t>
      </w:r>
      <w:r>
        <w:rPr>
          <w:rFonts w:ascii="Segoe UI Emoji" w:hAnsi="Segoe UI Emoji" w:eastAsia="Segoe UI Emoji" w:cs="Segoe UI Emoji"/>
          <w:i w:val="0"/>
          <w:iCs w:val="0"/>
          <w:caps w:val="0"/>
          <w:color w:val="000000"/>
          <w:spacing w:val="0"/>
          <w:sz w:val="24"/>
          <w:szCs w:val="24"/>
        </w:rPr>
        <w:t>法定代表人/授权代表人（签字）：____________________</w:t>
      </w:r>
    </w:p>
    <w:p w14:paraId="127E2CEB">
      <w:pPr>
        <w:pStyle w:val="227"/>
        <w:keepNext w:val="0"/>
        <w:keepLines w:val="0"/>
        <w:pageBreakBefore w:val="0"/>
        <w:widowControl/>
        <w:numPr>
          <w:ilvl w:val="0"/>
          <w:numId w:val="0"/>
        </w:numPr>
        <w:kinsoku/>
        <w:wordWrap/>
        <w:overflowPunct/>
        <w:topLinePunct w:val="0"/>
        <w:autoSpaceDE/>
        <w:autoSpaceDN/>
        <w:bidi w:val="0"/>
        <w:adjustRightInd/>
        <w:snapToGrid/>
        <w:spacing w:line="360" w:lineRule="auto"/>
        <w:ind w:left="480" w:leftChars="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w:t>
      </w:r>
      <w:r>
        <w:rPr>
          <w:rFonts w:hint="eastAsia" w:ascii="Segoe UI Emoji" w:hAnsi="Segoe UI Emoji" w:eastAsia="宋体" w:cs="Segoe UI Emoji"/>
          <w:i w:val="0"/>
          <w:iCs w:val="0"/>
          <w:caps w:val="0"/>
          <w:color w:val="000000"/>
          <w:spacing w:val="0"/>
          <w:sz w:val="24"/>
          <w:szCs w:val="24"/>
          <w:lang w:val="en-US" w:eastAsia="zh-CN"/>
        </w:rPr>
        <w:t xml:space="preserve"> </w:t>
      </w:r>
      <w:r>
        <w:rPr>
          <w:rFonts w:ascii="Segoe UI Emoji" w:hAnsi="Segoe UI Emoji" w:eastAsia="Segoe UI Emoji" w:cs="Segoe UI Emoji"/>
          <w:i w:val="0"/>
          <w:iCs w:val="0"/>
          <w:caps w:val="0"/>
          <w:color w:val="000000"/>
          <w:spacing w:val="0"/>
          <w:sz w:val="24"/>
          <w:szCs w:val="24"/>
        </w:rPr>
        <w:t xml:space="preserve">签订日期：____年__月__日 </w:t>
      </w:r>
    </w:p>
    <w:p w14:paraId="1018278A">
      <w:pPr>
        <w:pStyle w:val="227"/>
        <w:keepNext w:val="0"/>
        <w:keepLines w:val="0"/>
        <w:pageBreakBefore w:val="0"/>
        <w:widowControl/>
        <w:numPr>
          <w:ilvl w:val="0"/>
          <w:numId w:val="0"/>
        </w:numPr>
        <w:kinsoku/>
        <w:wordWrap/>
        <w:overflowPunct/>
        <w:topLinePunct w:val="0"/>
        <w:autoSpaceDE/>
        <w:autoSpaceDN/>
        <w:bidi w:val="0"/>
        <w:adjustRightInd/>
        <w:snapToGrid/>
        <w:spacing w:line="360" w:lineRule="auto"/>
        <w:ind w:left="480" w:leftChars="0"/>
        <w:textAlignment w:val="auto"/>
        <w:rPr>
          <w:rFonts w:ascii="Segoe UI Emoji" w:hAnsi="Segoe UI Emoji" w:eastAsia="Segoe UI Emoji" w:cs="Segoe UI Emoji"/>
          <w:i w:val="0"/>
          <w:iCs w:val="0"/>
          <w:caps w:val="0"/>
          <w:color w:val="000000"/>
          <w:spacing w:val="0"/>
          <w:sz w:val="24"/>
          <w:szCs w:val="24"/>
        </w:rPr>
      </w:pPr>
    </w:p>
    <w:p w14:paraId="67CC5571">
      <w:pPr>
        <w:pStyle w:val="227"/>
        <w:keepNext w:val="0"/>
        <w:keepLines w:val="0"/>
        <w:pageBreakBefore w:val="0"/>
        <w:widowControl/>
        <w:numPr>
          <w:ilvl w:val="0"/>
          <w:numId w:val="0"/>
        </w:numPr>
        <w:kinsoku/>
        <w:wordWrap/>
        <w:overflowPunct/>
        <w:topLinePunct w:val="0"/>
        <w:autoSpaceDE/>
        <w:autoSpaceDN/>
        <w:bidi w:val="0"/>
        <w:adjustRightInd/>
        <w:snapToGrid/>
        <w:spacing w:line="360" w:lineRule="auto"/>
        <w:ind w:firstLine="720" w:firstLineChars="30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乙方（盖章）：____________________</w:t>
      </w:r>
    </w:p>
    <w:p w14:paraId="00D01078">
      <w:pPr>
        <w:pStyle w:val="227"/>
        <w:keepNext w:val="0"/>
        <w:keepLines w:val="0"/>
        <w:pageBreakBefore w:val="0"/>
        <w:widowControl/>
        <w:numPr>
          <w:ilvl w:val="0"/>
          <w:numId w:val="0"/>
        </w:numPr>
        <w:kinsoku/>
        <w:wordWrap/>
        <w:overflowPunct/>
        <w:topLinePunct w:val="0"/>
        <w:autoSpaceDE/>
        <w:autoSpaceDN/>
        <w:bidi w:val="0"/>
        <w:adjustRightInd/>
        <w:snapToGrid/>
        <w:spacing w:line="360" w:lineRule="auto"/>
        <w:ind w:left="480" w:leftChars="0"/>
        <w:textAlignment w:val="auto"/>
        <w:rPr>
          <w:rFonts w:ascii="Segoe UI Emoji" w:hAnsi="Segoe UI Emoji" w:eastAsia="Segoe UI Emoji" w:cs="Segoe UI Emoji"/>
          <w:i w:val="0"/>
          <w:iCs w:val="0"/>
          <w:caps w:val="0"/>
          <w:color w:val="000000"/>
          <w:spacing w:val="0"/>
          <w:sz w:val="24"/>
          <w:szCs w:val="24"/>
        </w:rPr>
      </w:pPr>
      <w:r>
        <w:rPr>
          <w:rFonts w:ascii="Segoe UI Emoji" w:hAnsi="Segoe UI Emoji" w:eastAsia="Segoe UI Emoji" w:cs="Segoe UI Emoji"/>
          <w:i w:val="0"/>
          <w:iCs w:val="0"/>
          <w:caps w:val="0"/>
          <w:color w:val="000000"/>
          <w:spacing w:val="0"/>
          <w:sz w:val="24"/>
          <w:szCs w:val="24"/>
        </w:rPr>
        <w:t xml:space="preserve"> </w:t>
      </w:r>
      <w:r>
        <w:rPr>
          <w:rFonts w:hint="eastAsia" w:ascii="Segoe UI Emoji" w:hAnsi="Segoe UI Emoji" w:eastAsia="宋体" w:cs="Segoe UI Emoji"/>
          <w:i w:val="0"/>
          <w:iCs w:val="0"/>
          <w:caps w:val="0"/>
          <w:color w:val="000000"/>
          <w:spacing w:val="0"/>
          <w:sz w:val="24"/>
          <w:szCs w:val="24"/>
          <w:lang w:val="en-US" w:eastAsia="zh-CN"/>
        </w:rPr>
        <w:t xml:space="preserve"> </w:t>
      </w:r>
      <w:r>
        <w:rPr>
          <w:rFonts w:ascii="Segoe UI Emoji" w:hAnsi="Segoe UI Emoji" w:eastAsia="Segoe UI Emoji" w:cs="Segoe UI Emoji"/>
          <w:i w:val="0"/>
          <w:iCs w:val="0"/>
          <w:caps w:val="0"/>
          <w:color w:val="000000"/>
          <w:spacing w:val="0"/>
          <w:sz w:val="24"/>
          <w:szCs w:val="24"/>
        </w:rPr>
        <w:t>法定代表人/授权代表人（签字）：____________________</w:t>
      </w:r>
    </w:p>
    <w:p w14:paraId="4C48BAAF">
      <w:pPr>
        <w:pStyle w:val="227"/>
        <w:keepNext w:val="0"/>
        <w:keepLines w:val="0"/>
        <w:pageBreakBefore w:val="0"/>
        <w:widowControl/>
        <w:numPr>
          <w:ilvl w:val="0"/>
          <w:numId w:val="0"/>
        </w:numPr>
        <w:kinsoku/>
        <w:wordWrap/>
        <w:overflowPunct/>
        <w:topLinePunct w:val="0"/>
        <w:autoSpaceDE/>
        <w:autoSpaceDN/>
        <w:bidi w:val="0"/>
        <w:adjustRightInd/>
        <w:snapToGrid/>
        <w:spacing w:line="360" w:lineRule="auto"/>
        <w:ind w:left="480" w:leftChars="0" w:firstLine="240" w:firstLineChars="100"/>
        <w:textAlignment w:val="auto"/>
        <w:rPr>
          <w:color w:val="auto"/>
          <w:highlight w:val="none"/>
        </w:rPr>
      </w:pPr>
      <w:r>
        <w:rPr>
          <w:rFonts w:ascii="Segoe UI Emoji" w:hAnsi="Segoe UI Emoji" w:eastAsia="Segoe UI Emoji" w:cs="Segoe UI Emoji"/>
          <w:i w:val="0"/>
          <w:iCs w:val="0"/>
          <w:caps w:val="0"/>
          <w:color w:val="000000"/>
          <w:spacing w:val="0"/>
          <w:sz w:val="24"/>
          <w:szCs w:val="24"/>
        </w:rPr>
        <w:t xml:space="preserve"> 签订日期：____年__月__日</w:t>
      </w:r>
      <w:r>
        <w:rPr>
          <w:color w:val="auto"/>
          <w:highlight w:val="none"/>
        </w:rPr>
        <w:t xml:space="preserve"> </w:t>
      </w:r>
    </w:p>
    <w:p w14:paraId="1204F2B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b/>
          <w:bCs/>
          <w:color w:val="auto"/>
          <w:sz w:val="21"/>
          <w:szCs w:val="21"/>
          <w:highlight w:val="none"/>
        </w:rPr>
      </w:pPr>
    </w:p>
    <w:p w14:paraId="5C26A6A4">
      <w:pPr>
        <w:pStyle w:val="63"/>
        <w:rPr>
          <w:rFonts w:ascii="宋体" w:hAnsi="宋体"/>
          <w:color w:val="auto"/>
          <w:highlight w:val="none"/>
        </w:rPr>
      </w:pPr>
    </w:p>
    <w:p w14:paraId="508D5271">
      <w:pPr>
        <w:pStyle w:val="63"/>
        <w:rPr>
          <w:color w:val="auto"/>
          <w:highlight w:val="none"/>
        </w:rPr>
        <w:sectPr>
          <w:pgSz w:w="11907" w:h="16840"/>
          <w:pgMar w:top="1440" w:right="1080" w:bottom="1440" w:left="1080" w:header="850" w:footer="992" w:gutter="0"/>
          <w:cols w:space="720" w:num="1"/>
          <w:docGrid w:linePitch="286" w:charSpace="0"/>
        </w:sectPr>
      </w:pPr>
    </w:p>
    <w:p w14:paraId="5B1CA5AE">
      <w:pPr>
        <w:pStyle w:val="2"/>
        <w:spacing w:before="240" w:after="240" w:line="360" w:lineRule="auto"/>
        <w:jc w:val="center"/>
        <w:rPr>
          <w:rFonts w:ascii="宋体" w:hAnsi="宋体"/>
          <w:color w:val="auto"/>
          <w:sz w:val="36"/>
          <w:szCs w:val="36"/>
          <w:highlight w:val="none"/>
          <w:lang w:val="zh-CN"/>
        </w:rPr>
      </w:pPr>
      <w:bookmarkStart w:id="202" w:name="_Toc14533"/>
      <w:r>
        <w:rPr>
          <w:rFonts w:hint="eastAsia" w:ascii="宋体" w:hAnsi="宋体"/>
          <w:color w:val="auto"/>
          <w:sz w:val="36"/>
          <w:szCs w:val="36"/>
          <w:highlight w:val="none"/>
          <w:lang w:val="zh-CN"/>
        </w:rPr>
        <w:t>第六章 采购需求</w:t>
      </w:r>
      <w:bookmarkEnd w:id="197"/>
      <w:bookmarkEnd w:id="202"/>
    </w:p>
    <w:p w14:paraId="2F5CC5FE">
      <w:pPr>
        <w:pStyle w:val="150"/>
        <w:widowControl/>
        <w:spacing w:line="360" w:lineRule="auto"/>
        <w:rPr>
          <w:rFonts w:ascii="宋体" w:hAnsi="宋体" w:eastAsia="宋体"/>
          <w:b/>
          <w:bCs/>
          <w:color w:val="auto"/>
          <w:sz w:val="24"/>
          <w:szCs w:val="24"/>
          <w:highlight w:val="none"/>
        </w:rPr>
      </w:pPr>
      <w:bookmarkStart w:id="203" w:name="_Toc46924596"/>
      <w:bookmarkStart w:id="204" w:name="_Toc13407774"/>
      <w:r>
        <w:rPr>
          <w:rFonts w:ascii="宋体" w:hAnsi="宋体" w:eastAsia="宋体"/>
          <w:b/>
          <w:bCs/>
          <w:color w:val="auto"/>
          <w:sz w:val="24"/>
          <w:szCs w:val="24"/>
          <w:highlight w:val="none"/>
        </w:rPr>
        <w:t>一、</w:t>
      </w:r>
      <w:r>
        <w:rPr>
          <w:rFonts w:hint="eastAsia" w:ascii="宋体" w:hAnsi="宋体" w:eastAsia="宋体"/>
          <w:b/>
          <w:bCs/>
          <w:color w:val="auto"/>
          <w:sz w:val="24"/>
          <w:szCs w:val="24"/>
          <w:highlight w:val="none"/>
        </w:rPr>
        <w:t>采购标的需实现的功能或者目标，以及为落实政府采购政策需满足的要求</w:t>
      </w:r>
      <w:bookmarkEnd w:id="203"/>
    </w:p>
    <w:p w14:paraId="2D6181C6">
      <w:pPr>
        <w:keepNext/>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1、采购标的需实现的功能或者目标：</w:t>
      </w:r>
      <w:r>
        <w:rPr>
          <w:rFonts w:hint="eastAsia" w:ascii="宋体" w:hAnsi="宋体" w:cs="宋体"/>
          <w:color w:val="auto"/>
          <w:sz w:val="24"/>
          <w:szCs w:val="24"/>
          <w:highlight w:val="none"/>
          <w:lang w:val="en-US" w:eastAsia="zh-CN"/>
        </w:rPr>
        <w:t>为促进殡葬业务服务规范化、标准化、专业化，提升采购人服务品质，更好的为群众提供惠民、绿色、文明的殡葬服务，现通过公开招标的方式确定1家投标人，为禄劝彝族苗族自治县民政局提供殡葬业务服务</w:t>
      </w:r>
      <w:r>
        <w:rPr>
          <w:rFonts w:hint="eastAsia" w:ascii="宋体" w:hAnsi="宋体" w:cs="宋体"/>
          <w:color w:val="auto"/>
          <w:sz w:val="24"/>
          <w:szCs w:val="24"/>
          <w:highlight w:val="none"/>
        </w:rPr>
        <w:t>。</w:t>
      </w:r>
    </w:p>
    <w:p w14:paraId="307EA7DD">
      <w:pPr>
        <w:keepNext/>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2、落实政府采购政策需满足的要求：①《政府采购促进中小企业发展管理办法》(财库[2020]46号) 、②《关于政府采购支持监狱企业发展有关问题的通知》（财库[2014]68号）、 ③《三部门联合发布关于促进残疾人就业政府采购政策的通知》（财库[2017]141号）等规定。</w:t>
      </w:r>
    </w:p>
    <w:p w14:paraId="118DD37D">
      <w:pPr>
        <w:pStyle w:val="150"/>
        <w:widowControl/>
        <w:spacing w:line="360" w:lineRule="auto"/>
        <w:rPr>
          <w:rFonts w:ascii="宋体" w:hAnsi="宋体" w:eastAsia="宋体"/>
          <w:b/>
          <w:bCs/>
          <w:color w:val="auto"/>
          <w:sz w:val="24"/>
          <w:szCs w:val="24"/>
          <w:highlight w:val="none"/>
        </w:rPr>
      </w:pPr>
      <w:bookmarkStart w:id="205" w:name="_Toc46924597"/>
      <w:r>
        <w:rPr>
          <w:rFonts w:hint="eastAsia" w:ascii="宋体" w:hAnsi="宋体" w:eastAsia="宋体"/>
          <w:b/>
          <w:bCs/>
          <w:color w:val="auto"/>
          <w:sz w:val="24"/>
          <w:szCs w:val="24"/>
          <w:highlight w:val="none"/>
        </w:rPr>
        <w:t>二</w:t>
      </w:r>
      <w:r>
        <w:rPr>
          <w:rFonts w:ascii="宋体" w:hAnsi="宋体" w:eastAsia="宋体"/>
          <w:b/>
          <w:bCs/>
          <w:color w:val="auto"/>
          <w:sz w:val="24"/>
          <w:szCs w:val="24"/>
          <w:highlight w:val="none"/>
        </w:rPr>
        <w:t>、</w:t>
      </w:r>
      <w:r>
        <w:rPr>
          <w:rFonts w:hint="eastAsia" w:ascii="宋体" w:hAnsi="宋体" w:eastAsia="宋体"/>
          <w:b/>
          <w:bCs/>
          <w:color w:val="auto"/>
          <w:sz w:val="24"/>
          <w:szCs w:val="24"/>
          <w:highlight w:val="none"/>
        </w:rPr>
        <w:t>采购标的需执行的国家相关标准、行业标准、地方标准或者其他标准、规范</w:t>
      </w:r>
      <w:bookmarkEnd w:id="205"/>
    </w:p>
    <w:p w14:paraId="6FD4F2C6">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国务院</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殡葬管理条例</w:t>
      </w:r>
      <w:r>
        <w:rPr>
          <w:rFonts w:hint="eastAsia" w:ascii="宋体" w:hAnsi="宋体" w:cs="宋体"/>
          <w:color w:val="auto"/>
          <w:sz w:val="24"/>
          <w:szCs w:val="24"/>
          <w:highlight w:val="none"/>
        </w:rPr>
        <w:t>》；</w:t>
      </w:r>
    </w:p>
    <w:p w14:paraId="626286DA">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云南省殡葬管理条例</w:t>
      </w:r>
      <w:r>
        <w:rPr>
          <w:rFonts w:ascii="宋体" w:hAnsi="宋体" w:cs="宋体"/>
          <w:color w:val="auto"/>
          <w:sz w:val="24"/>
          <w:szCs w:val="24"/>
          <w:highlight w:val="none"/>
        </w:rPr>
        <w:t>》</w:t>
      </w:r>
      <w:r>
        <w:rPr>
          <w:rFonts w:hint="eastAsia" w:ascii="宋体" w:hAnsi="宋体" w:cs="宋体"/>
          <w:color w:val="auto"/>
          <w:sz w:val="24"/>
          <w:szCs w:val="24"/>
          <w:highlight w:val="none"/>
        </w:rPr>
        <w:t>；</w:t>
      </w:r>
    </w:p>
    <w:p w14:paraId="4FA88521">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昆明市殡葬管理条例</w:t>
      </w:r>
      <w:r>
        <w:rPr>
          <w:rFonts w:ascii="宋体" w:hAnsi="宋体" w:cs="宋体"/>
          <w:color w:val="auto"/>
          <w:sz w:val="24"/>
          <w:szCs w:val="24"/>
          <w:highlight w:val="none"/>
        </w:rPr>
        <w:t>》；</w:t>
      </w:r>
    </w:p>
    <w:p w14:paraId="1F3FB37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、国家、云南省和昆明市现行相关法律法规、规章。</w:t>
      </w:r>
    </w:p>
    <w:p w14:paraId="523BC79C">
      <w:pPr>
        <w:pStyle w:val="150"/>
        <w:widowControl/>
        <w:spacing w:line="360" w:lineRule="auto"/>
        <w:rPr>
          <w:rFonts w:ascii="宋体" w:hAnsi="宋体" w:eastAsia="宋体"/>
          <w:b/>
          <w:bCs/>
          <w:color w:val="auto"/>
          <w:sz w:val="24"/>
          <w:szCs w:val="24"/>
          <w:highlight w:val="none"/>
        </w:rPr>
      </w:pPr>
      <w:bookmarkStart w:id="206" w:name="_Toc46924598"/>
      <w:r>
        <w:rPr>
          <w:rFonts w:hint="eastAsia" w:ascii="宋体" w:hAnsi="宋体" w:eastAsia="宋体"/>
          <w:b/>
          <w:bCs/>
          <w:color w:val="auto"/>
          <w:sz w:val="24"/>
          <w:szCs w:val="24"/>
          <w:highlight w:val="none"/>
        </w:rPr>
        <w:t>三</w:t>
      </w:r>
      <w:r>
        <w:rPr>
          <w:rFonts w:ascii="宋体" w:hAnsi="宋体" w:eastAsia="宋体"/>
          <w:b/>
          <w:bCs/>
          <w:color w:val="auto"/>
          <w:sz w:val="24"/>
          <w:szCs w:val="24"/>
          <w:highlight w:val="none"/>
        </w:rPr>
        <w:t>、</w:t>
      </w:r>
      <w:r>
        <w:rPr>
          <w:rFonts w:hint="eastAsia" w:ascii="宋体" w:hAnsi="宋体" w:eastAsia="宋体"/>
          <w:b/>
          <w:bCs/>
          <w:color w:val="auto"/>
          <w:sz w:val="24"/>
          <w:szCs w:val="24"/>
          <w:highlight w:val="none"/>
        </w:rPr>
        <w:t>采购标的需满足的质量、安全、技术规格、物理特性等要求</w:t>
      </w:r>
      <w:bookmarkEnd w:id="206"/>
    </w:p>
    <w:p w14:paraId="0C02913C">
      <w:pPr>
        <w:spacing w:line="360" w:lineRule="auto"/>
        <w:ind w:firstLine="480" w:firstLineChars="200"/>
        <w:rPr>
          <w:rFonts w:hint="eastAsia" w:ascii="宋体" w:hAnsi="宋体" w:cs="宋体"/>
          <w:color w:val="auto"/>
          <w:sz w:val="24"/>
          <w:szCs w:val="24"/>
          <w:highlight w:val="none"/>
          <w:lang w:val="en-US" w:eastAsia="zh-CN"/>
        </w:rPr>
      </w:pPr>
      <w:bookmarkStart w:id="207" w:name="_Toc46924599"/>
      <w:r>
        <w:rPr>
          <w:rFonts w:hint="eastAsia" w:ascii="宋体" w:hAnsi="宋体" w:cs="宋体"/>
          <w:color w:val="auto"/>
          <w:sz w:val="24"/>
          <w:szCs w:val="24"/>
          <w:highlight w:val="none"/>
          <w:lang w:val="en-US" w:eastAsia="zh-CN"/>
        </w:rPr>
        <w:t>1.禄劝彝族苗族自治县辖区内死亡人员，由禄劝彝族苗族自治县殡仪馆有序组织，家属电话联系殡仪馆，殡仪馆服务人员按时(平均接运时间≦1.5 小时) 到达指定地点，将死亡人员遗体运送殡仪馆火化。</w:t>
      </w:r>
    </w:p>
    <w:p w14:paraId="3D2D0321">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2.对死亡遗体的运送、火化、护送骨灰要服务到位，尽可能满足死者家属的正当需要，做好殡仪服务工作。</w:t>
      </w:r>
    </w:p>
    <w:p w14:paraId="3C9AAA90">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3.殡仪馆负责做好禄劝彝族苗族自治县辖区内到馆火化人员信息登记、汇总等工作，并于每月初将火化明细汇总表发送至县民政局社会事务科。</w:t>
      </w:r>
    </w:p>
    <w:p w14:paraId="3CD679E2">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4.服务人员统一着工装上岗，妆容朴素大方，身体健康、具备岗位所需知识和技能。</w:t>
      </w:r>
    </w:p>
    <w:p w14:paraId="707F505C">
      <w:pPr>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br w:type="page"/>
      </w:r>
    </w:p>
    <w:p w14:paraId="3C6884BB">
      <w:pPr>
        <w:pStyle w:val="150"/>
        <w:widowControl/>
        <w:numPr>
          <w:ilvl w:val="0"/>
          <w:numId w:val="4"/>
        </w:numPr>
        <w:spacing w:line="360" w:lineRule="auto"/>
        <w:ind w:left="120" w:leftChars="0" w:firstLine="0" w:firstLineChars="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采购标的的数量、采购项目交付或者实施的时间和地点</w:t>
      </w:r>
      <w:bookmarkEnd w:id="207"/>
    </w:p>
    <w:p w14:paraId="25A9A4F6">
      <w:pPr>
        <w:pStyle w:val="150"/>
        <w:widowControl/>
        <w:numPr>
          <w:ilvl w:val="0"/>
          <w:numId w:val="0"/>
        </w:numPr>
        <w:spacing w:line="360" w:lineRule="auto"/>
        <w:ind w:left="120" w:leftChars="0"/>
        <w:rPr>
          <w:rFonts w:hint="default"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eastAsia="zh-CN"/>
        </w:rPr>
        <w:t>（</w:t>
      </w:r>
      <w:r>
        <w:rPr>
          <w:rFonts w:hint="eastAsia" w:ascii="宋体" w:hAnsi="宋体" w:eastAsia="宋体"/>
          <w:b/>
          <w:bCs/>
          <w:color w:val="auto"/>
          <w:sz w:val="24"/>
          <w:szCs w:val="24"/>
          <w:highlight w:val="none"/>
          <w:lang w:val="en-US" w:eastAsia="zh-CN"/>
        </w:rPr>
        <w:t>1</w:t>
      </w:r>
      <w:r>
        <w:rPr>
          <w:rFonts w:hint="eastAsia" w:ascii="宋体" w:hAnsi="宋体" w:eastAsia="宋体"/>
          <w:b/>
          <w:bCs/>
          <w:color w:val="auto"/>
          <w:sz w:val="24"/>
          <w:szCs w:val="24"/>
          <w:highlight w:val="none"/>
          <w:lang w:eastAsia="zh-CN"/>
        </w:rPr>
        <w:t>）</w:t>
      </w:r>
      <w:r>
        <w:rPr>
          <w:rFonts w:hint="eastAsia" w:ascii="宋体" w:hAnsi="宋体" w:eastAsia="宋体"/>
          <w:b/>
          <w:bCs/>
          <w:color w:val="auto"/>
          <w:sz w:val="24"/>
          <w:szCs w:val="24"/>
          <w:highlight w:val="none"/>
          <w:lang w:val="en-US" w:eastAsia="zh-CN"/>
        </w:rPr>
        <w:t>遗体接运服务</w:t>
      </w:r>
    </w:p>
    <w:tbl>
      <w:tblPr>
        <w:tblStyle w:val="3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21"/>
        <w:gridCol w:w="1903"/>
        <w:gridCol w:w="7463"/>
      </w:tblGrid>
      <w:tr w14:paraId="14F4F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9B862D3">
            <w:pPr>
              <w:keepNext w:val="0"/>
              <w:keepLines w:val="0"/>
              <w:widowControl/>
              <w:suppressLineNumbers w:val="0"/>
              <w:jc w:val="left"/>
              <w:rPr>
                <w:b/>
                <w:bCs/>
              </w:rPr>
            </w:pPr>
            <w:r>
              <w:rPr>
                <w:rFonts w:ascii="宋体" w:hAnsi="宋体" w:eastAsia="宋体" w:cs="宋体"/>
                <w:b/>
                <w:bCs/>
                <w:kern w:val="0"/>
                <w:sz w:val="24"/>
                <w:szCs w:val="24"/>
                <w:lang w:val="en-US" w:eastAsia="zh-CN" w:bidi="ar"/>
              </w:rPr>
              <w:t>序号</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6F5D581">
            <w:pPr>
              <w:keepNext w:val="0"/>
              <w:keepLines w:val="0"/>
              <w:widowControl/>
              <w:suppressLineNumbers w:val="0"/>
              <w:jc w:val="left"/>
              <w:rPr>
                <w:b/>
                <w:bCs/>
              </w:rPr>
            </w:pPr>
            <w:r>
              <w:rPr>
                <w:rFonts w:ascii="宋体" w:hAnsi="宋体" w:eastAsia="宋体" w:cs="宋体"/>
                <w:b/>
                <w:bCs/>
                <w:kern w:val="0"/>
                <w:sz w:val="24"/>
                <w:szCs w:val="24"/>
                <w:lang w:val="en-US" w:eastAsia="zh-CN" w:bidi="ar"/>
              </w:rPr>
              <w:t>支出项目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0415F77">
            <w:pPr>
              <w:keepNext w:val="0"/>
              <w:keepLines w:val="0"/>
              <w:widowControl/>
              <w:suppressLineNumbers w:val="0"/>
              <w:jc w:val="left"/>
              <w:rPr>
                <w:b/>
                <w:bCs/>
              </w:rPr>
            </w:pPr>
            <w:r>
              <w:rPr>
                <w:rFonts w:ascii="宋体" w:hAnsi="宋体" w:eastAsia="宋体" w:cs="宋体"/>
                <w:b/>
                <w:bCs/>
                <w:kern w:val="0"/>
                <w:sz w:val="24"/>
                <w:szCs w:val="24"/>
                <w:lang w:val="en-US" w:eastAsia="zh-CN" w:bidi="ar"/>
              </w:rPr>
              <w:t>备注</w:t>
            </w:r>
          </w:p>
        </w:tc>
      </w:tr>
      <w:tr w14:paraId="39D17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6FF22F5">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3B90345">
            <w:pPr>
              <w:keepNext w:val="0"/>
              <w:keepLines w:val="0"/>
              <w:widowControl/>
              <w:suppressLineNumbers w:val="0"/>
              <w:jc w:val="left"/>
            </w:pPr>
            <w:r>
              <w:rPr>
                <w:rFonts w:ascii="宋体" w:hAnsi="宋体" w:eastAsia="宋体" w:cs="宋体"/>
                <w:kern w:val="0"/>
                <w:sz w:val="24"/>
                <w:szCs w:val="24"/>
                <w:lang w:val="en-US" w:eastAsia="zh-CN" w:bidi="ar"/>
              </w:rPr>
              <w:t>用油（9 辆柴油车）</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1A3366E">
            <w:pPr>
              <w:keepNext w:val="0"/>
              <w:keepLines w:val="0"/>
              <w:widowControl/>
              <w:suppressLineNumbers w:val="0"/>
              <w:jc w:val="left"/>
            </w:pPr>
            <w:r>
              <w:rPr>
                <w:rFonts w:ascii="宋体" w:hAnsi="宋体" w:eastAsia="宋体" w:cs="宋体"/>
                <w:kern w:val="0"/>
                <w:sz w:val="24"/>
                <w:szCs w:val="24"/>
                <w:lang w:val="en-US" w:eastAsia="zh-CN" w:bidi="ar"/>
              </w:rPr>
              <w:t xml:space="preserve">按照每辆车月均行驶 3588.6 公里，年均行驶 43063.2 公里，每公里耗油 0.12 升，油价 </w:t>
            </w:r>
            <w:r>
              <w:rPr>
                <w:rFonts w:hint="eastAsia" w:ascii="宋体" w:hAnsi="宋体" w:cs="宋体"/>
                <w:kern w:val="0"/>
                <w:sz w:val="24"/>
                <w:szCs w:val="24"/>
                <w:lang w:val="en-US" w:eastAsia="zh-CN" w:bidi="ar"/>
              </w:rPr>
              <w:t>8.21</w:t>
            </w:r>
            <w:r>
              <w:rPr>
                <w:rFonts w:ascii="宋体" w:hAnsi="宋体" w:eastAsia="宋体" w:cs="宋体"/>
                <w:kern w:val="0"/>
                <w:sz w:val="24"/>
                <w:szCs w:val="24"/>
                <w:lang w:val="en-US" w:eastAsia="zh-CN" w:bidi="ar"/>
              </w:rPr>
              <w:t>元 / 升概算</w:t>
            </w:r>
          </w:p>
        </w:tc>
      </w:tr>
      <w:tr w14:paraId="1B06A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7153F8A">
            <w:pPr>
              <w:jc w:val="left"/>
              <w:rPr>
                <w:rFonts w:hint="eastAsia" w:ascii="宋体"/>
                <w:sz w:val="24"/>
                <w:szCs w:val="24"/>
              </w:rPr>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E3FD58B">
            <w:pPr>
              <w:keepNext w:val="0"/>
              <w:keepLines w:val="0"/>
              <w:widowControl/>
              <w:suppressLineNumbers w:val="0"/>
              <w:jc w:val="left"/>
            </w:pPr>
            <w:r>
              <w:rPr>
                <w:rFonts w:ascii="宋体" w:hAnsi="宋体" w:eastAsia="宋体" w:cs="宋体"/>
                <w:kern w:val="0"/>
                <w:sz w:val="24"/>
                <w:szCs w:val="24"/>
                <w:lang w:val="en-US" w:eastAsia="zh-CN" w:bidi="ar"/>
              </w:rPr>
              <w:t>用油（8 辆汽油车）</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114DB75">
            <w:pPr>
              <w:keepNext w:val="0"/>
              <w:keepLines w:val="0"/>
              <w:widowControl/>
              <w:suppressLineNumbers w:val="0"/>
              <w:jc w:val="left"/>
            </w:pPr>
            <w:r>
              <w:rPr>
                <w:rFonts w:ascii="宋体" w:hAnsi="宋体" w:eastAsia="宋体" w:cs="宋体"/>
                <w:kern w:val="0"/>
                <w:sz w:val="24"/>
                <w:szCs w:val="24"/>
                <w:lang w:val="en-US" w:eastAsia="zh-CN" w:bidi="ar"/>
              </w:rPr>
              <w:t xml:space="preserve">按照每辆车月均行驶 3588.72 公里，年均行驶 43064.66 公里，每公里耗油 0.08 升，油价 </w:t>
            </w:r>
            <w:r>
              <w:rPr>
                <w:rFonts w:hint="eastAsia" w:ascii="宋体" w:hAnsi="宋体" w:cs="宋体"/>
                <w:kern w:val="0"/>
                <w:sz w:val="24"/>
                <w:szCs w:val="24"/>
                <w:lang w:val="en-US" w:eastAsia="zh-CN" w:bidi="ar"/>
              </w:rPr>
              <w:t>8.61</w:t>
            </w:r>
            <w:r>
              <w:rPr>
                <w:rFonts w:ascii="宋体" w:hAnsi="宋体" w:eastAsia="宋体" w:cs="宋体"/>
                <w:kern w:val="0"/>
                <w:sz w:val="24"/>
                <w:szCs w:val="24"/>
                <w:lang w:val="en-US" w:eastAsia="zh-CN" w:bidi="ar"/>
              </w:rPr>
              <w:t xml:space="preserve"> 元 / 升概算</w:t>
            </w:r>
          </w:p>
        </w:tc>
      </w:tr>
      <w:tr w14:paraId="75BFA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555B5E8">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D36D66C">
            <w:pPr>
              <w:keepNext w:val="0"/>
              <w:keepLines w:val="0"/>
              <w:widowControl/>
              <w:suppressLineNumbers w:val="0"/>
              <w:jc w:val="left"/>
            </w:pPr>
            <w:r>
              <w:rPr>
                <w:rFonts w:ascii="宋体" w:hAnsi="宋体" w:eastAsia="宋体" w:cs="宋体"/>
                <w:kern w:val="0"/>
                <w:sz w:val="24"/>
                <w:szCs w:val="24"/>
                <w:lang w:val="en-US" w:eastAsia="zh-CN" w:bidi="ar"/>
              </w:rPr>
              <w:t>车辆保险费</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AFADD7A">
            <w:pPr>
              <w:keepNext w:val="0"/>
              <w:keepLines w:val="0"/>
              <w:widowControl/>
              <w:suppressLineNumbers w:val="0"/>
              <w:jc w:val="left"/>
            </w:pPr>
            <w:r>
              <w:rPr>
                <w:rFonts w:ascii="宋体" w:hAnsi="宋体" w:eastAsia="宋体" w:cs="宋体"/>
                <w:kern w:val="0"/>
                <w:sz w:val="24"/>
                <w:szCs w:val="24"/>
                <w:lang w:val="en-US" w:eastAsia="zh-CN" w:bidi="ar"/>
              </w:rPr>
              <w:t>按均价 5500 元 / 辆概算</w:t>
            </w:r>
          </w:p>
        </w:tc>
      </w:tr>
      <w:tr w14:paraId="1E6AA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5C8DBA3">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25A36AB">
            <w:pPr>
              <w:keepNext w:val="0"/>
              <w:keepLines w:val="0"/>
              <w:widowControl/>
              <w:suppressLineNumbers w:val="0"/>
              <w:jc w:val="left"/>
            </w:pPr>
            <w:r>
              <w:rPr>
                <w:rFonts w:ascii="宋体" w:hAnsi="宋体" w:eastAsia="宋体" w:cs="宋体"/>
                <w:kern w:val="0"/>
                <w:sz w:val="24"/>
                <w:szCs w:val="24"/>
                <w:lang w:val="en-US" w:eastAsia="zh-CN" w:bidi="ar"/>
              </w:rPr>
              <w:t>车辆修理保养费</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D1A44CE">
            <w:pPr>
              <w:keepNext w:val="0"/>
              <w:keepLines w:val="0"/>
              <w:widowControl/>
              <w:suppressLineNumbers w:val="0"/>
              <w:jc w:val="left"/>
            </w:pPr>
            <w:r>
              <w:rPr>
                <w:rFonts w:ascii="宋体" w:hAnsi="宋体" w:eastAsia="宋体" w:cs="宋体"/>
                <w:kern w:val="0"/>
                <w:sz w:val="24"/>
                <w:szCs w:val="24"/>
                <w:lang w:val="en-US" w:eastAsia="zh-CN" w:bidi="ar"/>
              </w:rPr>
              <w:t>按均价 10000 元 / 辆概算</w:t>
            </w:r>
          </w:p>
        </w:tc>
      </w:tr>
      <w:tr w14:paraId="7B09F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F25C5FA">
            <w:pPr>
              <w:keepNext w:val="0"/>
              <w:keepLines w:val="0"/>
              <w:widowControl/>
              <w:suppressLineNumbers w:val="0"/>
              <w:jc w:val="left"/>
            </w:pPr>
            <w:r>
              <w:rPr>
                <w:rFonts w:ascii="宋体" w:hAnsi="宋体" w:eastAsia="宋体" w:cs="宋体"/>
                <w:kern w:val="0"/>
                <w:sz w:val="24"/>
                <w:szCs w:val="24"/>
                <w:lang w:val="en-US" w:eastAsia="zh-CN" w:bidi="ar"/>
              </w:rPr>
              <w:t>4</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AD10256">
            <w:pPr>
              <w:keepNext w:val="0"/>
              <w:keepLines w:val="0"/>
              <w:widowControl/>
              <w:suppressLineNumbers w:val="0"/>
              <w:jc w:val="left"/>
            </w:pPr>
            <w:r>
              <w:rPr>
                <w:rFonts w:ascii="宋体" w:hAnsi="宋体" w:eastAsia="宋体" w:cs="宋体"/>
                <w:kern w:val="0"/>
                <w:sz w:val="24"/>
                <w:szCs w:val="24"/>
                <w:lang w:val="en-US" w:eastAsia="zh-CN" w:bidi="ar"/>
              </w:rPr>
              <w:t>车辆过路费</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235580C">
            <w:pPr>
              <w:keepNext w:val="0"/>
              <w:keepLines w:val="0"/>
              <w:widowControl/>
              <w:suppressLineNumbers w:val="0"/>
              <w:jc w:val="left"/>
            </w:pPr>
            <w:r>
              <w:rPr>
                <w:rFonts w:ascii="宋体" w:hAnsi="宋体" w:eastAsia="宋体" w:cs="宋体"/>
                <w:kern w:val="0"/>
                <w:sz w:val="24"/>
                <w:szCs w:val="24"/>
                <w:lang w:val="en-US" w:eastAsia="zh-CN" w:bidi="ar"/>
              </w:rPr>
              <w:t>主要以九龙、转龙等乡镇年度去世人数概算</w:t>
            </w:r>
          </w:p>
        </w:tc>
      </w:tr>
      <w:tr w14:paraId="2C09C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F68928F">
            <w:pPr>
              <w:keepNext w:val="0"/>
              <w:keepLines w:val="0"/>
              <w:widowControl/>
              <w:suppressLineNumbers w:val="0"/>
              <w:jc w:val="left"/>
            </w:pPr>
            <w:r>
              <w:rPr>
                <w:rFonts w:ascii="宋体" w:hAnsi="宋体" w:eastAsia="宋体" w:cs="宋体"/>
                <w:kern w:val="0"/>
                <w:sz w:val="24"/>
                <w:szCs w:val="24"/>
                <w:lang w:val="en-US" w:eastAsia="zh-CN" w:bidi="ar"/>
              </w:rPr>
              <w:t>5</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A0BD54F">
            <w:pPr>
              <w:keepNext w:val="0"/>
              <w:keepLines w:val="0"/>
              <w:widowControl/>
              <w:suppressLineNumbers w:val="0"/>
              <w:jc w:val="left"/>
            </w:pPr>
            <w:r>
              <w:rPr>
                <w:rFonts w:ascii="宋体" w:hAnsi="宋体" w:eastAsia="宋体" w:cs="宋体"/>
                <w:kern w:val="0"/>
                <w:sz w:val="24"/>
                <w:szCs w:val="24"/>
                <w:lang w:val="en-US" w:eastAsia="zh-CN" w:bidi="ar"/>
              </w:rPr>
              <w:t>人工费（17 名驾驶员）</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25F1749">
            <w:pPr>
              <w:keepNext w:val="0"/>
              <w:keepLines w:val="0"/>
              <w:widowControl/>
              <w:suppressLineNumbers w:val="0"/>
              <w:jc w:val="left"/>
            </w:pPr>
            <w:r>
              <w:rPr>
                <w:rFonts w:ascii="宋体" w:hAnsi="宋体" w:eastAsia="宋体" w:cs="宋体"/>
                <w:kern w:val="0"/>
                <w:sz w:val="24"/>
                <w:szCs w:val="24"/>
                <w:lang w:val="en-US" w:eastAsia="zh-CN" w:bidi="ar"/>
              </w:rPr>
              <w:t>17 名驾驶员工资及社保费用概算</w:t>
            </w:r>
          </w:p>
        </w:tc>
      </w:tr>
      <w:tr w14:paraId="2D26A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78E28F7">
            <w:pPr>
              <w:keepNext w:val="0"/>
              <w:keepLines w:val="0"/>
              <w:widowControl/>
              <w:suppressLineNumbers w:val="0"/>
              <w:jc w:val="left"/>
            </w:pPr>
            <w:r>
              <w:rPr>
                <w:rFonts w:ascii="宋体" w:hAnsi="宋体" w:eastAsia="宋体" w:cs="宋体"/>
                <w:kern w:val="0"/>
                <w:sz w:val="24"/>
                <w:szCs w:val="24"/>
                <w:lang w:val="en-US" w:eastAsia="zh-CN" w:bidi="ar"/>
              </w:rPr>
              <w:t>6</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B84C0D0">
            <w:pPr>
              <w:keepNext w:val="0"/>
              <w:keepLines w:val="0"/>
              <w:widowControl/>
              <w:suppressLineNumbers w:val="0"/>
              <w:jc w:val="left"/>
            </w:pPr>
            <w:r>
              <w:rPr>
                <w:rFonts w:ascii="宋体" w:hAnsi="宋体" w:eastAsia="宋体" w:cs="宋体"/>
                <w:kern w:val="0"/>
                <w:sz w:val="24"/>
                <w:szCs w:val="24"/>
                <w:lang w:val="en-US" w:eastAsia="zh-CN" w:bidi="ar"/>
              </w:rPr>
              <w:t>车辆例保检验</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AE3266B">
            <w:pPr>
              <w:keepNext w:val="0"/>
              <w:keepLines w:val="0"/>
              <w:widowControl/>
              <w:suppressLineNumbers w:val="0"/>
              <w:jc w:val="left"/>
            </w:pPr>
            <w:r>
              <w:rPr>
                <w:rFonts w:hint="eastAsia" w:ascii="宋体" w:hAnsi="宋体" w:eastAsia="宋体" w:cs="宋体"/>
                <w:kern w:val="0"/>
                <w:sz w:val="24"/>
                <w:szCs w:val="24"/>
                <w:lang w:val="en-US" w:eastAsia="zh-CN" w:bidi="ar"/>
              </w:rPr>
              <w:t>按照每辆车出车一次10元车辆例保检验费，每年按照3500车辆次概算。</w:t>
            </w:r>
          </w:p>
        </w:tc>
      </w:tr>
    </w:tbl>
    <w:p w14:paraId="78CF2277">
      <w:pPr>
        <w:pStyle w:val="150"/>
        <w:widowControl/>
        <w:numPr>
          <w:ilvl w:val="0"/>
          <w:numId w:val="0"/>
        </w:numPr>
        <w:spacing w:line="360" w:lineRule="auto"/>
        <w:ind w:left="120" w:leftChars="0"/>
        <w:rPr>
          <w:rFonts w:hint="default"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eastAsia="zh-CN"/>
        </w:rPr>
        <w:t>（</w:t>
      </w:r>
      <w:r>
        <w:rPr>
          <w:rFonts w:hint="eastAsia" w:ascii="宋体" w:hAnsi="宋体" w:eastAsia="宋体"/>
          <w:b/>
          <w:bCs/>
          <w:color w:val="auto"/>
          <w:sz w:val="24"/>
          <w:szCs w:val="24"/>
          <w:highlight w:val="none"/>
          <w:lang w:val="en-US" w:eastAsia="zh-CN"/>
        </w:rPr>
        <w:t>2</w:t>
      </w:r>
      <w:r>
        <w:rPr>
          <w:rFonts w:hint="eastAsia" w:ascii="宋体" w:hAnsi="宋体" w:eastAsia="宋体"/>
          <w:b/>
          <w:bCs/>
          <w:color w:val="auto"/>
          <w:sz w:val="24"/>
          <w:szCs w:val="24"/>
          <w:highlight w:val="none"/>
          <w:lang w:eastAsia="zh-CN"/>
        </w:rPr>
        <w:t>）</w:t>
      </w:r>
      <w:r>
        <w:rPr>
          <w:rFonts w:hint="eastAsia" w:ascii="宋体" w:hAnsi="宋体" w:eastAsia="宋体"/>
          <w:b/>
          <w:bCs/>
          <w:color w:val="auto"/>
          <w:sz w:val="24"/>
          <w:szCs w:val="24"/>
          <w:highlight w:val="none"/>
          <w:lang w:val="en-US" w:eastAsia="zh-CN"/>
        </w:rPr>
        <w:t>殡仪业务服务</w:t>
      </w:r>
    </w:p>
    <w:tbl>
      <w:tblPr>
        <w:tblStyle w:val="3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50"/>
        <w:gridCol w:w="3753"/>
        <w:gridCol w:w="989"/>
        <w:gridCol w:w="4595"/>
      </w:tblGrid>
      <w:tr w14:paraId="2E251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D3E0CFE">
            <w:pPr>
              <w:keepNext w:val="0"/>
              <w:keepLines w:val="0"/>
              <w:widowControl/>
              <w:suppressLineNumbers w:val="0"/>
              <w:jc w:val="left"/>
              <w:rPr>
                <w:b/>
                <w:bCs/>
              </w:rPr>
            </w:pPr>
            <w:r>
              <w:rPr>
                <w:rFonts w:ascii="宋体" w:hAnsi="宋体" w:eastAsia="宋体" w:cs="宋体"/>
                <w:b/>
                <w:bCs/>
                <w:kern w:val="0"/>
                <w:sz w:val="24"/>
                <w:szCs w:val="24"/>
                <w:lang w:val="en-US" w:eastAsia="zh-CN" w:bidi="ar"/>
              </w:rPr>
              <w:t>序号</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5770424">
            <w:pPr>
              <w:keepNext w:val="0"/>
              <w:keepLines w:val="0"/>
              <w:widowControl/>
              <w:suppressLineNumbers w:val="0"/>
              <w:jc w:val="left"/>
              <w:rPr>
                <w:b/>
                <w:bCs/>
              </w:rPr>
            </w:pPr>
            <w:r>
              <w:rPr>
                <w:rFonts w:ascii="宋体" w:hAnsi="宋体" w:eastAsia="宋体" w:cs="宋体"/>
                <w:b/>
                <w:bCs/>
                <w:kern w:val="0"/>
                <w:sz w:val="24"/>
                <w:szCs w:val="24"/>
                <w:lang w:val="en-US" w:eastAsia="zh-CN" w:bidi="ar"/>
              </w:rPr>
              <w:t>岗位</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13D3D40">
            <w:pPr>
              <w:keepNext w:val="0"/>
              <w:keepLines w:val="0"/>
              <w:widowControl/>
              <w:suppressLineNumbers w:val="0"/>
              <w:jc w:val="left"/>
              <w:rPr>
                <w:b/>
                <w:bCs/>
              </w:rPr>
            </w:pPr>
            <w:r>
              <w:rPr>
                <w:rFonts w:ascii="宋体" w:hAnsi="宋体" w:eastAsia="宋体" w:cs="宋体"/>
                <w:b/>
                <w:bCs/>
                <w:kern w:val="0"/>
                <w:sz w:val="24"/>
                <w:szCs w:val="24"/>
                <w:lang w:val="en-US" w:eastAsia="zh-CN" w:bidi="ar"/>
              </w:rPr>
              <w:t>用工人数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004401D">
            <w:pPr>
              <w:keepNext w:val="0"/>
              <w:keepLines w:val="0"/>
              <w:widowControl/>
              <w:suppressLineNumbers w:val="0"/>
              <w:jc w:val="left"/>
              <w:rPr>
                <w:b/>
                <w:bCs/>
              </w:rPr>
            </w:pPr>
            <w:r>
              <w:rPr>
                <w:rFonts w:ascii="宋体" w:hAnsi="宋体" w:eastAsia="宋体" w:cs="宋体"/>
                <w:b/>
                <w:bCs/>
                <w:kern w:val="0"/>
                <w:sz w:val="24"/>
                <w:szCs w:val="24"/>
                <w:lang w:val="en-US" w:eastAsia="zh-CN" w:bidi="ar"/>
              </w:rPr>
              <w:t>服务内容</w:t>
            </w:r>
          </w:p>
        </w:tc>
      </w:tr>
      <w:tr w14:paraId="44F8B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D693021">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148C3A3">
            <w:pPr>
              <w:keepNext w:val="0"/>
              <w:keepLines w:val="0"/>
              <w:widowControl/>
              <w:suppressLineNumbers w:val="0"/>
              <w:jc w:val="left"/>
            </w:pPr>
            <w:r>
              <w:rPr>
                <w:rFonts w:ascii="宋体" w:hAnsi="宋体" w:eastAsia="宋体" w:cs="宋体"/>
                <w:kern w:val="0"/>
                <w:sz w:val="24"/>
                <w:szCs w:val="24"/>
                <w:lang w:val="en-US" w:eastAsia="zh-CN" w:bidi="ar"/>
              </w:rPr>
              <w:t>火化岗</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183FDBA">
            <w:pPr>
              <w:keepNext w:val="0"/>
              <w:keepLines w:val="0"/>
              <w:widowControl/>
              <w:suppressLineNumbers w:val="0"/>
              <w:jc w:val="left"/>
            </w:pPr>
            <w:r>
              <w:rPr>
                <w:rFonts w:ascii="宋体" w:hAnsi="宋体" w:eastAsia="宋体" w:cs="宋体"/>
                <w:kern w:val="0"/>
                <w:sz w:val="24"/>
                <w:szCs w:val="24"/>
                <w:lang w:val="en-US" w:eastAsia="zh-CN" w:bidi="ar"/>
              </w:rPr>
              <w:t>6</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025917D">
            <w:pPr>
              <w:keepNext w:val="0"/>
              <w:keepLines w:val="0"/>
              <w:widowControl/>
              <w:suppressLineNumbers w:val="0"/>
              <w:jc w:val="left"/>
            </w:pPr>
            <w:r>
              <w:rPr>
                <w:rFonts w:ascii="宋体" w:hAnsi="宋体" w:eastAsia="宋体" w:cs="宋体"/>
                <w:kern w:val="0"/>
                <w:sz w:val="24"/>
                <w:szCs w:val="24"/>
                <w:lang w:val="en-US" w:eastAsia="zh-CN" w:bidi="ar"/>
              </w:rPr>
              <w:t>遗体火化操作、设备维护、现场服务等</w:t>
            </w:r>
          </w:p>
        </w:tc>
      </w:tr>
      <w:tr w14:paraId="6C935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3654DF6">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7367542">
            <w:pPr>
              <w:keepNext w:val="0"/>
              <w:keepLines w:val="0"/>
              <w:widowControl/>
              <w:suppressLineNumbers w:val="0"/>
              <w:jc w:val="left"/>
            </w:pPr>
            <w:r>
              <w:rPr>
                <w:rFonts w:ascii="宋体" w:hAnsi="宋体" w:eastAsia="宋体" w:cs="宋体"/>
                <w:kern w:val="0"/>
                <w:sz w:val="24"/>
                <w:szCs w:val="24"/>
                <w:lang w:val="en-US" w:eastAsia="zh-CN" w:bidi="ar"/>
              </w:rPr>
              <w:t>殡仪前台岗</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796FB62">
            <w:pPr>
              <w:keepNext w:val="0"/>
              <w:keepLines w:val="0"/>
              <w:widowControl/>
              <w:suppressLineNumbers w:val="0"/>
              <w:jc w:val="left"/>
            </w:pPr>
            <w:r>
              <w:rPr>
                <w:rFonts w:ascii="宋体" w:hAnsi="宋体" w:eastAsia="宋体" w:cs="宋体"/>
                <w:kern w:val="0"/>
                <w:sz w:val="24"/>
                <w:szCs w:val="24"/>
                <w:lang w:val="en-US" w:eastAsia="zh-CN" w:bidi="ar"/>
              </w:rPr>
              <w:t>4</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A2D13E1">
            <w:pPr>
              <w:keepNext w:val="0"/>
              <w:keepLines w:val="0"/>
              <w:widowControl/>
              <w:suppressLineNumbers w:val="0"/>
              <w:jc w:val="left"/>
            </w:pPr>
            <w:r>
              <w:rPr>
                <w:rFonts w:ascii="宋体" w:hAnsi="宋体" w:eastAsia="宋体" w:cs="宋体"/>
                <w:kern w:val="0"/>
                <w:sz w:val="24"/>
                <w:szCs w:val="24"/>
                <w:lang w:val="en-US" w:eastAsia="zh-CN" w:bidi="ar"/>
              </w:rPr>
              <w:t>业务接待、咨询引导、手续办理等</w:t>
            </w:r>
          </w:p>
        </w:tc>
      </w:tr>
      <w:tr w14:paraId="05D9A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B80230F">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04E4F0D">
            <w:pPr>
              <w:keepNext w:val="0"/>
              <w:keepLines w:val="0"/>
              <w:widowControl/>
              <w:suppressLineNumbers w:val="0"/>
              <w:jc w:val="left"/>
            </w:pPr>
            <w:r>
              <w:rPr>
                <w:rFonts w:ascii="宋体" w:hAnsi="宋体" w:eastAsia="宋体" w:cs="宋体"/>
                <w:kern w:val="0"/>
                <w:sz w:val="24"/>
                <w:szCs w:val="24"/>
                <w:lang w:val="en-US" w:eastAsia="zh-CN" w:bidi="ar"/>
              </w:rPr>
              <w:t>安保岗</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7053709">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C0A6DCF">
            <w:pPr>
              <w:keepNext w:val="0"/>
              <w:keepLines w:val="0"/>
              <w:widowControl/>
              <w:suppressLineNumbers w:val="0"/>
              <w:jc w:val="left"/>
            </w:pPr>
            <w:r>
              <w:rPr>
                <w:rFonts w:hint="eastAsia" w:ascii="宋体" w:hAnsi="宋体" w:cs="宋体"/>
                <w:kern w:val="0"/>
                <w:sz w:val="24"/>
                <w:szCs w:val="24"/>
                <w:lang w:val="en-US" w:eastAsia="zh-CN" w:bidi="ar"/>
              </w:rPr>
              <w:t>殡仪馆</w:t>
            </w:r>
            <w:r>
              <w:rPr>
                <w:rFonts w:ascii="宋体" w:hAnsi="宋体" w:eastAsia="宋体" w:cs="宋体"/>
                <w:kern w:val="0"/>
                <w:sz w:val="24"/>
                <w:szCs w:val="24"/>
                <w:lang w:val="en-US" w:eastAsia="zh-CN" w:bidi="ar"/>
              </w:rPr>
              <w:t>安全值守、秩序维护、应急处置等</w:t>
            </w:r>
          </w:p>
        </w:tc>
      </w:tr>
      <w:tr w14:paraId="26D09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27A8EBA">
            <w:pPr>
              <w:keepNext w:val="0"/>
              <w:keepLines w:val="0"/>
              <w:widowControl/>
              <w:suppressLineNumbers w:val="0"/>
              <w:jc w:val="left"/>
            </w:pPr>
            <w:r>
              <w:rPr>
                <w:rFonts w:ascii="宋体" w:hAnsi="宋体" w:eastAsia="宋体" w:cs="宋体"/>
                <w:kern w:val="0"/>
                <w:sz w:val="24"/>
                <w:szCs w:val="24"/>
                <w:lang w:val="en-US" w:eastAsia="zh-CN" w:bidi="ar"/>
              </w:rPr>
              <w:t>4</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C6CC657">
            <w:pPr>
              <w:keepNext w:val="0"/>
              <w:keepLines w:val="0"/>
              <w:widowControl/>
              <w:suppressLineNumbers w:val="0"/>
              <w:jc w:val="left"/>
            </w:pPr>
            <w:r>
              <w:rPr>
                <w:rFonts w:ascii="宋体" w:hAnsi="宋体" w:eastAsia="宋体" w:cs="宋体"/>
                <w:kern w:val="0"/>
                <w:sz w:val="24"/>
                <w:szCs w:val="24"/>
                <w:lang w:val="en-US" w:eastAsia="zh-CN" w:bidi="ar"/>
              </w:rPr>
              <w:t>保洁岗</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D643C8E">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7A521B6">
            <w:pPr>
              <w:keepNext w:val="0"/>
              <w:keepLines w:val="0"/>
              <w:widowControl/>
              <w:suppressLineNumbers w:val="0"/>
              <w:jc w:val="left"/>
            </w:pPr>
            <w:r>
              <w:rPr>
                <w:rFonts w:hint="eastAsia" w:ascii="宋体" w:hAnsi="宋体" w:cs="宋体"/>
                <w:kern w:val="0"/>
                <w:sz w:val="24"/>
                <w:szCs w:val="24"/>
                <w:lang w:val="en-US" w:eastAsia="zh-CN" w:bidi="ar"/>
              </w:rPr>
              <w:t>殡仪馆</w:t>
            </w:r>
            <w:r>
              <w:rPr>
                <w:rFonts w:ascii="宋体" w:hAnsi="宋体" w:eastAsia="宋体" w:cs="宋体"/>
                <w:kern w:val="0"/>
                <w:sz w:val="24"/>
                <w:szCs w:val="24"/>
                <w:lang w:val="en-US" w:eastAsia="zh-CN" w:bidi="ar"/>
              </w:rPr>
              <w:t>公共区域、服务场所日常保洁、环境维护等</w:t>
            </w:r>
          </w:p>
        </w:tc>
      </w:tr>
      <w:tr w14:paraId="1F6E0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552CCDA">
            <w:pPr>
              <w:keepNext w:val="0"/>
              <w:keepLines w:val="0"/>
              <w:widowControl/>
              <w:suppressLineNumbers w:val="0"/>
              <w:jc w:val="left"/>
            </w:pPr>
            <w:r>
              <w:rPr>
                <w:rFonts w:ascii="宋体" w:hAnsi="宋体" w:eastAsia="宋体" w:cs="宋体"/>
                <w:kern w:val="0"/>
                <w:sz w:val="24"/>
                <w:szCs w:val="24"/>
                <w:lang w:val="en-US" w:eastAsia="zh-CN" w:bidi="ar"/>
              </w:rPr>
              <w:t>5</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E1F6EFA">
            <w:pPr>
              <w:keepNext w:val="0"/>
              <w:keepLines w:val="0"/>
              <w:widowControl/>
              <w:suppressLineNumbers w:val="0"/>
              <w:jc w:val="left"/>
            </w:pPr>
            <w:r>
              <w:rPr>
                <w:rFonts w:ascii="宋体" w:hAnsi="宋体" w:eastAsia="宋体" w:cs="宋体"/>
                <w:kern w:val="0"/>
                <w:sz w:val="24"/>
                <w:szCs w:val="24"/>
                <w:lang w:val="en-US" w:eastAsia="zh-CN" w:bidi="ar"/>
              </w:rPr>
              <w:t>绿化维护岗</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4E491D2">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CBDC279">
            <w:pPr>
              <w:keepNext w:val="0"/>
              <w:keepLines w:val="0"/>
              <w:widowControl/>
              <w:suppressLineNumbers w:val="0"/>
              <w:jc w:val="left"/>
            </w:pPr>
            <w:r>
              <w:rPr>
                <w:rFonts w:hint="eastAsia" w:ascii="宋体" w:hAnsi="宋体" w:cs="宋体"/>
                <w:kern w:val="0"/>
                <w:sz w:val="24"/>
                <w:szCs w:val="24"/>
                <w:lang w:val="en-US" w:eastAsia="zh-CN" w:bidi="ar"/>
              </w:rPr>
              <w:t>殡仪馆</w:t>
            </w:r>
            <w:r>
              <w:rPr>
                <w:rFonts w:ascii="宋体" w:hAnsi="宋体" w:eastAsia="宋体" w:cs="宋体"/>
                <w:kern w:val="0"/>
                <w:sz w:val="24"/>
                <w:szCs w:val="24"/>
                <w:lang w:val="en-US" w:eastAsia="zh-CN" w:bidi="ar"/>
              </w:rPr>
              <w:t>绿化养护、植被修剪、环境美化等</w:t>
            </w:r>
          </w:p>
        </w:tc>
      </w:tr>
      <w:tr w14:paraId="77C2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37A8405">
            <w:pPr>
              <w:keepNext w:val="0"/>
              <w:keepLines w:val="0"/>
              <w:widowControl/>
              <w:suppressLineNumbers w:val="0"/>
              <w:jc w:val="left"/>
            </w:pPr>
            <w:r>
              <w:rPr>
                <w:rFonts w:ascii="宋体" w:hAnsi="宋体" w:eastAsia="宋体" w:cs="宋体"/>
                <w:kern w:val="0"/>
                <w:sz w:val="24"/>
                <w:szCs w:val="24"/>
                <w:lang w:val="en-US" w:eastAsia="zh-CN" w:bidi="ar"/>
              </w:rPr>
              <w:t>6</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36389F4">
            <w:pPr>
              <w:keepNext w:val="0"/>
              <w:keepLines w:val="0"/>
              <w:widowControl/>
              <w:suppressLineNumbers w:val="0"/>
              <w:jc w:val="left"/>
            </w:pPr>
            <w:r>
              <w:rPr>
                <w:rFonts w:ascii="宋体" w:hAnsi="宋体" w:eastAsia="宋体" w:cs="宋体"/>
                <w:kern w:val="0"/>
                <w:sz w:val="24"/>
                <w:szCs w:val="24"/>
                <w:lang w:val="en-US" w:eastAsia="zh-CN" w:bidi="ar"/>
              </w:rPr>
              <w:t>遗体收殓岗（含面容清理、化妆和吊唁服务）</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BE6EC01">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B6E432D">
            <w:pPr>
              <w:keepNext w:val="0"/>
              <w:keepLines w:val="0"/>
              <w:widowControl/>
              <w:suppressLineNumbers w:val="0"/>
              <w:jc w:val="left"/>
            </w:pPr>
            <w:r>
              <w:rPr>
                <w:rFonts w:ascii="宋体" w:hAnsi="宋体" w:eastAsia="宋体" w:cs="宋体"/>
                <w:kern w:val="0"/>
                <w:sz w:val="24"/>
                <w:szCs w:val="24"/>
                <w:lang w:val="en-US" w:eastAsia="zh-CN" w:bidi="ar"/>
              </w:rPr>
              <w:t>遗体收殓、面容整理、化妆、吊唁服务</w:t>
            </w:r>
            <w:r>
              <w:rPr>
                <w:rFonts w:hint="eastAsia" w:ascii="宋体" w:hAnsi="宋体" w:cs="宋体"/>
                <w:kern w:val="0"/>
                <w:sz w:val="24"/>
                <w:szCs w:val="24"/>
                <w:lang w:val="en-US" w:eastAsia="zh-CN" w:bidi="ar"/>
              </w:rPr>
              <w:t>、守灵服务</w:t>
            </w:r>
            <w:r>
              <w:rPr>
                <w:rFonts w:ascii="宋体" w:hAnsi="宋体" w:eastAsia="宋体" w:cs="宋体"/>
                <w:kern w:val="0"/>
                <w:sz w:val="24"/>
                <w:szCs w:val="24"/>
                <w:lang w:val="en-US" w:eastAsia="zh-CN" w:bidi="ar"/>
              </w:rPr>
              <w:t>保障等</w:t>
            </w:r>
          </w:p>
        </w:tc>
      </w:tr>
      <w:tr w14:paraId="1503A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B8BAF73">
            <w:pPr>
              <w:keepNext w:val="0"/>
              <w:keepLines w:val="0"/>
              <w:widowControl/>
              <w:suppressLineNumbers w:val="0"/>
              <w:jc w:val="left"/>
            </w:pPr>
            <w:r>
              <w:rPr>
                <w:rFonts w:ascii="宋体" w:hAnsi="宋体" w:eastAsia="宋体" w:cs="宋体"/>
                <w:kern w:val="0"/>
                <w:sz w:val="24"/>
                <w:szCs w:val="24"/>
                <w:lang w:val="en-US" w:eastAsia="zh-CN" w:bidi="ar"/>
              </w:rPr>
              <w:t>7</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A5E84AC">
            <w:pPr>
              <w:keepNext w:val="0"/>
              <w:keepLines w:val="0"/>
              <w:widowControl/>
              <w:suppressLineNumbers w:val="0"/>
              <w:jc w:val="left"/>
            </w:pPr>
            <w:r>
              <w:rPr>
                <w:rFonts w:ascii="宋体" w:hAnsi="宋体" w:eastAsia="宋体" w:cs="宋体"/>
                <w:kern w:val="0"/>
                <w:sz w:val="24"/>
                <w:szCs w:val="24"/>
                <w:lang w:val="en-US" w:eastAsia="zh-CN" w:bidi="ar"/>
              </w:rPr>
              <w:t>遗体（骨灰）接运管理岗</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CBFAEE2">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657F4B5">
            <w:pPr>
              <w:keepNext w:val="0"/>
              <w:keepLines w:val="0"/>
              <w:widowControl/>
              <w:suppressLineNumbers w:val="0"/>
              <w:jc w:val="left"/>
            </w:pPr>
            <w:r>
              <w:rPr>
                <w:rFonts w:ascii="宋体" w:hAnsi="宋体" w:eastAsia="宋体" w:cs="宋体"/>
                <w:kern w:val="0"/>
                <w:sz w:val="24"/>
                <w:szCs w:val="24"/>
                <w:lang w:val="en-US" w:eastAsia="zh-CN" w:bidi="ar"/>
              </w:rPr>
              <w:t>遗体 / 骨灰接运调度、流程管理、服务保障等</w:t>
            </w:r>
          </w:p>
        </w:tc>
      </w:tr>
    </w:tbl>
    <w:p w14:paraId="2B68442A">
      <w:pPr>
        <w:pStyle w:val="15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bCs/>
          <w:color w:val="auto"/>
          <w:sz w:val="21"/>
          <w:szCs w:val="21"/>
          <w:highlight w:val="none"/>
        </w:rPr>
      </w:pPr>
      <w:bookmarkStart w:id="208" w:name="_Toc46924600"/>
      <w:r>
        <w:rPr>
          <w:rFonts w:hint="eastAsia" w:ascii="宋体" w:hAnsi="宋体" w:eastAsia="宋体"/>
          <w:b/>
          <w:bCs/>
          <w:color w:val="auto"/>
          <w:sz w:val="21"/>
          <w:szCs w:val="21"/>
          <w:highlight w:val="none"/>
          <w:lang w:val="en-US" w:eastAsia="zh-CN"/>
        </w:rPr>
        <w:t>四</w:t>
      </w:r>
      <w:r>
        <w:rPr>
          <w:rFonts w:ascii="宋体" w:hAnsi="宋体" w:eastAsia="宋体"/>
          <w:b/>
          <w:bCs/>
          <w:color w:val="auto"/>
          <w:sz w:val="21"/>
          <w:szCs w:val="21"/>
          <w:highlight w:val="none"/>
        </w:rPr>
        <w:t>、</w:t>
      </w:r>
      <w:r>
        <w:rPr>
          <w:rFonts w:hint="eastAsia" w:ascii="宋体" w:hAnsi="宋体" w:eastAsia="宋体"/>
          <w:b/>
          <w:bCs/>
          <w:color w:val="auto"/>
          <w:sz w:val="21"/>
          <w:szCs w:val="21"/>
          <w:highlight w:val="none"/>
        </w:rPr>
        <w:t>采购标的需满足的服务标准、期限、效率等要求</w:t>
      </w:r>
      <w:bookmarkEnd w:id="208"/>
    </w:p>
    <w:p w14:paraId="4C42A1B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1、服务标准：</w:t>
      </w:r>
      <w:r>
        <w:rPr>
          <w:rFonts w:hint="eastAsia" w:ascii="宋体" w:hAnsi="宋体"/>
          <w:color w:val="auto"/>
          <w:sz w:val="21"/>
          <w:szCs w:val="21"/>
          <w:highlight w:val="none"/>
        </w:rPr>
        <w:t>严格按照国家、云南省和昆明市相关法律法规、规章实施</w:t>
      </w:r>
      <w:r>
        <w:rPr>
          <w:rFonts w:hint="eastAsia" w:ascii="宋体" w:hAnsi="宋体"/>
          <w:color w:val="auto"/>
          <w:sz w:val="21"/>
          <w:szCs w:val="21"/>
          <w:highlight w:val="none"/>
          <w:lang w:val="en-US" w:eastAsia="zh-CN"/>
        </w:rPr>
        <w:t>相关</w:t>
      </w:r>
      <w:r>
        <w:rPr>
          <w:rFonts w:hint="eastAsia" w:ascii="宋体" w:hAnsi="宋体"/>
          <w:color w:val="auto"/>
          <w:sz w:val="21"/>
          <w:szCs w:val="21"/>
          <w:highlight w:val="none"/>
        </w:rPr>
        <w:t>工作。</w:t>
      </w:r>
      <w:r>
        <w:rPr>
          <w:rFonts w:hint="eastAsia" w:ascii="宋体" w:hAnsi="宋体"/>
          <w:color w:val="auto"/>
          <w:sz w:val="21"/>
          <w:szCs w:val="21"/>
          <w:highlight w:val="none"/>
          <w:lang w:val="en-US" w:eastAsia="zh-CN"/>
        </w:rPr>
        <w:t>服务到位，做好殡仪服务工作，并满足采购人的管理要求。</w:t>
      </w:r>
    </w:p>
    <w:p w14:paraId="031F99C6">
      <w:pPr>
        <w:numPr>
          <w:ilvl w:val="0"/>
          <w:numId w:val="0"/>
        </w:num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服务期限：自合同签订之日起至</w:t>
      </w:r>
      <w:r>
        <w:rPr>
          <w:rFonts w:hint="eastAsia" w:ascii="宋体" w:hAnsi="宋体"/>
          <w:color w:val="auto"/>
          <w:sz w:val="21"/>
          <w:szCs w:val="21"/>
          <w:highlight w:val="none"/>
          <w:lang w:val="en-US" w:eastAsia="zh-CN"/>
        </w:rPr>
        <w:t>2028年12月31日</w:t>
      </w:r>
      <w:r>
        <w:rPr>
          <w:rFonts w:hint="eastAsia" w:ascii="宋体" w:hAnsi="宋体"/>
          <w:color w:val="auto"/>
          <w:sz w:val="21"/>
          <w:szCs w:val="21"/>
          <w:highlight w:val="none"/>
        </w:rPr>
        <w:t>。</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合同一年一签，一招三年，分年度签订）</w:t>
      </w:r>
    </w:p>
    <w:p w14:paraId="622066F7">
      <w:pPr>
        <w:pStyle w:val="41"/>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1"/>
          <w:szCs w:val="21"/>
          <w:highlight w:val="none"/>
        </w:rPr>
      </w:pPr>
    </w:p>
    <w:p w14:paraId="50453325">
      <w:pPr>
        <w:pStyle w:val="150"/>
        <w:widowControl/>
        <w:spacing w:line="360" w:lineRule="auto"/>
        <w:rPr>
          <w:rFonts w:ascii="宋体" w:hAnsi="宋体" w:eastAsia="宋体"/>
          <w:b/>
          <w:bCs/>
          <w:color w:val="auto"/>
          <w:sz w:val="21"/>
          <w:szCs w:val="21"/>
          <w:highlight w:val="none"/>
        </w:rPr>
      </w:pPr>
      <w:bookmarkStart w:id="209" w:name="_Toc46924601"/>
      <w:r>
        <w:rPr>
          <w:rFonts w:hint="eastAsia" w:ascii="宋体" w:hAnsi="宋体" w:eastAsia="宋体"/>
          <w:b/>
          <w:bCs/>
          <w:color w:val="auto"/>
          <w:sz w:val="21"/>
          <w:szCs w:val="21"/>
          <w:highlight w:val="none"/>
        </w:rPr>
        <w:t>六</w:t>
      </w:r>
      <w:r>
        <w:rPr>
          <w:rFonts w:ascii="宋体" w:hAnsi="宋体" w:eastAsia="宋体"/>
          <w:b/>
          <w:bCs/>
          <w:color w:val="auto"/>
          <w:sz w:val="21"/>
          <w:szCs w:val="21"/>
          <w:highlight w:val="none"/>
        </w:rPr>
        <w:t>、</w:t>
      </w:r>
      <w:r>
        <w:rPr>
          <w:rFonts w:hint="eastAsia" w:ascii="宋体" w:hAnsi="宋体" w:eastAsia="宋体"/>
          <w:b/>
          <w:bCs/>
          <w:color w:val="auto"/>
          <w:sz w:val="21"/>
          <w:szCs w:val="21"/>
          <w:highlight w:val="none"/>
        </w:rPr>
        <w:t>采购标的的验收标准</w:t>
      </w:r>
      <w:bookmarkEnd w:id="209"/>
    </w:p>
    <w:p w14:paraId="4E548BB3">
      <w:pPr>
        <w:pStyle w:val="63"/>
        <w:spacing w:line="360" w:lineRule="auto"/>
        <w:rPr>
          <w:rFonts w:ascii="宋体" w:hAnsi="宋体"/>
          <w:color w:val="auto"/>
          <w:sz w:val="21"/>
          <w:szCs w:val="21"/>
          <w:highlight w:val="none"/>
        </w:rPr>
      </w:pPr>
      <w:r>
        <w:rPr>
          <w:rFonts w:hint="eastAsia" w:ascii="宋体" w:hAnsi="宋体"/>
          <w:color w:val="auto"/>
          <w:sz w:val="21"/>
          <w:szCs w:val="21"/>
          <w:highlight w:val="none"/>
        </w:rPr>
        <w:t>严格按照国家、云南省和昆明市相关法律法规、规章实施</w:t>
      </w:r>
      <w:r>
        <w:rPr>
          <w:rFonts w:hint="eastAsia" w:ascii="宋体" w:hAnsi="宋体"/>
          <w:color w:val="auto"/>
          <w:sz w:val="21"/>
          <w:szCs w:val="21"/>
          <w:highlight w:val="none"/>
          <w:lang w:val="en-US" w:eastAsia="zh-CN"/>
        </w:rPr>
        <w:t>相关</w:t>
      </w:r>
      <w:r>
        <w:rPr>
          <w:rFonts w:hint="eastAsia" w:ascii="宋体" w:hAnsi="宋体"/>
          <w:color w:val="auto"/>
          <w:sz w:val="21"/>
          <w:szCs w:val="21"/>
          <w:highlight w:val="none"/>
        </w:rPr>
        <w:t>工作，做好殡仪服务工作，并满足采购人的管理要求。</w:t>
      </w:r>
    </w:p>
    <w:bookmarkEnd w:id="204"/>
    <w:p w14:paraId="09346E18">
      <w:pPr>
        <w:rPr>
          <w:rFonts w:hint="eastAsia" w:ascii="宋体" w:hAnsi="宋体"/>
          <w:color w:val="auto"/>
          <w:sz w:val="36"/>
          <w:szCs w:val="36"/>
          <w:highlight w:val="none"/>
          <w:lang w:val="zh-CN"/>
        </w:rPr>
      </w:pPr>
      <w:bookmarkStart w:id="210" w:name="_Toc27390"/>
      <w:r>
        <w:rPr>
          <w:rFonts w:hint="eastAsia" w:ascii="宋体" w:hAnsi="宋体"/>
          <w:color w:val="auto"/>
          <w:sz w:val="36"/>
          <w:szCs w:val="36"/>
          <w:highlight w:val="none"/>
          <w:lang w:val="zh-CN"/>
        </w:rPr>
        <w:br w:type="page"/>
      </w:r>
    </w:p>
    <w:p w14:paraId="2AE0DAB0">
      <w:pPr>
        <w:pStyle w:val="2"/>
        <w:spacing w:before="240" w:after="240" w:line="360" w:lineRule="auto"/>
        <w:jc w:val="center"/>
        <w:rPr>
          <w:rFonts w:ascii="宋体" w:hAnsi="宋体"/>
          <w:color w:val="auto"/>
          <w:sz w:val="36"/>
          <w:szCs w:val="36"/>
          <w:highlight w:val="none"/>
          <w:lang w:val="zh-CN"/>
        </w:rPr>
      </w:pPr>
      <w:r>
        <w:rPr>
          <w:rFonts w:hint="eastAsia" w:ascii="宋体" w:hAnsi="宋体"/>
          <w:color w:val="auto"/>
          <w:sz w:val="36"/>
          <w:szCs w:val="36"/>
          <w:highlight w:val="none"/>
          <w:lang w:val="zh-CN"/>
        </w:rPr>
        <w:t>第七章 投标文件格式</w:t>
      </w:r>
      <w:bookmarkEnd w:id="198"/>
      <w:bookmarkEnd w:id="199"/>
      <w:bookmarkEnd w:id="200"/>
      <w:bookmarkEnd w:id="201"/>
      <w:bookmarkEnd w:id="210"/>
    </w:p>
    <w:p w14:paraId="4A797B82">
      <w:pPr>
        <w:adjustRightInd w:val="0"/>
        <w:snapToGrid w:val="0"/>
        <w:spacing w:line="360" w:lineRule="auto"/>
        <w:jc w:val="center"/>
        <w:rPr>
          <w:rFonts w:ascii="宋体" w:hAnsi="宋体" w:cs="宋体"/>
          <w:bCs/>
          <w:color w:val="auto"/>
          <w:sz w:val="24"/>
          <w:szCs w:val="24"/>
          <w:highlight w:val="none"/>
        </w:rPr>
      </w:pPr>
      <w:bookmarkStart w:id="211" w:name="_Hlk19542342"/>
    </w:p>
    <w:p w14:paraId="4B8ACAD6">
      <w:pPr>
        <w:widowControl w:val="0"/>
        <w:spacing w:line="360" w:lineRule="auto"/>
        <w:jc w:val="center"/>
        <w:rPr>
          <w:rFonts w:ascii="宋体" w:hAnsi="宋体"/>
          <w:b/>
          <w:bCs/>
          <w:color w:val="auto"/>
          <w:kern w:val="2"/>
          <w:sz w:val="48"/>
          <w:szCs w:val="48"/>
          <w:highlight w:val="none"/>
        </w:rPr>
      </w:pPr>
      <w:r>
        <w:rPr>
          <w:rFonts w:hint="eastAsia" w:ascii="宋体" w:hAnsi="宋体"/>
          <w:b/>
          <w:bCs/>
          <w:color w:val="auto"/>
          <w:kern w:val="2"/>
          <w:sz w:val="48"/>
          <w:szCs w:val="48"/>
          <w:highlight w:val="none"/>
          <w:lang w:eastAsia="zh-CN"/>
        </w:rPr>
        <w:t>禄劝彝族苗族自治县殡仪馆2026 —2028年遗体接运服务和殡仪业务服务项目</w:t>
      </w:r>
    </w:p>
    <w:p w14:paraId="32853C47">
      <w:pPr>
        <w:wordWrap w:val="0"/>
        <w:adjustRightInd w:val="0"/>
        <w:snapToGrid w:val="0"/>
        <w:spacing w:line="360" w:lineRule="auto"/>
        <w:jc w:val="center"/>
        <w:rPr>
          <w:rFonts w:ascii="宋体" w:hAnsi="宋体" w:cs="宋体"/>
          <w:b/>
          <w:color w:val="auto"/>
          <w:sz w:val="24"/>
          <w:szCs w:val="22"/>
          <w:highlight w:val="none"/>
        </w:rPr>
      </w:pPr>
    </w:p>
    <w:p w14:paraId="3380AC00">
      <w:pPr>
        <w:pStyle w:val="41"/>
        <w:rPr>
          <w:color w:val="auto"/>
          <w:highlight w:val="none"/>
        </w:rPr>
      </w:pPr>
    </w:p>
    <w:p w14:paraId="309C19A6">
      <w:pPr>
        <w:wordWrap w:val="0"/>
        <w:adjustRightInd w:val="0"/>
        <w:snapToGrid w:val="0"/>
        <w:spacing w:line="360" w:lineRule="auto"/>
        <w:jc w:val="center"/>
        <w:rPr>
          <w:rFonts w:ascii="宋体" w:hAnsi="宋体" w:cs="宋体"/>
          <w:b/>
          <w:color w:val="auto"/>
          <w:sz w:val="24"/>
          <w:szCs w:val="22"/>
          <w:highlight w:val="none"/>
        </w:rPr>
      </w:pPr>
    </w:p>
    <w:p w14:paraId="52919AE6">
      <w:pPr>
        <w:pStyle w:val="63"/>
        <w:rPr>
          <w:color w:val="auto"/>
          <w:highlight w:val="none"/>
        </w:rPr>
      </w:pPr>
    </w:p>
    <w:p w14:paraId="08CE8322">
      <w:pPr>
        <w:pStyle w:val="63"/>
        <w:rPr>
          <w:color w:val="auto"/>
          <w:highlight w:val="none"/>
        </w:rPr>
      </w:pPr>
    </w:p>
    <w:p w14:paraId="746DEFA0">
      <w:pPr>
        <w:pStyle w:val="63"/>
        <w:rPr>
          <w:color w:val="auto"/>
          <w:highlight w:val="none"/>
        </w:rPr>
      </w:pPr>
    </w:p>
    <w:p w14:paraId="755C59AA">
      <w:pPr>
        <w:pStyle w:val="63"/>
        <w:rPr>
          <w:color w:val="auto"/>
          <w:highlight w:val="none"/>
        </w:rPr>
      </w:pPr>
    </w:p>
    <w:p w14:paraId="432B834E">
      <w:pPr>
        <w:pStyle w:val="63"/>
        <w:rPr>
          <w:color w:val="auto"/>
          <w:highlight w:val="none"/>
        </w:rPr>
      </w:pPr>
    </w:p>
    <w:p w14:paraId="5501AE9E">
      <w:pPr>
        <w:spacing w:line="360" w:lineRule="auto"/>
        <w:jc w:val="center"/>
        <w:rPr>
          <w:rFonts w:ascii="宋体" w:hAnsi="宋体"/>
          <w:b/>
          <w:color w:val="auto"/>
          <w:sz w:val="72"/>
          <w:szCs w:val="72"/>
          <w:highlight w:val="none"/>
        </w:rPr>
      </w:pPr>
      <w:r>
        <w:rPr>
          <w:rFonts w:hint="eastAsia" w:ascii="宋体" w:hAnsi="宋体"/>
          <w:b/>
          <w:color w:val="auto"/>
          <w:sz w:val="72"/>
          <w:szCs w:val="72"/>
          <w:highlight w:val="none"/>
        </w:rPr>
        <w:t>投 标 文 件</w:t>
      </w:r>
    </w:p>
    <w:p w14:paraId="23A46C52">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项目编号：</w:t>
      </w:r>
    </w:p>
    <w:p w14:paraId="6975F4D1">
      <w:pPr>
        <w:tabs>
          <w:tab w:val="left" w:pos="4525"/>
        </w:tabs>
        <w:wordWrap w:val="0"/>
        <w:adjustRightInd w:val="0"/>
        <w:snapToGrid w:val="0"/>
        <w:spacing w:line="360" w:lineRule="auto"/>
        <w:jc w:val="center"/>
        <w:rPr>
          <w:rFonts w:ascii="宋体" w:hAnsi="宋体" w:cs="宋体"/>
          <w:color w:val="auto"/>
          <w:sz w:val="24"/>
          <w:szCs w:val="24"/>
          <w:highlight w:val="none"/>
        </w:rPr>
      </w:pPr>
    </w:p>
    <w:p w14:paraId="35D19982">
      <w:pPr>
        <w:pStyle w:val="63"/>
        <w:rPr>
          <w:rFonts w:ascii="宋体" w:hAnsi="宋体"/>
          <w:color w:val="auto"/>
          <w:highlight w:val="none"/>
        </w:rPr>
      </w:pPr>
    </w:p>
    <w:p w14:paraId="381B8A7D">
      <w:pPr>
        <w:pStyle w:val="63"/>
        <w:rPr>
          <w:rFonts w:ascii="宋体" w:hAnsi="宋体"/>
          <w:color w:val="auto"/>
          <w:highlight w:val="none"/>
        </w:rPr>
      </w:pPr>
    </w:p>
    <w:p w14:paraId="423408DC">
      <w:pPr>
        <w:pStyle w:val="63"/>
        <w:rPr>
          <w:rFonts w:ascii="宋体" w:hAnsi="宋体"/>
          <w:color w:val="auto"/>
          <w:highlight w:val="none"/>
        </w:rPr>
      </w:pPr>
    </w:p>
    <w:p w14:paraId="2299740F">
      <w:pPr>
        <w:pStyle w:val="63"/>
        <w:rPr>
          <w:rFonts w:ascii="宋体" w:hAnsi="宋体"/>
          <w:color w:val="auto"/>
          <w:highlight w:val="none"/>
        </w:rPr>
      </w:pPr>
    </w:p>
    <w:p w14:paraId="657D4443">
      <w:pPr>
        <w:tabs>
          <w:tab w:val="left" w:pos="4525"/>
        </w:tabs>
        <w:wordWrap w:val="0"/>
        <w:adjustRightInd w:val="0"/>
        <w:snapToGrid w:val="0"/>
        <w:spacing w:line="360" w:lineRule="auto"/>
        <w:jc w:val="center"/>
        <w:rPr>
          <w:rFonts w:ascii="宋体" w:hAnsi="宋体" w:cs="宋体"/>
          <w:color w:val="auto"/>
          <w:sz w:val="24"/>
          <w:szCs w:val="24"/>
          <w:highlight w:val="none"/>
        </w:rPr>
      </w:pPr>
    </w:p>
    <w:p w14:paraId="19DCE91F">
      <w:pPr>
        <w:tabs>
          <w:tab w:val="left" w:pos="4525"/>
        </w:tabs>
        <w:wordWrap w:val="0"/>
        <w:adjustRightInd w:val="0"/>
        <w:snapToGrid w:val="0"/>
        <w:spacing w:line="360" w:lineRule="auto"/>
        <w:jc w:val="center"/>
        <w:rPr>
          <w:rFonts w:ascii="宋体" w:hAnsi="宋体" w:cs="宋体"/>
          <w:color w:val="auto"/>
          <w:sz w:val="24"/>
          <w:szCs w:val="24"/>
          <w:highlight w:val="none"/>
        </w:rPr>
      </w:pPr>
    </w:p>
    <w:p w14:paraId="512D685F">
      <w:pPr>
        <w:tabs>
          <w:tab w:val="left" w:pos="4525"/>
        </w:tabs>
        <w:wordWrap w:val="0"/>
        <w:adjustRightInd w:val="0"/>
        <w:snapToGrid w:val="0"/>
        <w:spacing w:line="360" w:lineRule="auto"/>
        <w:jc w:val="center"/>
        <w:rPr>
          <w:rFonts w:ascii="宋体" w:hAnsi="宋体" w:cs="宋体"/>
          <w:color w:val="auto"/>
          <w:sz w:val="24"/>
          <w:szCs w:val="24"/>
          <w:highlight w:val="none"/>
        </w:rPr>
      </w:pPr>
    </w:p>
    <w:p w14:paraId="2878A423">
      <w:pPr>
        <w:pStyle w:val="63"/>
        <w:rPr>
          <w:rFonts w:ascii="宋体" w:hAnsi="宋体"/>
          <w:color w:val="auto"/>
          <w:highlight w:val="none"/>
        </w:rPr>
      </w:pPr>
    </w:p>
    <w:p w14:paraId="16E07F6D">
      <w:pPr>
        <w:tabs>
          <w:tab w:val="left" w:pos="4525"/>
        </w:tabs>
        <w:wordWrap w:val="0"/>
        <w:adjustRightInd w:val="0"/>
        <w:snapToGrid w:val="0"/>
        <w:spacing w:line="360" w:lineRule="auto"/>
        <w:jc w:val="center"/>
        <w:rPr>
          <w:rFonts w:ascii="宋体" w:hAnsi="宋体" w:cs="宋体"/>
          <w:color w:val="auto"/>
          <w:sz w:val="24"/>
          <w:szCs w:val="24"/>
          <w:highlight w:val="none"/>
        </w:rPr>
      </w:pPr>
    </w:p>
    <w:p w14:paraId="08D95777">
      <w:pPr>
        <w:spacing w:line="360" w:lineRule="auto"/>
        <w:ind w:firstLine="900" w:firstLineChars="300"/>
        <w:jc w:val="both"/>
        <w:rPr>
          <w:rFonts w:hint="eastAsia" w:ascii="宋体" w:hAnsi="宋体"/>
          <w:color w:val="auto"/>
          <w:sz w:val="30"/>
          <w:szCs w:val="30"/>
          <w:highlight w:val="none"/>
        </w:rPr>
      </w:pPr>
      <w:r>
        <w:rPr>
          <w:rFonts w:hint="eastAsia" w:ascii="宋体" w:hAnsi="宋体"/>
          <w:color w:val="auto"/>
          <w:sz w:val="30"/>
          <w:szCs w:val="30"/>
          <w:highlight w:val="none"/>
        </w:rPr>
        <w:t>投标人：</w:t>
      </w:r>
      <w:r>
        <w:rPr>
          <w:rFonts w:hint="eastAsia" w:ascii="宋体" w:hAnsi="宋体"/>
          <w:color w:val="auto"/>
          <w:sz w:val="30"/>
          <w:szCs w:val="30"/>
          <w:highlight w:val="none"/>
          <w:u w:val="single"/>
          <w:lang w:val="en-US" w:eastAsia="zh-CN"/>
        </w:rPr>
        <w:t xml:space="preserve">                         </w:t>
      </w:r>
      <w:r>
        <w:rPr>
          <w:rFonts w:hint="eastAsia" w:ascii="宋体" w:hAnsi="宋体"/>
          <w:color w:val="auto"/>
          <w:sz w:val="30"/>
          <w:szCs w:val="30"/>
          <w:highlight w:val="none"/>
        </w:rPr>
        <w:t>（</w:t>
      </w:r>
      <w:r>
        <w:rPr>
          <w:rFonts w:hint="eastAsia" w:ascii="宋体" w:hAnsi="宋体"/>
          <w:color w:val="auto"/>
          <w:sz w:val="30"/>
          <w:szCs w:val="30"/>
          <w:highlight w:val="none"/>
          <w:lang w:val="en-US" w:eastAsia="zh-CN"/>
        </w:rPr>
        <w:t>电子签章</w:t>
      </w:r>
      <w:r>
        <w:rPr>
          <w:rFonts w:hint="eastAsia" w:ascii="宋体" w:hAnsi="宋体"/>
          <w:color w:val="auto"/>
          <w:sz w:val="30"/>
          <w:szCs w:val="30"/>
          <w:highlight w:val="none"/>
        </w:rPr>
        <w:t>）</w:t>
      </w:r>
    </w:p>
    <w:p w14:paraId="3B29A804">
      <w:pPr>
        <w:spacing w:line="360" w:lineRule="auto"/>
        <w:ind w:firstLine="900" w:firstLineChars="300"/>
        <w:jc w:val="both"/>
        <w:rPr>
          <w:rFonts w:hint="eastAsia" w:ascii="宋体" w:hAnsi="宋体"/>
          <w:color w:val="auto"/>
          <w:sz w:val="30"/>
          <w:szCs w:val="30"/>
          <w:highlight w:val="none"/>
        </w:rPr>
      </w:pPr>
      <w:r>
        <w:rPr>
          <w:rFonts w:hint="eastAsia" w:ascii="宋体" w:hAnsi="宋体"/>
          <w:color w:val="auto"/>
          <w:sz w:val="30"/>
          <w:szCs w:val="30"/>
          <w:highlight w:val="none"/>
        </w:rPr>
        <w:t>法定代表人：</w:t>
      </w:r>
      <w:r>
        <w:rPr>
          <w:rFonts w:hint="eastAsia" w:ascii="宋体" w:hAnsi="宋体"/>
          <w:color w:val="auto"/>
          <w:sz w:val="30"/>
          <w:szCs w:val="30"/>
          <w:highlight w:val="none"/>
          <w:u w:val="single"/>
          <w:lang w:val="en-US" w:eastAsia="zh-CN"/>
        </w:rPr>
        <w:t xml:space="preserve">                     </w:t>
      </w:r>
      <w:r>
        <w:rPr>
          <w:rFonts w:hint="eastAsia" w:ascii="宋体" w:hAnsi="宋体"/>
          <w:color w:val="auto"/>
          <w:sz w:val="30"/>
          <w:szCs w:val="30"/>
          <w:highlight w:val="none"/>
        </w:rPr>
        <w:t>（</w:t>
      </w:r>
      <w:r>
        <w:rPr>
          <w:rFonts w:hint="eastAsia" w:ascii="宋体" w:hAnsi="宋体"/>
          <w:color w:val="auto"/>
          <w:sz w:val="30"/>
          <w:szCs w:val="30"/>
          <w:highlight w:val="none"/>
          <w:lang w:val="en-US" w:eastAsia="zh-CN"/>
        </w:rPr>
        <w:t>电子签章</w:t>
      </w:r>
      <w:r>
        <w:rPr>
          <w:rFonts w:hint="eastAsia" w:ascii="宋体" w:hAnsi="宋体"/>
          <w:color w:val="auto"/>
          <w:sz w:val="30"/>
          <w:szCs w:val="30"/>
          <w:highlight w:val="none"/>
        </w:rPr>
        <w:t>）</w:t>
      </w:r>
    </w:p>
    <w:p w14:paraId="3260B6DB">
      <w:pPr>
        <w:spacing w:line="360" w:lineRule="auto"/>
        <w:ind w:firstLine="900" w:firstLineChars="300"/>
        <w:jc w:val="both"/>
        <w:rPr>
          <w:rFonts w:ascii="宋体" w:hAnsi="宋体"/>
          <w:color w:val="auto"/>
          <w:highlight w:val="none"/>
        </w:rPr>
      </w:pPr>
      <w:r>
        <w:rPr>
          <w:rFonts w:hint="eastAsia" w:ascii="宋体" w:hAnsi="宋体"/>
          <w:color w:val="auto"/>
          <w:sz w:val="30"/>
          <w:szCs w:val="30"/>
          <w:highlight w:val="none"/>
        </w:rPr>
        <w:t>日期：年_</w:t>
      </w:r>
      <w:r>
        <w:rPr>
          <w:rFonts w:ascii="宋体" w:hAnsi="宋体"/>
          <w:color w:val="auto"/>
          <w:sz w:val="30"/>
          <w:szCs w:val="30"/>
          <w:highlight w:val="none"/>
        </w:rPr>
        <w:t>____</w:t>
      </w:r>
      <w:r>
        <w:rPr>
          <w:rFonts w:hint="eastAsia" w:ascii="宋体" w:hAnsi="宋体"/>
          <w:color w:val="auto"/>
          <w:sz w:val="30"/>
          <w:szCs w:val="30"/>
          <w:highlight w:val="none"/>
        </w:rPr>
        <w:t>月_</w:t>
      </w:r>
      <w:r>
        <w:rPr>
          <w:rFonts w:ascii="宋体" w:hAnsi="宋体"/>
          <w:color w:val="auto"/>
          <w:sz w:val="30"/>
          <w:szCs w:val="30"/>
          <w:highlight w:val="none"/>
        </w:rPr>
        <w:t>____</w:t>
      </w:r>
      <w:r>
        <w:rPr>
          <w:rFonts w:hint="eastAsia" w:ascii="宋体" w:hAnsi="宋体"/>
          <w:color w:val="auto"/>
          <w:sz w:val="30"/>
          <w:szCs w:val="30"/>
          <w:highlight w:val="none"/>
        </w:rPr>
        <w:t>日</w:t>
      </w:r>
      <w:bookmarkEnd w:id="211"/>
    </w:p>
    <w:p w14:paraId="0E94784A">
      <w:pPr>
        <w:pStyle w:val="3"/>
        <w:spacing w:before="240" w:after="240" w:line="360" w:lineRule="auto"/>
        <w:jc w:val="center"/>
        <w:rPr>
          <w:rFonts w:ascii="宋体" w:hAnsi="宋体" w:eastAsia="宋体"/>
          <w:color w:val="auto"/>
          <w:highlight w:val="none"/>
          <w:lang w:val="zh-CN"/>
        </w:rPr>
      </w:pPr>
      <w:bookmarkStart w:id="212" w:name="_Toc259189154"/>
      <w:bookmarkStart w:id="213" w:name="_Toc260908060"/>
      <w:bookmarkStart w:id="214" w:name="_Toc259016844"/>
      <w:bookmarkStart w:id="215" w:name="_Toc260908276"/>
      <w:bookmarkStart w:id="216" w:name="_Toc19820100"/>
      <w:bookmarkStart w:id="217" w:name="_Toc11251"/>
      <w:bookmarkStart w:id="218" w:name="_Toc23836"/>
      <w:bookmarkStart w:id="219" w:name="_Toc229583227"/>
      <w:bookmarkStart w:id="220" w:name="_Toc270090096"/>
      <w:bookmarkStart w:id="221" w:name="_Toc260908254"/>
      <w:bookmarkStart w:id="222" w:name="_Toc260908038"/>
      <w:r>
        <w:rPr>
          <w:rFonts w:hint="eastAsia" w:ascii="宋体" w:hAnsi="宋体" w:eastAsia="宋体"/>
          <w:color w:val="auto"/>
          <w:highlight w:val="none"/>
          <w:lang w:val="zh-CN"/>
        </w:rPr>
        <w:t>一、投标文件资格审查部分</w:t>
      </w:r>
      <w:bookmarkEnd w:id="212"/>
      <w:bookmarkEnd w:id="213"/>
      <w:bookmarkEnd w:id="214"/>
      <w:bookmarkEnd w:id="215"/>
      <w:r>
        <w:rPr>
          <w:rFonts w:hint="eastAsia" w:ascii="宋体" w:hAnsi="宋体" w:eastAsia="宋体"/>
          <w:color w:val="auto"/>
          <w:highlight w:val="none"/>
          <w:lang w:val="zh-CN"/>
        </w:rPr>
        <w:t>格式</w:t>
      </w:r>
      <w:bookmarkEnd w:id="216"/>
      <w:bookmarkEnd w:id="217"/>
      <w:bookmarkEnd w:id="218"/>
    </w:p>
    <w:p w14:paraId="63FE7DE4">
      <w:pPr>
        <w:pStyle w:val="4"/>
        <w:tabs>
          <w:tab w:val="left" w:pos="432"/>
          <w:tab w:val="left" w:pos="720"/>
        </w:tabs>
        <w:spacing w:before="240" w:after="240" w:line="360" w:lineRule="auto"/>
        <w:jc w:val="center"/>
        <w:rPr>
          <w:rFonts w:ascii="宋体" w:hAnsi="宋体"/>
          <w:b w:val="0"/>
          <w:color w:val="auto"/>
          <w:sz w:val="30"/>
          <w:szCs w:val="30"/>
          <w:highlight w:val="none"/>
        </w:rPr>
      </w:pPr>
      <w:r>
        <w:rPr>
          <w:rFonts w:hint="eastAsia" w:ascii="宋体" w:hAnsi="宋体"/>
          <w:b w:val="0"/>
          <w:color w:val="auto"/>
          <w:sz w:val="30"/>
          <w:szCs w:val="30"/>
          <w:highlight w:val="none"/>
        </w:rPr>
        <w:t>（一）投标人基本情况表</w:t>
      </w:r>
    </w:p>
    <w:tbl>
      <w:tblPr>
        <w:tblStyle w:val="32"/>
        <w:tblW w:w="96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62"/>
        <w:gridCol w:w="3856"/>
        <w:gridCol w:w="4735"/>
      </w:tblGrid>
      <w:tr w14:paraId="109DD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62" w:type="dxa"/>
            <w:vAlign w:val="center"/>
          </w:tcPr>
          <w:p w14:paraId="017C3E1D">
            <w:pPr>
              <w:wordWrap w:val="0"/>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8591" w:type="dxa"/>
            <w:gridSpan w:val="2"/>
            <w:vAlign w:val="center"/>
          </w:tcPr>
          <w:p w14:paraId="62511F10">
            <w:pPr>
              <w:wordWrap w:val="0"/>
              <w:ind w:firstLine="100"/>
              <w:rPr>
                <w:rFonts w:ascii="宋体" w:hAnsi="宋体" w:cs="宋体"/>
                <w:color w:val="auto"/>
                <w:sz w:val="21"/>
                <w:szCs w:val="21"/>
                <w:highlight w:val="none"/>
              </w:rPr>
            </w:pPr>
            <w:r>
              <w:rPr>
                <w:rFonts w:hint="eastAsia" w:ascii="宋体" w:hAnsi="宋体" w:cs="宋体"/>
                <w:color w:val="auto"/>
                <w:sz w:val="21"/>
                <w:szCs w:val="21"/>
                <w:highlight w:val="none"/>
              </w:rPr>
              <w:t>企业名称：</w:t>
            </w:r>
          </w:p>
        </w:tc>
      </w:tr>
      <w:tr w14:paraId="15470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62" w:type="dxa"/>
            <w:vAlign w:val="center"/>
          </w:tcPr>
          <w:p w14:paraId="278C3465">
            <w:pPr>
              <w:wordWrap w:val="0"/>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8591" w:type="dxa"/>
            <w:gridSpan w:val="2"/>
            <w:vAlign w:val="center"/>
          </w:tcPr>
          <w:p w14:paraId="382B2830">
            <w:pPr>
              <w:wordWrap w:val="0"/>
              <w:ind w:firstLine="100"/>
              <w:rPr>
                <w:rFonts w:ascii="宋体" w:hAnsi="宋体" w:cs="宋体"/>
                <w:color w:val="auto"/>
                <w:sz w:val="21"/>
                <w:szCs w:val="21"/>
                <w:highlight w:val="none"/>
              </w:rPr>
            </w:pPr>
            <w:r>
              <w:rPr>
                <w:rFonts w:hint="eastAsia" w:ascii="宋体" w:hAnsi="宋体" w:cs="宋体"/>
                <w:color w:val="auto"/>
                <w:sz w:val="21"/>
                <w:szCs w:val="21"/>
                <w:highlight w:val="none"/>
              </w:rPr>
              <w:t>总部地址：</w:t>
            </w:r>
          </w:p>
        </w:tc>
      </w:tr>
      <w:tr w14:paraId="71103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62" w:type="dxa"/>
            <w:vAlign w:val="center"/>
          </w:tcPr>
          <w:p w14:paraId="20B690AD">
            <w:pPr>
              <w:wordWrap w:val="0"/>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8591" w:type="dxa"/>
            <w:gridSpan w:val="2"/>
            <w:vAlign w:val="center"/>
          </w:tcPr>
          <w:p w14:paraId="31DD9015">
            <w:pPr>
              <w:wordWrap w:val="0"/>
              <w:ind w:firstLine="100"/>
              <w:rPr>
                <w:rFonts w:ascii="宋体" w:hAnsi="宋体" w:cs="宋体"/>
                <w:color w:val="auto"/>
                <w:sz w:val="21"/>
                <w:szCs w:val="21"/>
                <w:highlight w:val="none"/>
              </w:rPr>
            </w:pPr>
            <w:r>
              <w:rPr>
                <w:rFonts w:hint="eastAsia" w:ascii="宋体" w:hAnsi="宋体" w:cs="宋体"/>
                <w:color w:val="auto"/>
                <w:sz w:val="21"/>
                <w:szCs w:val="21"/>
                <w:highlight w:val="none"/>
              </w:rPr>
              <w:t>当地代表处地址（如有）：</w:t>
            </w:r>
          </w:p>
        </w:tc>
      </w:tr>
      <w:tr w14:paraId="69E6D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62" w:type="dxa"/>
            <w:vAlign w:val="center"/>
          </w:tcPr>
          <w:p w14:paraId="4498911F">
            <w:pPr>
              <w:wordWrap w:val="0"/>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3856" w:type="dxa"/>
            <w:vAlign w:val="center"/>
          </w:tcPr>
          <w:p w14:paraId="7674A3DF">
            <w:pPr>
              <w:wordWrap w:val="0"/>
              <w:ind w:firstLine="100"/>
              <w:rPr>
                <w:rFonts w:ascii="宋体" w:hAnsi="宋体" w:cs="宋体"/>
                <w:color w:val="auto"/>
                <w:sz w:val="21"/>
                <w:szCs w:val="21"/>
                <w:highlight w:val="none"/>
              </w:rPr>
            </w:pPr>
            <w:r>
              <w:rPr>
                <w:rFonts w:hint="eastAsia" w:ascii="宋体" w:hAnsi="宋体" w:cs="宋体"/>
                <w:color w:val="auto"/>
                <w:sz w:val="21"/>
                <w:szCs w:val="21"/>
                <w:highlight w:val="none"/>
              </w:rPr>
              <w:t>电话：</w:t>
            </w:r>
          </w:p>
        </w:tc>
        <w:tc>
          <w:tcPr>
            <w:tcW w:w="4735" w:type="dxa"/>
            <w:vAlign w:val="center"/>
          </w:tcPr>
          <w:p w14:paraId="32BF38FE">
            <w:pPr>
              <w:wordWrap w:val="0"/>
              <w:ind w:firstLine="100"/>
              <w:rPr>
                <w:rFonts w:ascii="宋体" w:hAnsi="宋体" w:cs="宋体"/>
                <w:color w:val="auto"/>
                <w:sz w:val="21"/>
                <w:szCs w:val="21"/>
                <w:highlight w:val="none"/>
              </w:rPr>
            </w:pPr>
            <w:r>
              <w:rPr>
                <w:rFonts w:hint="eastAsia" w:ascii="宋体" w:hAnsi="宋体" w:cs="宋体"/>
                <w:color w:val="auto"/>
                <w:sz w:val="21"/>
                <w:szCs w:val="21"/>
                <w:highlight w:val="none"/>
              </w:rPr>
              <w:t>联系人：</w:t>
            </w:r>
          </w:p>
        </w:tc>
      </w:tr>
      <w:tr w14:paraId="0924D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62" w:type="dxa"/>
            <w:vAlign w:val="center"/>
          </w:tcPr>
          <w:p w14:paraId="56337124">
            <w:pPr>
              <w:wordWrap w:val="0"/>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3856" w:type="dxa"/>
            <w:vAlign w:val="center"/>
          </w:tcPr>
          <w:p w14:paraId="00D1CA35">
            <w:pPr>
              <w:wordWrap w:val="0"/>
              <w:ind w:firstLine="100"/>
              <w:rPr>
                <w:rFonts w:ascii="宋体" w:hAnsi="宋体" w:cs="宋体"/>
                <w:color w:val="auto"/>
                <w:sz w:val="21"/>
                <w:szCs w:val="21"/>
                <w:highlight w:val="none"/>
              </w:rPr>
            </w:pPr>
            <w:r>
              <w:rPr>
                <w:rFonts w:hint="eastAsia" w:ascii="宋体" w:hAnsi="宋体" w:cs="宋体"/>
                <w:color w:val="auto"/>
                <w:sz w:val="21"/>
                <w:szCs w:val="21"/>
                <w:highlight w:val="none"/>
              </w:rPr>
              <w:t>传真：</w:t>
            </w:r>
          </w:p>
        </w:tc>
        <w:tc>
          <w:tcPr>
            <w:tcW w:w="4735" w:type="dxa"/>
            <w:vAlign w:val="center"/>
          </w:tcPr>
          <w:p w14:paraId="36A53C72">
            <w:pPr>
              <w:wordWrap w:val="0"/>
              <w:ind w:firstLine="100"/>
              <w:rPr>
                <w:rFonts w:ascii="宋体" w:hAnsi="宋体" w:cs="宋体"/>
                <w:color w:val="auto"/>
                <w:sz w:val="21"/>
                <w:szCs w:val="21"/>
                <w:highlight w:val="none"/>
              </w:rPr>
            </w:pPr>
            <w:r>
              <w:rPr>
                <w:rFonts w:hint="eastAsia" w:ascii="宋体" w:hAnsi="宋体" w:cs="宋体"/>
                <w:color w:val="auto"/>
                <w:sz w:val="21"/>
                <w:szCs w:val="21"/>
                <w:highlight w:val="none"/>
              </w:rPr>
              <w:t>电子邮箱：</w:t>
            </w:r>
          </w:p>
        </w:tc>
      </w:tr>
      <w:tr w14:paraId="6E8EB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62" w:type="dxa"/>
            <w:vAlign w:val="center"/>
          </w:tcPr>
          <w:p w14:paraId="73CE28C0">
            <w:pPr>
              <w:wordWrap w:val="0"/>
              <w:jc w:val="center"/>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3856" w:type="dxa"/>
            <w:vAlign w:val="center"/>
          </w:tcPr>
          <w:p w14:paraId="074CADC2">
            <w:pPr>
              <w:wordWrap w:val="0"/>
              <w:ind w:firstLine="100"/>
              <w:rPr>
                <w:rFonts w:ascii="宋体" w:hAnsi="宋体" w:cs="宋体"/>
                <w:color w:val="auto"/>
                <w:sz w:val="21"/>
                <w:szCs w:val="21"/>
                <w:highlight w:val="none"/>
              </w:rPr>
            </w:pPr>
            <w:r>
              <w:rPr>
                <w:rFonts w:hint="eastAsia" w:ascii="宋体" w:hAnsi="宋体" w:cs="宋体"/>
                <w:color w:val="auto"/>
                <w:sz w:val="21"/>
                <w:szCs w:val="21"/>
                <w:highlight w:val="none"/>
              </w:rPr>
              <w:t>注册地：</w:t>
            </w:r>
          </w:p>
        </w:tc>
        <w:tc>
          <w:tcPr>
            <w:tcW w:w="4735" w:type="dxa"/>
            <w:vAlign w:val="center"/>
          </w:tcPr>
          <w:p w14:paraId="3426180D">
            <w:pPr>
              <w:wordWrap w:val="0"/>
              <w:ind w:firstLine="100"/>
              <w:rPr>
                <w:rFonts w:ascii="宋体" w:hAnsi="宋体" w:cs="宋体"/>
                <w:color w:val="auto"/>
                <w:sz w:val="21"/>
                <w:szCs w:val="21"/>
                <w:highlight w:val="none"/>
              </w:rPr>
            </w:pPr>
            <w:r>
              <w:rPr>
                <w:rFonts w:hint="eastAsia" w:ascii="宋体" w:hAnsi="宋体" w:cs="宋体"/>
                <w:color w:val="auto"/>
                <w:sz w:val="21"/>
                <w:szCs w:val="21"/>
                <w:highlight w:val="none"/>
              </w:rPr>
              <w:t>注册年份：</w:t>
            </w:r>
          </w:p>
        </w:tc>
      </w:tr>
      <w:tr w14:paraId="36899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62" w:type="dxa"/>
            <w:vAlign w:val="center"/>
          </w:tcPr>
          <w:p w14:paraId="58439213">
            <w:pPr>
              <w:wordWrap w:val="0"/>
              <w:jc w:val="center"/>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8591" w:type="dxa"/>
            <w:gridSpan w:val="2"/>
            <w:vAlign w:val="center"/>
          </w:tcPr>
          <w:p w14:paraId="34B47963">
            <w:pPr>
              <w:wordWrap w:val="0"/>
              <w:ind w:firstLine="100"/>
              <w:jc w:val="both"/>
              <w:rPr>
                <w:rFonts w:ascii="宋体" w:hAnsi="宋体" w:cs="宋体"/>
                <w:color w:val="auto"/>
                <w:sz w:val="21"/>
                <w:szCs w:val="21"/>
                <w:highlight w:val="none"/>
              </w:rPr>
            </w:pPr>
            <w:r>
              <w:rPr>
                <w:rFonts w:hint="eastAsia" w:ascii="宋体" w:hAnsi="宋体" w:cs="宋体"/>
                <w:color w:val="auto"/>
                <w:sz w:val="21"/>
                <w:szCs w:val="21"/>
                <w:highlight w:val="none"/>
              </w:rPr>
              <w:t xml:space="preserve">公司所具备资质及证书编号（如有）： </w:t>
            </w:r>
          </w:p>
        </w:tc>
      </w:tr>
      <w:tr w14:paraId="763D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16" w:hRule="atLeast"/>
          <w:jc w:val="center"/>
        </w:trPr>
        <w:tc>
          <w:tcPr>
            <w:tcW w:w="1062" w:type="dxa"/>
            <w:vAlign w:val="center"/>
          </w:tcPr>
          <w:p w14:paraId="723B2114">
            <w:pPr>
              <w:wordWrap w:val="0"/>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8591" w:type="dxa"/>
            <w:gridSpan w:val="2"/>
            <w:vAlign w:val="center"/>
          </w:tcPr>
          <w:p w14:paraId="46BC9D21">
            <w:pPr>
              <w:wordWrap w:val="0"/>
              <w:ind w:left="72" w:firstLine="28"/>
              <w:rPr>
                <w:rFonts w:ascii="宋体" w:hAnsi="宋体" w:cs="宋体"/>
                <w:color w:val="auto"/>
                <w:sz w:val="21"/>
                <w:szCs w:val="21"/>
                <w:highlight w:val="none"/>
              </w:rPr>
            </w:pPr>
            <w:r>
              <w:rPr>
                <w:rFonts w:hint="eastAsia" w:ascii="宋体" w:hAnsi="宋体" w:cs="宋体"/>
                <w:color w:val="auto"/>
                <w:sz w:val="21"/>
                <w:szCs w:val="21"/>
                <w:highlight w:val="none"/>
              </w:rPr>
              <w:t>公司所具备认证证书（如有）：</w:t>
            </w:r>
          </w:p>
        </w:tc>
      </w:tr>
      <w:tr w14:paraId="4C0C4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1" w:hRule="atLeast"/>
          <w:jc w:val="center"/>
        </w:trPr>
        <w:tc>
          <w:tcPr>
            <w:tcW w:w="1062" w:type="dxa"/>
            <w:vAlign w:val="center"/>
          </w:tcPr>
          <w:p w14:paraId="70C87485">
            <w:pPr>
              <w:wordWrap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8591" w:type="dxa"/>
            <w:gridSpan w:val="2"/>
            <w:vAlign w:val="center"/>
          </w:tcPr>
          <w:p w14:paraId="31DC0666">
            <w:pPr>
              <w:wordWrap w:val="0"/>
              <w:spacing w:line="360" w:lineRule="auto"/>
              <w:ind w:firstLine="100"/>
              <w:rPr>
                <w:rFonts w:ascii="宋体" w:hAnsi="宋体" w:cs="宋体"/>
                <w:color w:val="auto"/>
                <w:sz w:val="21"/>
                <w:szCs w:val="21"/>
                <w:highlight w:val="none"/>
              </w:rPr>
            </w:pPr>
            <w:r>
              <w:rPr>
                <w:rFonts w:hint="eastAsia" w:ascii="宋体" w:hAnsi="宋体" w:cs="宋体"/>
                <w:color w:val="auto"/>
                <w:sz w:val="21"/>
                <w:szCs w:val="21"/>
                <w:highlight w:val="none"/>
              </w:rPr>
              <w:t>主营范围</w:t>
            </w:r>
          </w:p>
          <w:p w14:paraId="39A50D5B">
            <w:pPr>
              <w:wordWrap w:val="0"/>
              <w:spacing w:line="360" w:lineRule="auto"/>
              <w:ind w:firstLine="100"/>
              <w:rPr>
                <w:rFonts w:ascii="宋体" w:hAnsi="宋体" w:cs="宋体"/>
                <w:color w:val="auto"/>
                <w:sz w:val="21"/>
                <w:szCs w:val="21"/>
                <w:highlight w:val="none"/>
                <w:u w:val="single"/>
              </w:rPr>
            </w:pPr>
            <w:r>
              <w:rPr>
                <w:rFonts w:hint="eastAsia" w:ascii="宋体" w:hAnsi="宋体" w:cs="宋体"/>
                <w:color w:val="auto"/>
                <w:sz w:val="21"/>
                <w:szCs w:val="21"/>
                <w:highlight w:val="none"/>
              </w:rPr>
              <w:t>1、</w:t>
            </w:r>
          </w:p>
          <w:p w14:paraId="768362DC">
            <w:pPr>
              <w:wordWrap w:val="0"/>
              <w:spacing w:line="360" w:lineRule="auto"/>
              <w:ind w:firstLine="100"/>
              <w:rPr>
                <w:rFonts w:ascii="宋体" w:hAnsi="宋体" w:cs="宋体"/>
                <w:color w:val="auto"/>
                <w:sz w:val="21"/>
                <w:szCs w:val="21"/>
                <w:highlight w:val="none"/>
              </w:rPr>
            </w:pPr>
            <w:r>
              <w:rPr>
                <w:rFonts w:hint="eastAsia" w:ascii="宋体" w:hAnsi="宋体" w:cs="宋体"/>
                <w:color w:val="auto"/>
                <w:sz w:val="21"/>
                <w:szCs w:val="21"/>
                <w:highlight w:val="none"/>
              </w:rPr>
              <w:t>2、</w:t>
            </w:r>
          </w:p>
          <w:p w14:paraId="3733AB2A">
            <w:pPr>
              <w:wordWrap w:val="0"/>
              <w:spacing w:line="360" w:lineRule="auto"/>
              <w:ind w:firstLine="100"/>
              <w:rPr>
                <w:rFonts w:ascii="宋体" w:hAnsi="宋体" w:cs="宋体"/>
                <w:color w:val="auto"/>
                <w:sz w:val="21"/>
                <w:szCs w:val="21"/>
                <w:highlight w:val="none"/>
              </w:rPr>
            </w:pPr>
            <w:r>
              <w:rPr>
                <w:rFonts w:hint="eastAsia" w:ascii="宋体" w:hAnsi="宋体" w:cs="宋体"/>
                <w:color w:val="auto"/>
                <w:sz w:val="21"/>
                <w:szCs w:val="21"/>
                <w:highlight w:val="none"/>
              </w:rPr>
              <w:t>3、</w:t>
            </w:r>
          </w:p>
          <w:p w14:paraId="3C872404">
            <w:pPr>
              <w:wordWrap w:val="0"/>
              <w:spacing w:line="360" w:lineRule="auto"/>
              <w:ind w:firstLine="100"/>
              <w:rPr>
                <w:rFonts w:ascii="宋体" w:hAnsi="宋体" w:cs="宋体"/>
                <w:color w:val="auto"/>
                <w:sz w:val="21"/>
                <w:szCs w:val="21"/>
                <w:highlight w:val="none"/>
              </w:rPr>
            </w:pPr>
            <w:r>
              <w:rPr>
                <w:rFonts w:hint="eastAsia" w:ascii="宋体" w:hAnsi="宋体" w:cs="宋体"/>
                <w:color w:val="auto"/>
                <w:sz w:val="21"/>
                <w:szCs w:val="21"/>
                <w:highlight w:val="none"/>
              </w:rPr>
              <w:t>4、</w:t>
            </w:r>
          </w:p>
          <w:p w14:paraId="0215D3AA">
            <w:pPr>
              <w:wordWrap w:val="0"/>
              <w:spacing w:line="360" w:lineRule="auto"/>
              <w:ind w:firstLine="100"/>
              <w:rPr>
                <w:rFonts w:ascii="宋体" w:hAnsi="宋体" w:cs="宋体"/>
                <w:color w:val="auto"/>
                <w:sz w:val="21"/>
                <w:szCs w:val="21"/>
                <w:highlight w:val="none"/>
              </w:rPr>
            </w:pPr>
            <w:r>
              <w:rPr>
                <w:rFonts w:hint="eastAsia" w:ascii="宋体" w:hAnsi="宋体" w:cs="宋体"/>
                <w:color w:val="auto"/>
                <w:sz w:val="21"/>
                <w:szCs w:val="21"/>
                <w:highlight w:val="none"/>
              </w:rPr>
              <w:t>…</w:t>
            </w:r>
          </w:p>
          <w:p w14:paraId="66C9B299">
            <w:pPr>
              <w:wordWrap w:val="0"/>
              <w:spacing w:line="360" w:lineRule="auto"/>
              <w:ind w:firstLine="100"/>
              <w:rPr>
                <w:rFonts w:ascii="宋体" w:hAnsi="宋体" w:cs="宋体"/>
                <w:color w:val="auto"/>
                <w:sz w:val="21"/>
                <w:szCs w:val="21"/>
                <w:highlight w:val="none"/>
              </w:rPr>
            </w:pPr>
            <w:r>
              <w:rPr>
                <w:rFonts w:hint="eastAsia" w:ascii="宋体" w:hAnsi="宋体" w:cs="宋体"/>
                <w:color w:val="auto"/>
                <w:sz w:val="21"/>
                <w:szCs w:val="21"/>
                <w:highlight w:val="none"/>
              </w:rPr>
              <w:t>…</w:t>
            </w:r>
          </w:p>
        </w:tc>
      </w:tr>
      <w:tr w14:paraId="07D0B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82" w:hRule="atLeast"/>
          <w:jc w:val="center"/>
        </w:trPr>
        <w:tc>
          <w:tcPr>
            <w:tcW w:w="1062" w:type="dxa"/>
            <w:vAlign w:val="center"/>
          </w:tcPr>
          <w:p w14:paraId="7E1BDE56">
            <w:pPr>
              <w:wordWrap w:val="0"/>
              <w:jc w:val="center"/>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8591" w:type="dxa"/>
            <w:gridSpan w:val="2"/>
            <w:vAlign w:val="center"/>
          </w:tcPr>
          <w:p w14:paraId="507D76B9">
            <w:pPr>
              <w:wordWrap w:val="0"/>
              <w:spacing w:line="360" w:lineRule="auto"/>
              <w:ind w:firstLine="100"/>
              <w:rPr>
                <w:rFonts w:ascii="宋体" w:hAnsi="宋体" w:cs="宋体"/>
                <w:color w:val="auto"/>
                <w:sz w:val="21"/>
                <w:szCs w:val="21"/>
                <w:highlight w:val="none"/>
              </w:rPr>
            </w:pPr>
            <w:r>
              <w:rPr>
                <w:rFonts w:hint="eastAsia" w:ascii="宋体" w:hAnsi="宋体" w:cs="宋体"/>
                <w:color w:val="auto"/>
                <w:sz w:val="21"/>
                <w:szCs w:val="21"/>
                <w:highlight w:val="none"/>
              </w:rPr>
              <w:t>其他需要说明的情况</w:t>
            </w:r>
          </w:p>
        </w:tc>
      </w:tr>
    </w:tbl>
    <w:p w14:paraId="1D142976">
      <w:pPr>
        <w:rPr>
          <w:rFonts w:ascii="宋体" w:hAnsi="宋体"/>
          <w:color w:val="auto"/>
          <w:highlight w:val="none"/>
        </w:rPr>
      </w:pPr>
    </w:p>
    <w:p w14:paraId="4C17A29A">
      <w:pPr>
        <w:pStyle w:val="63"/>
        <w:rPr>
          <w:color w:val="auto"/>
          <w:highlight w:val="none"/>
        </w:rPr>
        <w:sectPr>
          <w:pgSz w:w="11907" w:h="16840"/>
          <w:pgMar w:top="1440" w:right="1080" w:bottom="1440" w:left="1080" w:header="850" w:footer="992" w:gutter="0"/>
          <w:cols w:space="720" w:num="1"/>
          <w:docGrid w:linePitch="286" w:charSpace="0"/>
        </w:sectPr>
      </w:pPr>
    </w:p>
    <w:p w14:paraId="23A18258">
      <w:pPr>
        <w:pStyle w:val="4"/>
        <w:tabs>
          <w:tab w:val="left" w:pos="0"/>
        </w:tabs>
        <w:spacing w:before="240" w:after="240" w:line="360" w:lineRule="auto"/>
        <w:jc w:val="center"/>
        <w:rPr>
          <w:rFonts w:ascii="宋体" w:hAnsi="宋体"/>
          <w:b w:val="0"/>
          <w:color w:val="auto"/>
          <w:sz w:val="30"/>
          <w:szCs w:val="30"/>
          <w:highlight w:val="none"/>
        </w:rPr>
      </w:pPr>
      <w:r>
        <w:rPr>
          <w:rFonts w:hint="eastAsia" w:ascii="宋体" w:hAnsi="宋体"/>
          <w:b w:val="0"/>
          <w:color w:val="auto"/>
          <w:sz w:val="30"/>
          <w:szCs w:val="30"/>
          <w:highlight w:val="none"/>
        </w:rPr>
        <w:t>（二）资格证明文件</w:t>
      </w:r>
    </w:p>
    <w:p w14:paraId="48C960CD">
      <w:pPr>
        <w:widowControl w:val="0"/>
        <w:spacing w:before="120" w:beforeLines="50" w:after="60" w:afterLines="25" w:line="360" w:lineRule="auto"/>
        <w:jc w:val="both"/>
        <w:rPr>
          <w:rFonts w:ascii="宋体" w:hAnsi="宋体" w:cs="宋体"/>
          <w:color w:val="auto"/>
          <w:sz w:val="21"/>
          <w:szCs w:val="21"/>
          <w:highlight w:val="none"/>
        </w:rPr>
      </w:pPr>
      <w:r>
        <w:rPr>
          <w:rFonts w:hint="eastAsia" w:ascii="宋体" w:hAnsi="宋体" w:cs="宋体"/>
          <w:color w:val="auto"/>
          <w:sz w:val="21"/>
          <w:szCs w:val="21"/>
          <w:highlight w:val="none"/>
        </w:rPr>
        <w:t>（1）应为经行政管理部门登记注册的独立企业（事业）法人或其他组织或者自然人，具备有效的营业执照或事业单位法人证书或自然人身份证或其他类似的法定凭证；</w:t>
      </w:r>
    </w:p>
    <w:p w14:paraId="5F4D8EBF">
      <w:pPr>
        <w:widowControl w:val="0"/>
        <w:spacing w:line="360" w:lineRule="auto"/>
        <w:jc w:val="center"/>
        <w:rPr>
          <w:rFonts w:ascii="宋体" w:hAnsi="宋体"/>
          <w:b/>
          <w:bCs/>
          <w:color w:val="auto"/>
          <w:kern w:val="2"/>
          <w:sz w:val="21"/>
          <w:szCs w:val="21"/>
          <w:highlight w:val="none"/>
          <w:u w:val="single"/>
        </w:rPr>
      </w:pPr>
      <w:r>
        <w:rPr>
          <w:rFonts w:hint="eastAsia" w:ascii="宋体" w:hAnsi="宋体" w:cs="宋体"/>
          <w:b/>
          <w:bCs/>
          <w:color w:val="auto"/>
          <w:sz w:val="21"/>
          <w:szCs w:val="21"/>
          <w:highlight w:val="none"/>
        </w:rPr>
        <w:t>投标文件中提供上述所需相关证明材料的扫描件</w:t>
      </w:r>
    </w:p>
    <w:p w14:paraId="611C369F">
      <w:pPr>
        <w:pStyle w:val="61"/>
        <w:rPr>
          <w:rFonts w:hAnsi="宋体"/>
          <w:bCs/>
          <w:color w:val="auto"/>
          <w:sz w:val="21"/>
          <w:szCs w:val="21"/>
          <w:highlight w:val="none"/>
          <w:u w:val="single"/>
        </w:rPr>
      </w:pPr>
    </w:p>
    <w:p w14:paraId="15151F81">
      <w:pPr>
        <w:pStyle w:val="61"/>
        <w:rPr>
          <w:rFonts w:hAnsi="宋体"/>
          <w:bCs/>
          <w:color w:val="auto"/>
          <w:sz w:val="21"/>
          <w:szCs w:val="21"/>
          <w:highlight w:val="none"/>
          <w:u w:val="single"/>
        </w:rPr>
      </w:pPr>
    </w:p>
    <w:p w14:paraId="76CF4FE0">
      <w:pPr>
        <w:spacing w:line="360" w:lineRule="auto"/>
        <w:rPr>
          <w:rFonts w:hint="eastAsia" w:ascii="宋体" w:hAnsi="宋体" w:eastAsia="宋体" w:cs="Times New Roman"/>
          <w:color w:val="auto"/>
          <w:sz w:val="21"/>
          <w:szCs w:val="21"/>
          <w:highlight w:val="none"/>
        </w:rPr>
      </w:pPr>
      <w:r>
        <w:rPr>
          <w:rFonts w:hint="eastAsia" w:ascii="宋体" w:hAnsi="宋体" w:cs="宋体"/>
          <w:color w:val="auto"/>
          <w:sz w:val="21"/>
          <w:szCs w:val="21"/>
          <w:highlight w:val="none"/>
        </w:rPr>
        <w:t>（2）</w:t>
      </w:r>
      <w:r>
        <w:rPr>
          <w:rFonts w:hint="eastAsia" w:ascii="宋体" w:hAnsi="宋体" w:eastAsia="宋体" w:cs="Times New Roman"/>
          <w:color w:val="auto"/>
          <w:sz w:val="21"/>
          <w:szCs w:val="21"/>
          <w:highlight w:val="none"/>
          <w:lang w:val="en-US" w:eastAsia="zh-CN"/>
        </w:rPr>
        <w:t>投标人</w:t>
      </w:r>
      <w:r>
        <w:rPr>
          <w:rFonts w:hint="eastAsia" w:ascii="宋体" w:hAnsi="宋体" w:eastAsia="宋体" w:cs="Times New Roman"/>
          <w:color w:val="auto"/>
          <w:sz w:val="21"/>
          <w:szCs w:val="21"/>
          <w:highlight w:val="none"/>
        </w:rPr>
        <w:t>须提供财务状况报告，内容可为以下</w:t>
      </w:r>
      <w:r>
        <w:rPr>
          <w:rFonts w:hint="eastAsia" w:ascii="宋体" w:hAnsi="宋体" w:eastAsia="宋体" w:cs="Times New Roman"/>
          <w:color w:val="auto"/>
          <w:sz w:val="21"/>
          <w:szCs w:val="21"/>
          <w:highlight w:val="none"/>
          <w:lang w:eastAsia="zh-CN"/>
        </w:rPr>
        <w:t>三</w:t>
      </w:r>
      <w:r>
        <w:rPr>
          <w:rFonts w:hint="eastAsia" w:ascii="宋体" w:hAnsi="宋体" w:eastAsia="宋体" w:cs="Times New Roman"/>
          <w:color w:val="auto"/>
          <w:sz w:val="21"/>
          <w:szCs w:val="21"/>
          <w:highlight w:val="none"/>
        </w:rPr>
        <w:t>者之一：</w:t>
      </w:r>
    </w:p>
    <w:p w14:paraId="1A0E2EA6">
      <w:pPr>
        <w:spacing w:line="360" w:lineRule="auto"/>
        <w:ind w:left="208" w:leftChars="104"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①提供202</w:t>
      </w: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年至今任意1年经审计的财务报告(包括资产负债表、利润表、现金流量表、所有者权益变动表及其附注)，新成立不满1年的供应商提供自成立至今的财务报表；</w:t>
      </w:r>
    </w:p>
    <w:p w14:paraId="085CB137">
      <w:pPr>
        <w:spacing w:line="360" w:lineRule="auto"/>
        <w:ind w:firstLine="210" w:firstLineChars="1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②提供自响应文件提交截止时间前三个月内基本开户银行出具的资信证明。</w:t>
      </w:r>
    </w:p>
    <w:p w14:paraId="7DD601A5">
      <w:pPr>
        <w:spacing w:line="360" w:lineRule="auto"/>
        <w:ind w:firstLine="210" w:firstLineChars="100"/>
        <w:rPr>
          <w:rFonts w:ascii="宋体" w:hAnsi="宋体" w:cs="宋体"/>
          <w:color w:val="auto"/>
          <w:sz w:val="21"/>
          <w:szCs w:val="21"/>
          <w:highlight w:val="none"/>
        </w:rPr>
      </w:pPr>
      <w:r>
        <w:rPr>
          <w:rFonts w:hint="eastAsia" w:ascii="宋体" w:hAnsi="宋体" w:eastAsia="宋体" w:cs="Times New Roman"/>
          <w:color w:val="auto"/>
          <w:sz w:val="21"/>
          <w:szCs w:val="21"/>
          <w:highlight w:val="none"/>
        </w:rPr>
        <w:t>③可提供财政部门认可的政府采购专业担保机构出具的投标担保函</w:t>
      </w:r>
      <w:r>
        <w:rPr>
          <w:rFonts w:hint="eastAsia" w:ascii="宋体" w:hAnsi="宋体" w:eastAsia="宋体" w:cs="Times New Roman"/>
          <w:color w:val="auto"/>
          <w:sz w:val="21"/>
          <w:szCs w:val="21"/>
          <w:highlight w:val="none"/>
          <w:lang w:eastAsia="zh-CN"/>
        </w:rPr>
        <w:t>。</w:t>
      </w:r>
    </w:p>
    <w:p w14:paraId="2E226805">
      <w:pPr>
        <w:widowControl w:val="0"/>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投标文件中提供上述所需相关证明材料的扫描件</w:t>
      </w:r>
    </w:p>
    <w:p w14:paraId="119A8D6F">
      <w:pPr>
        <w:pStyle w:val="61"/>
        <w:rPr>
          <w:rFonts w:hAnsi="宋体" w:cs="宋体"/>
          <w:color w:val="auto"/>
          <w:sz w:val="21"/>
          <w:szCs w:val="21"/>
          <w:highlight w:val="none"/>
          <w:u w:val="single"/>
        </w:rPr>
      </w:pPr>
    </w:p>
    <w:p w14:paraId="1A456FCB">
      <w:pPr>
        <w:pStyle w:val="61"/>
        <w:rPr>
          <w:rFonts w:hAnsi="宋体" w:cs="宋体"/>
          <w:color w:val="auto"/>
          <w:sz w:val="21"/>
          <w:szCs w:val="21"/>
          <w:highlight w:val="none"/>
        </w:rPr>
      </w:pPr>
    </w:p>
    <w:p w14:paraId="31863F39">
      <w:pPr>
        <w:spacing w:line="360" w:lineRule="auto"/>
        <w:rPr>
          <w:rFonts w:ascii="宋体" w:hAnsi="宋体"/>
          <w:color w:val="auto"/>
          <w:sz w:val="21"/>
          <w:szCs w:val="21"/>
          <w:highlight w:val="none"/>
        </w:rPr>
      </w:pPr>
      <w:r>
        <w:rPr>
          <w:rFonts w:hint="eastAsia" w:ascii="宋体" w:hAnsi="宋体" w:cs="宋体"/>
          <w:color w:val="auto"/>
          <w:sz w:val="21"/>
          <w:szCs w:val="21"/>
          <w:highlight w:val="none"/>
        </w:rPr>
        <w:t>（3）</w:t>
      </w:r>
      <w:r>
        <w:rPr>
          <w:rFonts w:hint="eastAsia" w:ascii="宋体" w:hAnsi="宋体"/>
          <w:snapToGrid w:val="0"/>
          <w:color w:val="auto"/>
          <w:sz w:val="21"/>
          <w:szCs w:val="21"/>
          <w:highlight w:val="none"/>
        </w:rPr>
        <w:t>投标人须提供具有履行合同所必需的设备和专业技术能力的证明材料或书面声明</w:t>
      </w:r>
      <w:r>
        <w:rPr>
          <w:rFonts w:hint="eastAsia" w:ascii="宋体" w:hAnsi="宋体"/>
          <w:color w:val="auto"/>
          <w:sz w:val="21"/>
          <w:szCs w:val="21"/>
          <w:highlight w:val="none"/>
        </w:rPr>
        <w:t xml:space="preserve">； </w:t>
      </w:r>
    </w:p>
    <w:p w14:paraId="31944A11">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 xml:space="preserve"> </w:t>
      </w:r>
    </w:p>
    <w:p w14:paraId="212C21E7">
      <w:pPr>
        <w:widowControl w:val="0"/>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投标文件中提供上述所需相关证明材料的扫描件或书面声明</w:t>
      </w:r>
    </w:p>
    <w:p w14:paraId="3E65792F">
      <w:pPr>
        <w:widowControl w:val="0"/>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（由投标人自行编写，格式自拟）</w:t>
      </w:r>
    </w:p>
    <w:p w14:paraId="14C82006">
      <w:pPr>
        <w:pStyle w:val="61"/>
        <w:rPr>
          <w:rFonts w:hAnsi="宋体" w:cs="宋体"/>
          <w:color w:val="auto"/>
          <w:sz w:val="21"/>
          <w:szCs w:val="21"/>
          <w:highlight w:val="none"/>
        </w:rPr>
      </w:pPr>
    </w:p>
    <w:p w14:paraId="54D4520D">
      <w:pPr>
        <w:pStyle w:val="61"/>
        <w:rPr>
          <w:rFonts w:hAnsi="宋体" w:cs="宋体"/>
          <w:color w:val="auto"/>
          <w:sz w:val="21"/>
          <w:szCs w:val="21"/>
          <w:highlight w:val="none"/>
        </w:rPr>
      </w:pPr>
    </w:p>
    <w:p w14:paraId="32676C40">
      <w:pPr>
        <w:widowControl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（4）有依法缴纳税收和社会保障资金的良好记录：</w:t>
      </w:r>
    </w:p>
    <w:p w14:paraId="6BB5A7BD">
      <w:pPr>
        <w:widowControl w:val="0"/>
        <w:spacing w:line="360" w:lineRule="auto"/>
        <w:ind w:firstLine="420"/>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提供202</w:t>
      </w: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年</w:t>
      </w: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lang w:eastAsia="zh-CN"/>
        </w:rPr>
        <w:t>月至投标文件提交截止时间（税款所属时期）任意3个月的税务局税收通用缴款书复印件或银行电子缴税（费）凭证或税务局出具纳税情况的相关证明；成立未满3个月的的提供成立以来的税收和社会保障资金缴纳凭证或相关情况说明。（依法免税或不需要缴纳社会保障资金的投标人，应提供相应文件证明其依法免税或不需要缴纳社会保障资金）</w:t>
      </w:r>
    </w:p>
    <w:p w14:paraId="6ADF3EBE">
      <w:pPr>
        <w:widowControl w:val="0"/>
        <w:spacing w:line="360" w:lineRule="auto"/>
        <w:ind w:firstLine="42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投标文件中提供上述所需相关证明材料的扫描件</w:t>
      </w:r>
    </w:p>
    <w:p w14:paraId="71627063">
      <w:pPr>
        <w:pStyle w:val="61"/>
        <w:rPr>
          <w:rFonts w:hAnsi="宋体"/>
          <w:bCs/>
          <w:color w:val="auto"/>
          <w:sz w:val="21"/>
          <w:szCs w:val="21"/>
          <w:highlight w:val="none"/>
        </w:rPr>
      </w:pPr>
    </w:p>
    <w:p w14:paraId="258C242F">
      <w:pPr>
        <w:widowControl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（5）</w:t>
      </w:r>
      <w:r>
        <w:rPr>
          <w:rFonts w:hint="eastAsia" w:ascii="宋体" w:hAnsi="宋体"/>
          <w:color w:val="auto"/>
          <w:sz w:val="21"/>
          <w:szCs w:val="21"/>
          <w:highlight w:val="none"/>
          <w:lang w:eastAsia="zh-CN"/>
        </w:rPr>
        <w:t>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69E33F27">
      <w:pPr>
        <w:widowControl w:val="0"/>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投标文件中提供参加政府采购活动前三年内，在经营活动中没有重大违法记录的书面声明</w:t>
      </w:r>
    </w:p>
    <w:p w14:paraId="369DCBB1">
      <w:pPr>
        <w:widowControl w:val="0"/>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（由投标人自行编写，格式自拟）</w:t>
      </w:r>
    </w:p>
    <w:p w14:paraId="53945869">
      <w:pP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br w:type="page"/>
      </w:r>
    </w:p>
    <w:p w14:paraId="25E2181E">
      <w:pPr>
        <w:widowControl w:val="0"/>
        <w:spacing w:line="360" w:lineRule="auto"/>
        <w:jc w:val="center"/>
        <w:rPr>
          <w:rFonts w:hint="eastAsia" w:ascii="宋体" w:hAnsi="宋体" w:cs="宋体"/>
          <w:b/>
          <w:bCs/>
          <w:color w:val="auto"/>
          <w:sz w:val="21"/>
          <w:szCs w:val="21"/>
          <w:highlight w:val="none"/>
        </w:rPr>
      </w:pPr>
    </w:p>
    <w:p w14:paraId="026513D6">
      <w:pPr>
        <w:pStyle w:val="63"/>
        <w:rPr>
          <w:color w:val="auto"/>
          <w:highlight w:val="none"/>
        </w:rPr>
      </w:pPr>
    </w:p>
    <w:p w14:paraId="462DAD74">
      <w:pPr>
        <w:widowControl w:val="0"/>
        <w:numPr>
          <w:ilvl w:val="0"/>
          <w:numId w:val="8"/>
        </w:num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信誉要求</w:t>
      </w:r>
      <w:r>
        <w:rPr>
          <w:rFonts w:hint="eastAsia" w:ascii="宋体" w:hAnsi="宋体" w:cs="宋体"/>
          <w:color w:val="auto"/>
          <w:sz w:val="21"/>
          <w:szCs w:val="21"/>
          <w:highlight w:val="none"/>
        </w:rPr>
        <w:t>：</w:t>
      </w:r>
      <w:r>
        <w:rPr>
          <w:rFonts w:hint="eastAsia" w:ascii="宋体" w:hAnsi="宋体"/>
          <w:color w:val="auto"/>
          <w:sz w:val="21"/>
          <w:szCs w:val="21"/>
          <w:highlight w:val="none"/>
        </w:rPr>
        <w:t>截至投标（响应）文件递交时间，未被“信用中国（www.creditchina.gov.cn）”</w:t>
      </w:r>
      <w:r>
        <w:rPr>
          <w:rFonts w:hint="eastAsia" w:ascii="宋体" w:hAnsi="宋体"/>
          <w:color w:val="auto"/>
          <w:sz w:val="21"/>
          <w:szCs w:val="21"/>
          <w:highlight w:val="none"/>
          <w:lang w:val="en-US" w:eastAsia="zh-CN"/>
        </w:rPr>
        <w:t>网站列入</w:t>
      </w:r>
      <w:r>
        <w:rPr>
          <w:rFonts w:hint="eastAsia" w:ascii="宋体" w:hAnsi="宋体"/>
          <w:color w:val="auto"/>
          <w:sz w:val="21"/>
          <w:szCs w:val="21"/>
          <w:highlight w:val="none"/>
        </w:rPr>
        <w:t>列入失信被执行人</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跳转“中国执行信息公开网：zxgk.court.gov.cn/shixin”</w:t>
      </w:r>
      <w:r>
        <w:rPr>
          <w:rFonts w:hint="eastAsia" w:ascii="宋体" w:hAnsi="宋体"/>
          <w:color w:val="auto"/>
          <w:sz w:val="21"/>
          <w:szCs w:val="21"/>
          <w:highlight w:val="none"/>
          <w:lang w:eastAsia="zh-CN"/>
        </w:rPr>
        <w:t>）</w:t>
      </w:r>
      <w:r>
        <w:rPr>
          <w:rFonts w:hint="eastAsia" w:ascii="宋体" w:hAnsi="宋体"/>
          <w:color w:val="auto"/>
          <w:sz w:val="21"/>
          <w:szCs w:val="21"/>
          <w:highlight w:val="none"/>
        </w:rPr>
        <w:t>、重大税收违法</w:t>
      </w:r>
      <w:r>
        <w:rPr>
          <w:rFonts w:hint="eastAsia" w:ascii="宋体" w:hAnsi="宋体"/>
          <w:color w:val="auto"/>
          <w:sz w:val="21"/>
          <w:szCs w:val="21"/>
          <w:highlight w:val="none"/>
          <w:lang w:val="en-US" w:eastAsia="zh-CN"/>
        </w:rPr>
        <w:t>失信主体</w:t>
      </w:r>
      <w:r>
        <w:rPr>
          <w:rFonts w:hint="eastAsia" w:ascii="宋体" w:hAnsi="宋体"/>
          <w:color w:val="auto"/>
          <w:sz w:val="21"/>
          <w:szCs w:val="21"/>
          <w:highlight w:val="none"/>
        </w:rPr>
        <w:t>、政府采购严重违法失信行为记录名单</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未被“</w:t>
      </w:r>
      <w:r>
        <w:rPr>
          <w:rFonts w:hint="eastAsia" w:ascii="宋体" w:hAnsi="宋体"/>
          <w:color w:val="auto"/>
          <w:sz w:val="21"/>
          <w:szCs w:val="21"/>
          <w:highlight w:val="none"/>
        </w:rPr>
        <w:t>中国政府采购网（www.ccgp.gov.cn）</w:t>
      </w:r>
      <w:r>
        <w:rPr>
          <w:rFonts w:hint="eastAsia" w:ascii="宋体" w:hAnsi="宋体"/>
          <w:color w:val="auto"/>
          <w:sz w:val="21"/>
          <w:szCs w:val="21"/>
          <w:highlight w:val="none"/>
          <w:lang w:val="en-US" w:eastAsia="zh-CN"/>
        </w:rPr>
        <w:t>”网站</w:t>
      </w:r>
      <w:r>
        <w:rPr>
          <w:rFonts w:hint="eastAsia" w:ascii="宋体" w:hAnsi="宋体"/>
          <w:color w:val="auto"/>
          <w:sz w:val="21"/>
          <w:szCs w:val="21"/>
          <w:highlight w:val="none"/>
        </w:rPr>
        <w:t>列入政府采购严重违法失信行为记录名单。</w:t>
      </w:r>
      <w:r>
        <w:rPr>
          <w:rFonts w:hint="eastAsia" w:ascii="宋体" w:hAnsi="宋体" w:eastAsia="宋体" w:cs="Times New Roman"/>
          <w:color w:val="auto"/>
          <w:sz w:val="21"/>
          <w:szCs w:val="21"/>
          <w:highlight w:val="none"/>
          <w:lang w:val="en-US" w:eastAsia="zh-CN"/>
        </w:rPr>
        <w:t>(采购人、采购代理机构将经查询存在不良信用记录的潜在投标人查询结果证明材料作为查询记录和证据，与其他采购文件一并保存）</w:t>
      </w:r>
    </w:p>
    <w:p w14:paraId="3980D46E">
      <w:pPr>
        <w:pStyle w:val="61"/>
        <w:rPr>
          <w:rFonts w:hAnsi="宋体" w:cs="宋体"/>
          <w:color w:val="auto"/>
          <w:sz w:val="21"/>
          <w:szCs w:val="21"/>
          <w:highlight w:val="none"/>
        </w:rPr>
      </w:pPr>
    </w:p>
    <w:p w14:paraId="69E69BF6">
      <w:pPr>
        <w:widowControl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（7）</w:t>
      </w:r>
      <w:r>
        <w:rPr>
          <w:rFonts w:hint="eastAsia" w:ascii="宋体" w:hAnsi="宋体"/>
          <w:color w:val="auto"/>
          <w:sz w:val="21"/>
          <w:szCs w:val="21"/>
          <w:highlight w:val="none"/>
        </w:rPr>
        <w:t>法定代表人为同一人的两个及两个以上法人，母公司、全资子公司及其控股公司，都不得在同一招标项目中同时投标</w:t>
      </w:r>
      <w:r>
        <w:rPr>
          <w:rFonts w:hint="eastAsia" w:ascii="宋体" w:hAnsi="宋体"/>
          <w:snapToGrid w:val="0"/>
          <w:color w:val="auto"/>
          <w:sz w:val="21"/>
          <w:szCs w:val="21"/>
          <w:highlight w:val="none"/>
        </w:rPr>
        <w:t>（附相关承诺）</w:t>
      </w:r>
      <w:r>
        <w:rPr>
          <w:rFonts w:hint="eastAsia" w:ascii="宋体" w:hAnsi="宋体"/>
          <w:snapToGrid w:val="0"/>
          <w:color w:val="auto"/>
          <w:sz w:val="21"/>
          <w:szCs w:val="21"/>
          <w:highlight w:val="none"/>
          <w:lang w:eastAsia="zh-CN"/>
        </w:rPr>
        <w:t>。</w:t>
      </w:r>
    </w:p>
    <w:p w14:paraId="27CD4C4B">
      <w:pPr>
        <w:widowControl w:val="0"/>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rPr>
        <w:t>投标文件中提供</w:t>
      </w:r>
      <w:r>
        <w:rPr>
          <w:rFonts w:hint="eastAsia" w:ascii="宋体" w:hAnsi="宋体" w:cs="宋体"/>
          <w:b/>
          <w:bCs/>
          <w:color w:val="auto"/>
          <w:sz w:val="21"/>
          <w:szCs w:val="21"/>
          <w:highlight w:val="none"/>
          <w:lang w:val="en-US" w:eastAsia="zh-CN"/>
        </w:rPr>
        <w:t>承诺书，格式自拟</w:t>
      </w:r>
    </w:p>
    <w:p w14:paraId="636652CD">
      <w:pPr>
        <w:pStyle w:val="61"/>
        <w:rPr>
          <w:rFonts w:hAnsi="宋体" w:cs="宋体"/>
          <w:color w:val="auto"/>
          <w:sz w:val="21"/>
          <w:szCs w:val="21"/>
          <w:highlight w:val="none"/>
        </w:rPr>
        <w:sectPr>
          <w:pgSz w:w="11907" w:h="16840"/>
          <w:pgMar w:top="1440" w:right="1080" w:bottom="1440" w:left="1080" w:header="850" w:footer="992" w:gutter="0"/>
          <w:cols w:space="720" w:num="1"/>
          <w:docGrid w:linePitch="286" w:charSpace="0"/>
        </w:sectPr>
      </w:pPr>
    </w:p>
    <w:p w14:paraId="30FBE6BA">
      <w:pPr>
        <w:pStyle w:val="4"/>
        <w:ind w:firstLine="640" w:firstLineChars="200"/>
        <w:rPr>
          <w:b w:val="0"/>
          <w:bCs w:val="0"/>
          <w:color w:val="auto"/>
          <w:highlight w:val="none"/>
        </w:rPr>
      </w:pPr>
      <w:bookmarkStart w:id="223" w:name="_Hlk14881428"/>
      <w:r>
        <w:rPr>
          <w:rFonts w:hint="eastAsia"/>
          <w:b w:val="0"/>
          <w:bCs w:val="0"/>
          <w:color w:val="auto"/>
          <w:highlight w:val="none"/>
        </w:rPr>
        <w:t>（</w:t>
      </w:r>
      <w:r>
        <w:rPr>
          <w:rFonts w:hint="eastAsia"/>
          <w:b w:val="0"/>
          <w:bCs w:val="0"/>
          <w:color w:val="auto"/>
          <w:highlight w:val="none"/>
          <w:lang w:val="en-US" w:eastAsia="zh-CN"/>
        </w:rPr>
        <w:t>三</w:t>
      </w:r>
      <w:r>
        <w:rPr>
          <w:rFonts w:hint="eastAsia"/>
          <w:b w:val="0"/>
          <w:bCs w:val="0"/>
          <w:color w:val="auto"/>
          <w:highlight w:val="none"/>
        </w:rPr>
        <w:t>）招标文件要求或投标人认为有必要提交的其他资料</w:t>
      </w:r>
    </w:p>
    <w:p w14:paraId="5ACF382A">
      <w:pPr>
        <w:widowControl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如招标文件的资格审查有要求的，但“投标文件格式”中未给出对应格式的，由投标人在此提供</w:t>
      </w:r>
    </w:p>
    <w:p w14:paraId="01F594B1">
      <w:pPr>
        <w:widowControl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（格式自拟）</w:t>
      </w:r>
      <w:bookmarkEnd w:id="223"/>
    </w:p>
    <w:p w14:paraId="669E38FF">
      <w:pPr>
        <w:wordWrap w:val="0"/>
        <w:spacing w:line="360" w:lineRule="auto"/>
        <w:jc w:val="center"/>
        <w:rPr>
          <w:rFonts w:ascii="宋体" w:hAnsi="宋体" w:cs="宋体"/>
          <w:color w:val="auto"/>
          <w:sz w:val="21"/>
          <w:szCs w:val="21"/>
          <w:highlight w:val="none"/>
        </w:rPr>
      </w:pPr>
    </w:p>
    <w:p w14:paraId="2CADA85B">
      <w:pPr>
        <w:pStyle w:val="63"/>
        <w:rPr>
          <w:color w:val="auto"/>
          <w:highlight w:val="none"/>
        </w:rPr>
        <w:sectPr>
          <w:pgSz w:w="11907" w:h="16840"/>
          <w:pgMar w:top="1440" w:right="1080" w:bottom="1440" w:left="1080" w:header="850" w:footer="992" w:gutter="0"/>
          <w:cols w:space="720" w:num="1"/>
          <w:docGrid w:linePitch="286" w:charSpace="0"/>
        </w:sectPr>
      </w:pPr>
    </w:p>
    <w:p w14:paraId="6289C679">
      <w:pPr>
        <w:pStyle w:val="3"/>
        <w:spacing w:before="240" w:after="240" w:line="360" w:lineRule="auto"/>
        <w:jc w:val="center"/>
        <w:rPr>
          <w:rFonts w:ascii="宋体" w:hAnsi="宋体" w:eastAsia="宋体"/>
          <w:color w:val="auto"/>
          <w:highlight w:val="none"/>
          <w:lang w:val="zh-CN"/>
        </w:rPr>
      </w:pPr>
      <w:bookmarkStart w:id="224" w:name="_Toc21797"/>
      <w:bookmarkStart w:id="225" w:name="_Toc19820101"/>
      <w:bookmarkStart w:id="226" w:name="_Toc5314"/>
      <w:r>
        <w:rPr>
          <w:rFonts w:hint="eastAsia" w:ascii="宋体" w:hAnsi="宋体" w:eastAsia="宋体"/>
          <w:color w:val="auto"/>
          <w:highlight w:val="none"/>
          <w:lang w:val="zh-CN"/>
        </w:rPr>
        <w:t>二、投标文件投标函部分格式</w:t>
      </w:r>
      <w:bookmarkEnd w:id="219"/>
      <w:bookmarkEnd w:id="220"/>
      <w:bookmarkEnd w:id="221"/>
      <w:bookmarkEnd w:id="222"/>
      <w:bookmarkEnd w:id="224"/>
      <w:bookmarkEnd w:id="225"/>
      <w:bookmarkEnd w:id="226"/>
    </w:p>
    <w:p w14:paraId="5C2F83D9">
      <w:pPr>
        <w:pStyle w:val="4"/>
        <w:tabs>
          <w:tab w:val="left" w:pos="432"/>
          <w:tab w:val="left" w:pos="720"/>
        </w:tabs>
        <w:spacing w:before="240" w:after="240" w:line="360" w:lineRule="auto"/>
        <w:jc w:val="center"/>
        <w:rPr>
          <w:rFonts w:ascii="宋体" w:hAnsi="宋体"/>
          <w:b w:val="0"/>
          <w:color w:val="auto"/>
          <w:sz w:val="30"/>
          <w:szCs w:val="30"/>
          <w:highlight w:val="none"/>
        </w:rPr>
      </w:pPr>
      <w:bookmarkStart w:id="227" w:name="_Toc229583228"/>
      <w:r>
        <w:rPr>
          <w:rFonts w:hint="eastAsia" w:ascii="宋体" w:hAnsi="宋体"/>
          <w:b w:val="0"/>
          <w:color w:val="auto"/>
          <w:sz w:val="30"/>
          <w:szCs w:val="30"/>
          <w:highlight w:val="none"/>
        </w:rPr>
        <w:t>（一）法定代表人身份证明书</w:t>
      </w:r>
      <w:bookmarkEnd w:id="227"/>
    </w:p>
    <w:p w14:paraId="1B6D5546">
      <w:pPr>
        <w:spacing w:line="48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单位名称：</w:t>
      </w:r>
    </w:p>
    <w:p w14:paraId="4E8368C4">
      <w:pPr>
        <w:spacing w:line="48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单位性质：</w:t>
      </w:r>
    </w:p>
    <w:p w14:paraId="25A08D9D">
      <w:pPr>
        <w:spacing w:line="48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地    址：</w:t>
      </w:r>
    </w:p>
    <w:p w14:paraId="22ADB2FA">
      <w:pPr>
        <w:spacing w:line="48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成立时间：      年  月    日</w:t>
      </w:r>
    </w:p>
    <w:p w14:paraId="7CEBA497">
      <w:pPr>
        <w:spacing w:line="48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经营期限：</w:t>
      </w:r>
    </w:p>
    <w:p w14:paraId="7C74EBFF">
      <w:pPr>
        <w:spacing w:line="48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姓    名：                    性    别：</w:t>
      </w:r>
    </w:p>
    <w:p w14:paraId="29AE2F46">
      <w:pPr>
        <w:spacing w:line="48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年    龄：                   职    务：</w:t>
      </w:r>
    </w:p>
    <w:p w14:paraId="78C642F2">
      <w:pPr>
        <w:spacing w:line="48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身份证号码：</w:t>
      </w:r>
    </w:p>
    <w:p w14:paraId="206926B0">
      <w:pPr>
        <w:spacing w:line="48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系</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（投标人单位名称）的法定代表人。</w:t>
      </w:r>
    </w:p>
    <w:p w14:paraId="05D81A52">
      <w:pPr>
        <w:spacing w:line="48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特此证明。</w:t>
      </w:r>
    </w:p>
    <w:p w14:paraId="00571AC4">
      <w:pPr>
        <w:spacing w:line="480" w:lineRule="auto"/>
        <w:ind w:firstLine="539" w:firstLineChars="257"/>
        <w:rPr>
          <w:rFonts w:ascii="宋体" w:hAnsi="宋体"/>
          <w:color w:val="auto"/>
          <w:sz w:val="21"/>
          <w:szCs w:val="21"/>
          <w:highlight w:val="none"/>
        </w:rPr>
      </w:pPr>
    </w:p>
    <w:p w14:paraId="0F14C8E3">
      <w:pPr>
        <w:spacing w:line="480" w:lineRule="auto"/>
        <w:ind w:firstLine="422" w:firstLineChars="200"/>
        <w:rPr>
          <w:rFonts w:ascii="宋体" w:hAnsi="宋体"/>
          <w:color w:val="auto"/>
          <w:sz w:val="21"/>
          <w:szCs w:val="21"/>
          <w:highlight w:val="none"/>
        </w:rPr>
      </w:pPr>
      <w:r>
        <w:rPr>
          <w:rFonts w:hint="eastAsia" w:ascii="宋体" w:hAnsi="宋体"/>
          <w:b/>
          <w:color w:val="auto"/>
          <w:sz w:val="21"/>
          <w:szCs w:val="21"/>
          <w:highlight w:val="none"/>
        </w:rPr>
        <w:t>附：法定代表人身份证正反面扫描件</w:t>
      </w:r>
    </w:p>
    <w:p w14:paraId="27D51741">
      <w:pPr>
        <w:spacing w:line="480" w:lineRule="auto"/>
        <w:ind w:firstLine="539" w:firstLineChars="257"/>
        <w:rPr>
          <w:rFonts w:ascii="宋体" w:hAnsi="宋体"/>
          <w:color w:val="auto"/>
          <w:sz w:val="21"/>
          <w:szCs w:val="21"/>
          <w:highlight w:val="none"/>
        </w:rPr>
      </w:pPr>
    </w:p>
    <w:p w14:paraId="1CD5313E">
      <w:pPr>
        <w:spacing w:line="480" w:lineRule="auto"/>
        <w:ind w:firstLine="539" w:firstLineChars="257"/>
        <w:rPr>
          <w:rFonts w:ascii="宋体" w:hAnsi="宋体"/>
          <w:color w:val="auto"/>
          <w:sz w:val="21"/>
          <w:szCs w:val="21"/>
          <w:highlight w:val="none"/>
        </w:rPr>
      </w:pPr>
    </w:p>
    <w:p w14:paraId="12D60904">
      <w:pPr>
        <w:wordWrap w:val="0"/>
        <w:spacing w:line="600" w:lineRule="auto"/>
        <w:ind w:right="-86" w:firstLine="5460" w:firstLineChars="2600"/>
        <w:rPr>
          <w:rFonts w:ascii="宋体" w:hAnsi="宋体"/>
          <w:color w:val="auto"/>
          <w:sz w:val="21"/>
          <w:szCs w:val="21"/>
          <w:highlight w:val="none"/>
          <w:u w:val="single"/>
        </w:rPr>
      </w:pPr>
      <w:r>
        <w:rPr>
          <w:rFonts w:hint="eastAsia" w:ascii="宋体" w:hAnsi="宋体"/>
          <w:color w:val="auto"/>
          <w:sz w:val="21"/>
          <w:szCs w:val="21"/>
          <w:highlight w:val="none"/>
        </w:rPr>
        <w:t>投标人：（</w:t>
      </w:r>
      <w:r>
        <w:rPr>
          <w:rFonts w:hint="eastAsia" w:ascii="宋体" w:hAnsi="宋体"/>
          <w:color w:val="auto"/>
          <w:sz w:val="21"/>
          <w:szCs w:val="21"/>
          <w:highlight w:val="none"/>
          <w:lang w:val="en-US" w:eastAsia="zh-CN"/>
        </w:rPr>
        <w:t>电子签章</w:t>
      </w:r>
      <w:r>
        <w:rPr>
          <w:rFonts w:hint="eastAsia" w:ascii="宋体" w:hAnsi="宋体"/>
          <w:color w:val="auto"/>
          <w:sz w:val="21"/>
          <w:szCs w:val="21"/>
          <w:highlight w:val="none"/>
        </w:rPr>
        <w:t>）</w:t>
      </w:r>
    </w:p>
    <w:p w14:paraId="41201846">
      <w:pPr>
        <w:jc w:val="right"/>
        <w:rPr>
          <w:rFonts w:ascii="宋体" w:hAnsi="宋体"/>
          <w:color w:val="auto"/>
          <w:sz w:val="21"/>
          <w:szCs w:val="21"/>
          <w:highlight w:val="none"/>
        </w:rPr>
      </w:pPr>
      <w:r>
        <w:rPr>
          <w:rFonts w:hint="eastAsia" w:ascii="宋体" w:hAnsi="宋体" w:cs="宋体"/>
          <w:color w:val="auto"/>
          <w:sz w:val="21"/>
          <w:szCs w:val="21"/>
          <w:highlight w:val="none"/>
        </w:rPr>
        <w:t>日期：年_</w:t>
      </w:r>
      <w:r>
        <w:rPr>
          <w:rFonts w:ascii="宋体" w:hAnsi="宋体" w:cs="宋体"/>
          <w:color w:val="auto"/>
          <w:sz w:val="21"/>
          <w:szCs w:val="21"/>
          <w:highlight w:val="none"/>
        </w:rPr>
        <w:t>____</w:t>
      </w:r>
      <w:r>
        <w:rPr>
          <w:rFonts w:hint="eastAsia" w:ascii="宋体" w:hAnsi="宋体" w:cs="宋体"/>
          <w:color w:val="auto"/>
          <w:sz w:val="21"/>
          <w:szCs w:val="21"/>
          <w:highlight w:val="none"/>
        </w:rPr>
        <w:t>月_</w:t>
      </w:r>
      <w:r>
        <w:rPr>
          <w:rFonts w:ascii="宋体" w:hAnsi="宋体" w:cs="宋体"/>
          <w:color w:val="auto"/>
          <w:sz w:val="21"/>
          <w:szCs w:val="21"/>
          <w:highlight w:val="none"/>
        </w:rPr>
        <w:t>____</w:t>
      </w:r>
      <w:r>
        <w:rPr>
          <w:rFonts w:hint="eastAsia" w:ascii="宋体" w:hAnsi="宋体" w:cs="宋体"/>
          <w:color w:val="auto"/>
          <w:sz w:val="21"/>
          <w:szCs w:val="21"/>
          <w:highlight w:val="none"/>
        </w:rPr>
        <w:t>日</w:t>
      </w:r>
    </w:p>
    <w:p w14:paraId="0D08FC7D">
      <w:pPr>
        <w:wordWrap w:val="0"/>
        <w:spacing w:line="360" w:lineRule="auto"/>
        <w:ind w:firstLine="2125" w:firstLineChars="1012"/>
        <w:rPr>
          <w:rFonts w:ascii="宋体" w:hAnsi="宋体" w:cs="宋体"/>
          <w:color w:val="auto"/>
          <w:sz w:val="21"/>
          <w:szCs w:val="21"/>
          <w:highlight w:val="none"/>
        </w:rPr>
      </w:pPr>
    </w:p>
    <w:p w14:paraId="6685B0C5">
      <w:pPr>
        <w:pStyle w:val="63"/>
        <w:rPr>
          <w:color w:val="auto"/>
          <w:highlight w:val="none"/>
        </w:rPr>
        <w:sectPr>
          <w:pgSz w:w="11907" w:h="16840"/>
          <w:pgMar w:top="1440" w:right="1080" w:bottom="1440" w:left="1080" w:header="850" w:footer="992" w:gutter="0"/>
          <w:cols w:space="720" w:num="1"/>
          <w:docGrid w:linePitch="286" w:charSpace="0"/>
        </w:sectPr>
      </w:pPr>
    </w:p>
    <w:p w14:paraId="512E7093">
      <w:pPr>
        <w:pStyle w:val="4"/>
        <w:tabs>
          <w:tab w:val="left" w:pos="432"/>
          <w:tab w:val="left" w:pos="720"/>
        </w:tabs>
        <w:spacing w:before="240" w:after="240" w:line="360" w:lineRule="auto"/>
        <w:jc w:val="center"/>
        <w:rPr>
          <w:rFonts w:ascii="宋体" w:hAnsi="宋体"/>
          <w:b w:val="0"/>
          <w:color w:val="auto"/>
          <w:sz w:val="30"/>
          <w:szCs w:val="30"/>
          <w:highlight w:val="none"/>
        </w:rPr>
      </w:pPr>
      <w:bookmarkStart w:id="228" w:name="_Toc229583229"/>
      <w:r>
        <w:rPr>
          <w:rFonts w:hint="eastAsia" w:ascii="宋体" w:hAnsi="宋体"/>
          <w:b w:val="0"/>
          <w:color w:val="auto"/>
          <w:sz w:val="30"/>
          <w:szCs w:val="30"/>
          <w:highlight w:val="none"/>
        </w:rPr>
        <w:t>（二）授权委托书</w:t>
      </w:r>
      <w:bookmarkEnd w:id="228"/>
    </w:p>
    <w:p w14:paraId="4EE6E110">
      <w:pPr>
        <w:wordWrap w:val="0"/>
        <w:spacing w:line="480" w:lineRule="auto"/>
        <w:ind w:firstLine="472" w:firstLineChars="225"/>
        <w:rPr>
          <w:rFonts w:ascii="宋体" w:hAnsi="宋体"/>
          <w:color w:val="auto"/>
          <w:sz w:val="21"/>
          <w:szCs w:val="21"/>
          <w:highlight w:val="none"/>
        </w:rPr>
      </w:pPr>
      <w:r>
        <w:rPr>
          <w:rFonts w:hint="eastAsia" w:ascii="宋体" w:hAnsi="宋体"/>
          <w:color w:val="auto"/>
          <w:sz w:val="21"/>
          <w:szCs w:val="21"/>
          <w:highlight w:val="none"/>
        </w:rPr>
        <w:t>本授权委托书声明：本人（姓名）系</w:t>
      </w:r>
      <w:r>
        <w:rPr>
          <w:rFonts w:hint="eastAsia" w:ascii="宋体" w:hAnsi="宋体"/>
          <w:color w:val="auto"/>
          <w:sz w:val="21"/>
          <w:szCs w:val="21"/>
          <w:highlight w:val="none"/>
          <w:u w:val="single"/>
        </w:rPr>
        <w:t xml:space="preserve">     （投标人名称）     </w:t>
      </w:r>
      <w:r>
        <w:rPr>
          <w:rFonts w:hint="eastAsia" w:ascii="宋体" w:hAnsi="宋体"/>
          <w:color w:val="auto"/>
          <w:sz w:val="21"/>
          <w:szCs w:val="21"/>
          <w:highlight w:val="none"/>
        </w:rPr>
        <w:t>的法定代表人，现授权委托</w:t>
      </w:r>
      <w:r>
        <w:rPr>
          <w:rFonts w:hint="eastAsia" w:ascii="宋体" w:hAnsi="宋体"/>
          <w:color w:val="auto"/>
          <w:sz w:val="21"/>
          <w:szCs w:val="21"/>
          <w:highlight w:val="none"/>
          <w:u w:val="single"/>
        </w:rPr>
        <w:t xml:space="preserve">      （投标人名称）     </w:t>
      </w:r>
      <w:r>
        <w:rPr>
          <w:rFonts w:hint="eastAsia" w:ascii="宋体" w:hAnsi="宋体"/>
          <w:color w:val="auto"/>
          <w:sz w:val="21"/>
          <w:szCs w:val="21"/>
          <w:highlight w:val="none"/>
        </w:rPr>
        <w:t>的</w:t>
      </w:r>
      <w:r>
        <w:rPr>
          <w:rFonts w:hint="eastAsia" w:ascii="宋体" w:hAnsi="宋体"/>
          <w:color w:val="auto"/>
          <w:sz w:val="21"/>
          <w:szCs w:val="21"/>
          <w:highlight w:val="none"/>
          <w:u w:val="single"/>
        </w:rPr>
        <w:t xml:space="preserve">    （姓名）    </w:t>
      </w:r>
      <w:r>
        <w:rPr>
          <w:rFonts w:hint="eastAsia" w:ascii="宋体" w:hAnsi="宋体"/>
          <w:color w:val="auto"/>
          <w:sz w:val="21"/>
          <w:szCs w:val="21"/>
          <w:highlight w:val="none"/>
        </w:rPr>
        <w:t>为我方代理人。代理人根据授权，以我方名义签署、澄清、说明、补正、递交、撤回、修改</w:t>
      </w:r>
      <w:r>
        <w:rPr>
          <w:rFonts w:hint="eastAsia" w:ascii="宋体" w:hAnsi="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（项目名称）</w:t>
      </w:r>
      <w:r>
        <w:rPr>
          <w:rFonts w:hint="eastAsia" w:ascii="宋体" w:hAnsi="宋体"/>
          <w:color w:val="auto"/>
          <w:sz w:val="21"/>
          <w:szCs w:val="21"/>
          <w:highlight w:val="none"/>
        </w:rPr>
        <w:t>的投标文件、签订合同和处理有关事宜，其法律后果由我方承担。</w:t>
      </w:r>
    </w:p>
    <w:p w14:paraId="6741992A">
      <w:pPr>
        <w:spacing w:line="48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委托期限：</w:t>
      </w:r>
    </w:p>
    <w:p w14:paraId="7108F5B7">
      <w:pPr>
        <w:wordWrap w:val="0"/>
        <w:spacing w:line="480" w:lineRule="auto"/>
        <w:rPr>
          <w:rFonts w:ascii="宋体" w:hAnsi="宋体"/>
          <w:color w:val="auto"/>
          <w:sz w:val="21"/>
          <w:szCs w:val="21"/>
          <w:highlight w:val="none"/>
        </w:rPr>
      </w:pPr>
    </w:p>
    <w:p w14:paraId="08CBC94A">
      <w:pPr>
        <w:wordWrap w:val="0"/>
        <w:spacing w:line="480" w:lineRule="auto"/>
        <w:ind w:firstLine="472" w:firstLineChars="225"/>
        <w:rPr>
          <w:rFonts w:ascii="宋体" w:hAnsi="宋体"/>
          <w:color w:val="auto"/>
          <w:sz w:val="21"/>
          <w:szCs w:val="21"/>
          <w:highlight w:val="none"/>
        </w:rPr>
      </w:pPr>
      <w:r>
        <w:rPr>
          <w:rFonts w:hint="eastAsia" w:ascii="宋体" w:hAnsi="宋体"/>
          <w:color w:val="auto"/>
          <w:sz w:val="21"/>
          <w:szCs w:val="21"/>
          <w:highlight w:val="none"/>
        </w:rPr>
        <w:t>代理人无转委托权，特此委托。</w:t>
      </w:r>
    </w:p>
    <w:p w14:paraId="24E611FC">
      <w:pPr>
        <w:wordWrap w:val="0"/>
        <w:spacing w:line="480" w:lineRule="auto"/>
        <w:rPr>
          <w:rFonts w:ascii="宋体" w:hAnsi="宋体"/>
          <w:color w:val="auto"/>
          <w:sz w:val="21"/>
          <w:szCs w:val="21"/>
          <w:highlight w:val="none"/>
        </w:rPr>
      </w:pPr>
    </w:p>
    <w:p w14:paraId="134A8DDC">
      <w:pPr>
        <w:spacing w:line="480" w:lineRule="auto"/>
        <w:ind w:right="105" w:firstLine="420" w:firstLineChars="200"/>
        <w:rPr>
          <w:rFonts w:ascii="宋体" w:hAnsi="宋体"/>
          <w:color w:val="auto"/>
          <w:sz w:val="21"/>
          <w:szCs w:val="21"/>
          <w:highlight w:val="none"/>
        </w:rPr>
      </w:pPr>
      <w:r>
        <w:rPr>
          <w:rFonts w:hint="eastAsia" w:ascii="宋体" w:hAnsi="宋体"/>
          <w:color w:val="auto"/>
          <w:sz w:val="21"/>
          <w:szCs w:val="21"/>
          <w:highlight w:val="none"/>
        </w:rPr>
        <w:t>投标人：</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盖单位公章</w:t>
      </w:r>
      <w:r>
        <w:rPr>
          <w:rFonts w:hint="eastAsia" w:ascii="宋体" w:hAnsi="宋体"/>
          <w:color w:val="auto"/>
          <w:sz w:val="21"/>
          <w:szCs w:val="21"/>
          <w:highlight w:val="none"/>
        </w:rPr>
        <w:t>）</w:t>
      </w:r>
    </w:p>
    <w:p w14:paraId="7B894B00">
      <w:pPr>
        <w:spacing w:line="480" w:lineRule="auto"/>
        <w:ind w:right="113"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 xml:space="preserve">法定代表人：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签字或盖章</w:t>
      </w:r>
      <w:r>
        <w:rPr>
          <w:rFonts w:hint="eastAsia" w:ascii="宋体" w:hAnsi="宋体"/>
          <w:color w:val="auto"/>
          <w:sz w:val="21"/>
          <w:szCs w:val="21"/>
          <w:highlight w:val="none"/>
        </w:rPr>
        <w:t>）</w:t>
      </w:r>
    </w:p>
    <w:p w14:paraId="676E4C52">
      <w:pPr>
        <w:wordWrap w:val="0"/>
        <w:spacing w:line="480" w:lineRule="auto"/>
        <w:ind w:right="149" w:firstLine="420" w:firstLineChars="200"/>
        <w:rPr>
          <w:rFonts w:hint="default" w:ascii="宋体" w:hAnsi="宋体" w:eastAsia="宋体"/>
          <w:color w:val="auto"/>
          <w:sz w:val="21"/>
          <w:szCs w:val="21"/>
          <w:highlight w:val="none"/>
          <w:u w:val="single"/>
          <w:lang w:val="en-US" w:eastAsia="zh-CN"/>
        </w:rPr>
      </w:pPr>
      <w:r>
        <w:rPr>
          <w:rFonts w:hint="eastAsia" w:ascii="宋体" w:hAnsi="宋体"/>
          <w:color w:val="auto"/>
          <w:sz w:val="21"/>
          <w:szCs w:val="21"/>
          <w:highlight w:val="none"/>
        </w:rPr>
        <w:t>身份证号码：</w:t>
      </w:r>
      <w:r>
        <w:rPr>
          <w:rFonts w:hint="eastAsia" w:ascii="宋体" w:hAnsi="宋体"/>
          <w:color w:val="auto"/>
          <w:sz w:val="21"/>
          <w:szCs w:val="21"/>
          <w:highlight w:val="none"/>
          <w:u w:val="single"/>
          <w:lang w:val="en-US" w:eastAsia="zh-CN"/>
        </w:rPr>
        <w:t xml:space="preserve">                          </w:t>
      </w:r>
    </w:p>
    <w:p w14:paraId="58690D2F">
      <w:pPr>
        <w:spacing w:line="480" w:lineRule="auto"/>
        <w:ind w:right="-29" w:firstLine="420" w:firstLineChars="200"/>
        <w:rPr>
          <w:rFonts w:ascii="宋体" w:hAnsi="宋体"/>
          <w:color w:val="auto"/>
          <w:sz w:val="21"/>
          <w:szCs w:val="21"/>
          <w:highlight w:val="none"/>
        </w:rPr>
      </w:pPr>
      <w:r>
        <w:rPr>
          <w:rFonts w:hint="eastAsia" w:ascii="宋体" w:hAnsi="宋体"/>
          <w:color w:val="auto"/>
          <w:sz w:val="21"/>
          <w:szCs w:val="21"/>
          <w:highlight w:val="none"/>
        </w:rPr>
        <w:t>委托代理人：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（签字）</w:t>
      </w:r>
    </w:p>
    <w:p w14:paraId="1DF79E00">
      <w:pPr>
        <w:tabs>
          <w:tab w:val="left" w:pos="8460"/>
        </w:tabs>
        <w:wordWrap w:val="0"/>
        <w:spacing w:line="480" w:lineRule="auto"/>
        <w:ind w:right="149" w:firstLine="420" w:firstLineChars="200"/>
        <w:rPr>
          <w:rFonts w:hint="default" w:ascii="宋体" w:hAnsi="宋体" w:eastAsia="宋体"/>
          <w:color w:val="auto"/>
          <w:sz w:val="21"/>
          <w:szCs w:val="21"/>
          <w:highlight w:val="none"/>
          <w:u w:val="single"/>
          <w:lang w:val="en-US" w:eastAsia="zh-CN"/>
        </w:rPr>
      </w:pPr>
      <w:r>
        <w:rPr>
          <w:rFonts w:hint="eastAsia" w:ascii="宋体" w:hAnsi="宋体"/>
          <w:color w:val="auto"/>
          <w:sz w:val="21"/>
          <w:szCs w:val="21"/>
          <w:highlight w:val="none"/>
        </w:rPr>
        <w:t>身份证号码：</w:t>
      </w:r>
      <w:r>
        <w:rPr>
          <w:rFonts w:hint="eastAsia" w:ascii="宋体" w:hAnsi="宋体"/>
          <w:color w:val="auto"/>
          <w:sz w:val="21"/>
          <w:szCs w:val="21"/>
          <w:highlight w:val="none"/>
          <w:u w:val="single"/>
          <w:lang w:val="en-US" w:eastAsia="zh-CN"/>
        </w:rPr>
        <w:t xml:space="preserve">                          </w:t>
      </w:r>
    </w:p>
    <w:p w14:paraId="1EA7D431">
      <w:pPr>
        <w:spacing w:line="480" w:lineRule="auto"/>
        <w:ind w:right="420" w:firstLine="420" w:firstLineChars="200"/>
        <w:rPr>
          <w:rFonts w:ascii="宋体" w:hAnsi="宋体"/>
          <w:color w:val="auto"/>
          <w:sz w:val="21"/>
          <w:szCs w:val="21"/>
          <w:highlight w:val="none"/>
        </w:rPr>
      </w:pPr>
      <w:r>
        <w:rPr>
          <w:rFonts w:hint="eastAsia" w:ascii="宋体" w:hAnsi="宋体" w:cs="宋体"/>
          <w:color w:val="auto"/>
          <w:sz w:val="21"/>
          <w:szCs w:val="21"/>
          <w:highlight w:val="none"/>
        </w:rPr>
        <w:t>日期：年_</w:t>
      </w:r>
      <w:r>
        <w:rPr>
          <w:rFonts w:ascii="宋体" w:hAnsi="宋体" w:cs="宋体"/>
          <w:color w:val="auto"/>
          <w:sz w:val="21"/>
          <w:szCs w:val="21"/>
          <w:highlight w:val="none"/>
        </w:rPr>
        <w:t>____</w:t>
      </w:r>
      <w:r>
        <w:rPr>
          <w:rFonts w:hint="eastAsia" w:ascii="宋体" w:hAnsi="宋体" w:cs="宋体"/>
          <w:color w:val="auto"/>
          <w:sz w:val="21"/>
          <w:szCs w:val="21"/>
          <w:highlight w:val="none"/>
        </w:rPr>
        <w:t>月_</w:t>
      </w:r>
      <w:r>
        <w:rPr>
          <w:rFonts w:ascii="宋体" w:hAnsi="宋体" w:cs="宋体"/>
          <w:color w:val="auto"/>
          <w:sz w:val="21"/>
          <w:szCs w:val="21"/>
          <w:highlight w:val="none"/>
        </w:rPr>
        <w:t>____</w:t>
      </w:r>
      <w:r>
        <w:rPr>
          <w:rFonts w:hint="eastAsia" w:ascii="宋体" w:hAnsi="宋体" w:cs="宋体"/>
          <w:color w:val="auto"/>
          <w:sz w:val="21"/>
          <w:szCs w:val="21"/>
          <w:highlight w:val="none"/>
        </w:rPr>
        <w:t>日</w:t>
      </w:r>
    </w:p>
    <w:p w14:paraId="18D92EB1">
      <w:pPr>
        <w:wordWrap w:val="0"/>
        <w:spacing w:line="360" w:lineRule="auto"/>
        <w:rPr>
          <w:rFonts w:ascii="宋体" w:hAnsi="宋体"/>
          <w:color w:val="auto"/>
          <w:sz w:val="21"/>
          <w:szCs w:val="21"/>
          <w:highlight w:val="none"/>
        </w:rPr>
      </w:pPr>
    </w:p>
    <w:p w14:paraId="71B279EB">
      <w:pPr>
        <w:wordWrap w:val="0"/>
        <w:spacing w:line="360" w:lineRule="auto"/>
        <w:rPr>
          <w:rFonts w:ascii="宋体" w:hAnsi="宋体"/>
          <w:color w:val="auto"/>
          <w:sz w:val="21"/>
          <w:szCs w:val="21"/>
          <w:highlight w:val="none"/>
        </w:rPr>
      </w:pPr>
    </w:p>
    <w:p w14:paraId="7E6151F4">
      <w:pPr>
        <w:wordWrap w:val="0"/>
        <w:spacing w:line="360" w:lineRule="auto"/>
        <w:ind w:firstLine="422" w:firstLineChars="200"/>
        <w:rPr>
          <w:rFonts w:ascii="宋体" w:hAnsi="宋体"/>
          <w:b/>
          <w:color w:val="auto"/>
          <w:sz w:val="21"/>
          <w:szCs w:val="21"/>
          <w:highlight w:val="none"/>
        </w:rPr>
      </w:pPr>
      <w:r>
        <w:rPr>
          <w:rFonts w:hint="eastAsia" w:ascii="宋体" w:hAnsi="宋体"/>
          <w:b/>
          <w:color w:val="auto"/>
          <w:sz w:val="21"/>
          <w:szCs w:val="21"/>
          <w:highlight w:val="none"/>
        </w:rPr>
        <w:t>注：1.附被授权代理人身份证正反面扫描件；</w:t>
      </w:r>
    </w:p>
    <w:p w14:paraId="7D5E12E0">
      <w:pPr>
        <w:wordWrap w:val="0"/>
        <w:spacing w:line="360" w:lineRule="auto"/>
        <w:ind w:firstLine="422" w:firstLineChars="200"/>
        <w:rPr>
          <w:rFonts w:hint="eastAsia" w:ascii="宋体" w:hAnsi="宋体" w:eastAsia="宋体"/>
          <w:b/>
          <w:color w:val="auto"/>
          <w:sz w:val="21"/>
          <w:szCs w:val="21"/>
          <w:highlight w:val="none"/>
          <w:lang w:val="en-US" w:eastAsia="zh-CN"/>
        </w:rPr>
      </w:pPr>
      <w:r>
        <w:rPr>
          <w:rFonts w:hint="eastAsia" w:ascii="宋体" w:hAnsi="宋体"/>
          <w:b/>
          <w:color w:val="auto"/>
          <w:sz w:val="21"/>
          <w:szCs w:val="21"/>
          <w:highlight w:val="none"/>
        </w:rPr>
        <w:t>2.如投标人由法定代表人亲自签署投标文件并参与相关活动，则不需要办理授权。如由被授权的代理人签署上述文件，则必须按本格式规定填报并提交授权书，否则被授权的代理人将不被认可。</w:t>
      </w:r>
      <w:r>
        <w:rPr>
          <w:rFonts w:hint="eastAsia" w:ascii="宋体" w:hAnsi="宋体"/>
          <w:b/>
          <w:color w:val="auto"/>
          <w:sz w:val="21"/>
          <w:szCs w:val="21"/>
          <w:highlight w:val="none"/>
          <w:lang w:val="en-US" w:eastAsia="zh-CN"/>
        </w:rPr>
        <w:t>投标人</w:t>
      </w:r>
      <w:r>
        <w:rPr>
          <w:rFonts w:hint="eastAsia"/>
          <w:b/>
          <w:color w:val="auto"/>
          <w:sz w:val="21"/>
          <w:szCs w:val="21"/>
          <w:highlight w:val="none"/>
          <w:lang w:val="en-US" w:eastAsia="zh-CN"/>
        </w:rPr>
        <w:t>将</w:t>
      </w:r>
      <w:r>
        <w:rPr>
          <w:rFonts w:hint="eastAsia"/>
          <w:b/>
          <w:color w:val="auto"/>
          <w:sz w:val="21"/>
          <w:szCs w:val="21"/>
          <w:highlight w:val="none"/>
        </w:rPr>
        <w:t>本页填写完成后打印纸质文件签字、盖章，再扫描替换到投标文件中</w:t>
      </w:r>
      <w:r>
        <w:rPr>
          <w:b/>
          <w:color w:val="auto"/>
          <w:sz w:val="21"/>
          <w:szCs w:val="21"/>
          <w:highlight w:val="none"/>
        </w:rPr>
        <w:t>。</w:t>
      </w:r>
    </w:p>
    <w:p w14:paraId="0B7EBE53">
      <w:pPr>
        <w:spacing w:line="360" w:lineRule="auto"/>
        <w:ind w:right="420" w:firstLine="422" w:firstLineChars="200"/>
        <w:rPr>
          <w:rFonts w:ascii="宋体" w:hAnsi="宋体"/>
          <w:b/>
          <w:color w:val="auto"/>
          <w:sz w:val="21"/>
          <w:szCs w:val="21"/>
          <w:highlight w:val="none"/>
        </w:rPr>
      </w:pPr>
      <w:r>
        <w:rPr>
          <w:rFonts w:hint="eastAsia" w:ascii="宋体" w:hAnsi="宋体"/>
          <w:b/>
          <w:color w:val="auto"/>
          <w:sz w:val="21"/>
          <w:szCs w:val="21"/>
          <w:highlight w:val="none"/>
        </w:rPr>
        <w:t>3.本授权委托书配合法定代表人身份证明书使用方可生效。</w:t>
      </w:r>
    </w:p>
    <w:p w14:paraId="3DDDDB91">
      <w:pPr>
        <w:pStyle w:val="63"/>
        <w:rPr>
          <w:rFonts w:ascii="宋体" w:hAnsi="宋体"/>
          <w:color w:val="auto"/>
          <w:highlight w:val="none"/>
        </w:rPr>
      </w:pPr>
    </w:p>
    <w:p w14:paraId="663535B3">
      <w:pPr>
        <w:pStyle w:val="63"/>
        <w:rPr>
          <w:color w:val="auto"/>
          <w:highlight w:val="none"/>
        </w:rPr>
        <w:sectPr>
          <w:pgSz w:w="11907" w:h="16840"/>
          <w:pgMar w:top="1440" w:right="1080" w:bottom="1440" w:left="1080" w:header="850" w:footer="992" w:gutter="0"/>
          <w:cols w:space="720" w:num="1"/>
          <w:docGrid w:linePitch="286" w:charSpace="0"/>
        </w:sectPr>
      </w:pPr>
    </w:p>
    <w:p w14:paraId="3751C3AC">
      <w:pPr>
        <w:pStyle w:val="4"/>
        <w:tabs>
          <w:tab w:val="left" w:pos="432"/>
          <w:tab w:val="left" w:pos="720"/>
        </w:tabs>
        <w:spacing w:before="240" w:after="240" w:line="360" w:lineRule="auto"/>
        <w:jc w:val="center"/>
        <w:rPr>
          <w:rFonts w:ascii="宋体" w:hAnsi="宋体"/>
          <w:b w:val="0"/>
          <w:color w:val="auto"/>
          <w:sz w:val="30"/>
          <w:szCs w:val="30"/>
          <w:highlight w:val="none"/>
        </w:rPr>
      </w:pPr>
      <w:bookmarkStart w:id="229" w:name="_Toc229583230"/>
      <w:r>
        <w:rPr>
          <w:rFonts w:hint="eastAsia" w:ascii="宋体" w:hAnsi="宋体"/>
          <w:b w:val="0"/>
          <w:color w:val="auto"/>
          <w:sz w:val="30"/>
          <w:szCs w:val="30"/>
          <w:highlight w:val="none"/>
        </w:rPr>
        <w:t>（三）投标函</w:t>
      </w:r>
      <w:bookmarkEnd w:id="229"/>
    </w:p>
    <w:p w14:paraId="6BEFCAD2">
      <w:pPr>
        <w:wordWrap w:val="0"/>
        <w:spacing w:line="360" w:lineRule="auto"/>
        <w:rPr>
          <w:rFonts w:ascii="宋体" w:hAnsi="宋体" w:cs="宋体"/>
          <w:color w:val="auto"/>
          <w:sz w:val="21"/>
          <w:szCs w:val="21"/>
          <w:highlight w:val="none"/>
        </w:rPr>
      </w:pPr>
    </w:p>
    <w:p w14:paraId="59B11A39">
      <w:pPr>
        <w:wordWrap w:val="0"/>
        <w:spacing w:line="360" w:lineRule="auto"/>
        <w:rPr>
          <w:rFonts w:ascii="宋体" w:hAnsi="宋体" w:cs="宋体"/>
          <w:color w:val="auto"/>
          <w:sz w:val="21"/>
          <w:szCs w:val="21"/>
          <w:highlight w:val="none"/>
          <w:u w:val="singl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xml:space="preserve">   （采购人名称） </w:t>
      </w:r>
    </w:p>
    <w:p w14:paraId="52626993">
      <w:pPr>
        <w:wordWrap w:val="0"/>
        <w:spacing w:line="360"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1.我方仔细研究了（项目名称）（项目编号：）的招标文件，按招标文件要求，我方愿以《开标一览表》中的报价作为我方的投标报价，并按合同履</w:t>
      </w:r>
      <w:r>
        <w:rPr>
          <w:rFonts w:hint="eastAsia" w:ascii="宋体" w:hAnsi="宋体" w:cs="宋体"/>
          <w:color w:val="auto"/>
          <w:sz w:val="21"/>
          <w:szCs w:val="21"/>
          <w:highlight w:val="none"/>
          <w:lang w:val="en-US" w:eastAsia="zh-CN"/>
        </w:rPr>
        <w:t>约</w:t>
      </w:r>
      <w:r>
        <w:rPr>
          <w:rFonts w:hint="eastAsia" w:ascii="宋体" w:hAnsi="宋体" w:cs="宋体"/>
          <w:color w:val="auto"/>
          <w:sz w:val="21"/>
          <w:szCs w:val="21"/>
          <w:highlight w:val="none"/>
        </w:rPr>
        <w:t>期限、</w:t>
      </w:r>
      <w:r>
        <w:rPr>
          <w:rFonts w:hint="eastAsia" w:ascii="宋体" w:hAnsi="宋体" w:cs="宋体"/>
          <w:color w:val="auto"/>
          <w:sz w:val="21"/>
          <w:szCs w:val="21"/>
          <w:highlight w:val="none"/>
          <w:lang w:val="en-US" w:eastAsia="zh-CN"/>
        </w:rPr>
        <w:t>服务</w:t>
      </w:r>
      <w:r>
        <w:rPr>
          <w:rFonts w:hint="eastAsia" w:ascii="宋体" w:hAnsi="宋体" w:cs="宋体"/>
          <w:color w:val="auto"/>
          <w:sz w:val="21"/>
          <w:szCs w:val="21"/>
          <w:highlight w:val="none"/>
        </w:rPr>
        <w:t>地点、合同约定、质量</w:t>
      </w:r>
      <w:r>
        <w:rPr>
          <w:rFonts w:hint="eastAsia" w:ascii="宋体" w:hAnsi="宋体" w:cs="宋体"/>
          <w:color w:val="auto"/>
          <w:sz w:val="21"/>
          <w:szCs w:val="21"/>
          <w:highlight w:val="none"/>
          <w:lang w:val="en-US" w:eastAsia="zh-CN"/>
        </w:rPr>
        <w:t>要求</w:t>
      </w:r>
      <w:r>
        <w:rPr>
          <w:rFonts w:hint="eastAsia" w:ascii="宋体" w:hAnsi="宋体" w:cs="宋体"/>
          <w:color w:val="auto"/>
          <w:sz w:val="21"/>
          <w:szCs w:val="21"/>
          <w:highlight w:val="none"/>
        </w:rPr>
        <w:t>等规定完成本项目，并承担相关任何缺陷责任。</w:t>
      </w:r>
    </w:p>
    <w:p w14:paraId="1DCAFB41">
      <w:pPr>
        <w:wordWrap w:val="0"/>
        <w:spacing w:line="360"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2.我方承诺我们的投标报价不低于我们自身的成本。</w:t>
      </w:r>
    </w:p>
    <w:p w14:paraId="7A38F383">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3.我方已详细审核全部招标文件，包括修改文件（如有时）及有关附件。</w:t>
      </w:r>
    </w:p>
    <w:p w14:paraId="33A6EE95">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4.我方同意投标人须知中关于没收投标保证金的规定。</w:t>
      </w:r>
    </w:p>
    <w:p w14:paraId="5E6D37C2">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5.一旦我方中标，我方保证按合同协议书的规定以及采购人要求完成本项目。</w:t>
      </w:r>
    </w:p>
    <w:p w14:paraId="6AED12D7">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6.我方承遵守招标文件规定投标有效期：___________</w:t>
      </w:r>
    </w:p>
    <w:p w14:paraId="37DE355B">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7.我方同意所提交的投标文件在招标文件投标人须知中第3.3.1条规定的投标有效期内有效，在此期间内如果中标，我方将受此约束。</w:t>
      </w:r>
    </w:p>
    <w:p w14:paraId="4870E201">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8.我方在此声明，所递交的投标文件及有关资料内容完整、合法、真实、有效和准确，若有违反，我方愿意承担一切后果。</w:t>
      </w:r>
    </w:p>
    <w:p w14:paraId="256B5AF1">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9.在合同协议书正式签署生效之前，本投标函连同你方的中标通知书将构成我们双方之间共同遵守的文件，对双方具有约束力。</w:t>
      </w:r>
    </w:p>
    <w:p w14:paraId="5C8E66D7">
      <w:pPr>
        <w:wordWrap w:val="0"/>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10</w:t>
      </w:r>
      <w:r>
        <w:rPr>
          <w:rFonts w:hint="eastAsia" w:ascii="宋体" w:hAnsi="宋体" w:cs="宋体"/>
          <w:color w:val="auto"/>
          <w:sz w:val="21"/>
          <w:szCs w:val="21"/>
          <w:highlight w:val="none"/>
        </w:rPr>
        <w:t>.除非另外达成协议并生效，你方的中标通知书和本投标文件将成为约束双方的合同文件的组成部分。</w:t>
      </w:r>
    </w:p>
    <w:p w14:paraId="26016E26">
      <w:pPr>
        <w:wordWrap w:val="0"/>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11</w:t>
      </w:r>
      <w:r>
        <w:rPr>
          <w:rFonts w:hint="eastAsia" w:ascii="宋体" w:hAnsi="宋体" w:cs="宋体"/>
          <w:color w:val="auto"/>
          <w:sz w:val="21"/>
          <w:szCs w:val="21"/>
          <w:highlight w:val="none"/>
        </w:rPr>
        <w:t>.我方完全理解贵方不一定要接受最低报价的投标人为中标人的行为。</w:t>
      </w:r>
    </w:p>
    <w:p w14:paraId="07B75FF3">
      <w:pPr>
        <w:wordWrap w:val="0"/>
        <w:spacing w:line="360"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1</w:t>
      </w:r>
      <w:r>
        <w:rPr>
          <w:rFonts w:ascii="宋体" w:hAnsi="宋体" w:cs="宋体"/>
          <w:color w:val="auto"/>
          <w:sz w:val="21"/>
          <w:szCs w:val="21"/>
          <w:highlight w:val="none"/>
        </w:rPr>
        <w:t>2</w:t>
      </w:r>
      <w:r>
        <w:rPr>
          <w:rFonts w:hint="eastAsia" w:ascii="宋体" w:hAnsi="宋体" w:cs="宋体"/>
          <w:color w:val="auto"/>
          <w:sz w:val="21"/>
          <w:szCs w:val="21"/>
          <w:highlight w:val="none"/>
        </w:rPr>
        <w:t>.其他：</w:t>
      </w:r>
    </w:p>
    <w:p w14:paraId="3297725D">
      <w:pPr>
        <w:wordWrap w:val="0"/>
        <w:spacing w:line="360" w:lineRule="auto"/>
        <w:ind w:firstLine="420" w:firstLineChars="200"/>
        <w:rPr>
          <w:rFonts w:ascii="宋体" w:hAnsi="宋体" w:cs="宋体"/>
          <w:color w:val="auto"/>
          <w:sz w:val="21"/>
          <w:szCs w:val="21"/>
          <w:highlight w:val="none"/>
        </w:rPr>
      </w:pPr>
    </w:p>
    <w:p w14:paraId="4927B5B1">
      <w:pPr>
        <w:wordWrap w:val="0"/>
        <w:spacing w:line="360"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电子签章</w:t>
      </w:r>
      <w:r>
        <w:rPr>
          <w:rFonts w:hint="eastAsia" w:ascii="宋体" w:hAnsi="宋体" w:cs="宋体"/>
          <w:color w:val="auto"/>
          <w:sz w:val="21"/>
          <w:szCs w:val="21"/>
          <w:highlight w:val="none"/>
        </w:rPr>
        <w:t>）</w:t>
      </w:r>
    </w:p>
    <w:p w14:paraId="472950E0">
      <w:pPr>
        <w:wordWrap w:val="0"/>
        <w:spacing w:line="360"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单位地址：</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p>
    <w:p w14:paraId="122234DD">
      <w:pPr>
        <w:wordWrap w:val="0"/>
        <w:spacing w:line="360"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法定代表人：</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电子签章</w:t>
      </w:r>
      <w:r>
        <w:rPr>
          <w:rFonts w:hint="eastAsia" w:ascii="宋体" w:hAnsi="宋体" w:cs="宋体"/>
          <w:color w:val="auto"/>
          <w:sz w:val="21"/>
          <w:szCs w:val="21"/>
          <w:highlight w:val="none"/>
        </w:rPr>
        <w:t>）</w:t>
      </w:r>
    </w:p>
    <w:p w14:paraId="69436B77">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邮政编码：</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rPr>
        <w:t>电话：</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rPr>
        <w:t>传真：</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p>
    <w:p w14:paraId="23116639">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开户银行名称：</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p>
    <w:p w14:paraId="676FB4AC">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开户银行账号：</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p>
    <w:p w14:paraId="60F72EA6">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开户银行地址：</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ab/>
      </w:r>
    </w:p>
    <w:p w14:paraId="550FB53C">
      <w:pPr>
        <w:wordWrap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日期：年_</w:t>
      </w:r>
      <w:r>
        <w:rPr>
          <w:rFonts w:ascii="宋体" w:hAnsi="宋体" w:cs="宋体"/>
          <w:color w:val="auto"/>
          <w:sz w:val="21"/>
          <w:szCs w:val="21"/>
          <w:highlight w:val="none"/>
        </w:rPr>
        <w:t>____</w:t>
      </w:r>
      <w:r>
        <w:rPr>
          <w:rFonts w:hint="eastAsia" w:ascii="宋体" w:hAnsi="宋体" w:cs="宋体"/>
          <w:color w:val="auto"/>
          <w:sz w:val="21"/>
          <w:szCs w:val="21"/>
          <w:highlight w:val="none"/>
        </w:rPr>
        <w:t>月_</w:t>
      </w:r>
      <w:r>
        <w:rPr>
          <w:rFonts w:ascii="宋体" w:hAnsi="宋体" w:cs="宋体"/>
          <w:color w:val="auto"/>
          <w:sz w:val="21"/>
          <w:szCs w:val="21"/>
          <w:highlight w:val="none"/>
        </w:rPr>
        <w:t>____</w:t>
      </w:r>
      <w:r>
        <w:rPr>
          <w:rFonts w:hint="eastAsia" w:ascii="宋体" w:hAnsi="宋体" w:cs="宋体"/>
          <w:color w:val="auto"/>
          <w:sz w:val="21"/>
          <w:szCs w:val="21"/>
          <w:highlight w:val="none"/>
        </w:rPr>
        <w:t>日</w:t>
      </w:r>
    </w:p>
    <w:p w14:paraId="4823028A">
      <w:pPr>
        <w:pStyle w:val="63"/>
        <w:rPr>
          <w:rFonts w:ascii="宋体" w:hAnsi="宋体"/>
          <w:color w:val="auto"/>
          <w:highlight w:val="none"/>
        </w:rPr>
      </w:pPr>
    </w:p>
    <w:p w14:paraId="41B4502A">
      <w:pPr>
        <w:pStyle w:val="3"/>
        <w:spacing w:before="240" w:after="240" w:line="360" w:lineRule="auto"/>
        <w:jc w:val="center"/>
        <w:rPr>
          <w:rFonts w:ascii="宋体" w:hAnsi="宋体" w:eastAsia="宋体"/>
          <w:color w:val="auto"/>
          <w:highlight w:val="none"/>
          <w:lang w:val="zh-CN"/>
        </w:rPr>
      </w:pPr>
      <w:bookmarkStart w:id="230" w:name="_Toc15242792"/>
      <w:bookmarkStart w:id="231" w:name="_Toc14016"/>
      <w:bookmarkStart w:id="232" w:name="_Toc31888"/>
      <w:bookmarkStart w:id="233" w:name="_Toc19820102"/>
      <w:r>
        <w:rPr>
          <w:rFonts w:hint="eastAsia" w:ascii="宋体" w:hAnsi="宋体" w:eastAsia="宋体"/>
          <w:color w:val="auto"/>
          <w:highlight w:val="none"/>
          <w:lang w:val="zh-CN"/>
        </w:rPr>
        <w:t>三、投标文件投标报价部分格式</w:t>
      </w:r>
      <w:bookmarkEnd w:id="230"/>
      <w:bookmarkEnd w:id="231"/>
      <w:bookmarkEnd w:id="232"/>
      <w:bookmarkEnd w:id="233"/>
    </w:p>
    <w:p w14:paraId="2DA07C7A">
      <w:pPr>
        <w:pStyle w:val="4"/>
        <w:tabs>
          <w:tab w:val="left" w:pos="432"/>
          <w:tab w:val="left" w:pos="720"/>
        </w:tabs>
        <w:spacing w:before="240" w:after="240" w:line="360" w:lineRule="auto"/>
        <w:jc w:val="center"/>
        <w:rPr>
          <w:rFonts w:ascii="宋体" w:hAnsi="宋体"/>
          <w:b w:val="0"/>
          <w:color w:val="auto"/>
          <w:sz w:val="30"/>
          <w:szCs w:val="30"/>
          <w:highlight w:val="none"/>
        </w:rPr>
      </w:pPr>
      <w:bookmarkStart w:id="234" w:name="_Toc241805276"/>
      <w:bookmarkStart w:id="235" w:name="_Toc260127888"/>
      <w:bookmarkStart w:id="236" w:name="_Toc217185633"/>
      <w:bookmarkStart w:id="237" w:name="_Toc224363922"/>
      <w:bookmarkStart w:id="238" w:name="_Toc176848891"/>
      <w:bookmarkStart w:id="239" w:name="_Toc216755822"/>
      <w:r>
        <w:rPr>
          <w:rFonts w:hint="eastAsia" w:ascii="宋体" w:hAnsi="宋体"/>
          <w:b w:val="0"/>
          <w:color w:val="auto"/>
          <w:sz w:val="30"/>
          <w:szCs w:val="30"/>
          <w:highlight w:val="none"/>
        </w:rPr>
        <w:t>（一）开标一览表</w:t>
      </w:r>
      <w:bookmarkEnd w:id="234"/>
      <w:bookmarkEnd w:id="235"/>
      <w:bookmarkEnd w:id="236"/>
      <w:bookmarkEnd w:id="237"/>
      <w:bookmarkEnd w:id="238"/>
    </w:p>
    <w:tbl>
      <w:tblPr>
        <w:tblStyle w:val="32"/>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67"/>
        <w:gridCol w:w="2666"/>
        <w:gridCol w:w="5352"/>
      </w:tblGrid>
      <w:tr w14:paraId="0396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7" w:hRule="atLeast"/>
          <w:jc w:val="center"/>
        </w:trPr>
        <w:tc>
          <w:tcPr>
            <w:tcW w:w="1367" w:type="dxa"/>
            <w:shd w:val="clear" w:color="auto" w:fill="FFFFFF"/>
            <w:vAlign w:val="center"/>
          </w:tcPr>
          <w:p w14:paraId="6F28401F">
            <w:pPr>
              <w:wordWrap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2666" w:type="dxa"/>
            <w:shd w:val="clear" w:color="auto" w:fill="FFFFFF"/>
            <w:vAlign w:val="center"/>
          </w:tcPr>
          <w:p w14:paraId="7DF1BA98">
            <w:pPr>
              <w:wordWrap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开标内容</w:t>
            </w:r>
          </w:p>
        </w:tc>
        <w:tc>
          <w:tcPr>
            <w:tcW w:w="5352" w:type="dxa"/>
            <w:shd w:val="clear" w:color="auto" w:fill="FFFFFF"/>
            <w:vAlign w:val="center"/>
          </w:tcPr>
          <w:p w14:paraId="01E4D2EE">
            <w:pPr>
              <w:wordWrap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投标人填写</w:t>
            </w:r>
          </w:p>
        </w:tc>
      </w:tr>
      <w:tr w14:paraId="1288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367" w:type="dxa"/>
            <w:shd w:val="clear" w:color="auto" w:fill="FFFFFF"/>
            <w:vAlign w:val="center"/>
          </w:tcPr>
          <w:p w14:paraId="08AE7043">
            <w:pPr>
              <w:wordWrap w:val="0"/>
              <w:spacing w:line="276" w:lineRule="auto"/>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2666" w:type="dxa"/>
            <w:shd w:val="clear" w:color="auto" w:fill="FFFFFF"/>
            <w:vAlign w:val="center"/>
          </w:tcPr>
          <w:p w14:paraId="2178B3BD">
            <w:pPr>
              <w:wordWrap w:val="0"/>
              <w:spacing w:line="276"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投标总报价</w:t>
            </w:r>
          </w:p>
        </w:tc>
        <w:tc>
          <w:tcPr>
            <w:tcW w:w="5352" w:type="dxa"/>
            <w:shd w:val="clear" w:color="auto" w:fill="FFFFFF"/>
            <w:vAlign w:val="center"/>
          </w:tcPr>
          <w:p w14:paraId="22C6DD75">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小写：¥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w:t>
            </w:r>
          </w:p>
          <w:p w14:paraId="30876FA8">
            <w:pPr>
              <w:wordWrap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大写：人民币</w:t>
            </w:r>
            <w:r>
              <w:rPr>
                <w:rFonts w:hint="eastAsia" w:ascii="宋体" w:hAnsi="宋体" w:cs="宋体"/>
                <w:color w:val="auto"/>
                <w:sz w:val="21"/>
                <w:szCs w:val="21"/>
                <w:highlight w:val="none"/>
                <w:u w:val="single"/>
              </w:rPr>
              <w:t xml:space="preserve">          </w:t>
            </w:r>
          </w:p>
        </w:tc>
      </w:tr>
      <w:tr w14:paraId="3E4F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367" w:type="dxa"/>
            <w:shd w:val="clear" w:color="auto" w:fill="FFFFFF"/>
            <w:vAlign w:val="center"/>
          </w:tcPr>
          <w:p w14:paraId="23BD6965">
            <w:pPr>
              <w:wordWrap w:val="0"/>
              <w:spacing w:line="276"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2</w:t>
            </w:r>
          </w:p>
        </w:tc>
        <w:tc>
          <w:tcPr>
            <w:tcW w:w="2666" w:type="dxa"/>
            <w:shd w:val="clear" w:color="auto" w:fill="FFFFFF"/>
            <w:vAlign w:val="center"/>
          </w:tcPr>
          <w:p w14:paraId="32B356C3">
            <w:pPr>
              <w:wordWrap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合同履</w:t>
            </w:r>
            <w:r>
              <w:rPr>
                <w:rFonts w:hint="eastAsia" w:ascii="宋体" w:hAnsi="宋体"/>
                <w:color w:val="auto"/>
                <w:sz w:val="21"/>
                <w:szCs w:val="21"/>
                <w:highlight w:val="none"/>
                <w:lang w:val="en-US" w:eastAsia="zh-CN"/>
              </w:rPr>
              <w:t>约</w:t>
            </w:r>
            <w:r>
              <w:rPr>
                <w:rFonts w:hint="eastAsia" w:ascii="宋体" w:hAnsi="宋体"/>
                <w:color w:val="auto"/>
                <w:sz w:val="21"/>
                <w:szCs w:val="21"/>
                <w:highlight w:val="none"/>
              </w:rPr>
              <w:t>期限承诺</w:t>
            </w:r>
          </w:p>
        </w:tc>
        <w:tc>
          <w:tcPr>
            <w:tcW w:w="5352" w:type="dxa"/>
            <w:shd w:val="clear" w:color="auto" w:fill="FFFFFF"/>
            <w:vAlign w:val="center"/>
          </w:tcPr>
          <w:p w14:paraId="580227AF">
            <w:pPr>
              <w:wordWrap w:val="0"/>
              <w:spacing w:line="276" w:lineRule="auto"/>
              <w:jc w:val="center"/>
              <w:rPr>
                <w:rFonts w:ascii="宋体" w:hAnsi="宋体"/>
                <w:color w:val="auto"/>
                <w:sz w:val="21"/>
                <w:szCs w:val="21"/>
                <w:highlight w:val="none"/>
              </w:rPr>
            </w:pPr>
          </w:p>
        </w:tc>
      </w:tr>
      <w:tr w14:paraId="4F30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7" w:hRule="atLeast"/>
          <w:jc w:val="center"/>
        </w:trPr>
        <w:tc>
          <w:tcPr>
            <w:tcW w:w="1367" w:type="dxa"/>
            <w:shd w:val="clear" w:color="auto" w:fill="FFFFFF"/>
            <w:vAlign w:val="center"/>
          </w:tcPr>
          <w:p w14:paraId="7E8ADC2A">
            <w:pPr>
              <w:wordWrap w:val="0"/>
              <w:spacing w:line="276"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3</w:t>
            </w:r>
          </w:p>
        </w:tc>
        <w:tc>
          <w:tcPr>
            <w:tcW w:w="2666" w:type="dxa"/>
            <w:shd w:val="clear" w:color="auto" w:fill="FFFFFF"/>
            <w:vAlign w:val="center"/>
          </w:tcPr>
          <w:p w14:paraId="202A785D">
            <w:pPr>
              <w:wordWrap w:val="0"/>
              <w:spacing w:line="276" w:lineRule="auto"/>
              <w:jc w:val="center"/>
              <w:rPr>
                <w:rFonts w:ascii="宋体" w:hAnsi="宋体"/>
                <w:color w:val="auto"/>
                <w:sz w:val="21"/>
                <w:szCs w:val="21"/>
                <w:highlight w:val="none"/>
              </w:rPr>
            </w:pPr>
            <w:r>
              <w:rPr>
                <w:rFonts w:hint="eastAsia" w:ascii="宋体" w:hAnsi="宋体"/>
                <w:color w:val="auto"/>
                <w:sz w:val="21"/>
                <w:szCs w:val="21"/>
                <w:highlight w:val="none"/>
                <w:lang w:val="en-US" w:eastAsia="zh-CN"/>
              </w:rPr>
              <w:t>服务</w:t>
            </w:r>
            <w:r>
              <w:rPr>
                <w:rFonts w:hint="eastAsia" w:ascii="宋体" w:hAnsi="宋体"/>
                <w:color w:val="auto"/>
                <w:sz w:val="21"/>
                <w:szCs w:val="21"/>
                <w:highlight w:val="none"/>
              </w:rPr>
              <w:t>地点</w:t>
            </w:r>
          </w:p>
        </w:tc>
        <w:tc>
          <w:tcPr>
            <w:tcW w:w="5352" w:type="dxa"/>
            <w:shd w:val="clear" w:color="auto" w:fill="FFFFFF"/>
            <w:vAlign w:val="center"/>
          </w:tcPr>
          <w:p w14:paraId="372024B5">
            <w:pPr>
              <w:wordWrap w:val="0"/>
              <w:spacing w:line="276" w:lineRule="auto"/>
              <w:jc w:val="center"/>
              <w:rPr>
                <w:rFonts w:ascii="宋体" w:hAnsi="宋体"/>
                <w:color w:val="auto"/>
                <w:sz w:val="21"/>
                <w:szCs w:val="21"/>
                <w:highlight w:val="none"/>
              </w:rPr>
            </w:pPr>
          </w:p>
        </w:tc>
      </w:tr>
      <w:tr w14:paraId="7893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7" w:hRule="atLeast"/>
          <w:jc w:val="center"/>
        </w:trPr>
        <w:tc>
          <w:tcPr>
            <w:tcW w:w="1367" w:type="dxa"/>
            <w:shd w:val="clear" w:color="auto" w:fill="FFFFFF"/>
            <w:vAlign w:val="center"/>
          </w:tcPr>
          <w:p w14:paraId="5C02339F">
            <w:pPr>
              <w:wordWrap w:val="0"/>
              <w:spacing w:line="276"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4</w:t>
            </w:r>
          </w:p>
        </w:tc>
        <w:tc>
          <w:tcPr>
            <w:tcW w:w="2666" w:type="dxa"/>
            <w:shd w:val="clear" w:color="auto" w:fill="FFFFFF"/>
            <w:vAlign w:val="center"/>
          </w:tcPr>
          <w:p w14:paraId="235949C3">
            <w:pPr>
              <w:wordWrap w:val="0"/>
              <w:spacing w:line="276" w:lineRule="auto"/>
              <w:jc w:val="center"/>
              <w:rPr>
                <w:rFonts w:hint="default" w:ascii="宋体" w:hAnsi="宋体"/>
                <w:color w:val="auto"/>
                <w:sz w:val="21"/>
                <w:szCs w:val="21"/>
                <w:highlight w:val="none"/>
                <w:lang w:val="en-US"/>
              </w:rPr>
            </w:pPr>
            <w:r>
              <w:rPr>
                <w:rFonts w:hint="eastAsia" w:ascii="宋体" w:hAnsi="宋体"/>
                <w:color w:val="auto"/>
                <w:sz w:val="21"/>
                <w:szCs w:val="21"/>
                <w:highlight w:val="none"/>
                <w:lang w:val="en-US" w:eastAsia="zh-CN"/>
              </w:rPr>
              <w:t>服务标准</w:t>
            </w:r>
          </w:p>
        </w:tc>
        <w:tc>
          <w:tcPr>
            <w:tcW w:w="5352" w:type="dxa"/>
            <w:shd w:val="clear" w:color="auto" w:fill="FFFFFF"/>
            <w:vAlign w:val="center"/>
          </w:tcPr>
          <w:p w14:paraId="504A2ED7">
            <w:pPr>
              <w:wordWrap w:val="0"/>
              <w:spacing w:line="276" w:lineRule="auto"/>
              <w:jc w:val="center"/>
              <w:rPr>
                <w:rFonts w:ascii="宋体" w:hAnsi="宋体"/>
                <w:color w:val="auto"/>
                <w:sz w:val="21"/>
                <w:szCs w:val="21"/>
                <w:highlight w:val="none"/>
              </w:rPr>
            </w:pPr>
          </w:p>
        </w:tc>
      </w:tr>
      <w:tr w14:paraId="63E5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7" w:hRule="atLeast"/>
          <w:jc w:val="center"/>
        </w:trPr>
        <w:tc>
          <w:tcPr>
            <w:tcW w:w="1367" w:type="dxa"/>
            <w:shd w:val="clear" w:color="auto" w:fill="FFFFFF"/>
            <w:vAlign w:val="center"/>
          </w:tcPr>
          <w:p w14:paraId="2A30CFDF">
            <w:pPr>
              <w:wordWrap w:val="0"/>
              <w:spacing w:line="276"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6</w:t>
            </w:r>
          </w:p>
        </w:tc>
        <w:tc>
          <w:tcPr>
            <w:tcW w:w="2666" w:type="dxa"/>
            <w:shd w:val="clear" w:color="auto" w:fill="FFFFFF"/>
            <w:vAlign w:val="center"/>
          </w:tcPr>
          <w:p w14:paraId="7D9324DB">
            <w:pPr>
              <w:wordWrap w:val="0"/>
              <w:spacing w:line="276" w:lineRule="auto"/>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备注</w:t>
            </w:r>
          </w:p>
        </w:tc>
        <w:tc>
          <w:tcPr>
            <w:tcW w:w="5352" w:type="dxa"/>
            <w:shd w:val="clear" w:color="auto" w:fill="FFFFFF"/>
            <w:vAlign w:val="center"/>
          </w:tcPr>
          <w:p w14:paraId="38700CD9">
            <w:pPr>
              <w:wordWrap w:val="0"/>
              <w:spacing w:line="276" w:lineRule="auto"/>
              <w:jc w:val="center"/>
              <w:rPr>
                <w:rFonts w:ascii="宋体" w:hAnsi="宋体"/>
                <w:color w:val="auto"/>
                <w:sz w:val="21"/>
                <w:szCs w:val="21"/>
                <w:highlight w:val="none"/>
              </w:rPr>
            </w:pPr>
          </w:p>
        </w:tc>
      </w:tr>
    </w:tbl>
    <w:p w14:paraId="2F42D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80" w:leftChars="-90"/>
        <w:rPr>
          <w:rFonts w:ascii="宋体" w:hAnsi="宋体" w:cs="宋体"/>
          <w:b/>
          <w:color w:val="auto"/>
          <w:sz w:val="21"/>
          <w:szCs w:val="21"/>
          <w:highlight w:val="none"/>
        </w:rPr>
      </w:pPr>
    </w:p>
    <w:bookmarkEnd w:id="239"/>
    <w:p w14:paraId="78C36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80" w:leftChars="-90"/>
        <w:rPr>
          <w:rFonts w:ascii="宋体" w:hAnsi="宋体" w:cs="宋体"/>
          <w:color w:val="auto"/>
          <w:sz w:val="21"/>
          <w:szCs w:val="21"/>
          <w:highlight w:val="none"/>
        </w:rPr>
      </w:pPr>
    </w:p>
    <w:p w14:paraId="1633B3F6">
      <w:pPr>
        <w:spacing w:line="600" w:lineRule="auto"/>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电子签章</w:t>
      </w:r>
      <w:r>
        <w:rPr>
          <w:rFonts w:hint="eastAsia" w:ascii="宋体" w:hAnsi="宋体" w:cs="宋体"/>
          <w:color w:val="auto"/>
          <w:sz w:val="21"/>
          <w:szCs w:val="21"/>
          <w:highlight w:val="none"/>
        </w:rPr>
        <w:t>）</w:t>
      </w:r>
    </w:p>
    <w:p w14:paraId="21D29FF2">
      <w:pPr>
        <w:spacing w:line="600" w:lineRule="auto"/>
        <w:rPr>
          <w:rFonts w:ascii="宋体" w:hAnsi="宋体" w:cs="宋体"/>
          <w:color w:val="auto"/>
          <w:sz w:val="21"/>
          <w:szCs w:val="21"/>
          <w:highlight w:val="none"/>
        </w:rPr>
      </w:pPr>
      <w:r>
        <w:rPr>
          <w:rFonts w:hint="eastAsia" w:ascii="宋体" w:hAnsi="宋体" w:cs="宋体"/>
          <w:color w:val="auto"/>
          <w:sz w:val="21"/>
          <w:szCs w:val="21"/>
          <w:highlight w:val="none"/>
        </w:rPr>
        <w:t>法定代表人：</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电子签章</w:t>
      </w:r>
      <w:r>
        <w:rPr>
          <w:rFonts w:hint="eastAsia" w:ascii="宋体" w:hAnsi="宋体" w:cs="宋体"/>
          <w:color w:val="auto"/>
          <w:sz w:val="21"/>
          <w:szCs w:val="21"/>
          <w:highlight w:val="none"/>
        </w:rPr>
        <w:t>）</w:t>
      </w:r>
    </w:p>
    <w:p w14:paraId="48DBCBCE">
      <w:pPr>
        <w:spacing w:line="600" w:lineRule="auto"/>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日</w:t>
      </w:r>
      <w:bookmarkStart w:id="240" w:name="_Hlk17817959"/>
    </w:p>
    <w:p w14:paraId="7FEF94B2">
      <w:pPr>
        <w:rPr>
          <w:rFonts w:ascii="宋体" w:hAnsi="宋体" w:cs="宋体"/>
          <w:color w:val="auto"/>
          <w:sz w:val="21"/>
          <w:szCs w:val="21"/>
          <w:highlight w:val="none"/>
        </w:rPr>
      </w:pPr>
      <w:r>
        <w:rPr>
          <w:rFonts w:hint="eastAsia" w:ascii="宋体" w:hAnsi="宋体" w:cs="宋体"/>
          <w:color w:val="auto"/>
          <w:sz w:val="21"/>
          <w:szCs w:val="21"/>
          <w:highlight w:val="none"/>
        </w:rPr>
        <w:br w:type="page"/>
      </w:r>
    </w:p>
    <w:p w14:paraId="594971F3">
      <w:pPr>
        <w:pStyle w:val="4"/>
        <w:tabs>
          <w:tab w:val="left" w:pos="432"/>
          <w:tab w:val="left" w:pos="720"/>
        </w:tabs>
        <w:spacing w:before="240" w:after="240" w:line="360" w:lineRule="auto"/>
        <w:jc w:val="center"/>
        <w:rPr>
          <w:rFonts w:ascii="宋体" w:hAnsi="宋体"/>
          <w:b w:val="0"/>
          <w:color w:val="auto"/>
          <w:sz w:val="30"/>
          <w:szCs w:val="30"/>
          <w:highlight w:val="none"/>
        </w:rPr>
      </w:pPr>
      <w:bookmarkStart w:id="241" w:name="_Toc6496687"/>
      <w:r>
        <w:rPr>
          <w:rFonts w:hint="eastAsia" w:ascii="宋体" w:hAnsi="宋体"/>
          <w:b w:val="0"/>
          <w:color w:val="auto"/>
          <w:sz w:val="30"/>
          <w:szCs w:val="30"/>
          <w:highlight w:val="none"/>
        </w:rPr>
        <w:t>（二）</w:t>
      </w:r>
      <w:r>
        <w:rPr>
          <w:rFonts w:ascii="宋体" w:hAnsi="宋体"/>
          <w:b w:val="0"/>
          <w:color w:val="auto"/>
          <w:sz w:val="30"/>
          <w:szCs w:val="30"/>
          <w:highlight w:val="none"/>
        </w:rPr>
        <w:t>商务条款偏离表</w:t>
      </w:r>
      <w:bookmarkEnd w:id="241"/>
    </w:p>
    <w:p w14:paraId="22DBF859">
      <w:pPr>
        <w:pStyle w:val="67"/>
        <w:spacing w:line="360" w:lineRule="auto"/>
        <w:ind w:firstLine="420" w:firstLineChars="200"/>
        <w:rPr>
          <w:rFonts w:hAnsi="宋体"/>
          <w:color w:val="auto"/>
          <w:sz w:val="21"/>
          <w:highlight w:val="none"/>
        </w:rPr>
      </w:pPr>
      <w:r>
        <w:rPr>
          <w:rFonts w:hint="eastAsia" w:hAnsi="宋体"/>
          <w:color w:val="auto"/>
          <w:sz w:val="21"/>
          <w:highlight w:val="none"/>
        </w:rPr>
        <w:t>投标人须逐条对应招标文件中要求的商务条款，认真填写该表。</w:t>
      </w:r>
    </w:p>
    <w:p w14:paraId="764CDD50">
      <w:pPr>
        <w:pStyle w:val="67"/>
        <w:spacing w:line="360" w:lineRule="auto"/>
        <w:ind w:firstLine="420" w:firstLineChars="200"/>
        <w:rPr>
          <w:rFonts w:hAnsi="宋体"/>
          <w:color w:val="auto"/>
          <w:sz w:val="21"/>
          <w:highlight w:val="none"/>
        </w:rPr>
      </w:pPr>
      <w:r>
        <w:rPr>
          <w:rFonts w:hint="eastAsia" w:hAnsi="宋体"/>
          <w:color w:val="auto"/>
          <w:sz w:val="21"/>
          <w:highlight w:val="none"/>
        </w:rPr>
        <w:t>商务条款是指：招标文件第五章“合同条款前附表”中要求的有关内容。</w:t>
      </w:r>
    </w:p>
    <w:p w14:paraId="02D01C8A">
      <w:pPr>
        <w:pStyle w:val="67"/>
        <w:spacing w:line="360" w:lineRule="auto"/>
        <w:ind w:firstLine="200"/>
        <w:rPr>
          <w:rFonts w:hAnsi="宋体"/>
          <w:b/>
          <w:color w:val="auto"/>
          <w:sz w:val="21"/>
          <w:highlight w:val="none"/>
        </w:rPr>
      </w:pPr>
    </w:p>
    <w:tbl>
      <w:tblPr>
        <w:tblStyle w:val="32"/>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496"/>
        <w:gridCol w:w="3496"/>
        <w:gridCol w:w="1538"/>
      </w:tblGrid>
      <w:tr w14:paraId="3678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Align w:val="center"/>
          </w:tcPr>
          <w:p w14:paraId="7A2C22B4">
            <w:pPr>
              <w:pStyle w:val="67"/>
              <w:spacing w:line="276" w:lineRule="auto"/>
              <w:jc w:val="center"/>
              <w:rPr>
                <w:rFonts w:hAnsi="宋体" w:cs="Courier New"/>
                <w:b/>
                <w:color w:val="auto"/>
                <w:sz w:val="21"/>
                <w:highlight w:val="none"/>
              </w:rPr>
            </w:pPr>
            <w:r>
              <w:rPr>
                <w:rFonts w:hint="eastAsia" w:hAnsi="宋体" w:cs="Courier New"/>
                <w:b/>
                <w:color w:val="auto"/>
                <w:sz w:val="21"/>
                <w:highlight w:val="none"/>
              </w:rPr>
              <w:t>序号</w:t>
            </w:r>
          </w:p>
        </w:tc>
        <w:tc>
          <w:tcPr>
            <w:tcW w:w="3496" w:type="dxa"/>
            <w:vAlign w:val="center"/>
          </w:tcPr>
          <w:p w14:paraId="43AAD9F0">
            <w:pPr>
              <w:pStyle w:val="67"/>
              <w:spacing w:line="276" w:lineRule="auto"/>
              <w:jc w:val="center"/>
              <w:rPr>
                <w:rFonts w:hAnsi="宋体" w:cs="Courier New"/>
                <w:b/>
                <w:color w:val="auto"/>
                <w:sz w:val="21"/>
                <w:highlight w:val="none"/>
              </w:rPr>
            </w:pPr>
            <w:r>
              <w:rPr>
                <w:rFonts w:hint="eastAsia" w:hAnsi="宋体" w:cs="Courier New"/>
                <w:b/>
                <w:color w:val="auto"/>
                <w:sz w:val="21"/>
                <w:highlight w:val="none"/>
              </w:rPr>
              <w:t>招标文件的商务条款</w:t>
            </w:r>
          </w:p>
        </w:tc>
        <w:tc>
          <w:tcPr>
            <w:tcW w:w="3496" w:type="dxa"/>
            <w:vAlign w:val="center"/>
          </w:tcPr>
          <w:p w14:paraId="7E098A43">
            <w:pPr>
              <w:pStyle w:val="67"/>
              <w:spacing w:line="276" w:lineRule="auto"/>
              <w:jc w:val="center"/>
              <w:rPr>
                <w:rFonts w:hAnsi="宋体" w:cs="Courier New"/>
                <w:b/>
                <w:color w:val="auto"/>
                <w:sz w:val="21"/>
                <w:highlight w:val="none"/>
              </w:rPr>
            </w:pPr>
            <w:r>
              <w:rPr>
                <w:rFonts w:hint="eastAsia" w:hAnsi="宋体" w:cs="Courier New"/>
                <w:b/>
                <w:color w:val="auto"/>
                <w:sz w:val="21"/>
                <w:highlight w:val="none"/>
              </w:rPr>
              <w:t>投标文件响应情况</w:t>
            </w:r>
          </w:p>
        </w:tc>
        <w:tc>
          <w:tcPr>
            <w:tcW w:w="1538" w:type="dxa"/>
            <w:vAlign w:val="center"/>
          </w:tcPr>
          <w:p w14:paraId="67C1ED67">
            <w:pPr>
              <w:pStyle w:val="67"/>
              <w:spacing w:line="276" w:lineRule="auto"/>
              <w:jc w:val="center"/>
              <w:rPr>
                <w:rFonts w:hAnsi="宋体" w:cs="Courier New"/>
                <w:b/>
                <w:color w:val="auto"/>
                <w:sz w:val="21"/>
                <w:highlight w:val="none"/>
              </w:rPr>
            </w:pPr>
            <w:r>
              <w:rPr>
                <w:rFonts w:hint="eastAsia" w:hAnsi="宋体" w:cs="Courier New"/>
                <w:b/>
                <w:color w:val="auto"/>
                <w:sz w:val="21"/>
                <w:highlight w:val="none"/>
              </w:rPr>
              <w:t>偏离</w:t>
            </w:r>
          </w:p>
        </w:tc>
      </w:tr>
      <w:tr w14:paraId="7636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Align w:val="center"/>
          </w:tcPr>
          <w:p w14:paraId="41E5088C">
            <w:pPr>
              <w:pStyle w:val="67"/>
              <w:spacing w:line="276" w:lineRule="auto"/>
              <w:jc w:val="center"/>
              <w:rPr>
                <w:rFonts w:hAnsi="宋体" w:cs="Courier New"/>
                <w:color w:val="auto"/>
                <w:sz w:val="21"/>
                <w:highlight w:val="none"/>
              </w:rPr>
            </w:pPr>
          </w:p>
        </w:tc>
        <w:tc>
          <w:tcPr>
            <w:tcW w:w="3496" w:type="dxa"/>
            <w:vAlign w:val="center"/>
          </w:tcPr>
          <w:p w14:paraId="4F1F6905">
            <w:pPr>
              <w:pStyle w:val="67"/>
              <w:spacing w:line="276" w:lineRule="auto"/>
              <w:jc w:val="center"/>
              <w:rPr>
                <w:rFonts w:hAnsi="宋体" w:cs="Courier New"/>
                <w:color w:val="auto"/>
                <w:sz w:val="21"/>
                <w:highlight w:val="none"/>
              </w:rPr>
            </w:pPr>
          </w:p>
        </w:tc>
        <w:tc>
          <w:tcPr>
            <w:tcW w:w="3496" w:type="dxa"/>
            <w:vAlign w:val="center"/>
          </w:tcPr>
          <w:p w14:paraId="516B103C">
            <w:pPr>
              <w:pStyle w:val="67"/>
              <w:spacing w:line="276" w:lineRule="auto"/>
              <w:jc w:val="center"/>
              <w:rPr>
                <w:rFonts w:hAnsi="宋体" w:cs="Courier New"/>
                <w:color w:val="auto"/>
                <w:sz w:val="21"/>
                <w:highlight w:val="none"/>
              </w:rPr>
            </w:pPr>
          </w:p>
        </w:tc>
        <w:tc>
          <w:tcPr>
            <w:tcW w:w="1538" w:type="dxa"/>
            <w:vAlign w:val="center"/>
          </w:tcPr>
          <w:p w14:paraId="248A89C8">
            <w:pPr>
              <w:pStyle w:val="67"/>
              <w:spacing w:line="276" w:lineRule="auto"/>
              <w:jc w:val="center"/>
              <w:rPr>
                <w:rFonts w:hAnsi="宋体" w:cs="Courier New"/>
                <w:color w:val="auto"/>
                <w:sz w:val="21"/>
                <w:highlight w:val="none"/>
              </w:rPr>
            </w:pPr>
          </w:p>
        </w:tc>
      </w:tr>
      <w:tr w14:paraId="7706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Align w:val="center"/>
          </w:tcPr>
          <w:p w14:paraId="41F17722">
            <w:pPr>
              <w:pStyle w:val="67"/>
              <w:spacing w:line="276" w:lineRule="auto"/>
              <w:jc w:val="center"/>
              <w:rPr>
                <w:rFonts w:hAnsi="宋体" w:cs="Courier New"/>
                <w:color w:val="auto"/>
                <w:sz w:val="21"/>
                <w:highlight w:val="none"/>
              </w:rPr>
            </w:pPr>
          </w:p>
        </w:tc>
        <w:tc>
          <w:tcPr>
            <w:tcW w:w="3496" w:type="dxa"/>
            <w:vAlign w:val="center"/>
          </w:tcPr>
          <w:p w14:paraId="16099484">
            <w:pPr>
              <w:pStyle w:val="67"/>
              <w:spacing w:line="276" w:lineRule="auto"/>
              <w:jc w:val="center"/>
              <w:rPr>
                <w:rFonts w:hAnsi="宋体" w:cs="Courier New"/>
                <w:color w:val="auto"/>
                <w:sz w:val="21"/>
                <w:highlight w:val="none"/>
              </w:rPr>
            </w:pPr>
          </w:p>
        </w:tc>
        <w:tc>
          <w:tcPr>
            <w:tcW w:w="3496" w:type="dxa"/>
            <w:vAlign w:val="center"/>
          </w:tcPr>
          <w:p w14:paraId="2DA00C92">
            <w:pPr>
              <w:pStyle w:val="67"/>
              <w:spacing w:line="276" w:lineRule="auto"/>
              <w:jc w:val="center"/>
              <w:rPr>
                <w:rFonts w:hAnsi="宋体" w:cs="Courier New"/>
                <w:color w:val="auto"/>
                <w:sz w:val="21"/>
                <w:highlight w:val="none"/>
              </w:rPr>
            </w:pPr>
          </w:p>
        </w:tc>
        <w:tc>
          <w:tcPr>
            <w:tcW w:w="1538" w:type="dxa"/>
            <w:vAlign w:val="center"/>
          </w:tcPr>
          <w:p w14:paraId="109D0A9A">
            <w:pPr>
              <w:pStyle w:val="67"/>
              <w:spacing w:line="276" w:lineRule="auto"/>
              <w:jc w:val="center"/>
              <w:rPr>
                <w:rFonts w:hAnsi="宋体" w:cs="Courier New"/>
                <w:color w:val="auto"/>
                <w:sz w:val="21"/>
                <w:highlight w:val="none"/>
              </w:rPr>
            </w:pPr>
          </w:p>
        </w:tc>
      </w:tr>
      <w:tr w14:paraId="7E35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Align w:val="center"/>
          </w:tcPr>
          <w:p w14:paraId="4BF4A043">
            <w:pPr>
              <w:pStyle w:val="67"/>
              <w:spacing w:line="276" w:lineRule="auto"/>
              <w:jc w:val="center"/>
              <w:rPr>
                <w:rFonts w:hAnsi="宋体" w:cs="Courier New"/>
                <w:color w:val="auto"/>
                <w:sz w:val="21"/>
                <w:highlight w:val="none"/>
              </w:rPr>
            </w:pPr>
          </w:p>
        </w:tc>
        <w:tc>
          <w:tcPr>
            <w:tcW w:w="3496" w:type="dxa"/>
            <w:vAlign w:val="center"/>
          </w:tcPr>
          <w:p w14:paraId="3C828A94">
            <w:pPr>
              <w:pStyle w:val="67"/>
              <w:spacing w:line="276" w:lineRule="auto"/>
              <w:jc w:val="center"/>
              <w:rPr>
                <w:rFonts w:hAnsi="宋体" w:cs="Courier New"/>
                <w:color w:val="auto"/>
                <w:sz w:val="21"/>
                <w:highlight w:val="none"/>
              </w:rPr>
            </w:pPr>
          </w:p>
        </w:tc>
        <w:tc>
          <w:tcPr>
            <w:tcW w:w="3496" w:type="dxa"/>
            <w:vAlign w:val="center"/>
          </w:tcPr>
          <w:p w14:paraId="0AD8EBEE">
            <w:pPr>
              <w:pStyle w:val="67"/>
              <w:spacing w:line="276" w:lineRule="auto"/>
              <w:jc w:val="center"/>
              <w:rPr>
                <w:rFonts w:hAnsi="宋体" w:cs="Courier New"/>
                <w:color w:val="auto"/>
                <w:sz w:val="21"/>
                <w:highlight w:val="none"/>
              </w:rPr>
            </w:pPr>
          </w:p>
        </w:tc>
        <w:tc>
          <w:tcPr>
            <w:tcW w:w="1538" w:type="dxa"/>
            <w:vAlign w:val="center"/>
          </w:tcPr>
          <w:p w14:paraId="2E584412">
            <w:pPr>
              <w:pStyle w:val="67"/>
              <w:spacing w:line="276" w:lineRule="auto"/>
              <w:jc w:val="center"/>
              <w:rPr>
                <w:rFonts w:hAnsi="宋体" w:cs="Courier New"/>
                <w:color w:val="auto"/>
                <w:sz w:val="21"/>
                <w:highlight w:val="none"/>
              </w:rPr>
            </w:pPr>
          </w:p>
        </w:tc>
      </w:tr>
    </w:tbl>
    <w:p w14:paraId="678D8747">
      <w:pPr>
        <w:pStyle w:val="67"/>
        <w:spacing w:before="72" w:beforeLines="30" w:line="360" w:lineRule="auto"/>
        <w:ind w:firstLine="420" w:firstLineChars="200"/>
        <w:jc w:val="left"/>
        <w:rPr>
          <w:rFonts w:hAnsi="宋体"/>
          <w:color w:val="auto"/>
          <w:sz w:val="21"/>
          <w:highlight w:val="none"/>
        </w:rPr>
      </w:pPr>
      <w:r>
        <w:rPr>
          <w:rFonts w:hint="eastAsia" w:hAnsi="宋体"/>
          <w:color w:val="auto"/>
          <w:sz w:val="21"/>
          <w:highlight w:val="none"/>
        </w:rPr>
        <w:t>注：</w:t>
      </w:r>
    </w:p>
    <w:p w14:paraId="773FFA1F">
      <w:pPr>
        <w:pStyle w:val="67"/>
        <w:spacing w:line="360" w:lineRule="auto"/>
        <w:ind w:firstLine="420" w:firstLineChars="200"/>
        <w:rPr>
          <w:rFonts w:hAnsi="宋体"/>
          <w:color w:val="auto"/>
          <w:sz w:val="21"/>
          <w:highlight w:val="none"/>
        </w:rPr>
      </w:pPr>
      <w:r>
        <w:rPr>
          <w:rFonts w:hint="eastAsia" w:hAnsi="宋体"/>
          <w:color w:val="auto"/>
          <w:sz w:val="21"/>
          <w:highlight w:val="none"/>
        </w:rPr>
        <w:t>1、</w:t>
      </w:r>
      <w:r>
        <w:rPr>
          <w:rFonts w:hAnsi="宋体"/>
          <w:color w:val="auto"/>
          <w:sz w:val="21"/>
          <w:highlight w:val="none"/>
        </w:rPr>
        <w:t>表格中“偏离”</w:t>
      </w:r>
      <w:r>
        <w:rPr>
          <w:rFonts w:hint="eastAsia" w:hAnsi="宋体"/>
          <w:color w:val="auto"/>
          <w:sz w:val="21"/>
          <w:highlight w:val="none"/>
        </w:rPr>
        <w:t>一列，投标人</w:t>
      </w:r>
      <w:r>
        <w:rPr>
          <w:rFonts w:hAnsi="宋体"/>
          <w:color w:val="auto"/>
          <w:sz w:val="21"/>
          <w:highlight w:val="none"/>
        </w:rPr>
        <w:t>只能如实填写“</w:t>
      </w:r>
      <w:r>
        <w:rPr>
          <w:rFonts w:hint="eastAsia" w:hAnsi="宋体"/>
          <w:color w:val="auto"/>
          <w:sz w:val="21"/>
          <w:highlight w:val="none"/>
        </w:rPr>
        <w:t>正偏离</w:t>
      </w:r>
      <w:r>
        <w:rPr>
          <w:rFonts w:hAnsi="宋体"/>
          <w:color w:val="auto"/>
          <w:sz w:val="21"/>
          <w:highlight w:val="none"/>
        </w:rPr>
        <w:t>”</w:t>
      </w:r>
      <w:r>
        <w:rPr>
          <w:rFonts w:hint="eastAsia" w:hAnsi="宋体"/>
          <w:color w:val="auto"/>
          <w:sz w:val="21"/>
          <w:highlight w:val="none"/>
        </w:rPr>
        <w:t>、“负</w:t>
      </w:r>
      <w:r>
        <w:rPr>
          <w:rFonts w:hAnsi="宋体"/>
          <w:color w:val="auto"/>
          <w:sz w:val="21"/>
          <w:highlight w:val="none"/>
        </w:rPr>
        <w:t>偏离”或“无偏离”。凡</w:t>
      </w:r>
      <w:r>
        <w:rPr>
          <w:rFonts w:hint="eastAsia" w:hAnsi="宋体"/>
          <w:color w:val="auto"/>
          <w:sz w:val="21"/>
          <w:highlight w:val="none"/>
        </w:rPr>
        <w:t>响应</w:t>
      </w:r>
      <w:r>
        <w:rPr>
          <w:rFonts w:hAnsi="宋体"/>
          <w:color w:val="auto"/>
          <w:sz w:val="21"/>
          <w:highlight w:val="none"/>
        </w:rPr>
        <w:t>内容</w:t>
      </w:r>
      <w:r>
        <w:rPr>
          <w:rFonts w:hint="eastAsia" w:hAnsi="宋体"/>
          <w:color w:val="auto"/>
          <w:sz w:val="21"/>
          <w:highlight w:val="none"/>
        </w:rPr>
        <w:t>高于招标文件</w:t>
      </w:r>
      <w:r>
        <w:rPr>
          <w:rFonts w:hAnsi="宋体"/>
          <w:color w:val="auto"/>
          <w:sz w:val="21"/>
          <w:highlight w:val="none"/>
        </w:rPr>
        <w:t>要求</w:t>
      </w:r>
      <w:r>
        <w:rPr>
          <w:rFonts w:hint="eastAsia" w:hAnsi="宋体"/>
          <w:color w:val="auto"/>
          <w:sz w:val="21"/>
          <w:highlight w:val="none"/>
        </w:rPr>
        <w:t>的，按</w:t>
      </w:r>
      <w:r>
        <w:rPr>
          <w:rFonts w:hAnsi="宋体"/>
          <w:color w:val="auto"/>
          <w:sz w:val="21"/>
          <w:highlight w:val="none"/>
        </w:rPr>
        <w:t>“</w:t>
      </w:r>
      <w:r>
        <w:rPr>
          <w:rFonts w:hint="eastAsia" w:hAnsi="宋体"/>
          <w:color w:val="auto"/>
          <w:sz w:val="21"/>
          <w:highlight w:val="none"/>
        </w:rPr>
        <w:t>正</w:t>
      </w:r>
      <w:r>
        <w:rPr>
          <w:rFonts w:hAnsi="宋体"/>
          <w:color w:val="auto"/>
          <w:sz w:val="21"/>
          <w:highlight w:val="none"/>
        </w:rPr>
        <w:t>偏离”填写</w:t>
      </w:r>
      <w:r>
        <w:rPr>
          <w:rFonts w:hint="eastAsia" w:hAnsi="宋体"/>
          <w:color w:val="auto"/>
          <w:sz w:val="21"/>
          <w:highlight w:val="none"/>
        </w:rPr>
        <w:t>；低于招标文件要求的，按</w:t>
      </w:r>
      <w:r>
        <w:rPr>
          <w:rFonts w:hAnsi="宋体"/>
          <w:color w:val="auto"/>
          <w:sz w:val="21"/>
          <w:highlight w:val="none"/>
        </w:rPr>
        <w:t>“</w:t>
      </w:r>
      <w:r>
        <w:rPr>
          <w:rFonts w:hint="eastAsia" w:hAnsi="宋体"/>
          <w:color w:val="auto"/>
          <w:sz w:val="21"/>
          <w:highlight w:val="none"/>
        </w:rPr>
        <w:t>负</w:t>
      </w:r>
      <w:r>
        <w:rPr>
          <w:rFonts w:hAnsi="宋体"/>
          <w:color w:val="auto"/>
          <w:sz w:val="21"/>
          <w:highlight w:val="none"/>
        </w:rPr>
        <w:t>偏离”填写</w:t>
      </w:r>
      <w:r>
        <w:rPr>
          <w:rFonts w:hint="eastAsia" w:hAnsi="宋体"/>
          <w:color w:val="auto"/>
          <w:sz w:val="21"/>
          <w:highlight w:val="none"/>
        </w:rPr>
        <w:t>；满足招标文件要求的，按“无偏离”填写。</w:t>
      </w:r>
    </w:p>
    <w:p w14:paraId="421CC7DB">
      <w:pPr>
        <w:pStyle w:val="67"/>
        <w:spacing w:line="360" w:lineRule="auto"/>
        <w:ind w:firstLine="420" w:firstLineChars="200"/>
        <w:rPr>
          <w:rFonts w:hAnsi="宋体"/>
          <w:color w:val="auto"/>
          <w:sz w:val="21"/>
          <w:highlight w:val="none"/>
        </w:rPr>
      </w:pPr>
      <w:r>
        <w:rPr>
          <w:rFonts w:hint="eastAsia" w:hAnsi="宋体"/>
          <w:color w:val="auto"/>
          <w:sz w:val="21"/>
          <w:highlight w:val="none"/>
        </w:rPr>
        <w:t>2、序号应对应该商务条款在第五章“合同条款前附表”</w:t>
      </w:r>
      <w:r>
        <w:rPr>
          <w:rFonts w:hint="eastAsia" w:hAnsi="宋体"/>
          <w:bCs/>
          <w:color w:val="auto"/>
          <w:sz w:val="21"/>
          <w:highlight w:val="none"/>
        </w:rPr>
        <w:t>中的序号。</w:t>
      </w:r>
    </w:p>
    <w:p w14:paraId="5CAA1D27">
      <w:pPr>
        <w:pStyle w:val="67"/>
        <w:spacing w:line="360" w:lineRule="auto"/>
        <w:ind w:firstLine="420" w:firstLineChars="200"/>
        <w:rPr>
          <w:rFonts w:hAnsi="宋体"/>
          <w:color w:val="auto"/>
          <w:sz w:val="21"/>
          <w:highlight w:val="none"/>
        </w:rPr>
      </w:pPr>
      <w:r>
        <w:rPr>
          <w:rFonts w:hint="eastAsia" w:hAnsi="宋体"/>
          <w:color w:val="auto"/>
          <w:sz w:val="21"/>
          <w:highlight w:val="none"/>
        </w:rPr>
        <w:t>3、各投标人必须对招标文件第五章“合同条款前附表”中的商务条款作出全面、真实的反映，若投标文件中响应情况与招标文件商务条款不符或无有效证明，而投标人又未在招标文件中作出说明和解释的，评标委员会在评审时可以视为不响应该条商务条款的规定。</w:t>
      </w:r>
    </w:p>
    <w:p w14:paraId="3591D3F0">
      <w:pPr>
        <w:pStyle w:val="67"/>
        <w:spacing w:line="360" w:lineRule="auto"/>
        <w:ind w:firstLine="420" w:firstLineChars="200"/>
        <w:rPr>
          <w:rFonts w:hAnsi="宋体"/>
          <w:b/>
          <w:color w:val="auto"/>
          <w:sz w:val="21"/>
          <w:highlight w:val="none"/>
        </w:rPr>
      </w:pPr>
      <w:r>
        <w:rPr>
          <w:rFonts w:hint="eastAsia" w:hAnsi="宋体"/>
          <w:color w:val="auto"/>
          <w:sz w:val="21"/>
          <w:highlight w:val="none"/>
        </w:rPr>
        <w:t>4、投标人可根据招标文件商务条款拓展本表，但不得改变格式。</w:t>
      </w:r>
    </w:p>
    <w:p w14:paraId="69A4E79C">
      <w:pPr>
        <w:pStyle w:val="63"/>
        <w:ind w:firstLine="0"/>
        <w:rPr>
          <w:color w:val="auto"/>
          <w:sz w:val="21"/>
          <w:szCs w:val="21"/>
          <w:highlight w:val="none"/>
        </w:rPr>
      </w:pPr>
    </w:p>
    <w:p w14:paraId="3961F236">
      <w:pPr>
        <w:pStyle w:val="63"/>
        <w:ind w:firstLine="0"/>
        <w:rPr>
          <w:color w:val="auto"/>
          <w:sz w:val="21"/>
          <w:szCs w:val="21"/>
          <w:highlight w:val="none"/>
        </w:rPr>
      </w:pPr>
    </w:p>
    <w:bookmarkEnd w:id="240"/>
    <w:p w14:paraId="0D3682F4">
      <w:pPr>
        <w:spacing w:line="600" w:lineRule="auto"/>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电子签章</w:t>
      </w:r>
      <w:r>
        <w:rPr>
          <w:rFonts w:hint="eastAsia" w:ascii="宋体" w:hAnsi="宋体" w:cs="宋体"/>
          <w:color w:val="auto"/>
          <w:sz w:val="21"/>
          <w:szCs w:val="21"/>
          <w:highlight w:val="none"/>
        </w:rPr>
        <w:t>）</w:t>
      </w:r>
    </w:p>
    <w:p w14:paraId="373D3F94">
      <w:pPr>
        <w:spacing w:line="600" w:lineRule="auto"/>
        <w:rPr>
          <w:rFonts w:ascii="宋体" w:hAnsi="宋体" w:cs="宋体"/>
          <w:color w:val="auto"/>
          <w:sz w:val="21"/>
          <w:szCs w:val="21"/>
          <w:highlight w:val="none"/>
        </w:rPr>
      </w:pPr>
      <w:r>
        <w:rPr>
          <w:rFonts w:hint="eastAsia" w:ascii="宋体" w:hAnsi="宋体" w:cs="宋体"/>
          <w:color w:val="auto"/>
          <w:sz w:val="21"/>
          <w:szCs w:val="21"/>
          <w:highlight w:val="none"/>
        </w:rPr>
        <w:t>法定代表人：</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电子签章</w:t>
      </w:r>
      <w:r>
        <w:rPr>
          <w:rFonts w:hint="eastAsia" w:ascii="宋体" w:hAnsi="宋体" w:cs="宋体"/>
          <w:color w:val="auto"/>
          <w:sz w:val="21"/>
          <w:szCs w:val="21"/>
          <w:highlight w:val="none"/>
        </w:rPr>
        <w:t>）</w:t>
      </w:r>
    </w:p>
    <w:p w14:paraId="28A98673">
      <w:pPr>
        <w:spacing w:line="600" w:lineRule="auto"/>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日</w:t>
      </w:r>
    </w:p>
    <w:p w14:paraId="26F2492A">
      <w:pPr>
        <w:pStyle w:val="67"/>
        <w:rPr>
          <w:rFonts w:hAnsi="宋体"/>
          <w:b/>
          <w:color w:val="auto"/>
          <w:sz w:val="21"/>
          <w:highlight w:val="none"/>
        </w:rPr>
      </w:pPr>
    </w:p>
    <w:p w14:paraId="273C5C0E">
      <w:pPr>
        <w:rPr>
          <w:color w:val="auto"/>
          <w:sz w:val="21"/>
          <w:szCs w:val="21"/>
          <w:highlight w:val="none"/>
        </w:rPr>
        <w:sectPr>
          <w:pgSz w:w="11907" w:h="16840"/>
          <w:pgMar w:top="1440" w:right="1080" w:bottom="1440" w:left="1080" w:header="850" w:footer="992" w:gutter="0"/>
          <w:cols w:space="720" w:num="1"/>
          <w:docGrid w:linePitch="286" w:charSpace="0"/>
        </w:sectPr>
      </w:pPr>
    </w:p>
    <w:p w14:paraId="3DFA73DC">
      <w:pPr>
        <w:pStyle w:val="4"/>
        <w:tabs>
          <w:tab w:val="left" w:pos="0"/>
        </w:tabs>
        <w:spacing w:before="240" w:after="240" w:line="360" w:lineRule="auto"/>
        <w:jc w:val="center"/>
        <w:rPr>
          <w:rFonts w:ascii="宋体" w:hAnsi="宋体"/>
          <w:b w:val="0"/>
          <w:color w:val="auto"/>
          <w:sz w:val="30"/>
          <w:szCs w:val="30"/>
          <w:highlight w:val="none"/>
        </w:rPr>
      </w:pPr>
      <w:bookmarkStart w:id="242" w:name="_Hlk17818228"/>
      <w:r>
        <w:rPr>
          <w:rFonts w:hint="eastAsia" w:ascii="宋体" w:hAnsi="宋体"/>
          <w:b w:val="0"/>
          <w:color w:val="auto"/>
          <w:sz w:val="30"/>
          <w:szCs w:val="30"/>
          <w:highlight w:val="none"/>
        </w:rPr>
        <w:t>（三）政府采购政策性文件申明</w:t>
      </w:r>
    </w:p>
    <w:p w14:paraId="7A959230">
      <w:pPr>
        <w:pStyle w:val="5"/>
        <w:spacing w:before="120" w:beforeLines="50" w:after="120" w:afterLines="50" w:line="360" w:lineRule="auto"/>
        <w:jc w:val="center"/>
        <w:rPr>
          <w:rFonts w:ascii="宋体" w:hAnsi="宋体" w:eastAsia="宋体"/>
          <w:color w:val="auto"/>
          <w:highlight w:val="none"/>
        </w:rPr>
      </w:pPr>
      <w:r>
        <w:rPr>
          <w:rFonts w:hint="eastAsia" w:ascii="宋体" w:hAnsi="宋体" w:eastAsia="宋体"/>
          <w:color w:val="auto"/>
          <w:highlight w:val="none"/>
        </w:rPr>
        <w:t>1.中小企业声明函</w:t>
      </w:r>
    </w:p>
    <w:p w14:paraId="1A121B33">
      <w:pPr>
        <w:spacing w:line="360" w:lineRule="auto"/>
        <w:jc w:val="center"/>
        <w:rPr>
          <w:rFonts w:ascii="宋体" w:hAnsi="宋体"/>
          <w:b/>
          <w:bCs/>
          <w:color w:val="auto"/>
          <w:sz w:val="21"/>
          <w:szCs w:val="21"/>
          <w:highlight w:val="none"/>
        </w:rPr>
      </w:pPr>
      <w:r>
        <w:rPr>
          <w:rFonts w:hint="eastAsia" w:ascii="宋体" w:hAnsi="宋体"/>
          <w:b/>
          <w:bCs/>
          <w:color w:val="auto"/>
          <w:sz w:val="21"/>
          <w:szCs w:val="21"/>
          <w:highlight w:val="none"/>
        </w:rPr>
        <w:t>根据《政府采购促进中小企业发展管理办法》（财库〔2020〕46号）规定享受中小企业扶持政策的投标人提供</w:t>
      </w:r>
    </w:p>
    <w:p w14:paraId="485A474D">
      <w:pPr>
        <w:spacing w:before="240" w:beforeLines="100" w:line="360" w:lineRule="auto"/>
        <w:jc w:val="center"/>
        <w:rPr>
          <w:rFonts w:ascii="宋体" w:hAnsi="宋体"/>
          <w:bCs/>
          <w:color w:val="auto"/>
          <w:sz w:val="30"/>
          <w:szCs w:val="30"/>
          <w:highlight w:val="none"/>
        </w:rPr>
      </w:pPr>
      <w:r>
        <w:rPr>
          <w:rFonts w:hint="eastAsia" w:ascii="宋体" w:hAnsi="宋体"/>
          <w:bCs/>
          <w:color w:val="auto"/>
          <w:sz w:val="30"/>
          <w:szCs w:val="30"/>
          <w:highlight w:val="none"/>
        </w:rPr>
        <w:t>《中小企业声明函（服务）》</w:t>
      </w:r>
    </w:p>
    <w:p w14:paraId="370B0749">
      <w:pPr>
        <w:pStyle w:val="75"/>
        <w:spacing w:before="0" w:beforeAutospacing="0" w:after="0" w:afterAutospacing="0" w:line="480" w:lineRule="auto"/>
        <w:ind w:firstLine="420"/>
        <w:rPr>
          <w:color w:val="auto"/>
          <w:sz w:val="21"/>
          <w:szCs w:val="21"/>
          <w:highlight w:val="none"/>
        </w:rPr>
      </w:pPr>
      <w:bookmarkStart w:id="243" w:name="_Toc419059324"/>
      <w:r>
        <w:rPr>
          <w:rFonts w:hint="eastAsia"/>
          <w:color w:val="auto"/>
          <w:sz w:val="21"/>
          <w:szCs w:val="21"/>
          <w:highlight w:val="none"/>
        </w:rPr>
        <w:t>本公司（联合体）郑重声明，根据《政府采购促进中小企业发展管理办法》（财库〔20</w:t>
      </w:r>
      <w:r>
        <w:rPr>
          <w:color w:val="auto"/>
          <w:sz w:val="21"/>
          <w:szCs w:val="21"/>
          <w:highlight w:val="none"/>
        </w:rPr>
        <w:t>20</w:t>
      </w:r>
      <w:r>
        <w:rPr>
          <w:rFonts w:hint="eastAsia"/>
          <w:color w:val="auto"/>
          <w:sz w:val="21"/>
          <w:szCs w:val="21"/>
          <w:highlight w:val="none"/>
        </w:rPr>
        <w:t>〕</w:t>
      </w:r>
      <w:r>
        <w:rPr>
          <w:color w:val="auto"/>
          <w:sz w:val="21"/>
          <w:szCs w:val="21"/>
          <w:highlight w:val="none"/>
        </w:rPr>
        <w:t>46</w:t>
      </w:r>
      <w:r>
        <w:rPr>
          <w:rFonts w:hint="eastAsia"/>
          <w:color w:val="auto"/>
          <w:sz w:val="21"/>
          <w:szCs w:val="21"/>
          <w:highlight w:val="none"/>
        </w:rPr>
        <w:t>号）的规定，本公司（联合体）参加（单位名称）的（项目名称）采购活动，提供的服务全部由符合政策要求的中小企业制造。相关企业（含联合体中的中小企业、签订分包意向协议的中小企业）的具体情况如下：</w:t>
      </w:r>
    </w:p>
    <w:p w14:paraId="2E2B38A5">
      <w:pPr>
        <w:pStyle w:val="75"/>
        <w:spacing w:before="0" w:beforeAutospacing="0" w:after="0" w:afterAutospacing="0" w:line="480" w:lineRule="auto"/>
        <w:ind w:firstLine="420"/>
        <w:rPr>
          <w:color w:val="auto"/>
          <w:sz w:val="21"/>
          <w:szCs w:val="21"/>
          <w:highlight w:val="none"/>
        </w:rPr>
      </w:pPr>
      <w:r>
        <w:rPr>
          <w:rFonts w:hint="eastAsia"/>
          <w:color w:val="auto"/>
          <w:sz w:val="21"/>
          <w:szCs w:val="21"/>
          <w:highlight w:val="none"/>
        </w:rPr>
        <w:t>1</w:t>
      </w:r>
      <w:r>
        <w:rPr>
          <w:color w:val="auto"/>
          <w:sz w:val="21"/>
          <w:szCs w:val="21"/>
          <w:highlight w:val="none"/>
        </w:rPr>
        <w:t>.</w:t>
      </w:r>
      <w:r>
        <w:rPr>
          <w:rFonts w:hint="eastAsia"/>
          <w:color w:val="auto"/>
          <w:sz w:val="21"/>
          <w:szCs w:val="21"/>
          <w:highlight w:val="none"/>
        </w:rPr>
        <w:t>（标的名称），属于（采购文件中明确的所属行业）行业；制造商为（企业名称），从业人员人，营业收入为万元，资产总额为万元</w:t>
      </w:r>
      <w:r>
        <w:rPr>
          <w:rFonts w:hint="eastAsia"/>
          <w:color w:val="auto"/>
          <w:sz w:val="21"/>
          <w:szCs w:val="21"/>
          <w:highlight w:val="none"/>
          <w:vertAlign w:val="superscript"/>
        </w:rPr>
        <w:t>1</w:t>
      </w:r>
      <w:r>
        <w:rPr>
          <w:rFonts w:hint="eastAsia"/>
          <w:color w:val="auto"/>
          <w:sz w:val="21"/>
          <w:szCs w:val="21"/>
          <w:highlight w:val="none"/>
        </w:rPr>
        <w:t>，属于（中型企业、小型企业、微型企业）；</w:t>
      </w:r>
    </w:p>
    <w:p w14:paraId="31D6878F">
      <w:pPr>
        <w:pStyle w:val="75"/>
        <w:spacing w:before="0" w:beforeAutospacing="0" w:after="0" w:afterAutospacing="0" w:line="480" w:lineRule="auto"/>
        <w:ind w:firstLine="420"/>
        <w:rPr>
          <w:color w:val="auto"/>
          <w:sz w:val="21"/>
          <w:szCs w:val="21"/>
          <w:highlight w:val="none"/>
        </w:rPr>
      </w:pPr>
      <w:r>
        <w:rPr>
          <w:color w:val="auto"/>
          <w:sz w:val="21"/>
          <w:szCs w:val="21"/>
          <w:highlight w:val="none"/>
        </w:rPr>
        <w:t>2.</w:t>
      </w:r>
      <w:r>
        <w:rPr>
          <w:rFonts w:hint="eastAsia"/>
          <w:color w:val="auto"/>
          <w:sz w:val="21"/>
          <w:szCs w:val="21"/>
          <w:highlight w:val="none"/>
        </w:rPr>
        <w:t>（标的名称），属于（采购文件中明确的所属行业）行业；制造商为（企业名称），从业人员人，营业收入为万元，资产总额为万元，属于（中型企业、小型企业、微型企业）；</w:t>
      </w:r>
    </w:p>
    <w:p w14:paraId="16A4812B">
      <w:pPr>
        <w:pStyle w:val="75"/>
        <w:spacing w:before="0" w:beforeAutospacing="0" w:after="0" w:afterAutospacing="0" w:line="480" w:lineRule="auto"/>
        <w:ind w:firstLine="420"/>
        <w:rPr>
          <w:color w:val="auto"/>
          <w:sz w:val="21"/>
          <w:szCs w:val="21"/>
          <w:highlight w:val="none"/>
        </w:rPr>
      </w:pPr>
      <w:r>
        <w:rPr>
          <w:color w:val="auto"/>
          <w:sz w:val="21"/>
          <w:szCs w:val="21"/>
          <w:highlight w:val="none"/>
        </w:rPr>
        <w:t>……</w:t>
      </w:r>
    </w:p>
    <w:p w14:paraId="31FB3DCE">
      <w:pPr>
        <w:pStyle w:val="75"/>
        <w:spacing w:before="0" w:beforeAutospacing="0" w:after="0" w:afterAutospacing="0" w:line="480" w:lineRule="auto"/>
        <w:ind w:firstLine="420"/>
        <w:rPr>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14:paraId="24472064">
      <w:pPr>
        <w:pStyle w:val="75"/>
        <w:spacing w:before="0" w:beforeAutospacing="0" w:after="0" w:afterAutospacing="0" w:line="480" w:lineRule="auto"/>
        <w:ind w:firstLine="420"/>
        <w:rPr>
          <w:color w:val="auto"/>
          <w:sz w:val="21"/>
          <w:szCs w:val="21"/>
          <w:highlight w:val="none"/>
        </w:rPr>
      </w:pPr>
      <w:r>
        <w:rPr>
          <w:rFonts w:hint="eastAsia"/>
          <w:color w:val="auto"/>
          <w:sz w:val="21"/>
          <w:szCs w:val="21"/>
          <w:highlight w:val="none"/>
        </w:rPr>
        <w:t>本企业对上述声明内容的真实性负责。如有虚报，将依法承担相应责任。</w:t>
      </w:r>
    </w:p>
    <w:p w14:paraId="45E9F0BD">
      <w:pPr>
        <w:pStyle w:val="75"/>
        <w:spacing w:before="0" w:beforeAutospacing="0" w:after="0" w:afterAutospacing="0" w:line="480" w:lineRule="auto"/>
        <w:ind w:firstLine="420"/>
        <w:rPr>
          <w:color w:val="auto"/>
          <w:sz w:val="21"/>
          <w:szCs w:val="21"/>
          <w:highlight w:val="none"/>
        </w:rPr>
      </w:pPr>
    </w:p>
    <w:p w14:paraId="12BCD388">
      <w:pPr>
        <w:pStyle w:val="75"/>
        <w:spacing w:before="0" w:beforeAutospacing="0" w:after="0" w:afterAutospacing="0" w:line="480" w:lineRule="auto"/>
        <w:ind w:right="1212" w:rightChars="606" w:firstLine="420"/>
        <w:jc w:val="right"/>
        <w:rPr>
          <w:color w:val="auto"/>
          <w:sz w:val="21"/>
          <w:szCs w:val="21"/>
          <w:highlight w:val="none"/>
        </w:rPr>
      </w:pPr>
      <w:r>
        <w:rPr>
          <w:rFonts w:hint="eastAsia"/>
          <w:color w:val="auto"/>
          <w:sz w:val="21"/>
          <w:szCs w:val="21"/>
          <w:highlight w:val="none"/>
        </w:rPr>
        <w:t>企业名称（</w:t>
      </w:r>
      <w:r>
        <w:rPr>
          <w:rFonts w:hint="eastAsia"/>
          <w:color w:val="auto"/>
          <w:sz w:val="21"/>
          <w:szCs w:val="21"/>
          <w:highlight w:val="none"/>
          <w:lang w:val="en-US" w:eastAsia="zh-CN"/>
        </w:rPr>
        <w:t>电子签章</w:t>
      </w:r>
      <w:r>
        <w:rPr>
          <w:rFonts w:hint="eastAsia"/>
          <w:color w:val="auto"/>
          <w:sz w:val="21"/>
          <w:szCs w:val="21"/>
          <w:highlight w:val="none"/>
        </w:rPr>
        <w:t>）：</w:t>
      </w:r>
    </w:p>
    <w:p w14:paraId="7794079E">
      <w:pPr>
        <w:pStyle w:val="75"/>
        <w:spacing w:before="0" w:beforeAutospacing="0" w:after="0" w:afterAutospacing="0" w:line="480" w:lineRule="auto"/>
        <w:ind w:right="1886" w:rightChars="943" w:firstLine="420"/>
        <w:jc w:val="right"/>
        <w:rPr>
          <w:color w:val="auto"/>
          <w:sz w:val="21"/>
          <w:szCs w:val="21"/>
          <w:highlight w:val="none"/>
        </w:rPr>
      </w:pPr>
      <w:r>
        <w:rPr>
          <w:rFonts w:hint="eastAsia"/>
          <w:color w:val="auto"/>
          <w:sz w:val="21"/>
          <w:szCs w:val="21"/>
          <w:highlight w:val="none"/>
        </w:rPr>
        <w:t>日期：</w:t>
      </w:r>
    </w:p>
    <w:p w14:paraId="7777A5FB">
      <w:pPr>
        <w:spacing w:line="360" w:lineRule="auto"/>
        <w:ind w:firstLine="422"/>
        <w:rPr>
          <w:rFonts w:ascii="宋体" w:hAnsi="宋体"/>
          <w:b/>
          <w:color w:val="auto"/>
          <w:sz w:val="21"/>
          <w:szCs w:val="21"/>
          <w:highlight w:val="none"/>
        </w:rPr>
      </w:pPr>
      <w:r>
        <w:rPr>
          <w:rFonts w:hint="eastAsia" w:ascii="宋体" w:hAnsi="宋体"/>
          <w:b/>
          <w:color w:val="auto"/>
          <w:sz w:val="21"/>
          <w:szCs w:val="21"/>
          <w:highlight w:val="none"/>
        </w:rPr>
        <w:t>注：（1）</w:t>
      </w:r>
      <w:bookmarkEnd w:id="243"/>
      <w:r>
        <w:rPr>
          <w:rFonts w:hint="eastAsia" w:ascii="宋体" w:hAnsi="宋体"/>
          <w:b/>
          <w:color w:val="auto"/>
          <w:sz w:val="21"/>
          <w:szCs w:val="21"/>
          <w:highlight w:val="none"/>
        </w:rPr>
        <w:t>本项目所采购标的所属行业为:其他未列明行业。</w:t>
      </w:r>
    </w:p>
    <w:p w14:paraId="251052F6">
      <w:pPr>
        <w:spacing w:line="360" w:lineRule="auto"/>
        <w:ind w:firstLine="422"/>
        <w:rPr>
          <w:rFonts w:ascii="宋体" w:hAnsi="宋体"/>
          <w:b/>
          <w:color w:val="auto"/>
          <w:sz w:val="21"/>
          <w:szCs w:val="21"/>
          <w:highlight w:val="none"/>
        </w:rPr>
      </w:pPr>
      <w:r>
        <w:rPr>
          <w:rFonts w:hint="eastAsia" w:ascii="宋体" w:hAnsi="宋体"/>
          <w:b/>
          <w:color w:val="auto"/>
          <w:sz w:val="21"/>
          <w:szCs w:val="21"/>
          <w:highlight w:val="none"/>
        </w:rPr>
        <w:t>（2）从业人员、营业收入、资产总额填报上一年度数据，无上一年度数据的新成立企业可不填报。</w:t>
      </w:r>
    </w:p>
    <w:p w14:paraId="1E8D93F2">
      <w:pPr>
        <w:pStyle w:val="41"/>
        <w:ind w:firstLine="400"/>
        <w:rPr>
          <w:color w:val="auto"/>
          <w:highlight w:val="none"/>
        </w:rPr>
      </w:pPr>
    </w:p>
    <w:p w14:paraId="624E4C48">
      <w:pPr>
        <w:rPr>
          <w:rFonts w:ascii="宋体" w:hAnsi="宋体"/>
          <w:color w:val="auto"/>
          <w:highlight w:val="none"/>
        </w:rPr>
      </w:pPr>
    </w:p>
    <w:p w14:paraId="3DF46C82">
      <w:pPr>
        <w:pStyle w:val="5"/>
        <w:spacing w:before="120" w:beforeLines="50" w:after="120" w:afterLines="50"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br w:type="page"/>
      </w:r>
      <w:r>
        <w:rPr>
          <w:rFonts w:hint="eastAsia" w:ascii="宋体" w:hAnsi="宋体" w:eastAsia="宋体"/>
          <w:color w:val="auto"/>
          <w:sz w:val="24"/>
          <w:szCs w:val="24"/>
          <w:highlight w:val="none"/>
        </w:rPr>
        <w:t>2. 残疾人福利性单位声明函</w:t>
      </w:r>
    </w:p>
    <w:p w14:paraId="41E88541">
      <w:pPr>
        <w:spacing w:line="360" w:lineRule="auto"/>
        <w:ind w:right="-2"/>
        <w:jc w:val="center"/>
        <w:rPr>
          <w:rFonts w:ascii="宋体" w:hAnsi="宋体"/>
          <w:b/>
          <w:bCs/>
          <w:color w:val="auto"/>
          <w:szCs w:val="21"/>
          <w:highlight w:val="none"/>
        </w:rPr>
      </w:pPr>
      <w:r>
        <w:rPr>
          <w:rFonts w:ascii="宋体" w:hAnsi="宋体"/>
          <w:b/>
          <w:bCs/>
          <w:color w:val="auto"/>
          <w:szCs w:val="21"/>
          <w:highlight w:val="none"/>
        </w:rPr>
        <w:t>符合《关于促进残疾人就业政府采购政策的通知》（财库〔2017〕141号）价格扣减条件的</w:t>
      </w:r>
      <w:r>
        <w:rPr>
          <w:rFonts w:hint="eastAsia" w:ascii="宋体" w:hAnsi="宋体"/>
          <w:b/>
          <w:bCs/>
          <w:color w:val="auto"/>
          <w:szCs w:val="21"/>
          <w:highlight w:val="none"/>
        </w:rPr>
        <w:t>投标人</w:t>
      </w:r>
      <w:r>
        <w:rPr>
          <w:rFonts w:ascii="宋体" w:hAnsi="宋体"/>
          <w:b/>
          <w:bCs/>
          <w:color w:val="auto"/>
          <w:szCs w:val="21"/>
          <w:highlight w:val="none"/>
        </w:rPr>
        <w:t>提</w:t>
      </w:r>
      <w:r>
        <w:rPr>
          <w:rFonts w:hint="eastAsia" w:ascii="宋体" w:hAnsi="宋体"/>
          <w:b/>
          <w:bCs/>
          <w:color w:val="auto"/>
          <w:szCs w:val="21"/>
          <w:highlight w:val="none"/>
        </w:rPr>
        <w:t>供</w:t>
      </w:r>
    </w:p>
    <w:p w14:paraId="7BDD3DD8">
      <w:pPr>
        <w:spacing w:before="240" w:beforeLines="100" w:line="360" w:lineRule="auto"/>
        <w:jc w:val="center"/>
        <w:rPr>
          <w:rFonts w:ascii="宋体" w:hAnsi="宋体"/>
          <w:bCs/>
          <w:color w:val="auto"/>
          <w:sz w:val="21"/>
          <w:szCs w:val="21"/>
          <w:highlight w:val="none"/>
        </w:rPr>
      </w:pPr>
      <w:bookmarkStart w:id="244" w:name="OLE_LINK13"/>
      <w:bookmarkStart w:id="245" w:name="OLE_LINK14"/>
      <w:bookmarkStart w:id="246" w:name="_Toc6496681"/>
      <w:r>
        <w:rPr>
          <w:rFonts w:hint="eastAsia" w:ascii="宋体" w:hAnsi="宋体"/>
          <w:bCs/>
          <w:color w:val="auto"/>
          <w:sz w:val="21"/>
          <w:szCs w:val="21"/>
          <w:highlight w:val="none"/>
        </w:rPr>
        <w:t>残疾人福利性单位声明函</w:t>
      </w:r>
      <w:bookmarkEnd w:id="244"/>
      <w:bookmarkEnd w:id="245"/>
      <w:bookmarkEnd w:id="246"/>
    </w:p>
    <w:p w14:paraId="6E33A259">
      <w:pPr>
        <w:spacing w:line="360" w:lineRule="auto"/>
        <w:ind w:firstLine="444"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本单位郑重声明，根据《财政部 民政部 中国残疾人联合会关于促进残疾人就业政府采购政策的通知》（财库</w:t>
      </w:r>
      <w:r>
        <w:rPr>
          <w:rFonts w:hint="eastAsia" w:ascii="宋体" w:hAnsi="宋体"/>
          <w:color w:val="auto"/>
          <w:sz w:val="21"/>
          <w:szCs w:val="21"/>
          <w:highlight w:val="none"/>
        </w:rPr>
        <w:t>〔2017〕141</w:t>
      </w:r>
      <w:r>
        <w:rPr>
          <w:rFonts w:hint="eastAsia" w:ascii="宋体" w:hAnsi="宋体"/>
          <w:color w:val="auto"/>
          <w:spacing w:val="6"/>
          <w:sz w:val="21"/>
          <w:szCs w:val="21"/>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9C5C3E2">
      <w:pPr>
        <w:spacing w:line="360" w:lineRule="auto"/>
        <w:ind w:firstLine="444"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本单位对上述声明的真实性负责。如有虚假，将依法承担相应责任。</w:t>
      </w:r>
    </w:p>
    <w:p w14:paraId="25A9F7DE">
      <w:pPr>
        <w:spacing w:line="360" w:lineRule="auto"/>
        <w:ind w:firstLine="444" w:firstLineChars="200"/>
        <w:rPr>
          <w:rFonts w:ascii="宋体" w:hAnsi="宋体"/>
          <w:color w:val="auto"/>
          <w:spacing w:val="6"/>
          <w:sz w:val="21"/>
          <w:szCs w:val="21"/>
          <w:highlight w:val="none"/>
        </w:rPr>
      </w:pPr>
    </w:p>
    <w:p w14:paraId="29456057">
      <w:pPr>
        <w:spacing w:line="360" w:lineRule="auto"/>
        <w:ind w:firstLine="444" w:firstLineChars="200"/>
        <w:rPr>
          <w:rFonts w:ascii="宋体" w:hAnsi="宋体"/>
          <w:color w:val="auto"/>
          <w:spacing w:val="6"/>
          <w:sz w:val="21"/>
          <w:szCs w:val="21"/>
          <w:highlight w:val="none"/>
        </w:rPr>
      </w:pPr>
    </w:p>
    <w:p w14:paraId="32B99B5A">
      <w:pPr>
        <w:spacing w:line="600" w:lineRule="auto"/>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电子签章</w:t>
      </w:r>
      <w:r>
        <w:rPr>
          <w:rFonts w:hint="eastAsia" w:ascii="宋体" w:hAnsi="宋体" w:cs="宋体"/>
          <w:color w:val="auto"/>
          <w:sz w:val="21"/>
          <w:szCs w:val="21"/>
          <w:highlight w:val="none"/>
        </w:rPr>
        <w:t>）</w:t>
      </w:r>
    </w:p>
    <w:p w14:paraId="4C15C3B0">
      <w:pPr>
        <w:spacing w:line="600" w:lineRule="auto"/>
        <w:rPr>
          <w:rFonts w:ascii="宋体" w:hAnsi="宋体" w:cs="宋体"/>
          <w:color w:val="auto"/>
          <w:sz w:val="21"/>
          <w:szCs w:val="21"/>
          <w:highlight w:val="none"/>
        </w:rPr>
      </w:pPr>
      <w:r>
        <w:rPr>
          <w:rFonts w:hint="eastAsia" w:ascii="宋体" w:hAnsi="宋体" w:cs="宋体"/>
          <w:color w:val="auto"/>
          <w:sz w:val="21"/>
          <w:szCs w:val="21"/>
          <w:highlight w:val="none"/>
        </w:rPr>
        <w:t>法定代表人：</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电子签章</w:t>
      </w:r>
      <w:r>
        <w:rPr>
          <w:rFonts w:hint="eastAsia" w:ascii="宋体" w:hAnsi="宋体" w:cs="宋体"/>
          <w:color w:val="auto"/>
          <w:sz w:val="21"/>
          <w:szCs w:val="21"/>
          <w:highlight w:val="none"/>
        </w:rPr>
        <w:t>）</w:t>
      </w:r>
    </w:p>
    <w:p w14:paraId="224C603A">
      <w:pPr>
        <w:spacing w:line="600" w:lineRule="auto"/>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日</w:t>
      </w:r>
    </w:p>
    <w:p w14:paraId="4530DD48">
      <w:pPr>
        <w:spacing w:line="360" w:lineRule="auto"/>
        <w:ind w:firstLine="422" w:firstLineChars="200"/>
        <w:rPr>
          <w:rFonts w:ascii="宋体" w:hAnsi="宋体"/>
          <w:b/>
          <w:color w:val="auto"/>
          <w:sz w:val="21"/>
          <w:szCs w:val="21"/>
          <w:highlight w:val="none"/>
        </w:rPr>
      </w:pPr>
    </w:p>
    <w:p w14:paraId="467AC340">
      <w:pPr>
        <w:spacing w:line="360" w:lineRule="auto"/>
        <w:ind w:firstLine="422" w:firstLineChars="200"/>
        <w:rPr>
          <w:rFonts w:ascii="宋体" w:hAnsi="宋体"/>
          <w:b/>
          <w:color w:val="auto"/>
          <w:sz w:val="21"/>
          <w:szCs w:val="21"/>
          <w:highlight w:val="none"/>
        </w:rPr>
      </w:pPr>
    </w:p>
    <w:p w14:paraId="0DA8D315">
      <w:pPr>
        <w:spacing w:line="360" w:lineRule="auto"/>
        <w:ind w:right="-284" w:rightChars="-142" w:firstLine="422" w:firstLineChars="200"/>
        <w:rPr>
          <w:rFonts w:ascii="宋体" w:hAnsi="宋体"/>
          <w:b/>
          <w:bCs/>
          <w:color w:val="auto"/>
          <w:sz w:val="21"/>
          <w:szCs w:val="21"/>
          <w:highlight w:val="none"/>
        </w:rPr>
      </w:pPr>
      <w:r>
        <w:rPr>
          <w:rFonts w:hint="eastAsia" w:ascii="宋体" w:hAnsi="宋体"/>
          <w:b/>
          <w:color w:val="auto"/>
          <w:sz w:val="21"/>
          <w:szCs w:val="21"/>
          <w:highlight w:val="none"/>
        </w:rPr>
        <w:t>注：符合条件的残疾人福利性单位在参加政府采购活动时，应当按《关于促进残疾人就业政府采购政策的通知》（财库〔2017〕141号）提供规定的《残疾人福利性单位声明函》,并对声明的真实性负责。</w:t>
      </w:r>
    </w:p>
    <w:p w14:paraId="07181908">
      <w:pPr>
        <w:pStyle w:val="79"/>
        <w:spacing w:after="0" w:line="360" w:lineRule="auto"/>
        <w:ind w:left="400" w:firstLine="400"/>
        <w:rPr>
          <w:rFonts w:ascii="宋体" w:hAnsi="宋体"/>
          <w:color w:val="auto"/>
          <w:highlight w:val="none"/>
        </w:rPr>
      </w:pPr>
    </w:p>
    <w:p w14:paraId="32330641">
      <w:pPr>
        <w:pStyle w:val="79"/>
        <w:spacing w:after="0" w:line="360" w:lineRule="auto"/>
        <w:ind w:left="400" w:firstLine="400"/>
        <w:rPr>
          <w:color w:val="auto"/>
          <w:highlight w:val="none"/>
        </w:rPr>
        <w:sectPr>
          <w:pgSz w:w="11907" w:h="16840"/>
          <w:pgMar w:top="1440" w:right="1080" w:bottom="1440" w:left="1080" w:header="850" w:footer="992" w:gutter="0"/>
          <w:cols w:space="720" w:num="1"/>
          <w:docGrid w:linePitch="286" w:charSpace="0"/>
        </w:sectPr>
      </w:pPr>
    </w:p>
    <w:p w14:paraId="5CA66B89">
      <w:pPr>
        <w:pStyle w:val="5"/>
        <w:spacing w:before="120" w:beforeLines="50" w:after="120" w:afterLines="50" w:line="360"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rPr>
        <w:t>. 监狱企业证明文件</w:t>
      </w:r>
    </w:p>
    <w:p w14:paraId="7FD3FD05">
      <w:pPr>
        <w:spacing w:line="360" w:lineRule="auto"/>
        <w:ind w:right="-2"/>
        <w:jc w:val="center"/>
        <w:rPr>
          <w:rFonts w:ascii="宋体" w:hAnsi="宋体"/>
          <w:b/>
          <w:bCs/>
          <w:color w:val="auto"/>
          <w:szCs w:val="21"/>
          <w:highlight w:val="none"/>
        </w:rPr>
      </w:pPr>
      <w:r>
        <w:rPr>
          <w:rFonts w:ascii="宋体" w:hAnsi="宋体"/>
          <w:b/>
          <w:bCs/>
          <w:color w:val="auto"/>
          <w:szCs w:val="21"/>
          <w:highlight w:val="none"/>
        </w:rPr>
        <w:t>符合《财政部 司法部关于政府采购支持监狱企业发展有关问题的通知》（财库[2014]68号）价格扣减条件的</w:t>
      </w:r>
      <w:r>
        <w:rPr>
          <w:rFonts w:hint="eastAsia" w:ascii="宋体" w:hAnsi="宋体"/>
          <w:b/>
          <w:bCs/>
          <w:color w:val="auto"/>
          <w:szCs w:val="21"/>
          <w:highlight w:val="none"/>
        </w:rPr>
        <w:t>投标人提供</w:t>
      </w:r>
    </w:p>
    <w:p w14:paraId="68E422B5">
      <w:pPr>
        <w:spacing w:before="240" w:beforeLines="100" w:line="360" w:lineRule="auto"/>
        <w:jc w:val="center"/>
        <w:rPr>
          <w:rFonts w:ascii="宋体" w:hAnsi="宋体"/>
          <w:bCs/>
          <w:color w:val="auto"/>
          <w:sz w:val="30"/>
          <w:szCs w:val="30"/>
          <w:highlight w:val="none"/>
        </w:rPr>
      </w:pPr>
      <w:bookmarkStart w:id="247" w:name="_Toc6496679"/>
      <w:r>
        <w:rPr>
          <w:rFonts w:ascii="宋体" w:hAnsi="宋体"/>
          <w:bCs/>
          <w:color w:val="auto"/>
          <w:sz w:val="30"/>
          <w:szCs w:val="30"/>
          <w:highlight w:val="none"/>
        </w:rPr>
        <w:t>监狱企业证明文件</w:t>
      </w:r>
      <w:bookmarkEnd w:id="247"/>
    </w:p>
    <w:p w14:paraId="72FC9929">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C59CA12">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监狱企业参加政府采购活动时，应当提供由省级以上监狱管理局、戒毒管理局（含新疆生产建设兵团）出具的属于监狱企业的证明文件。</w:t>
      </w:r>
    </w:p>
    <w:p w14:paraId="79B52BCC">
      <w:pPr>
        <w:spacing w:line="360" w:lineRule="auto"/>
        <w:ind w:firstLine="422" w:firstLineChars="200"/>
        <w:rPr>
          <w:rFonts w:ascii="宋体" w:hAnsi="宋体"/>
          <w:b/>
          <w:color w:val="auto"/>
          <w:sz w:val="21"/>
          <w:szCs w:val="21"/>
          <w:highlight w:val="none"/>
        </w:rPr>
      </w:pPr>
    </w:p>
    <w:p w14:paraId="72085989">
      <w:pPr>
        <w:spacing w:line="360" w:lineRule="auto"/>
        <w:ind w:firstLine="422" w:firstLineChars="200"/>
        <w:rPr>
          <w:rFonts w:ascii="宋体" w:hAnsi="宋体"/>
          <w:b/>
          <w:color w:val="auto"/>
          <w:sz w:val="21"/>
          <w:szCs w:val="21"/>
          <w:highlight w:val="none"/>
        </w:rPr>
      </w:pPr>
    </w:p>
    <w:p w14:paraId="770FD58A">
      <w:pPr>
        <w:spacing w:line="360" w:lineRule="auto"/>
        <w:ind w:firstLine="422" w:firstLineChars="200"/>
        <w:rPr>
          <w:rFonts w:ascii="宋体" w:hAnsi="宋体"/>
          <w:color w:val="auto"/>
          <w:sz w:val="21"/>
          <w:szCs w:val="21"/>
          <w:highlight w:val="none"/>
        </w:rPr>
      </w:pPr>
      <w:r>
        <w:rPr>
          <w:rFonts w:hint="eastAsia" w:ascii="宋体" w:hAnsi="宋体"/>
          <w:b/>
          <w:color w:val="auto"/>
          <w:sz w:val="21"/>
          <w:szCs w:val="21"/>
          <w:highlight w:val="none"/>
        </w:rPr>
        <w:t>注：符合条件的监狱企业在参加政府采购活动时，应当按《财政部 司法部关于政府采购支持监狱企业发展有关问题的通知》（财库[2014]68号）提供规定的《监狱企业证明文件》，并对声明的真实性负责。</w:t>
      </w:r>
      <w:bookmarkEnd w:id="242"/>
    </w:p>
    <w:p w14:paraId="3D391694">
      <w:pPr>
        <w:rPr>
          <w:rFonts w:ascii="宋体" w:hAnsi="宋体"/>
          <w:color w:val="auto"/>
          <w:highlight w:val="none"/>
        </w:rPr>
      </w:pPr>
    </w:p>
    <w:p w14:paraId="177CB084">
      <w:pPr>
        <w:pStyle w:val="79"/>
        <w:spacing w:after="0" w:line="360" w:lineRule="auto"/>
        <w:ind w:left="400" w:firstLine="400"/>
        <w:rPr>
          <w:color w:val="auto"/>
          <w:highlight w:val="none"/>
        </w:rPr>
        <w:sectPr>
          <w:pgSz w:w="11907" w:h="16840"/>
          <w:pgMar w:top="1440" w:right="1080" w:bottom="1440" w:left="1080" w:header="850" w:footer="992" w:gutter="0"/>
          <w:cols w:space="720" w:num="1"/>
          <w:docGrid w:linePitch="286" w:charSpace="0"/>
        </w:sectPr>
      </w:pPr>
    </w:p>
    <w:p w14:paraId="6D896B39">
      <w:pPr>
        <w:pStyle w:val="3"/>
        <w:spacing w:before="240" w:after="240" w:line="360" w:lineRule="auto"/>
        <w:jc w:val="center"/>
        <w:rPr>
          <w:rFonts w:ascii="宋体" w:hAnsi="宋体" w:eastAsia="宋体"/>
          <w:color w:val="auto"/>
          <w:highlight w:val="none"/>
          <w:lang w:val="zh-CN"/>
        </w:rPr>
      </w:pPr>
      <w:bookmarkStart w:id="248" w:name="_Toc30506"/>
      <w:bookmarkStart w:id="249" w:name="_Toc19820103"/>
      <w:bookmarkStart w:id="250" w:name="_Toc10175"/>
      <w:r>
        <w:rPr>
          <w:rFonts w:hint="eastAsia" w:ascii="宋体" w:hAnsi="宋体" w:eastAsia="宋体"/>
          <w:color w:val="auto"/>
          <w:highlight w:val="none"/>
          <w:lang w:val="zh-CN"/>
        </w:rPr>
        <w:t>四、投标文件技术、商务部分格式</w:t>
      </w:r>
      <w:bookmarkEnd w:id="248"/>
      <w:bookmarkEnd w:id="249"/>
      <w:bookmarkEnd w:id="250"/>
    </w:p>
    <w:p w14:paraId="1B228698">
      <w:pPr>
        <w:pStyle w:val="4"/>
        <w:tabs>
          <w:tab w:val="left" w:pos="432"/>
          <w:tab w:val="left" w:pos="720"/>
        </w:tabs>
        <w:spacing w:before="240" w:after="240" w:line="360" w:lineRule="auto"/>
        <w:jc w:val="center"/>
        <w:rPr>
          <w:rFonts w:hint="default" w:ascii="宋体" w:hAnsi="宋体" w:eastAsia="宋体"/>
          <w:b w:val="0"/>
          <w:color w:val="auto"/>
          <w:sz w:val="30"/>
          <w:szCs w:val="30"/>
          <w:highlight w:val="none"/>
          <w:lang w:val="en-US" w:eastAsia="zh-CN"/>
        </w:rPr>
      </w:pPr>
      <w:bookmarkStart w:id="251" w:name="_Toc6496684"/>
      <w:r>
        <w:rPr>
          <w:rFonts w:hint="eastAsia" w:ascii="宋体" w:hAnsi="宋体"/>
          <w:b w:val="0"/>
          <w:color w:val="auto"/>
          <w:sz w:val="30"/>
          <w:szCs w:val="30"/>
          <w:highlight w:val="none"/>
        </w:rPr>
        <w:t>（一）</w:t>
      </w:r>
      <w:bookmarkEnd w:id="251"/>
      <w:r>
        <w:rPr>
          <w:rFonts w:hint="eastAsia" w:ascii="宋体" w:hAnsi="宋体"/>
          <w:b w:val="0"/>
          <w:color w:val="auto"/>
          <w:sz w:val="30"/>
          <w:szCs w:val="30"/>
          <w:highlight w:val="none"/>
          <w:lang w:val="en-US" w:eastAsia="zh-CN"/>
        </w:rPr>
        <w:t>运维服务整体方案</w:t>
      </w:r>
    </w:p>
    <w:p w14:paraId="16B596BD">
      <w:pPr>
        <w:pStyle w:val="67"/>
        <w:spacing w:line="360" w:lineRule="auto"/>
        <w:ind w:left="-134" w:leftChars="-67" w:right="-136" w:rightChars="-68"/>
        <w:jc w:val="center"/>
        <w:rPr>
          <w:rFonts w:hint="eastAsia" w:hAnsi="宋体"/>
          <w:color w:val="auto"/>
          <w:sz w:val="21"/>
          <w:highlight w:val="none"/>
        </w:rPr>
      </w:pPr>
      <w:r>
        <w:rPr>
          <w:rFonts w:hint="eastAsia" w:hAnsi="宋体"/>
          <w:color w:val="auto"/>
          <w:sz w:val="21"/>
          <w:highlight w:val="none"/>
        </w:rPr>
        <w:t>（投标人自行编写，格式自拟，但不得改变实质性内容，否则不予认可）</w:t>
      </w:r>
    </w:p>
    <w:p w14:paraId="47064BD2">
      <w:pPr>
        <w:rPr>
          <w:rFonts w:hint="eastAsia" w:hAnsi="宋体"/>
          <w:color w:val="auto"/>
          <w:sz w:val="21"/>
          <w:highlight w:val="none"/>
        </w:rPr>
      </w:pPr>
    </w:p>
    <w:p w14:paraId="6ADFF0AF">
      <w:pPr>
        <w:pStyle w:val="16"/>
        <w:rPr>
          <w:color w:val="auto"/>
          <w:highlight w:val="none"/>
        </w:rPr>
      </w:pPr>
    </w:p>
    <w:p w14:paraId="72516304">
      <w:pPr>
        <w:pStyle w:val="4"/>
        <w:tabs>
          <w:tab w:val="left" w:pos="432"/>
          <w:tab w:val="left" w:pos="720"/>
        </w:tabs>
        <w:spacing w:before="240" w:after="240" w:line="360" w:lineRule="auto"/>
        <w:jc w:val="center"/>
        <w:rPr>
          <w:rFonts w:hint="default" w:ascii="宋体" w:hAnsi="宋体" w:eastAsia="宋体"/>
          <w:b w:val="0"/>
          <w:color w:val="auto"/>
          <w:sz w:val="30"/>
          <w:szCs w:val="30"/>
          <w:highlight w:val="none"/>
          <w:lang w:val="en-US" w:eastAsia="zh-CN"/>
        </w:rPr>
      </w:pPr>
      <w:bookmarkStart w:id="252" w:name="_Toc489197861"/>
      <w:bookmarkStart w:id="253" w:name="_Toc213141100"/>
      <w:bookmarkStart w:id="254" w:name="_Toc488633622"/>
      <w:bookmarkStart w:id="255" w:name="_Toc489145757"/>
      <w:bookmarkStart w:id="256" w:name="_Toc481694851"/>
      <w:r>
        <w:rPr>
          <w:rFonts w:hint="eastAsia" w:ascii="宋体" w:hAnsi="宋体"/>
          <w:b w:val="0"/>
          <w:color w:val="auto"/>
          <w:sz w:val="30"/>
          <w:szCs w:val="30"/>
          <w:highlight w:val="none"/>
        </w:rPr>
        <w:t>（二）</w:t>
      </w:r>
      <w:r>
        <w:rPr>
          <w:rFonts w:hint="eastAsia" w:ascii="宋体" w:hAnsi="宋体"/>
          <w:b w:val="0"/>
          <w:color w:val="auto"/>
          <w:sz w:val="30"/>
          <w:szCs w:val="30"/>
          <w:highlight w:val="none"/>
          <w:lang w:val="en-US" w:eastAsia="zh-CN"/>
        </w:rPr>
        <w:t>车辆用油保障方案</w:t>
      </w:r>
    </w:p>
    <w:p w14:paraId="2AF82271">
      <w:pPr>
        <w:pStyle w:val="67"/>
        <w:spacing w:line="360" w:lineRule="auto"/>
        <w:ind w:left="-134" w:leftChars="-67" w:right="-136" w:rightChars="-68"/>
        <w:jc w:val="center"/>
        <w:rPr>
          <w:rFonts w:hAnsi="宋体"/>
          <w:color w:val="auto"/>
          <w:sz w:val="21"/>
          <w:highlight w:val="none"/>
        </w:rPr>
      </w:pPr>
      <w:r>
        <w:rPr>
          <w:rFonts w:hint="eastAsia" w:hAnsi="宋体"/>
          <w:color w:val="auto"/>
          <w:sz w:val="21"/>
          <w:highlight w:val="none"/>
        </w:rPr>
        <w:t>（投标人自行编写，格式自拟，但不得改变实质性内容，否则不予认可</w:t>
      </w:r>
      <w:bookmarkStart w:id="257" w:name="_Toc46924589"/>
      <w:r>
        <w:rPr>
          <w:rFonts w:hint="eastAsia" w:hAnsi="宋体"/>
          <w:color w:val="auto"/>
          <w:sz w:val="21"/>
          <w:highlight w:val="none"/>
        </w:rPr>
        <w:t>）</w:t>
      </w:r>
      <w:bookmarkEnd w:id="257"/>
    </w:p>
    <w:p w14:paraId="1CBC9007">
      <w:pPr>
        <w:rPr>
          <w:color w:val="auto"/>
          <w:highlight w:val="none"/>
        </w:rPr>
      </w:pPr>
    </w:p>
    <w:p w14:paraId="54811BE6">
      <w:pPr>
        <w:pStyle w:val="63"/>
        <w:rPr>
          <w:color w:val="auto"/>
          <w:highlight w:val="none"/>
        </w:rPr>
      </w:pPr>
    </w:p>
    <w:p w14:paraId="7A7ADA3E">
      <w:pPr>
        <w:pStyle w:val="4"/>
        <w:tabs>
          <w:tab w:val="left" w:pos="432"/>
          <w:tab w:val="left" w:pos="720"/>
        </w:tabs>
        <w:spacing w:before="240" w:after="240" w:line="360" w:lineRule="auto"/>
        <w:jc w:val="center"/>
        <w:rPr>
          <w:rFonts w:hint="default" w:ascii="宋体" w:hAnsi="宋体" w:eastAsia="宋体"/>
          <w:b w:val="0"/>
          <w:color w:val="auto"/>
          <w:sz w:val="30"/>
          <w:szCs w:val="30"/>
          <w:highlight w:val="none"/>
          <w:lang w:val="en-US" w:eastAsia="zh-CN"/>
        </w:rPr>
      </w:pPr>
      <w:r>
        <w:rPr>
          <w:rFonts w:hint="eastAsia" w:ascii="宋体" w:hAnsi="宋体"/>
          <w:b w:val="0"/>
          <w:color w:val="auto"/>
          <w:sz w:val="30"/>
          <w:szCs w:val="30"/>
          <w:highlight w:val="none"/>
        </w:rPr>
        <w:t>（三）</w:t>
      </w:r>
      <w:r>
        <w:rPr>
          <w:rFonts w:hint="eastAsia" w:ascii="宋体" w:hAnsi="宋体"/>
          <w:b w:val="0"/>
          <w:color w:val="auto"/>
          <w:sz w:val="30"/>
          <w:szCs w:val="30"/>
          <w:highlight w:val="none"/>
          <w:lang w:val="en-US" w:eastAsia="zh-CN"/>
        </w:rPr>
        <w:t>维修保养与例保检验方案</w:t>
      </w:r>
    </w:p>
    <w:p w14:paraId="3DB71FA7">
      <w:pPr>
        <w:pStyle w:val="67"/>
        <w:spacing w:line="360" w:lineRule="auto"/>
        <w:ind w:left="-134" w:leftChars="-67" w:right="-136" w:rightChars="-68"/>
        <w:jc w:val="center"/>
        <w:rPr>
          <w:rFonts w:hAnsi="宋体"/>
          <w:color w:val="auto"/>
          <w:sz w:val="21"/>
          <w:highlight w:val="none"/>
        </w:rPr>
      </w:pPr>
      <w:r>
        <w:rPr>
          <w:rFonts w:hint="eastAsia" w:hAnsi="宋体"/>
          <w:color w:val="auto"/>
          <w:sz w:val="21"/>
          <w:highlight w:val="none"/>
        </w:rPr>
        <w:t>（投标人自行编写，格式自拟，但不得改变实质性内容，否则不予认可）</w:t>
      </w:r>
    </w:p>
    <w:p w14:paraId="15AB666F">
      <w:pPr>
        <w:pStyle w:val="67"/>
        <w:spacing w:line="360" w:lineRule="auto"/>
        <w:ind w:left="-134" w:leftChars="-67" w:right="-136" w:rightChars="-68"/>
        <w:jc w:val="center"/>
        <w:rPr>
          <w:rFonts w:hAnsi="宋体"/>
          <w:color w:val="auto"/>
          <w:highlight w:val="none"/>
        </w:rPr>
      </w:pPr>
    </w:p>
    <w:p w14:paraId="3F46D606">
      <w:pPr>
        <w:rPr>
          <w:rFonts w:ascii="宋体" w:hAnsi="宋体"/>
          <w:color w:val="auto"/>
          <w:szCs w:val="21"/>
          <w:highlight w:val="none"/>
        </w:rPr>
      </w:pPr>
    </w:p>
    <w:p w14:paraId="43115BDF">
      <w:pPr>
        <w:pStyle w:val="4"/>
        <w:tabs>
          <w:tab w:val="left" w:pos="432"/>
          <w:tab w:val="left" w:pos="720"/>
        </w:tabs>
        <w:spacing w:before="240" w:after="240" w:line="360" w:lineRule="auto"/>
        <w:jc w:val="center"/>
        <w:rPr>
          <w:rFonts w:hint="default" w:ascii="宋体" w:hAnsi="宋体" w:eastAsia="宋体"/>
          <w:b w:val="0"/>
          <w:color w:val="auto"/>
          <w:sz w:val="30"/>
          <w:szCs w:val="30"/>
          <w:highlight w:val="none"/>
          <w:lang w:val="en-US" w:eastAsia="zh-CN"/>
        </w:rPr>
      </w:pPr>
      <w:r>
        <w:rPr>
          <w:rFonts w:hint="eastAsia" w:ascii="宋体" w:hAnsi="宋体"/>
          <w:b w:val="0"/>
          <w:color w:val="auto"/>
          <w:sz w:val="30"/>
          <w:szCs w:val="30"/>
          <w:highlight w:val="none"/>
        </w:rPr>
        <w:t>（四）</w:t>
      </w:r>
      <w:r>
        <w:rPr>
          <w:rFonts w:hint="eastAsia" w:ascii="宋体" w:hAnsi="宋体"/>
          <w:b w:val="0"/>
          <w:color w:val="auto"/>
          <w:sz w:val="30"/>
          <w:szCs w:val="30"/>
          <w:highlight w:val="none"/>
          <w:lang w:val="en-US" w:eastAsia="zh-CN"/>
        </w:rPr>
        <w:t>驾驶员管理与服务保障</w:t>
      </w:r>
    </w:p>
    <w:p w14:paraId="48386BB3">
      <w:pPr>
        <w:pStyle w:val="67"/>
        <w:spacing w:line="360" w:lineRule="auto"/>
        <w:ind w:left="-134" w:leftChars="-67" w:right="-136" w:rightChars="-68"/>
        <w:jc w:val="center"/>
        <w:rPr>
          <w:rFonts w:hAnsi="宋体"/>
          <w:color w:val="auto"/>
          <w:sz w:val="21"/>
          <w:highlight w:val="none"/>
        </w:rPr>
      </w:pPr>
      <w:r>
        <w:rPr>
          <w:rFonts w:hint="eastAsia" w:hAnsi="宋体"/>
          <w:color w:val="auto"/>
          <w:highlight w:val="none"/>
        </w:rPr>
        <w:t>（</w:t>
      </w:r>
      <w:r>
        <w:rPr>
          <w:rFonts w:hint="eastAsia" w:hAnsi="宋体"/>
          <w:color w:val="auto"/>
          <w:sz w:val="21"/>
          <w:highlight w:val="none"/>
        </w:rPr>
        <w:t>投标人按照招标文件要求、评标办法的评审内容及采购需求由投标人自行编写，格式自拟）</w:t>
      </w:r>
    </w:p>
    <w:p w14:paraId="00F3DB70">
      <w:pPr>
        <w:rPr>
          <w:rFonts w:ascii="宋体" w:hAnsi="宋体"/>
          <w:color w:val="auto"/>
          <w:szCs w:val="21"/>
          <w:highlight w:val="none"/>
        </w:rPr>
      </w:pPr>
    </w:p>
    <w:p w14:paraId="0B9554E9">
      <w:pPr>
        <w:rPr>
          <w:rFonts w:ascii="宋体" w:hAnsi="宋体"/>
          <w:color w:val="auto"/>
          <w:szCs w:val="21"/>
          <w:highlight w:val="none"/>
        </w:rPr>
      </w:pPr>
    </w:p>
    <w:p w14:paraId="4479F6A3">
      <w:pPr>
        <w:rPr>
          <w:rFonts w:ascii="宋体" w:hAnsi="宋体"/>
          <w:color w:val="auto"/>
          <w:szCs w:val="21"/>
          <w:highlight w:val="none"/>
        </w:rPr>
      </w:pPr>
    </w:p>
    <w:p w14:paraId="39E8B8B4">
      <w:pPr>
        <w:pStyle w:val="4"/>
        <w:tabs>
          <w:tab w:val="left" w:pos="432"/>
          <w:tab w:val="left" w:pos="720"/>
        </w:tabs>
        <w:spacing w:before="240" w:after="240" w:line="360" w:lineRule="auto"/>
        <w:jc w:val="center"/>
        <w:rPr>
          <w:rFonts w:hint="default" w:ascii="宋体" w:hAnsi="宋体" w:eastAsia="宋体"/>
          <w:b w:val="0"/>
          <w:color w:val="auto"/>
          <w:sz w:val="30"/>
          <w:szCs w:val="30"/>
          <w:highlight w:val="none"/>
          <w:lang w:val="en-US" w:eastAsia="zh-CN"/>
        </w:rPr>
      </w:pPr>
      <w:r>
        <w:rPr>
          <w:rFonts w:hint="eastAsia" w:ascii="宋体" w:hAnsi="宋体"/>
          <w:b w:val="0"/>
          <w:color w:val="auto"/>
          <w:sz w:val="30"/>
          <w:szCs w:val="30"/>
          <w:highlight w:val="none"/>
        </w:rPr>
        <w:t>（</w:t>
      </w:r>
      <w:r>
        <w:rPr>
          <w:rFonts w:hint="eastAsia" w:ascii="宋体" w:hAnsi="宋体"/>
          <w:b w:val="0"/>
          <w:color w:val="auto"/>
          <w:sz w:val="30"/>
          <w:szCs w:val="30"/>
          <w:highlight w:val="none"/>
          <w:lang w:val="en-US" w:eastAsia="zh-CN"/>
        </w:rPr>
        <w:t>五</w:t>
      </w:r>
      <w:r>
        <w:rPr>
          <w:rFonts w:hint="eastAsia" w:ascii="宋体" w:hAnsi="宋体"/>
          <w:b w:val="0"/>
          <w:color w:val="auto"/>
          <w:sz w:val="30"/>
          <w:szCs w:val="30"/>
          <w:highlight w:val="none"/>
        </w:rPr>
        <w:t>）</w:t>
      </w:r>
      <w:r>
        <w:rPr>
          <w:rFonts w:hint="eastAsia" w:ascii="宋体" w:hAnsi="宋体"/>
          <w:b w:val="0"/>
          <w:color w:val="auto"/>
          <w:sz w:val="30"/>
          <w:szCs w:val="30"/>
          <w:highlight w:val="none"/>
          <w:lang w:val="en-US" w:eastAsia="zh-CN"/>
        </w:rPr>
        <w:t>用工及服务整体方案</w:t>
      </w:r>
    </w:p>
    <w:p w14:paraId="18364431">
      <w:pPr>
        <w:pStyle w:val="67"/>
        <w:spacing w:line="360" w:lineRule="auto"/>
        <w:ind w:left="-134" w:leftChars="-67" w:right="-136" w:rightChars="-68"/>
        <w:jc w:val="center"/>
        <w:rPr>
          <w:rFonts w:hint="eastAsia" w:hAnsi="宋体"/>
          <w:color w:val="auto"/>
          <w:sz w:val="21"/>
          <w:highlight w:val="none"/>
        </w:rPr>
      </w:pPr>
      <w:r>
        <w:rPr>
          <w:rFonts w:hint="eastAsia" w:hAnsi="宋体"/>
          <w:color w:val="auto"/>
          <w:highlight w:val="none"/>
        </w:rPr>
        <w:t>（</w:t>
      </w:r>
      <w:r>
        <w:rPr>
          <w:rFonts w:hint="eastAsia" w:hAnsi="宋体"/>
          <w:color w:val="auto"/>
          <w:sz w:val="21"/>
          <w:highlight w:val="none"/>
        </w:rPr>
        <w:t>投标人按照招标文件要求、评标办法的评审内容及采购需求由投标人自行编写，格式自拟）</w:t>
      </w:r>
    </w:p>
    <w:p w14:paraId="0C9F008D">
      <w:pPr>
        <w:rPr>
          <w:rFonts w:hint="eastAsia" w:hAnsi="宋体"/>
          <w:color w:val="auto"/>
          <w:sz w:val="21"/>
          <w:highlight w:val="none"/>
        </w:rPr>
      </w:pPr>
    </w:p>
    <w:p w14:paraId="1FB5BDF1">
      <w:pPr>
        <w:pStyle w:val="16"/>
        <w:rPr>
          <w:color w:val="auto"/>
          <w:highlight w:val="none"/>
        </w:rPr>
      </w:pPr>
    </w:p>
    <w:p w14:paraId="0D9EC215">
      <w:pPr>
        <w:pStyle w:val="4"/>
        <w:tabs>
          <w:tab w:val="left" w:pos="432"/>
          <w:tab w:val="left" w:pos="720"/>
        </w:tabs>
        <w:spacing w:before="240" w:after="240" w:line="360" w:lineRule="auto"/>
        <w:jc w:val="center"/>
        <w:rPr>
          <w:rFonts w:hint="default" w:ascii="宋体" w:hAnsi="宋体" w:eastAsia="宋体"/>
          <w:b w:val="0"/>
          <w:color w:val="auto"/>
          <w:sz w:val="30"/>
          <w:szCs w:val="30"/>
          <w:highlight w:val="none"/>
          <w:lang w:val="en-US" w:eastAsia="zh-CN"/>
        </w:rPr>
      </w:pPr>
      <w:r>
        <w:rPr>
          <w:rFonts w:hint="eastAsia" w:ascii="宋体" w:hAnsi="宋体"/>
          <w:b w:val="0"/>
          <w:color w:val="auto"/>
          <w:sz w:val="30"/>
          <w:szCs w:val="30"/>
          <w:highlight w:val="none"/>
        </w:rPr>
        <w:t>（</w:t>
      </w:r>
      <w:r>
        <w:rPr>
          <w:rFonts w:hint="eastAsia" w:ascii="宋体" w:hAnsi="宋体"/>
          <w:b w:val="0"/>
          <w:color w:val="auto"/>
          <w:sz w:val="30"/>
          <w:szCs w:val="30"/>
          <w:highlight w:val="none"/>
          <w:lang w:val="en-US" w:eastAsia="zh-CN"/>
        </w:rPr>
        <w:t>六</w:t>
      </w:r>
      <w:r>
        <w:rPr>
          <w:rFonts w:hint="eastAsia" w:ascii="宋体" w:hAnsi="宋体"/>
          <w:b w:val="0"/>
          <w:color w:val="auto"/>
          <w:sz w:val="30"/>
          <w:szCs w:val="30"/>
          <w:highlight w:val="none"/>
        </w:rPr>
        <w:t>）</w:t>
      </w:r>
      <w:r>
        <w:rPr>
          <w:rFonts w:hint="eastAsia" w:ascii="宋体" w:hAnsi="宋体"/>
          <w:b w:val="0"/>
          <w:color w:val="auto"/>
          <w:sz w:val="30"/>
          <w:szCs w:val="30"/>
          <w:highlight w:val="none"/>
          <w:lang w:val="en-US" w:eastAsia="zh-CN"/>
        </w:rPr>
        <w:t>人员薪酬与社保保障方案</w:t>
      </w:r>
    </w:p>
    <w:p w14:paraId="55C20FCF">
      <w:pPr>
        <w:pStyle w:val="67"/>
        <w:spacing w:line="360" w:lineRule="auto"/>
        <w:ind w:left="-134" w:leftChars="-67" w:right="-136" w:rightChars="-68"/>
        <w:jc w:val="center"/>
        <w:rPr>
          <w:rFonts w:hAnsi="宋体"/>
          <w:color w:val="auto"/>
          <w:sz w:val="21"/>
          <w:highlight w:val="none"/>
        </w:rPr>
      </w:pPr>
      <w:r>
        <w:rPr>
          <w:rFonts w:hint="eastAsia" w:hAnsi="宋体"/>
          <w:color w:val="auto"/>
          <w:highlight w:val="none"/>
        </w:rPr>
        <w:t>（</w:t>
      </w:r>
      <w:r>
        <w:rPr>
          <w:rFonts w:hint="eastAsia" w:hAnsi="宋体"/>
          <w:color w:val="auto"/>
          <w:sz w:val="21"/>
          <w:highlight w:val="none"/>
        </w:rPr>
        <w:t>投标人按照招标文件要求、评标办法的评审内容及采购需求由投标人自行编写，格式自拟）</w:t>
      </w:r>
    </w:p>
    <w:p w14:paraId="6D56039F">
      <w:pPr>
        <w:rPr>
          <w:color w:val="auto"/>
          <w:highlight w:val="none"/>
        </w:rPr>
        <w:sectPr>
          <w:pgSz w:w="11907" w:h="16840"/>
          <w:pgMar w:top="1440" w:right="1080" w:bottom="1440" w:left="1080" w:header="850" w:footer="992" w:gutter="0"/>
          <w:cols w:space="720" w:num="1"/>
          <w:docGrid w:linePitch="286" w:charSpace="0"/>
        </w:sectPr>
      </w:pPr>
    </w:p>
    <w:p w14:paraId="56329CAA">
      <w:pPr>
        <w:pStyle w:val="4"/>
        <w:tabs>
          <w:tab w:val="left" w:pos="432"/>
          <w:tab w:val="left" w:pos="720"/>
        </w:tabs>
        <w:spacing w:before="240" w:after="240" w:line="360" w:lineRule="auto"/>
        <w:jc w:val="center"/>
        <w:rPr>
          <w:rFonts w:hint="default" w:ascii="宋体" w:hAnsi="宋体" w:eastAsia="宋体"/>
          <w:b w:val="0"/>
          <w:color w:val="auto"/>
          <w:sz w:val="30"/>
          <w:szCs w:val="30"/>
          <w:highlight w:val="none"/>
          <w:lang w:val="en-US" w:eastAsia="zh-CN"/>
        </w:rPr>
      </w:pPr>
      <w:r>
        <w:rPr>
          <w:rFonts w:hint="eastAsia" w:ascii="宋体" w:hAnsi="宋体"/>
          <w:b w:val="0"/>
          <w:color w:val="auto"/>
          <w:sz w:val="30"/>
          <w:szCs w:val="30"/>
          <w:highlight w:val="none"/>
        </w:rPr>
        <w:t>（</w:t>
      </w:r>
      <w:r>
        <w:rPr>
          <w:rFonts w:hint="eastAsia" w:ascii="宋体" w:hAnsi="宋体"/>
          <w:b w:val="0"/>
          <w:color w:val="auto"/>
          <w:sz w:val="30"/>
          <w:szCs w:val="30"/>
          <w:highlight w:val="none"/>
          <w:lang w:val="en-US" w:eastAsia="zh-CN"/>
        </w:rPr>
        <w:t>七</w:t>
      </w:r>
      <w:r>
        <w:rPr>
          <w:rFonts w:hint="eastAsia" w:ascii="宋体" w:hAnsi="宋体"/>
          <w:b w:val="0"/>
          <w:color w:val="auto"/>
          <w:sz w:val="30"/>
          <w:szCs w:val="30"/>
          <w:highlight w:val="none"/>
        </w:rPr>
        <w:t>）</w:t>
      </w:r>
      <w:r>
        <w:rPr>
          <w:rFonts w:hint="eastAsia" w:ascii="宋体" w:hAnsi="宋体"/>
          <w:b w:val="0"/>
          <w:color w:val="auto"/>
          <w:sz w:val="30"/>
          <w:szCs w:val="30"/>
          <w:highlight w:val="none"/>
          <w:lang w:val="en-US" w:eastAsia="zh-CN"/>
        </w:rPr>
        <w:t>违约责任承诺</w:t>
      </w:r>
    </w:p>
    <w:p w14:paraId="7752F752">
      <w:pPr>
        <w:pStyle w:val="67"/>
        <w:spacing w:line="360" w:lineRule="auto"/>
        <w:ind w:left="-134" w:leftChars="-67" w:right="-136" w:rightChars="-68"/>
        <w:jc w:val="center"/>
        <w:rPr>
          <w:rFonts w:hAnsi="宋体"/>
          <w:color w:val="auto"/>
          <w:sz w:val="21"/>
          <w:highlight w:val="none"/>
        </w:rPr>
      </w:pPr>
      <w:r>
        <w:rPr>
          <w:rFonts w:hint="eastAsia" w:hAnsi="宋体"/>
          <w:color w:val="auto"/>
          <w:highlight w:val="none"/>
        </w:rPr>
        <w:t>（</w:t>
      </w:r>
      <w:r>
        <w:rPr>
          <w:rFonts w:hint="eastAsia" w:hAnsi="宋体"/>
          <w:color w:val="auto"/>
          <w:sz w:val="21"/>
          <w:highlight w:val="none"/>
        </w:rPr>
        <w:t>投标人按照招标文件要求、评标办法的评审内容及采购需求由投标人自行编写，格式自拟）</w:t>
      </w:r>
    </w:p>
    <w:p w14:paraId="45212B25">
      <w:pPr>
        <w:rPr>
          <w:rFonts w:ascii="宋体" w:hAnsi="宋体"/>
          <w:color w:val="auto"/>
          <w:highlight w:val="none"/>
        </w:rPr>
      </w:pPr>
    </w:p>
    <w:p w14:paraId="7ADA56CD">
      <w:pPr>
        <w:pStyle w:val="16"/>
        <w:rPr>
          <w:rFonts w:ascii="宋体" w:hAnsi="宋体"/>
          <w:color w:val="auto"/>
          <w:highlight w:val="none"/>
        </w:rPr>
      </w:pPr>
    </w:p>
    <w:p w14:paraId="02EC7B72">
      <w:pPr>
        <w:pStyle w:val="18"/>
        <w:rPr>
          <w:rFonts w:ascii="宋体" w:hAnsi="宋体"/>
          <w:color w:val="auto"/>
          <w:highlight w:val="none"/>
        </w:rPr>
      </w:pPr>
    </w:p>
    <w:p w14:paraId="444A0C2F">
      <w:pPr>
        <w:pStyle w:val="4"/>
        <w:tabs>
          <w:tab w:val="left" w:pos="432"/>
          <w:tab w:val="left" w:pos="720"/>
        </w:tabs>
        <w:spacing w:before="240" w:after="240" w:line="360" w:lineRule="auto"/>
        <w:jc w:val="center"/>
        <w:rPr>
          <w:rFonts w:hint="default" w:ascii="宋体" w:hAnsi="宋体" w:eastAsia="宋体"/>
          <w:b w:val="0"/>
          <w:color w:val="auto"/>
          <w:sz w:val="30"/>
          <w:szCs w:val="30"/>
          <w:highlight w:val="none"/>
          <w:lang w:val="en-US" w:eastAsia="zh-CN"/>
        </w:rPr>
      </w:pPr>
      <w:r>
        <w:rPr>
          <w:rFonts w:hint="eastAsia" w:ascii="宋体" w:hAnsi="宋体"/>
          <w:b w:val="0"/>
          <w:color w:val="auto"/>
          <w:sz w:val="30"/>
          <w:szCs w:val="30"/>
          <w:highlight w:val="none"/>
        </w:rPr>
        <w:t>（</w:t>
      </w:r>
      <w:r>
        <w:rPr>
          <w:rFonts w:hint="eastAsia" w:ascii="宋体" w:hAnsi="宋体"/>
          <w:b w:val="0"/>
          <w:color w:val="auto"/>
          <w:sz w:val="30"/>
          <w:szCs w:val="30"/>
          <w:highlight w:val="none"/>
          <w:lang w:val="en-US" w:eastAsia="zh-CN"/>
        </w:rPr>
        <w:t>八</w:t>
      </w:r>
      <w:r>
        <w:rPr>
          <w:rFonts w:hint="eastAsia" w:ascii="宋体" w:hAnsi="宋体"/>
          <w:b w:val="0"/>
          <w:color w:val="auto"/>
          <w:sz w:val="30"/>
          <w:szCs w:val="30"/>
          <w:highlight w:val="none"/>
        </w:rPr>
        <w:t>）业务服务专业技能</w:t>
      </w:r>
    </w:p>
    <w:p w14:paraId="1AE0A21E">
      <w:pPr>
        <w:pStyle w:val="67"/>
        <w:spacing w:line="360" w:lineRule="auto"/>
        <w:ind w:left="-134" w:leftChars="-67" w:right="-136" w:rightChars="-68"/>
        <w:jc w:val="center"/>
        <w:rPr>
          <w:rFonts w:hint="eastAsia" w:hAnsi="宋体"/>
          <w:color w:val="auto"/>
          <w:sz w:val="21"/>
          <w:highlight w:val="none"/>
        </w:rPr>
      </w:pPr>
      <w:r>
        <w:rPr>
          <w:rFonts w:hint="eastAsia" w:hAnsi="宋体"/>
          <w:color w:val="auto"/>
          <w:highlight w:val="none"/>
        </w:rPr>
        <w:t>（</w:t>
      </w:r>
      <w:r>
        <w:rPr>
          <w:rFonts w:hint="eastAsia" w:hAnsi="宋体"/>
          <w:color w:val="auto"/>
          <w:sz w:val="21"/>
          <w:highlight w:val="none"/>
        </w:rPr>
        <w:t>投标人按照招标文件要求、评标办法的评审内容及采购需求由投标人自行编写，格式自拟）</w:t>
      </w:r>
    </w:p>
    <w:p w14:paraId="07668FBD">
      <w:pPr>
        <w:rPr>
          <w:rFonts w:hint="eastAsia"/>
        </w:rPr>
      </w:pPr>
    </w:p>
    <w:p w14:paraId="4E967E55"/>
    <w:p w14:paraId="5179C78E">
      <w:pPr>
        <w:pStyle w:val="4"/>
        <w:tabs>
          <w:tab w:val="left" w:pos="432"/>
          <w:tab w:val="left" w:pos="720"/>
        </w:tabs>
        <w:spacing w:before="240" w:after="240" w:line="360" w:lineRule="auto"/>
        <w:jc w:val="center"/>
        <w:rPr>
          <w:rFonts w:hint="default" w:ascii="宋体" w:hAnsi="宋体" w:eastAsia="宋体"/>
          <w:b w:val="0"/>
          <w:color w:val="auto"/>
          <w:sz w:val="30"/>
          <w:szCs w:val="30"/>
          <w:highlight w:val="none"/>
          <w:lang w:val="en-US" w:eastAsia="zh-CN"/>
        </w:rPr>
      </w:pPr>
      <w:r>
        <w:rPr>
          <w:rFonts w:hint="eastAsia" w:ascii="宋体" w:hAnsi="宋体"/>
          <w:b w:val="0"/>
          <w:color w:val="auto"/>
          <w:sz w:val="30"/>
          <w:szCs w:val="30"/>
          <w:highlight w:val="none"/>
        </w:rPr>
        <w:t>（</w:t>
      </w:r>
      <w:r>
        <w:rPr>
          <w:rFonts w:hint="eastAsia" w:ascii="宋体" w:hAnsi="宋体"/>
          <w:b w:val="0"/>
          <w:color w:val="auto"/>
          <w:sz w:val="30"/>
          <w:szCs w:val="30"/>
          <w:highlight w:val="none"/>
          <w:lang w:val="en-US" w:eastAsia="zh-CN"/>
        </w:rPr>
        <w:t>九</w:t>
      </w:r>
      <w:r>
        <w:rPr>
          <w:rFonts w:hint="eastAsia" w:ascii="宋体" w:hAnsi="宋体"/>
          <w:b w:val="0"/>
          <w:color w:val="auto"/>
          <w:sz w:val="30"/>
          <w:szCs w:val="30"/>
          <w:highlight w:val="none"/>
        </w:rPr>
        <w:t>）</w:t>
      </w:r>
      <w:r>
        <w:rPr>
          <w:rFonts w:hint="eastAsia" w:ascii="宋体" w:hAnsi="宋体"/>
          <w:b w:val="0"/>
          <w:color w:val="auto"/>
          <w:sz w:val="30"/>
          <w:szCs w:val="30"/>
          <w:highlight w:val="none"/>
          <w:lang w:val="en-US" w:eastAsia="zh-CN"/>
        </w:rPr>
        <w:t>实体化运营</w:t>
      </w:r>
    </w:p>
    <w:p w14:paraId="41513356">
      <w:pPr>
        <w:pStyle w:val="67"/>
        <w:spacing w:line="360" w:lineRule="auto"/>
        <w:ind w:left="-134" w:leftChars="-67" w:right="-136" w:rightChars="-68"/>
        <w:jc w:val="center"/>
        <w:rPr>
          <w:rFonts w:hint="eastAsia" w:hAnsi="宋体"/>
          <w:color w:val="auto"/>
          <w:sz w:val="21"/>
          <w:highlight w:val="none"/>
        </w:rPr>
      </w:pPr>
      <w:r>
        <w:rPr>
          <w:rFonts w:hint="eastAsia" w:hAnsi="宋体"/>
          <w:color w:val="auto"/>
          <w:highlight w:val="none"/>
        </w:rPr>
        <w:t>（</w:t>
      </w:r>
      <w:r>
        <w:rPr>
          <w:rFonts w:hint="eastAsia" w:hAnsi="宋体"/>
          <w:color w:val="auto"/>
          <w:sz w:val="21"/>
          <w:highlight w:val="none"/>
        </w:rPr>
        <w:t>投标人按照招标文件要求、评标办法的评审内容及采购需求由投标人自行编写，格式自拟）</w:t>
      </w:r>
    </w:p>
    <w:p w14:paraId="42E5BDF6">
      <w:pPr>
        <w:rPr>
          <w:rFonts w:hint="eastAsia"/>
        </w:rPr>
      </w:pPr>
    </w:p>
    <w:p w14:paraId="6A7B102F">
      <w:pPr>
        <w:rPr>
          <w:color w:val="auto"/>
          <w:highlight w:val="none"/>
        </w:rPr>
      </w:pPr>
    </w:p>
    <w:p w14:paraId="1563E33D">
      <w:pPr>
        <w:pStyle w:val="16"/>
        <w:rPr>
          <w:color w:val="auto"/>
          <w:highlight w:val="none"/>
        </w:rPr>
      </w:pPr>
    </w:p>
    <w:p w14:paraId="1A98F3DF">
      <w:pPr>
        <w:pStyle w:val="4"/>
        <w:tabs>
          <w:tab w:val="left" w:pos="432"/>
          <w:tab w:val="left" w:pos="720"/>
        </w:tabs>
        <w:spacing w:before="240" w:after="240" w:line="360" w:lineRule="auto"/>
        <w:jc w:val="center"/>
        <w:rPr>
          <w:rFonts w:hint="default" w:ascii="宋体" w:hAnsi="宋体" w:eastAsia="宋体"/>
          <w:b w:val="0"/>
          <w:color w:val="auto"/>
          <w:sz w:val="30"/>
          <w:szCs w:val="30"/>
          <w:highlight w:val="none"/>
          <w:lang w:val="en-US" w:eastAsia="zh-CN"/>
        </w:rPr>
      </w:pPr>
      <w:r>
        <w:rPr>
          <w:rFonts w:hint="eastAsia" w:ascii="宋体" w:hAnsi="宋体"/>
          <w:b w:val="0"/>
          <w:color w:val="auto"/>
          <w:sz w:val="30"/>
          <w:szCs w:val="30"/>
          <w:highlight w:val="none"/>
        </w:rPr>
        <w:t>（</w:t>
      </w:r>
      <w:r>
        <w:rPr>
          <w:rFonts w:hint="eastAsia" w:ascii="宋体" w:hAnsi="宋体"/>
          <w:b w:val="0"/>
          <w:color w:val="auto"/>
          <w:sz w:val="30"/>
          <w:szCs w:val="30"/>
          <w:highlight w:val="none"/>
          <w:lang w:val="en-US" w:eastAsia="zh-CN"/>
        </w:rPr>
        <w:t>十</w:t>
      </w:r>
      <w:r>
        <w:rPr>
          <w:rFonts w:hint="eastAsia" w:ascii="宋体" w:hAnsi="宋体"/>
          <w:b w:val="0"/>
          <w:color w:val="auto"/>
          <w:sz w:val="30"/>
          <w:szCs w:val="30"/>
          <w:highlight w:val="none"/>
        </w:rPr>
        <w:t>）</w:t>
      </w:r>
      <w:r>
        <w:rPr>
          <w:rFonts w:hint="eastAsia" w:ascii="宋体" w:hAnsi="宋体"/>
          <w:b w:val="0"/>
          <w:color w:val="auto"/>
          <w:sz w:val="30"/>
          <w:szCs w:val="30"/>
          <w:highlight w:val="none"/>
          <w:lang w:val="en-US" w:eastAsia="zh-CN"/>
        </w:rPr>
        <w:t>同类项目业绩</w:t>
      </w:r>
    </w:p>
    <w:p w14:paraId="0EEC764C">
      <w:pPr>
        <w:pStyle w:val="18"/>
        <w:rPr>
          <w:color w:val="auto"/>
          <w:highlight w:val="none"/>
        </w:rPr>
      </w:pPr>
      <w:r>
        <w:rPr>
          <w:rFonts w:hint="eastAsia" w:hAnsi="宋体"/>
          <w:color w:val="auto"/>
          <w:highlight w:val="none"/>
        </w:rPr>
        <w:t>（</w:t>
      </w:r>
      <w:r>
        <w:rPr>
          <w:rFonts w:hint="eastAsia" w:hAnsi="宋体"/>
          <w:color w:val="auto"/>
          <w:sz w:val="21"/>
          <w:highlight w:val="none"/>
        </w:rPr>
        <w:t>投标人按照招标文件要求、评标办法的评审内容由投标人自行编写，格式自拟）</w:t>
      </w:r>
    </w:p>
    <w:p w14:paraId="13DFA00E">
      <w:pPr>
        <w:bidi w:val="0"/>
        <w:rPr>
          <w:rFonts w:hint="eastAsia"/>
          <w:color w:val="auto"/>
          <w:highlight w:val="none"/>
        </w:rPr>
      </w:pPr>
      <w:bookmarkStart w:id="258" w:name="_Toc32301"/>
      <w:bookmarkStart w:id="259" w:name="_Toc287967055"/>
      <w:bookmarkStart w:id="260" w:name="_Toc416338364"/>
      <w:bookmarkStart w:id="261" w:name="_Toc254427657"/>
      <w:bookmarkStart w:id="262" w:name="_Toc415587731"/>
    </w:p>
    <w:p w14:paraId="79185678">
      <w:pPr>
        <w:pStyle w:val="4"/>
        <w:tabs>
          <w:tab w:val="left" w:pos="432"/>
          <w:tab w:val="left" w:pos="720"/>
        </w:tabs>
        <w:spacing w:before="240" w:after="240" w:line="360" w:lineRule="auto"/>
        <w:jc w:val="center"/>
        <w:rPr>
          <w:rFonts w:ascii="宋体" w:hAnsi="宋体"/>
          <w:b w:val="0"/>
          <w:color w:val="auto"/>
          <w:sz w:val="30"/>
          <w:szCs w:val="30"/>
          <w:highlight w:val="none"/>
        </w:rPr>
      </w:pPr>
      <w:r>
        <w:rPr>
          <w:rFonts w:hint="eastAsia" w:ascii="宋体" w:hAnsi="宋体"/>
          <w:b w:val="0"/>
          <w:color w:val="auto"/>
          <w:sz w:val="30"/>
          <w:szCs w:val="30"/>
          <w:highlight w:val="none"/>
        </w:rPr>
        <w:t>（</w:t>
      </w:r>
      <w:r>
        <w:rPr>
          <w:rFonts w:hint="eastAsia" w:ascii="宋体" w:hAnsi="宋体"/>
          <w:b w:val="0"/>
          <w:color w:val="auto"/>
          <w:sz w:val="30"/>
          <w:szCs w:val="30"/>
          <w:highlight w:val="none"/>
          <w:lang w:val="en-US" w:eastAsia="zh-CN"/>
        </w:rPr>
        <w:t>十一</w:t>
      </w:r>
      <w:r>
        <w:rPr>
          <w:rFonts w:hint="eastAsia" w:ascii="宋体" w:hAnsi="宋体"/>
          <w:b w:val="0"/>
          <w:color w:val="auto"/>
          <w:sz w:val="30"/>
          <w:szCs w:val="30"/>
          <w:highlight w:val="none"/>
        </w:rPr>
        <w:t>）</w:t>
      </w:r>
      <w:bookmarkEnd w:id="258"/>
      <w:bookmarkEnd w:id="259"/>
      <w:bookmarkEnd w:id="260"/>
      <w:bookmarkEnd w:id="261"/>
      <w:bookmarkEnd w:id="262"/>
      <w:r>
        <w:rPr>
          <w:rFonts w:hint="eastAsia" w:ascii="宋体" w:hAnsi="宋体"/>
          <w:b w:val="0"/>
          <w:color w:val="auto"/>
          <w:sz w:val="30"/>
          <w:szCs w:val="30"/>
          <w:highlight w:val="none"/>
        </w:rPr>
        <w:t>招标文件要求或投标人认为有必要提交的其他资料</w:t>
      </w:r>
    </w:p>
    <w:p w14:paraId="5063A5B4">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招标文件要求的或投标人认为有必须提供的其他资料、说明等。</w:t>
      </w:r>
    </w:p>
    <w:p w14:paraId="06FA23CF">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（格式自拟）</w:t>
      </w:r>
      <w:bookmarkEnd w:id="252"/>
      <w:bookmarkEnd w:id="253"/>
      <w:bookmarkEnd w:id="254"/>
      <w:bookmarkEnd w:id="255"/>
      <w:bookmarkEnd w:id="256"/>
    </w:p>
    <w:p w14:paraId="0C8BCD0C">
      <w:pPr>
        <w:rPr>
          <w:rFonts w:ascii="宋体" w:hAnsi="宋体"/>
          <w:color w:val="auto"/>
          <w:highlight w:val="none"/>
        </w:rPr>
      </w:pPr>
    </w:p>
    <w:sectPr>
      <w:pgSz w:w="11907" w:h="16840"/>
      <w:pgMar w:top="1440" w:right="1080" w:bottom="1440" w:left="1080" w:header="850"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方正小标宋_GBK">
    <w:altName w:val="宋体"/>
    <w:panose1 w:val="00000000000000000000"/>
    <w:charset w:val="86"/>
    <w:family w:val="auto"/>
    <w:pitch w:val="default"/>
    <w:sig w:usb0="00000000" w:usb1="00000000" w:usb2="00000000" w:usb3="00000000" w:csb0="00040000" w:csb1="00000000"/>
  </w:font>
  <w:font w:name="Segoe UI Emoji">
    <w:panose1 w:val="020B0502040204020203"/>
    <w:charset w:val="00"/>
    <w:family w:val="auto"/>
    <w:pitch w:val="default"/>
    <w:sig w:usb0="00000001" w:usb1="02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1C46C">
    <w:pPr>
      <w:pStyle w:val="23"/>
      <w:widowControl w:val="0"/>
      <w:pBdr>
        <w:bottom w:val="none" w:color="auto" w:sz="0" w:space="1"/>
      </w:pBdr>
      <w:jc w:val="left"/>
      <w:rPr>
        <w:rFonts w:ascii="宋体" w:hAnsi="宋体"/>
        <w:kern w:val="2"/>
        <w:sz w:val="21"/>
        <w:szCs w:val="21"/>
      </w:rPr>
    </w:pPr>
    <w:r>
      <w:rPr>
        <w:rFonts w:hint="eastAsia" w:ascii="宋体" w:hAnsi="宋体"/>
        <w:kern w:val="2"/>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2030B"/>
    <w:multiLevelType w:val="singleLevel"/>
    <w:tmpl w:val="8A72030B"/>
    <w:lvl w:ilvl="0" w:tentative="0">
      <w:start w:val="1"/>
      <w:numFmt w:val="chineseCounting"/>
      <w:suff w:val="nothing"/>
      <w:lvlText w:val="%1、"/>
      <w:lvlJc w:val="left"/>
      <w:pPr>
        <w:ind w:left="120" w:leftChars="0" w:firstLine="0" w:firstLineChars="0"/>
      </w:pPr>
      <w:rPr>
        <w:rFonts w:hint="eastAsia"/>
      </w:rPr>
    </w:lvl>
  </w:abstractNum>
  <w:abstractNum w:abstractNumId="1">
    <w:nsid w:val="A3840A19"/>
    <w:multiLevelType w:val="singleLevel"/>
    <w:tmpl w:val="A3840A19"/>
    <w:lvl w:ilvl="0" w:tentative="0">
      <w:start w:val="9"/>
      <w:numFmt w:val="chineseCounting"/>
      <w:suff w:val="nothing"/>
      <w:lvlText w:val="%1、"/>
      <w:lvlJc w:val="left"/>
      <w:pPr>
        <w:ind w:left="480" w:leftChars="0" w:firstLine="0" w:firstLineChars="0"/>
      </w:pPr>
      <w:rPr>
        <w:rFonts w:hint="eastAsia"/>
      </w:rPr>
    </w:lvl>
  </w:abstractNum>
  <w:abstractNum w:abstractNumId="2">
    <w:nsid w:val="C1466E04"/>
    <w:multiLevelType w:val="singleLevel"/>
    <w:tmpl w:val="C1466E04"/>
    <w:lvl w:ilvl="0" w:tentative="0">
      <w:start w:val="1"/>
      <w:numFmt w:val="chineseCounting"/>
      <w:suff w:val="nothing"/>
      <w:lvlText w:val="（%1）"/>
      <w:lvlJc w:val="left"/>
      <w:pPr>
        <w:ind w:left="240" w:leftChars="0" w:firstLine="0" w:firstLineChars="0"/>
      </w:pPr>
      <w:rPr>
        <w:rFonts w:hint="eastAsia"/>
      </w:rPr>
    </w:lvl>
  </w:abstractNum>
  <w:abstractNum w:abstractNumId="3">
    <w:nsid w:val="00000007"/>
    <w:multiLevelType w:val="singleLevel"/>
    <w:tmpl w:val="00000007"/>
    <w:lvl w:ilvl="0" w:tentative="0">
      <w:start w:val="6"/>
      <w:numFmt w:val="decimal"/>
      <w:suff w:val="nothing"/>
      <w:lvlText w:val="（%1）"/>
      <w:lvlJc w:val="left"/>
    </w:lvl>
  </w:abstractNum>
  <w:abstractNum w:abstractNumId="4">
    <w:nsid w:val="0000000B"/>
    <w:multiLevelType w:val="multilevel"/>
    <w:tmpl w:val="0000000B"/>
    <w:lvl w:ilvl="0" w:tentative="0">
      <w:start w:val="1"/>
      <w:numFmt w:val="bullet"/>
      <w:pStyle w:val="96"/>
      <w:lvlText w:val="●"/>
      <w:lvlJc w:val="left"/>
      <w:pPr>
        <w:ind w:left="360" w:hanging="360"/>
      </w:pPr>
      <w:rPr>
        <w:rFonts w:hint="eastAsia" w:ascii="黑体" w:hAnsi="宋体" w:eastAsia="黑体" w:cs="Times New Roman"/>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137F6D6"/>
    <w:multiLevelType w:val="singleLevel"/>
    <w:tmpl w:val="4137F6D6"/>
    <w:lvl w:ilvl="0" w:tentative="0">
      <w:start w:val="1"/>
      <w:numFmt w:val="chineseCounting"/>
      <w:suff w:val="nothing"/>
      <w:lvlText w:val="（%1）"/>
      <w:lvlJc w:val="left"/>
      <w:pPr>
        <w:ind w:left="480" w:leftChars="0" w:firstLine="0" w:firstLineChars="0"/>
      </w:pPr>
      <w:rPr>
        <w:rFonts w:hint="eastAsia"/>
      </w:rPr>
    </w:lvl>
  </w:abstractNum>
  <w:abstractNum w:abstractNumId="6">
    <w:nsid w:val="52097696"/>
    <w:multiLevelType w:val="singleLevel"/>
    <w:tmpl w:val="52097696"/>
    <w:lvl w:ilvl="0" w:tentative="0">
      <w:start w:val="1"/>
      <w:numFmt w:val="decimal"/>
      <w:suff w:val="nothing"/>
      <w:lvlText w:val="%1、"/>
      <w:lvlJc w:val="left"/>
    </w:lvl>
  </w:abstractNum>
  <w:abstractNum w:abstractNumId="7">
    <w:nsid w:val="53EFAEE0"/>
    <w:multiLevelType w:val="singleLevel"/>
    <w:tmpl w:val="53EFAEE0"/>
    <w:lvl w:ilvl="0" w:tentative="0">
      <w:start w:val="5"/>
      <w:numFmt w:val="chineseCounting"/>
      <w:suff w:val="space"/>
      <w:lvlText w:val="第%1章"/>
      <w:lvlJc w:val="left"/>
      <w:rPr>
        <w:rFonts w:hint="eastAsia"/>
      </w:rPr>
    </w:lvl>
  </w:abstractNum>
  <w:num w:numId="1">
    <w:abstractNumId w:val="4"/>
  </w:num>
  <w:num w:numId="2">
    <w:abstractNumId w:val="6"/>
  </w:num>
  <w:num w:numId="3">
    <w:abstractNumId w:val="7"/>
  </w:num>
  <w:num w:numId="4">
    <w:abstractNumId w:val="0"/>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4YWE2NWM2NjkyMzUxOGRkNDNkNjJlMmYxYjJlZDkifQ=="/>
  </w:docVars>
  <w:rsids>
    <w:rsidRoot w:val="00AC61A5"/>
    <w:rsid w:val="001144BE"/>
    <w:rsid w:val="001E29B5"/>
    <w:rsid w:val="00326F4C"/>
    <w:rsid w:val="006536F0"/>
    <w:rsid w:val="00684F81"/>
    <w:rsid w:val="007423D4"/>
    <w:rsid w:val="008C1983"/>
    <w:rsid w:val="009C4761"/>
    <w:rsid w:val="009F1EAD"/>
    <w:rsid w:val="00A1508C"/>
    <w:rsid w:val="00A61942"/>
    <w:rsid w:val="00AC61A5"/>
    <w:rsid w:val="00AD2009"/>
    <w:rsid w:val="00C54D9D"/>
    <w:rsid w:val="00D01F91"/>
    <w:rsid w:val="00E37E6D"/>
    <w:rsid w:val="00EC76AE"/>
    <w:rsid w:val="00FC7598"/>
    <w:rsid w:val="014E1A9D"/>
    <w:rsid w:val="01AF0E8E"/>
    <w:rsid w:val="01B74D1C"/>
    <w:rsid w:val="02D20356"/>
    <w:rsid w:val="04DC755D"/>
    <w:rsid w:val="06064044"/>
    <w:rsid w:val="0ABC2067"/>
    <w:rsid w:val="0AFE06C8"/>
    <w:rsid w:val="0B6D6042"/>
    <w:rsid w:val="0BDE0CED"/>
    <w:rsid w:val="0FBD2303"/>
    <w:rsid w:val="135A1EEC"/>
    <w:rsid w:val="13A2401D"/>
    <w:rsid w:val="14A61E13"/>
    <w:rsid w:val="153B3756"/>
    <w:rsid w:val="155017BD"/>
    <w:rsid w:val="15BC11AA"/>
    <w:rsid w:val="162A4334"/>
    <w:rsid w:val="184C57E9"/>
    <w:rsid w:val="1F1E0BF0"/>
    <w:rsid w:val="209F3D12"/>
    <w:rsid w:val="20EB1024"/>
    <w:rsid w:val="229B7685"/>
    <w:rsid w:val="25D6467E"/>
    <w:rsid w:val="2666537C"/>
    <w:rsid w:val="26E720A7"/>
    <w:rsid w:val="29296FC6"/>
    <w:rsid w:val="296C128F"/>
    <w:rsid w:val="2A14182E"/>
    <w:rsid w:val="2B411FA2"/>
    <w:rsid w:val="2E545220"/>
    <w:rsid w:val="2E5A323C"/>
    <w:rsid w:val="2EE52518"/>
    <w:rsid w:val="30AF56D0"/>
    <w:rsid w:val="30E738F1"/>
    <w:rsid w:val="31DF240D"/>
    <w:rsid w:val="31F6123B"/>
    <w:rsid w:val="32646ED3"/>
    <w:rsid w:val="331A75FE"/>
    <w:rsid w:val="34C04A6F"/>
    <w:rsid w:val="35F00D29"/>
    <w:rsid w:val="36D750D2"/>
    <w:rsid w:val="38253111"/>
    <w:rsid w:val="39775E45"/>
    <w:rsid w:val="3B561145"/>
    <w:rsid w:val="3D826E7B"/>
    <w:rsid w:val="3E7F2301"/>
    <w:rsid w:val="3F126699"/>
    <w:rsid w:val="41C0134D"/>
    <w:rsid w:val="426F0A1B"/>
    <w:rsid w:val="45E33118"/>
    <w:rsid w:val="4A017D95"/>
    <w:rsid w:val="4A233306"/>
    <w:rsid w:val="4AB83EDC"/>
    <w:rsid w:val="4ADD3648"/>
    <w:rsid w:val="4B55797D"/>
    <w:rsid w:val="4BF02924"/>
    <w:rsid w:val="4C9A0120"/>
    <w:rsid w:val="4F0E4A13"/>
    <w:rsid w:val="53DA1367"/>
    <w:rsid w:val="558F7F2F"/>
    <w:rsid w:val="5B304E20"/>
    <w:rsid w:val="5C203EDC"/>
    <w:rsid w:val="5CDD686C"/>
    <w:rsid w:val="5F542CA1"/>
    <w:rsid w:val="6075749E"/>
    <w:rsid w:val="60B20FE1"/>
    <w:rsid w:val="62C40786"/>
    <w:rsid w:val="645F3810"/>
    <w:rsid w:val="6592442C"/>
    <w:rsid w:val="662E7F8F"/>
    <w:rsid w:val="66576211"/>
    <w:rsid w:val="6A894651"/>
    <w:rsid w:val="6F2E3453"/>
    <w:rsid w:val="6F2E3EBD"/>
    <w:rsid w:val="6F857D72"/>
    <w:rsid w:val="70C04599"/>
    <w:rsid w:val="71BE6C71"/>
    <w:rsid w:val="7428287B"/>
    <w:rsid w:val="75527A39"/>
    <w:rsid w:val="76136C87"/>
    <w:rsid w:val="765D3A06"/>
    <w:rsid w:val="76AF5D81"/>
    <w:rsid w:val="770C2D36"/>
    <w:rsid w:val="77400C32"/>
    <w:rsid w:val="774B3F06"/>
    <w:rsid w:val="77716D32"/>
    <w:rsid w:val="782C3659"/>
    <w:rsid w:val="7D2E47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lang w:val="en-US" w:eastAsia="zh-CN" w:bidi="ar-SA"/>
    </w:rPr>
  </w:style>
  <w:style w:type="paragraph" w:styleId="2">
    <w:name w:val="heading 1"/>
    <w:basedOn w:val="1"/>
    <w:next w:val="1"/>
    <w:link w:val="42"/>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43"/>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44"/>
    <w:autoRedefine/>
    <w:qFormat/>
    <w:uiPriority w:val="0"/>
    <w:pPr>
      <w:keepNext/>
      <w:keepLines/>
      <w:spacing w:before="260" w:after="260" w:line="415" w:lineRule="auto"/>
      <w:outlineLvl w:val="2"/>
    </w:pPr>
    <w:rPr>
      <w:b/>
      <w:bCs/>
      <w:sz w:val="32"/>
      <w:szCs w:val="32"/>
    </w:rPr>
  </w:style>
  <w:style w:type="paragraph" w:styleId="5">
    <w:name w:val="heading 4"/>
    <w:basedOn w:val="1"/>
    <w:next w:val="1"/>
    <w:link w:val="45"/>
    <w:autoRedefine/>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46"/>
    <w:autoRedefine/>
    <w:qFormat/>
    <w:uiPriority w:val="0"/>
    <w:pPr>
      <w:keepNext/>
      <w:keepLines/>
      <w:spacing w:before="280" w:after="290" w:line="374" w:lineRule="auto"/>
      <w:outlineLvl w:val="4"/>
    </w:pPr>
    <w:rPr>
      <w:b/>
      <w:bCs/>
      <w:sz w:val="28"/>
      <w:szCs w:val="28"/>
    </w:rPr>
  </w:style>
  <w:style w:type="paragraph" w:styleId="7">
    <w:name w:val="heading 6"/>
    <w:basedOn w:val="1"/>
    <w:next w:val="1"/>
    <w:link w:val="47"/>
    <w:autoRedefine/>
    <w:qFormat/>
    <w:uiPriority w:val="0"/>
    <w:pPr>
      <w:keepNext/>
      <w:keepLines/>
      <w:spacing w:before="240" w:after="64" w:line="319" w:lineRule="auto"/>
      <w:outlineLvl w:val="5"/>
    </w:pPr>
    <w:rPr>
      <w:rFonts w:ascii="Arial" w:hAnsi="Arial" w:eastAsia="黑体"/>
      <w:b/>
      <w:bCs/>
      <w:sz w:val="24"/>
      <w:szCs w:val="24"/>
    </w:rPr>
  </w:style>
  <w:style w:type="paragraph" w:styleId="8">
    <w:name w:val="heading 7"/>
    <w:basedOn w:val="1"/>
    <w:next w:val="1"/>
    <w:link w:val="48"/>
    <w:autoRedefine/>
    <w:qFormat/>
    <w:uiPriority w:val="0"/>
    <w:pPr>
      <w:keepNext/>
      <w:keepLines/>
      <w:spacing w:before="240" w:after="64" w:line="319" w:lineRule="auto"/>
      <w:outlineLvl w:val="6"/>
    </w:pPr>
    <w:rPr>
      <w:b/>
      <w:bCs/>
      <w:sz w:val="24"/>
      <w:szCs w:val="24"/>
    </w:rPr>
  </w:style>
  <w:style w:type="paragraph" w:styleId="9">
    <w:name w:val="heading 8"/>
    <w:basedOn w:val="1"/>
    <w:next w:val="1"/>
    <w:link w:val="49"/>
    <w:autoRedefine/>
    <w:qFormat/>
    <w:uiPriority w:val="0"/>
    <w:pPr>
      <w:keepNext/>
      <w:keepLines/>
      <w:tabs>
        <w:tab w:val="left" w:pos="1440"/>
      </w:tabs>
      <w:spacing w:before="240" w:after="64" w:line="317" w:lineRule="auto"/>
      <w:ind w:left="1440" w:hanging="1440"/>
      <w:outlineLvl w:val="7"/>
    </w:pPr>
    <w:rPr>
      <w:rFonts w:ascii="Arial" w:hAnsi="Arial" w:eastAsia="黑体"/>
      <w:sz w:val="24"/>
    </w:rPr>
  </w:style>
  <w:style w:type="paragraph" w:styleId="10">
    <w:name w:val="heading 9"/>
    <w:basedOn w:val="1"/>
    <w:next w:val="1"/>
    <w:link w:val="50"/>
    <w:autoRedefine/>
    <w:qFormat/>
    <w:uiPriority w:val="0"/>
    <w:pPr>
      <w:keepNext/>
      <w:keepLines/>
      <w:spacing w:before="240" w:after="64" w:line="319" w:lineRule="auto"/>
      <w:outlineLvl w:val="8"/>
    </w:pPr>
    <w:rPr>
      <w:rFonts w:ascii="Arial" w:hAnsi="Arial" w:eastAsia="黑体"/>
      <w:szCs w:val="21"/>
    </w:rPr>
  </w:style>
  <w:style w:type="character" w:default="1" w:styleId="33">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00"/>
    </w:pPr>
    <w:rPr>
      <w:sz w:val="18"/>
      <w:szCs w:val="18"/>
    </w:rPr>
  </w:style>
  <w:style w:type="paragraph" w:styleId="12">
    <w:name w:val="caption"/>
    <w:basedOn w:val="1"/>
    <w:next w:val="1"/>
    <w:link w:val="51"/>
    <w:autoRedefine/>
    <w:qFormat/>
    <w:uiPriority w:val="0"/>
    <w:rPr>
      <w:rFonts w:ascii="Arial" w:hAnsi="Arial" w:eastAsia="黑体"/>
    </w:rPr>
  </w:style>
  <w:style w:type="paragraph" w:styleId="13">
    <w:name w:val="List Bullet"/>
    <w:basedOn w:val="1"/>
    <w:autoRedefine/>
    <w:qFormat/>
    <w:uiPriority w:val="0"/>
    <w:pPr>
      <w:widowControl w:val="0"/>
      <w:tabs>
        <w:tab w:val="left" w:pos="360"/>
      </w:tabs>
      <w:ind w:left="360" w:hanging="360"/>
      <w:jc w:val="both"/>
    </w:pPr>
    <w:rPr>
      <w:kern w:val="2"/>
      <w:sz w:val="21"/>
    </w:rPr>
  </w:style>
  <w:style w:type="paragraph" w:styleId="14">
    <w:name w:val="Document Map"/>
    <w:basedOn w:val="1"/>
    <w:unhideWhenUsed/>
    <w:qFormat/>
    <w:uiPriority w:val="99"/>
    <w:rPr>
      <w:rFonts w:ascii="宋体"/>
      <w:sz w:val="18"/>
      <w:szCs w:val="18"/>
    </w:rPr>
  </w:style>
  <w:style w:type="paragraph" w:styleId="15">
    <w:name w:val="annotation text"/>
    <w:basedOn w:val="1"/>
    <w:link w:val="52"/>
    <w:autoRedefine/>
    <w:qFormat/>
    <w:uiPriority w:val="0"/>
  </w:style>
  <w:style w:type="paragraph" w:styleId="16">
    <w:name w:val="Body Text"/>
    <w:basedOn w:val="1"/>
    <w:next w:val="1"/>
    <w:link w:val="53"/>
    <w:autoRedefine/>
    <w:qFormat/>
    <w:uiPriority w:val="0"/>
    <w:pPr>
      <w:spacing w:after="120"/>
    </w:pPr>
  </w:style>
  <w:style w:type="paragraph" w:styleId="17">
    <w:name w:val="Body Text Indent"/>
    <w:basedOn w:val="1"/>
    <w:next w:val="1"/>
    <w:unhideWhenUsed/>
    <w:qFormat/>
    <w:uiPriority w:val="99"/>
    <w:pPr>
      <w:spacing w:line="460" w:lineRule="exact"/>
      <w:ind w:firstLine="510"/>
    </w:pPr>
  </w:style>
  <w:style w:type="paragraph" w:styleId="18">
    <w:name w:val="toc 5"/>
    <w:basedOn w:val="1"/>
    <w:next w:val="1"/>
    <w:autoRedefine/>
    <w:qFormat/>
    <w:uiPriority w:val="0"/>
    <w:pPr>
      <w:ind w:left="800"/>
    </w:pPr>
    <w:rPr>
      <w:sz w:val="18"/>
      <w:szCs w:val="18"/>
    </w:rPr>
  </w:style>
  <w:style w:type="paragraph" w:styleId="19">
    <w:name w:val="toc 3"/>
    <w:basedOn w:val="1"/>
    <w:next w:val="1"/>
    <w:autoRedefine/>
    <w:qFormat/>
    <w:uiPriority w:val="0"/>
    <w:pPr>
      <w:ind w:left="400"/>
    </w:pPr>
    <w:rPr>
      <w:iCs/>
    </w:rPr>
  </w:style>
  <w:style w:type="paragraph" w:styleId="20">
    <w:name w:val="Plain Text"/>
    <w:basedOn w:val="1"/>
    <w:autoRedefine/>
    <w:qFormat/>
    <w:uiPriority w:val="0"/>
    <w:pPr>
      <w:widowControl w:val="0"/>
      <w:jc w:val="both"/>
    </w:pPr>
    <w:rPr>
      <w:rFonts w:ascii="宋体" w:hAnsi="Courier New"/>
      <w:kern w:val="2"/>
      <w:sz w:val="21"/>
      <w:szCs w:val="21"/>
    </w:rPr>
  </w:style>
  <w:style w:type="paragraph" w:styleId="21">
    <w:name w:val="toc 8"/>
    <w:basedOn w:val="1"/>
    <w:next w:val="1"/>
    <w:autoRedefine/>
    <w:qFormat/>
    <w:uiPriority w:val="0"/>
    <w:pPr>
      <w:ind w:left="1400"/>
    </w:pPr>
    <w:rPr>
      <w:sz w:val="18"/>
      <w:szCs w:val="18"/>
    </w:rPr>
  </w:style>
  <w:style w:type="paragraph" w:styleId="22">
    <w:name w:val="footer"/>
    <w:basedOn w:val="1"/>
    <w:link w:val="56"/>
    <w:autoRedefine/>
    <w:qFormat/>
    <w:uiPriority w:val="0"/>
    <w:pPr>
      <w:tabs>
        <w:tab w:val="center" w:pos="4153"/>
        <w:tab w:val="right" w:pos="8306"/>
      </w:tabs>
      <w:snapToGrid w:val="0"/>
    </w:pPr>
    <w:rPr>
      <w:sz w:val="18"/>
      <w:szCs w:val="18"/>
    </w:rPr>
  </w:style>
  <w:style w:type="paragraph" w:styleId="23">
    <w:name w:val="header"/>
    <w:basedOn w:val="1"/>
    <w:link w:val="57"/>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pPr>
      <w:spacing w:before="120" w:after="120"/>
    </w:pPr>
    <w:rPr>
      <w:b/>
      <w:bCs/>
      <w:caps/>
    </w:rPr>
  </w:style>
  <w:style w:type="paragraph" w:styleId="25">
    <w:name w:val="toc 4"/>
    <w:basedOn w:val="1"/>
    <w:next w:val="1"/>
    <w:autoRedefine/>
    <w:qFormat/>
    <w:uiPriority w:val="0"/>
    <w:pPr>
      <w:ind w:left="600"/>
    </w:pPr>
    <w:rPr>
      <w:sz w:val="18"/>
      <w:szCs w:val="18"/>
    </w:rPr>
  </w:style>
  <w:style w:type="paragraph" w:styleId="26">
    <w:name w:val="Subtitle"/>
    <w:basedOn w:val="1"/>
    <w:next w:val="1"/>
    <w:link w:val="58"/>
    <w:autoRedefine/>
    <w:qFormat/>
    <w:uiPriority w:val="0"/>
    <w:pPr>
      <w:spacing w:before="240" w:after="60" w:line="312" w:lineRule="auto"/>
      <w:jc w:val="center"/>
      <w:outlineLvl w:val="1"/>
    </w:pPr>
    <w:rPr>
      <w:rFonts w:ascii="Cambria" w:hAnsi="Cambria"/>
      <w:b/>
      <w:bCs/>
      <w:kern w:val="28"/>
      <w:sz w:val="32"/>
      <w:szCs w:val="32"/>
    </w:rPr>
  </w:style>
  <w:style w:type="paragraph" w:styleId="27">
    <w:name w:val="footnote text"/>
    <w:basedOn w:val="1"/>
    <w:link w:val="59"/>
    <w:autoRedefine/>
    <w:qFormat/>
    <w:uiPriority w:val="0"/>
    <w:pPr>
      <w:snapToGrid w:val="0"/>
    </w:pPr>
    <w:rPr>
      <w:sz w:val="18"/>
      <w:szCs w:val="18"/>
    </w:rPr>
  </w:style>
  <w:style w:type="paragraph" w:styleId="28">
    <w:name w:val="toc 6"/>
    <w:basedOn w:val="1"/>
    <w:next w:val="1"/>
    <w:autoRedefine/>
    <w:qFormat/>
    <w:uiPriority w:val="0"/>
    <w:pPr>
      <w:ind w:left="1000"/>
    </w:pPr>
    <w:rPr>
      <w:sz w:val="18"/>
      <w:szCs w:val="18"/>
    </w:rPr>
  </w:style>
  <w:style w:type="paragraph" w:styleId="29">
    <w:name w:val="toc 2"/>
    <w:basedOn w:val="1"/>
    <w:next w:val="1"/>
    <w:autoRedefine/>
    <w:qFormat/>
    <w:uiPriority w:val="0"/>
    <w:pPr>
      <w:snapToGrid w:val="0"/>
      <w:ind w:left="198"/>
    </w:pPr>
    <w:rPr>
      <w:smallCaps/>
    </w:rPr>
  </w:style>
  <w:style w:type="paragraph" w:styleId="30">
    <w:name w:val="toc 9"/>
    <w:basedOn w:val="1"/>
    <w:next w:val="1"/>
    <w:autoRedefine/>
    <w:qFormat/>
    <w:uiPriority w:val="0"/>
    <w:pPr>
      <w:ind w:left="1600"/>
    </w:pPr>
    <w:rPr>
      <w:sz w:val="18"/>
      <w:szCs w:val="18"/>
    </w:rPr>
  </w:style>
  <w:style w:type="paragraph" w:styleId="3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34">
    <w:name w:val="Strong"/>
    <w:autoRedefine/>
    <w:qFormat/>
    <w:uiPriority w:val="0"/>
    <w:rPr>
      <w:b/>
      <w:bCs/>
    </w:rPr>
  </w:style>
  <w:style w:type="character" w:styleId="35">
    <w:name w:val="page number"/>
    <w:basedOn w:val="33"/>
    <w:autoRedefine/>
    <w:qFormat/>
    <w:uiPriority w:val="0"/>
  </w:style>
  <w:style w:type="character" w:styleId="36">
    <w:name w:val="FollowedHyperlink"/>
    <w:autoRedefine/>
    <w:qFormat/>
    <w:uiPriority w:val="0"/>
    <w:rPr>
      <w:color w:val="800080"/>
      <w:u w:val="single"/>
    </w:rPr>
  </w:style>
  <w:style w:type="character" w:styleId="37">
    <w:name w:val="Hyperlink"/>
    <w:autoRedefine/>
    <w:qFormat/>
    <w:uiPriority w:val="0"/>
    <w:rPr>
      <w:color w:val="0000FF"/>
      <w:u w:val="single"/>
    </w:rPr>
  </w:style>
  <w:style w:type="character" w:styleId="38">
    <w:name w:val="footnote reference"/>
    <w:autoRedefine/>
    <w:qFormat/>
    <w:uiPriority w:val="0"/>
    <w:rPr>
      <w:vertAlign w:val="superscript"/>
    </w:rPr>
  </w:style>
  <w:style w:type="character" w:styleId="39">
    <w:name w:val="HTML Sample"/>
    <w:basedOn w:val="33"/>
    <w:qFormat/>
    <w:uiPriority w:val="0"/>
    <w:rPr>
      <w:rFonts w:ascii="Courier New" w:hAnsi="Courier New"/>
    </w:rPr>
  </w:style>
  <w:style w:type="paragraph" w:customStyle="1" w:styleId="40">
    <w:name w:val="正文（标准）"/>
    <w:basedOn w:val="1"/>
    <w:next w:val="1"/>
    <w:autoRedefine/>
    <w:semiHidden/>
    <w:qFormat/>
    <w:uiPriority w:val="0"/>
    <w:pPr>
      <w:ind w:firstLine="525"/>
    </w:pPr>
    <w:rPr>
      <w:rFonts w:ascii="宋体" w:hAnsi="宋体"/>
    </w:rPr>
  </w:style>
  <w:style w:type="paragraph" w:customStyle="1" w:styleId="41">
    <w:name w:val="正文缩进1"/>
    <w:basedOn w:val="1"/>
    <w:autoRedefine/>
    <w:qFormat/>
    <w:uiPriority w:val="0"/>
    <w:pPr>
      <w:ind w:firstLine="420" w:firstLineChars="200"/>
    </w:pPr>
  </w:style>
  <w:style w:type="character" w:customStyle="1" w:styleId="42">
    <w:name w:val="标题 1 Char"/>
    <w:link w:val="2"/>
    <w:autoRedefine/>
    <w:semiHidden/>
    <w:qFormat/>
    <w:uiPriority w:val="0"/>
    <w:rPr>
      <w:rFonts w:ascii="Times New Roman" w:hAnsi="Times New Roman" w:eastAsia="宋体" w:cs="Times New Roman"/>
      <w:b/>
      <w:bCs/>
      <w:kern w:val="44"/>
      <w:sz w:val="44"/>
      <w:szCs w:val="44"/>
    </w:rPr>
  </w:style>
  <w:style w:type="character" w:customStyle="1" w:styleId="43">
    <w:name w:val="标题 2 Char"/>
    <w:link w:val="3"/>
    <w:autoRedefine/>
    <w:semiHidden/>
    <w:qFormat/>
    <w:uiPriority w:val="0"/>
    <w:rPr>
      <w:rFonts w:ascii="Arial" w:hAnsi="Arial" w:eastAsia="黑体" w:cs="Times New Roman"/>
      <w:b/>
      <w:bCs/>
      <w:kern w:val="0"/>
      <w:sz w:val="32"/>
      <w:szCs w:val="32"/>
    </w:rPr>
  </w:style>
  <w:style w:type="character" w:customStyle="1" w:styleId="44">
    <w:name w:val="标题 3 Char"/>
    <w:link w:val="4"/>
    <w:autoRedefine/>
    <w:semiHidden/>
    <w:qFormat/>
    <w:uiPriority w:val="0"/>
    <w:rPr>
      <w:rFonts w:ascii="Times New Roman" w:hAnsi="Times New Roman" w:eastAsia="宋体" w:cs="Times New Roman"/>
      <w:b/>
      <w:bCs/>
      <w:kern w:val="0"/>
      <w:sz w:val="32"/>
      <w:szCs w:val="32"/>
    </w:rPr>
  </w:style>
  <w:style w:type="character" w:customStyle="1" w:styleId="45">
    <w:name w:val="标题 4 Char"/>
    <w:link w:val="5"/>
    <w:autoRedefine/>
    <w:semiHidden/>
    <w:qFormat/>
    <w:uiPriority w:val="0"/>
    <w:rPr>
      <w:rFonts w:ascii="Arial" w:hAnsi="Arial" w:eastAsia="黑体" w:cs="Times New Roman"/>
      <w:b/>
      <w:bCs/>
      <w:kern w:val="0"/>
      <w:sz w:val="28"/>
      <w:szCs w:val="28"/>
    </w:rPr>
  </w:style>
  <w:style w:type="character" w:customStyle="1" w:styleId="46">
    <w:name w:val="标题 5 Char"/>
    <w:basedOn w:val="33"/>
    <w:link w:val="6"/>
    <w:autoRedefine/>
    <w:semiHidden/>
    <w:qFormat/>
    <w:uiPriority w:val="0"/>
    <w:rPr>
      <w:rFonts w:ascii="Times New Roman" w:hAnsi="Times New Roman" w:eastAsia="宋体" w:cs="Times New Roman"/>
      <w:b/>
      <w:bCs/>
      <w:kern w:val="0"/>
      <w:sz w:val="28"/>
      <w:szCs w:val="28"/>
    </w:rPr>
  </w:style>
  <w:style w:type="character" w:customStyle="1" w:styleId="47">
    <w:name w:val="标题 6 Char"/>
    <w:basedOn w:val="33"/>
    <w:link w:val="7"/>
    <w:autoRedefine/>
    <w:semiHidden/>
    <w:qFormat/>
    <w:uiPriority w:val="0"/>
    <w:rPr>
      <w:rFonts w:ascii="Arial" w:hAnsi="Arial" w:eastAsia="黑体" w:cs="Times New Roman"/>
      <w:b/>
      <w:bCs/>
      <w:kern w:val="0"/>
      <w:sz w:val="24"/>
      <w:szCs w:val="24"/>
    </w:rPr>
  </w:style>
  <w:style w:type="character" w:customStyle="1" w:styleId="48">
    <w:name w:val="标题 7 Char"/>
    <w:basedOn w:val="33"/>
    <w:link w:val="8"/>
    <w:autoRedefine/>
    <w:semiHidden/>
    <w:qFormat/>
    <w:uiPriority w:val="0"/>
    <w:rPr>
      <w:rFonts w:ascii="Times New Roman" w:hAnsi="Times New Roman" w:eastAsia="宋体" w:cs="Times New Roman"/>
      <w:b/>
      <w:bCs/>
      <w:kern w:val="0"/>
      <w:sz w:val="24"/>
      <w:szCs w:val="24"/>
    </w:rPr>
  </w:style>
  <w:style w:type="character" w:customStyle="1" w:styleId="49">
    <w:name w:val="标题 8 Char"/>
    <w:basedOn w:val="33"/>
    <w:link w:val="9"/>
    <w:autoRedefine/>
    <w:semiHidden/>
    <w:qFormat/>
    <w:uiPriority w:val="0"/>
    <w:rPr>
      <w:rFonts w:ascii="Arial" w:hAnsi="Arial" w:eastAsia="黑体" w:cs="Times New Roman"/>
      <w:kern w:val="0"/>
      <w:sz w:val="24"/>
      <w:szCs w:val="20"/>
    </w:rPr>
  </w:style>
  <w:style w:type="character" w:customStyle="1" w:styleId="50">
    <w:name w:val="标题 9 Char"/>
    <w:basedOn w:val="33"/>
    <w:link w:val="10"/>
    <w:autoRedefine/>
    <w:semiHidden/>
    <w:qFormat/>
    <w:uiPriority w:val="0"/>
    <w:rPr>
      <w:rFonts w:ascii="Arial" w:hAnsi="Arial" w:eastAsia="黑体" w:cs="Times New Roman"/>
      <w:kern w:val="0"/>
      <w:szCs w:val="21"/>
    </w:rPr>
  </w:style>
  <w:style w:type="character" w:customStyle="1" w:styleId="51">
    <w:name w:val="题注 Char"/>
    <w:link w:val="12"/>
    <w:autoRedefine/>
    <w:semiHidden/>
    <w:qFormat/>
    <w:uiPriority w:val="0"/>
    <w:rPr>
      <w:rFonts w:ascii="Arial" w:hAnsi="Arial" w:eastAsia="黑体" w:cs="Arial"/>
    </w:rPr>
  </w:style>
  <w:style w:type="character" w:customStyle="1" w:styleId="52">
    <w:name w:val="批注文字 Char"/>
    <w:basedOn w:val="33"/>
    <w:link w:val="15"/>
    <w:autoRedefine/>
    <w:semiHidden/>
    <w:qFormat/>
    <w:uiPriority w:val="0"/>
    <w:rPr>
      <w:rFonts w:ascii="Times New Roman" w:hAnsi="Times New Roman" w:eastAsia="宋体" w:cs="Times New Roman"/>
      <w:kern w:val="0"/>
      <w:sz w:val="20"/>
      <w:szCs w:val="20"/>
    </w:rPr>
  </w:style>
  <w:style w:type="character" w:customStyle="1" w:styleId="53">
    <w:name w:val="正文文本 Char"/>
    <w:basedOn w:val="33"/>
    <w:link w:val="16"/>
    <w:autoRedefine/>
    <w:semiHidden/>
    <w:qFormat/>
    <w:uiPriority w:val="0"/>
    <w:rPr>
      <w:rFonts w:ascii="Times New Roman" w:hAnsi="Times New Roman" w:eastAsia="宋体" w:cs="Times New Roman"/>
      <w:kern w:val="0"/>
      <w:sz w:val="20"/>
      <w:szCs w:val="20"/>
    </w:rPr>
  </w:style>
  <w:style w:type="paragraph" w:customStyle="1" w:styleId="54">
    <w:name w:val="批注框文本1"/>
    <w:basedOn w:val="1"/>
    <w:link w:val="55"/>
    <w:autoRedefine/>
    <w:qFormat/>
    <w:uiPriority w:val="0"/>
    <w:rPr>
      <w:sz w:val="18"/>
      <w:szCs w:val="18"/>
    </w:rPr>
  </w:style>
  <w:style w:type="character" w:customStyle="1" w:styleId="55">
    <w:name w:val="批注框文本 Char"/>
    <w:basedOn w:val="33"/>
    <w:link w:val="54"/>
    <w:autoRedefine/>
    <w:semiHidden/>
    <w:qFormat/>
    <w:uiPriority w:val="0"/>
    <w:rPr>
      <w:sz w:val="18"/>
      <w:szCs w:val="18"/>
    </w:rPr>
  </w:style>
  <w:style w:type="character" w:customStyle="1" w:styleId="56">
    <w:name w:val="页脚 Char"/>
    <w:basedOn w:val="33"/>
    <w:link w:val="22"/>
    <w:autoRedefine/>
    <w:semiHidden/>
    <w:qFormat/>
    <w:uiPriority w:val="0"/>
    <w:rPr>
      <w:sz w:val="18"/>
      <w:szCs w:val="18"/>
    </w:rPr>
  </w:style>
  <w:style w:type="character" w:customStyle="1" w:styleId="57">
    <w:name w:val="页眉 Char"/>
    <w:basedOn w:val="33"/>
    <w:link w:val="23"/>
    <w:autoRedefine/>
    <w:semiHidden/>
    <w:qFormat/>
    <w:uiPriority w:val="0"/>
    <w:rPr>
      <w:sz w:val="18"/>
      <w:szCs w:val="18"/>
    </w:rPr>
  </w:style>
  <w:style w:type="character" w:customStyle="1" w:styleId="58">
    <w:name w:val="副标题 Char"/>
    <w:link w:val="26"/>
    <w:autoRedefine/>
    <w:semiHidden/>
    <w:qFormat/>
    <w:uiPriority w:val="0"/>
    <w:rPr>
      <w:rFonts w:ascii="Cambria" w:hAnsi="Cambria" w:cs="Times New Roman"/>
      <w:b/>
      <w:bCs/>
      <w:kern w:val="28"/>
      <w:sz w:val="32"/>
      <w:szCs w:val="32"/>
    </w:rPr>
  </w:style>
  <w:style w:type="character" w:customStyle="1" w:styleId="59">
    <w:name w:val="脚注文本 Char"/>
    <w:basedOn w:val="33"/>
    <w:link w:val="27"/>
    <w:autoRedefine/>
    <w:semiHidden/>
    <w:qFormat/>
    <w:uiPriority w:val="0"/>
    <w:rPr>
      <w:rFonts w:ascii="Times New Roman" w:hAnsi="Times New Roman" w:eastAsia="宋体" w:cs="Times New Roman"/>
      <w:kern w:val="0"/>
      <w:sz w:val="18"/>
      <w:szCs w:val="18"/>
    </w:rPr>
  </w:style>
  <w:style w:type="paragraph" w:customStyle="1" w:styleId="60">
    <w:name w:val="批注框文本 Char Char"/>
    <w:basedOn w:val="1"/>
    <w:link w:val="155"/>
    <w:autoRedefine/>
    <w:qFormat/>
    <w:uiPriority w:val="0"/>
    <w:rPr>
      <w:sz w:val="18"/>
      <w:szCs w:val="18"/>
    </w:rPr>
  </w:style>
  <w:style w:type="paragraph" w:customStyle="1" w:styleId="61">
    <w:name w:val="文档结构图1"/>
    <w:basedOn w:val="1"/>
    <w:link w:val="192"/>
    <w:autoRedefine/>
    <w:qFormat/>
    <w:uiPriority w:val="0"/>
    <w:rPr>
      <w:rFonts w:ascii="宋体"/>
      <w:sz w:val="18"/>
      <w:szCs w:val="18"/>
    </w:rPr>
  </w:style>
  <w:style w:type="paragraph" w:customStyle="1" w:styleId="62">
    <w:name w:val="列表 31"/>
    <w:basedOn w:val="1"/>
    <w:autoRedefine/>
    <w:qFormat/>
    <w:uiPriority w:val="0"/>
    <w:pPr>
      <w:widowControl w:val="0"/>
      <w:ind w:left="100" w:leftChars="400" w:hanging="200" w:hangingChars="200"/>
      <w:jc w:val="both"/>
    </w:pPr>
    <w:rPr>
      <w:kern w:val="2"/>
      <w:sz w:val="21"/>
      <w:szCs w:val="24"/>
    </w:rPr>
  </w:style>
  <w:style w:type="paragraph" w:customStyle="1" w:styleId="63">
    <w:name w:val="正文缩进11"/>
    <w:basedOn w:val="1"/>
    <w:link w:val="172"/>
    <w:autoRedefine/>
    <w:qFormat/>
    <w:uiPriority w:val="0"/>
    <w:pPr>
      <w:ind w:firstLine="420"/>
    </w:pPr>
  </w:style>
  <w:style w:type="paragraph" w:customStyle="1" w:styleId="64">
    <w:name w:val="正文文本缩进1"/>
    <w:basedOn w:val="1"/>
    <w:link w:val="203"/>
    <w:autoRedefine/>
    <w:qFormat/>
    <w:uiPriority w:val="0"/>
    <w:pPr>
      <w:spacing w:after="120"/>
      <w:ind w:left="420" w:leftChars="200"/>
    </w:pPr>
  </w:style>
  <w:style w:type="paragraph" w:customStyle="1" w:styleId="65">
    <w:name w:val="列表 21"/>
    <w:basedOn w:val="1"/>
    <w:autoRedefine/>
    <w:qFormat/>
    <w:uiPriority w:val="0"/>
    <w:pPr>
      <w:widowControl w:val="0"/>
      <w:ind w:left="100" w:leftChars="200" w:hanging="200" w:hangingChars="200"/>
      <w:jc w:val="both"/>
    </w:pPr>
    <w:rPr>
      <w:kern w:val="2"/>
      <w:sz w:val="21"/>
      <w:szCs w:val="24"/>
    </w:rPr>
  </w:style>
  <w:style w:type="paragraph" w:customStyle="1" w:styleId="66">
    <w:name w:val="文本块1"/>
    <w:basedOn w:val="1"/>
    <w:autoRedefine/>
    <w:qFormat/>
    <w:uiPriority w:val="0"/>
    <w:pPr>
      <w:spacing w:after="120"/>
      <w:ind w:left="1440" w:right="1440"/>
    </w:pPr>
  </w:style>
  <w:style w:type="paragraph" w:customStyle="1" w:styleId="67">
    <w:name w:val="纯文本1"/>
    <w:basedOn w:val="1"/>
    <w:next w:val="1"/>
    <w:link w:val="196"/>
    <w:autoRedefine/>
    <w:qFormat/>
    <w:uiPriority w:val="0"/>
    <w:pPr>
      <w:widowControl w:val="0"/>
      <w:jc w:val="both"/>
    </w:pPr>
    <w:rPr>
      <w:rFonts w:ascii="宋体" w:hAnsi="Courier New"/>
      <w:szCs w:val="21"/>
    </w:rPr>
  </w:style>
  <w:style w:type="paragraph" w:customStyle="1" w:styleId="68">
    <w:name w:val="日期1"/>
    <w:basedOn w:val="1"/>
    <w:next w:val="1"/>
    <w:link w:val="179"/>
    <w:autoRedefine/>
    <w:qFormat/>
    <w:uiPriority w:val="0"/>
    <w:pPr>
      <w:ind w:left="100" w:leftChars="2500"/>
    </w:pPr>
  </w:style>
  <w:style w:type="paragraph" w:customStyle="1" w:styleId="69">
    <w:name w:val="正文文本缩进 21"/>
    <w:basedOn w:val="1"/>
    <w:link w:val="207"/>
    <w:autoRedefine/>
    <w:qFormat/>
    <w:uiPriority w:val="0"/>
    <w:pPr>
      <w:spacing w:after="120" w:line="480" w:lineRule="auto"/>
      <w:ind w:left="420" w:leftChars="200"/>
    </w:pPr>
  </w:style>
  <w:style w:type="paragraph" w:customStyle="1" w:styleId="70">
    <w:name w:val="签名1"/>
    <w:basedOn w:val="1"/>
    <w:link w:val="214"/>
    <w:autoRedefine/>
    <w:qFormat/>
    <w:uiPriority w:val="0"/>
    <w:pPr>
      <w:widowControl w:val="0"/>
      <w:ind w:left="100" w:leftChars="2100"/>
      <w:jc w:val="both"/>
    </w:pPr>
    <w:rPr>
      <w:szCs w:val="24"/>
    </w:rPr>
  </w:style>
  <w:style w:type="paragraph" w:customStyle="1" w:styleId="71">
    <w:name w:val="列表1"/>
    <w:basedOn w:val="1"/>
    <w:autoRedefine/>
    <w:qFormat/>
    <w:uiPriority w:val="0"/>
    <w:pPr>
      <w:widowControl w:val="0"/>
      <w:ind w:left="200" w:hanging="200" w:hangingChars="200"/>
      <w:jc w:val="both"/>
    </w:pPr>
    <w:rPr>
      <w:kern w:val="2"/>
      <w:sz w:val="21"/>
      <w:szCs w:val="24"/>
    </w:rPr>
  </w:style>
  <w:style w:type="paragraph" w:customStyle="1" w:styleId="72">
    <w:name w:val="正文文本缩进 31"/>
    <w:basedOn w:val="1"/>
    <w:link w:val="174"/>
    <w:autoRedefine/>
    <w:qFormat/>
    <w:uiPriority w:val="0"/>
    <w:pPr>
      <w:spacing w:after="120" w:line="360" w:lineRule="auto"/>
      <w:ind w:left="420" w:leftChars="200" w:firstLine="200" w:firstLineChars="200"/>
    </w:pPr>
    <w:rPr>
      <w:sz w:val="16"/>
      <w:szCs w:val="16"/>
    </w:rPr>
  </w:style>
  <w:style w:type="paragraph" w:customStyle="1" w:styleId="73">
    <w:name w:val="正文文本 21"/>
    <w:basedOn w:val="1"/>
    <w:link w:val="209"/>
    <w:autoRedefine/>
    <w:qFormat/>
    <w:uiPriority w:val="0"/>
    <w:pPr>
      <w:spacing w:after="120" w:line="480" w:lineRule="auto"/>
    </w:pPr>
  </w:style>
  <w:style w:type="paragraph" w:customStyle="1" w:styleId="74">
    <w:name w:val="HTML 预设格式1"/>
    <w:basedOn w:val="1"/>
    <w:link w:val="21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customStyle="1" w:styleId="75">
    <w:name w:val="普通(网站)1"/>
    <w:basedOn w:val="1"/>
    <w:autoRedefine/>
    <w:qFormat/>
    <w:uiPriority w:val="0"/>
    <w:pPr>
      <w:spacing w:before="100" w:beforeAutospacing="1" w:after="100" w:afterAutospacing="1"/>
    </w:pPr>
    <w:rPr>
      <w:rFonts w:ascii="宋体" w:hAnsi="宋体"/>
      <w:sz w:val="24"/>
    </w:rPr>
  </w:style>
  <w:style w:type="paragraph" w:customStyle="1" w:styleId="76">
    <w:name w:val="索引 11"/>
    <w:basedOn w:val="1"/>
    <w:next w:val="1"/>
    <w:autoRedefine/>
    <w:qFormat/>
    <w:uiPriority w:val="0"/>
    <w:pPr>
      <w:widowControl w:val="0"/>
      <w:ind w:firstLine="480" w:firstLineChars="200"/>
      <w:jc w:val="center"/>
    </w:pPr>
    <w:rPr>
      <w:kern w:val="2"/>
      <w:sz w:val="24"/>
      <w:szCs w:val="24"/>
    </w:rPr>
  </w:style>
  <w:style w:type="paragraph" w:customStyle="1" w:styleId="77">
    <w:name w:val="批注主题1"/>
    <w:basedOn w:val="15"/>
    <w:next w:val="15"/>
    <w:link w:val="197"/>
    <w:autoRedefine/>
    <w:qFormat/>
    <w:uiPriority w:val="0"/>
    <w:rPr>
      <w:b/>
      <w:bCs/>
    </w:rPr>
  </w:style>
  <w:style w:type="paragraph" w:customStyle="1" w:styleId="78">
    <w:name w:val="正文首行缩进1"/>
    <w:basedOn w:val="16"/>
    <w:link w:val="210"/>
    <w:autoRedefine/>
    <w:qFormat/>
    <w:uiPriority w:val="0"/>
    <w:pPr>
      <w:ind w:firstLine="420" w:firstLineChars="100"/>
    </w:pPr>
  </w:style>
  <w:style w:type="paragraph" w:customStyle="1" w:styleId="79">
    <w:name w:val="正文首行缩进 21"/>
    <w:basedOn w:val="64"/>
    <w:link w:val="220"/>
    <w:autoRedefine/>
    <w:qFormat/>
    <w:uiPriority w:val="0"/>
    <w:pPr>
      <w:widowControl w:val="0"/>
      <w:ind w:firstLine="420" w:firstLineChars="200"/>
      <w:jc w:val="both"/>
    </w:pPr>
    <w:rPr>
      <w:szCs w:val="24"/>
    </w:rPr>
  </w:style>
  <w:style w:type="paragraph" w:customStyle="1" w:styleId="80">
    <w:name w:val="正文文本3"/>
    <w:basedOn w:val="1"/>
    <w:link w:val="183"/>
    <w:autoRedefine/>
    <w:qFormat/>
    <w:uiPriority w:val="0"/>
    <w:pPr>
      <w:widowControl w:val="0"/>
      <w:shd w:val="clear" w:color="auto" w:fill="FFFFFF"/>
      <w:spacing w:line="466" w:lineRule="exact"/>
      <w:ind w:hanging="1660"/>
      <w:jc w:val="right"/>
    </w:pPr>
    <w:rPr>
      <w:rFonts w:ascii="MingLiU" w:hAnsi="MingLiU" w:eastAsia="MingLiU"/>
      <w:sz w:val="19"/>
      <w:szCs w:val="19"/>
      <w:shd w:val="clear" w:color="auto" w:fill="FFFFFF"/>
    </w:rPr>
  </w:style>
  <w:style w:type="paragraph" w:customStyle="1" w:styleId="81">
    <w:name w:val="无间隔1"/>
    <w:link w:val="198"/>
    <w:autoRedefine/>
    <w:qFormat/>
    <w:uiPriority w:val="0"/>
    <w:rPr>
      <w:rFonts w:ascii="Calibri" w:hAnsi="Calibri" w:eastAsia="宋体" w:cs="Times New Roman"/>
      <w:sz w:val="22"/>
      <w:lang w:val="en-US" w:eastAsia="zh-CN" w:bidi="ar-SA"/>
    </w:rPr>
  </w:style>
  <w:style w:type="paragraph" w:customStyle="1" w:styleId="82">
    <w:name w:val="列出段落1"/>
    <w:basedOn w:val="1"/>
    <w:autoRedefine/>
    <w:qFormat/>
    <w:uiPriority w:val="0"/>
    <w:pPr>
      <w:widowControl w:val="0"/>
      <w:ind w:firstLine="420" w:firstLineChars="200"/>
      <w:jc w:val="both"/>
    </w:pPr>
    <w:rPr>
      <w:kern w:val="2"/>
      <w:sz w:val="21"/>
      <w:szCs w:val="22"/>
    </w:rPr>
  </w:style>
  <w:style w:type="paragraph" w:customStyle="1" w:styleId="83">
    <w:name w:val="p0"/>
    <w:basedOn w:val="1"/>
    <w:autoRedefine/>
    <w:qFormat/>
    <w:uiPriority w:val="0"/>
    <w:rPr>
      <w:rFonts w:ascii="宋体"/>
      <w:sz w:val="34"/>
      <w:szCs w:val="21"/>
    </w:rPr>
  </w:style>
  <w:style w:type="paragraph" w:customStyle="1" w:styleId="84">
    <w:name w:val="Normal_2"/>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5">
    <w:name w:val="xl72"/>
    <w:basedOn w:val="1"/>
    <w:autoRedefine/>
    <w:qFormat/>
    <w:uiPriority w:val="0"/>
    <w:pPr>
      <w:pBdr>
        <w:top w:val="single" w:color="auto" w:sz="4" w:space="0"/>
        <w:bottom w:val="single" w:color="auto" w:sz="4" w:space="0"/>
      </w:pBdr>
      <w:shd w:val="clear" w:color="000000" w:fill="FFFF00"/>
      <w:spacing w:before="100" w:beforeAutospacing="1" w:after="100" w:afterAutospacing="1"/>
      <w:jc w:val="center"/>
    </w:pPr>
    <w:rPr>
      <w:rFonts w:ascii="微软雅黑" w:hAnsi="微软雅黑" w:eastAsia="微软雅黑" w:cs="宋体"/>
      <w:sz w:val="24"/>
      <w:szCs w:val="24"/>
    </w:rPr>
  </w:style>
  <w:style w:type="paragraph" w:customStyle="1" w:styleId="86">
    <w:name w:val="修订1"/>
    <w:autoRedefine/>
    <w:qFormat/>
    <w:uiPriority w:val="0"/>
    <w:rPr>
      <w:rFonts w:ascii="Times New Roman" w:hAnsi="Times New Roman" w:eastAsia="宋体" w:cs="Times New Roman"/>
      <w:lang w:val="en-US" w:eastAsia="zh-CN" w:bidi="ar-SA"/>
    </w:rPr>
  </w:style>
  <w:style w:type="paragraph" w:customStyle="1" w:styleId="87">
    <w:name w:val="Blockquote"/>
    <w:basedOn w:val="1"/>
    <w:autoRedefine/>
    <w:qFormat/>
    <w:uiPriority w:val="0"/>
    <w:pPr>
      <w:widowControl w:val="0"/>
      <w:autoSpaceDE w:val="0"/>
      <w:autoSpaceDN w:val="0"/>
      <w:adjustRightInd w:val="0"/>
      <w:spacing w:before="100" w:after="100"/>
      <w:ind w:left="360" w:right="360"/>
    </w:pPr>
    <w:rPr>
      <w:sz w:val="24"/>
    </w:rPr>
  </w:style>
  <w:style w:type="paragraph" w:customStyle="1" w:styleId="88">
    <w:name w:val="xl81"/>
    <w:basedOn w:val="1"/>
    <w:autoRedefine/>
    <w:qFormat/>
    <w:uiPriority w:val="0"/>
    <w:pPr>
      <w:pBdr>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微软雅黑" w:hAnsi="微软雅黑" w:eastAsia="微软雅黑" w:cs="宋体"/>
      <w:sz w:val="24"/>
      <w:szCs w:val="24"/>
    </w:rPr>
  </w:style>
  <w:style w:type="paragraph" w:customStyle="1" w:styleId="89">
    <w:name w:val="_Style 1"/>
    <w:basedOn w:val="1"/>
    <w:autoRedefine/>
    <w:qFormat/>
    <w:uiPriority w:val="0"/>
    <w:pPr>
      <w:widowControl w:val="0"/>
      <w:ind w:firstLine="420" w:firstLineChars="200"/>
      <w:jc w:val="both"/>
    </w:pPr>
    <w:rPr>
      <w:kern w:val="2"/>
      <w:sz w:val="21"/>
      <w:szCs w:val="22"/>
    </w:rPr>
  </w:style>
  <w:style w:type="paragraph" w:customStyle="1" w:styleId="90">
    <w:name w:val="样式 样式 样式 宋体 小四 黑色 两端对齐 + 首行缩进:  2 字符 + 五号 首行缩进:  2 字符"/>
    <w:basedOn w:val="1"/>
    <w:autoRedefine/>
    <w:qFormat/>
    <w:uiPriority w:val="0"/>
    <w:pPr>
      <w:spacing w:line="340" w:lineRule="exact"/>
      <w:ind w:firstLine="200" w:firstLineChars="200"/>
      <w:jc w:val="both"/>
    </w:pPr>
    <w:rPr>
      <w:rFonts w:ascii="宋体" w:hAnsi="宋体"/>
      <w:color w:val="000000"/>
      <w:sz w:val="21"/>
    </w:rPr>
  </w:style>
  <w:style w:type="paragraph" w:customStyle="1" w:styleId="91">
    <w:name w:val="Char Char Char Char Char Char Char Char Char Char Char Char"/>
    <w:basedOn w:val="1"/>
    <w:autoRedefine/>
    <w:qFormat/>
    <w:uiPriority w:val="0"/>
    <w:pPr>
      <w:widowControl w:val="0"/>
      <w:spacing w:line="240" w:lineRule="atLeast"/>
      <w:ind w:left="420" w:firstLine="420"/>
      <w:jc w:val="both"/>
    </w:pPr>
    <w:rPr>
      <w:sz w:val="21"/>
      <w:szCs w:val="21"/>
    </w:rPr>
  </w:style>
  <w:style w:type="paragraph" w:customStyle="1" w:styleId="92">
    <w:name w:val="目录文字"/>
    <w:basedOn w:val="1"/>
    <w:autoRedefine/>
    <w:qFormat/>
    <w:uiPriority w:val="0"/>
    <w:pPr>
      <w:spacing w:line="480" w:lineRule="auto"/>
    </w:pPr>
    <w:rPr>
      <w:rFonts w:ascii="宋体" w:hAnsi="宋体"/>
      <w:sz w:val="24"/>
    </w:rPr>
  </w:style>
  <w:style w:type="paragraph" w:customStyle="1" w:styleId="93">
    <w:name w:val="p2"/>
    <w:basedOn w:val="1"/>
    <w:autoRedefine/>
    <w:qFormat/>
    <w:uiPriority w:val="0"/>
    <w:pPr>
      <w:spacing w:line="480" w:lineRule="auto"/>
      <w:ind w:firstLine="420"/>
    </w:pPr>
    <w:rPr>
      <w:rFonts w:ascii="宋体" w:hAnsi="宋体" w:cs="宋体"/>
      <w:sz w:val="21"/>
      <w:szCs w:val="21"/>
    </w:rPr>
  </w:style>
  <w:style w:type="paragraph" w:customStyle="1" w:styleId="94">
    <w:name w:val="p12"/>
    <w:basedOn w:val="1"/>
    <w:autoRedefine/>
    <w:qFormat/>
    <w:uiPriority w:val="0"/>
    <w:pPr>
      <w:spacing w:line="480" w:lineRule="auto"/>
    </w:pPr>
    <w:rPr>
      <w:rFonts w:ascii="宋体" w:hAnsi="宋体" w:cs="宋体"/>
      <w:sz w:val="21"/>
      <w:szCs w:val="21"/>
    </w:rPr>
  </w:style>
  <w:style w:type="paragraph" w:customStyle="1" w:styleId="95">
    <w:name w:val="xl75"/>
    <w:basedOn w:val="1"/>
    <w:autoRedefine/>
    <w:qFormat/>
    <w:uiPriority w:val="0"/>
    <w:pPr>
      <w:pBdr>
        <w:bottom w:val="single" w:color="auto" w:sz="4" w:space="0"/>
      </w:pBdr>
      <w:shd w:val="clear" w:color="000000" w:fill="FFFF00"/>
      <w:spacing w:before="100" w:beforeAutospacing="1" w:after="100" w:afterAutospacing="1"/>
      <w:jc w:val="center"/>
    </w:pPr>
    <w:rPr>
      <w:rFonts w:ascii="微软雅黑" w:hAnsi="微软雅黑" w:eastAsia="微软雅黑" w:cs="宋体"/>
      <w:sz w:val="24"/>
      <w:szCs w:val="24"/>
    </w:rPr>
  </w:style>
  <w:style w:type="paragraph" w:customStyle="1" w:styleId="96">
    <w:name w:val="Agreement Section"/>
    <w:basedOn w:val="1"/>
    <w:autoRedefine/>
    <w:qFormat/>
    <w:uiPriority w:val="0"/>
    <w:pPr>
      <w:widowControl w:val="0"/>
      <w:numPr>
        <w:ilvl w:val="0"/>
        <w:numId w:val="1"/>
      </w:numPr>
      <w:spacing w:line="460" w:lineRule="exact"/>
    </w:pPr>
    <w:rPr>
      <w:rFonts w:ascii="黑体" w:hAnsi="微软雅黑" w:eastAsia="黑体" w:cs="宋体"/>
      <w:color w:val="000000"/>
      <w:sz w:val="21"/>
      <w:szCs w:val="21"/>
    </w:rPr>
  </w:style>
  <w:style w:type="paragraph" w:customStyle="1" w:styleId="97">
    <w:name w:val="_Style 118"/>
    <w:basedOn w:val="64"/>
    <w:next w:val="79"/>
    <w:autoRedefine/>
    <w:qFormat/>
    <w:uiPriority w:val="0"/>
    <w:pPr>
      <w:widowControl w:val="0"/>
      <w:ind w:firstLine="420" w:firstLineChars="200"/>
      <w:jc w:val="both"/>
    </w:pPr>
    <w:rPr>
      <w:szCs w:val="24"/>
    </w:rPr>
  </w:style>
  <w:style w:type="paragraph" w:customStyle="1" w:styleId="98">
    <w:name w:val="Char Char Char Char1 Char Char Char Char Char1 Char Char Char Char Char Char Char"/>
    <w:basedOn w:val="1"/>
    <w:autoRedefine/>
    <w:qFormat/>
    <w:uiPriority w:val="0"/>
    <w:pPr>
      <w:widowControl w:val="0"/>
      <w:spacing w:line="240" w:lineRule="atLeast"/>
      <w:ind w:left="420" w:firstLine="420"/>
      <w:jc w:val="both"/>
    </w:pPr>
    <w:rPr>
      <w:sz w:val="21"/>
      <w:szCs w:val="21"/>
    </w:rPr>
  </w:style>
  <w:style w:type="paragraph" w:customStyle="1" w:styleId="99">
    <w:name w:val="xl69"/>
    <w:basedOn w:val="1"/>
    <w:autoRedefine/>
    <w:qFormat/>
    <w:uiPriority w:val="0"/>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center"/>
    </w:pPr>
    <w:rPr>
      <w:rFonts w:ascii="微软雅黑" w:hAnsi="微软雅黑" w:eastAsia="微软雅黑" w:cs="宋体"/>
      <w:sz w:val="24"/>
      <w:szCs w:val="24"/>
    </w:rPr>
  </w:style>
  <w:style w:type="paragraph" w:customStyle="1" w:styleId="100">
    <w:name w:val="xl80"/>
    <w:basedOn w:val="1"/>
    <w:autoRedefine/>
    <w:qFormat/>
    <w:uiPriority w:val="0"/>
    <w:pPr>
      <w:pBdr>
        <w:top w:val="single" w:color="auto" w:sz="4" w:space="0"/>
        <w:left w:val="single" w:color="auto" w:sz="4" w:space="0"/>
        <w:right w:val="single" w:color="auto" w:sz="4" w:space="0"/>
      </w:pBdr>
      <w:shd w:val="clear" w:color="000000" w:fill="FFFF00"/>
      <w:spacing w:before="100" w:beforeAutospacing="1" w:after="100" w:afterAutospacing="1"/>
      <w:jc w:val="center"/>
    </w:pPr>
    <w:rPr>
      <w:rFonts w:ascii="微软雅黑" w:hAnsi="微软雅黑" w:eastAsia="微软雅黑" w:cs="宋体"/>
      <w:sz w:val="24"/>
      <w:szCs w:val="24"/>
    </w:rPr>
  </w:style>
  <w:style w:type="paragraph" w:customStyle="1" w:styleId="101">
    <w:name w:val="Char Char Char Char Char Char Char Char Char Char1"/>
    <w:basedOn w:val="1"/>
    <w:autoRedefine/>
    <w:qFormat/>
    <w:uiPriority w:val="0"/>
    <w:pPr>
      <w:widowControl w:val="0"/>
      <w:tabs>
        <w:tab w:val="left" w:pos="425"/>
      </w:tabs>
      <w:ind w:left="425" w:hanging="425"/>
      <w:jc w:val="both"/>
    </w:pPr>
    <w:rPr>
      <w:rFonts w:ascii="Arial" w:hAnsi="Arial" w:eastAsia="黑体" w:cs="宋体"/>
      <w:b/>
      <w:bCs/>
      <w:kern w:val="2"/>
      <w:sz w:val="32"/>
      <w:szCs w:val="32"/>
    </w:rPr>
  </w:style>
  <w:style w:type="paragraph" w:customStyle="1" w:styleId="102">
    <w:name w:val="样式2"/>
    <w:basedOn w:val="5"/>
    <w:next w:val="5"/>
    <w:autoRedefine/>
    <w:qFormat/>
    <w:uiPriority w:val="0"/>
    <w:rPr>
      <w:rFonts w:ascii="黑体"/>
      <w:sz w:val="24"/>
      <w:szCs w:val="30"/>
    </w:rPr>
  </w:style>
  <w:style w:type="paragraph" w:customStyle="1" w:styleId="103">
    <w:name w:val="Char2"/>
    <w:basedOn w:val="1"/>
    <w:autoRedefine/>
    <w:qFormat/>
    <w:uiPriority w:val="0"/>
    <w:pPr>
      <w:widowControl w:val="0"/>
      <w:jc w:val="both"/>
    </w:pPr>
    <w:rPr>
      <w:rFonts w:ascii="Tahoma" w:hAnsi="Tahoma"/>
      <w:kern w:val="2"/>
      <w:sz w:val="24"/>
    </w:rPr>
  </w:style>
  <w:style w:type="paragraph" w:customStyle="1" w:styleId="104">
    <w:name w:val="xl77"/>
    <w:basedOn w:val="1"/>
    <w:autoRedefine/>
    <w:qFormat/>
    <w:uiPriority w:val="0"/>
    <w:pPr>
      <w:pBdr>
        <w:top w:val="single" w:color="auto" w:sz="4" w:space="0"/>
        <w:bottom w:val="single" w:color="auto" w:sz="4" w:space="0"/>
      </w:pBdr>
      <w:shd w:val="clear" w:color="000000" w:fill="D8D8D8"/>
      <w:spacing w:before="100" w:beforeAutospacing="1" w:after="100" w:afterAutospacing="1"/>
      <w:jc w:val="center"/>
    </w:pPr>
    <w:rPr>
      <w:rFonts w:ascii="微软雅黑" w:hAnsi="微软雅黑" w:eastAsia="微软雅黑" w:cs="宋体"/>
      <w:sz w:val="24"/>
      <w:szCs w:val="24"/>
    </w:rPr>
  </w:style>
  <w:style w:type="paragraph" w:customStyle="1" w:styleId="105">
    <w:name w:val="Char"/>
    <w:basedOn w:val="1"/>
    <w:autoRedefine/>
    <w:qFormat/>
    <w:uiPriority w:val="0"/>
    <w:pPr>
      <w:widowControl w:val="0"/>
      <w:jc w:val="both"/>
    </w:pPr>
    <w:rPr>
      <w:kern w:val="2"/>
      <w:sz w:val="21"/>
      <w:szCs w:val="24"/>
    </w:rPr>
  </w:style>
  <w:style w:type="paragraph" w:customStyle="1" w:styleId="106">
    <w:name w:val="默认段落字体 Para Char"/>
    <w:basedOn w:val="1"/>
    <w:autoRedefine/>
    <w:qFormat/>
    <w:uiPriority w:val="0"/>
    <w:pPr>
      <w:widowControl w:val="0"/>
      <w:snapToGrid w:val="0"/>
      <w:spacing w:line="360" w:lineRule="auto"/>
      <w:ind w:firstLine="200" w:firstLineChars="200"/>
      <w:jc w:val="both"/>
    </w:pPr>
    <w:rPr>
      <w:rFonts w:eastAsia="仿宋_GB2312"/>
      <w:kern w:val="2"/>
      <w:sz w:val="24"/>
      <w:szCs w:val="24"/>
    </w:rPr>
  </w:style>
  <w:style w:type="paragraph" w:customStyle="1" w:styleId="107">
    <w:name w:val="无间隔11"/>
    <w:autoRedefine/>
    <w:qFormat/>
    <w:uiPriority w:val="0"/>
    <w:pPr>
      <w:adjustRightInd w:val="0"/>
      <w:snapToGrid w:val="0"/>
    </w:pPr>
    <w:rPr>
      <w:rFonts w:ascii="Tahoma" w:hAnsi="Tahoma" w:eastAsia="微软雅黑" w:cs="Times New Roman"/>
      <w:sz w:val="22"/>
      <w:szCs w:val="22"/>
      <w:lang w:val="en-US" w:eastAsia="zh-CN" w:bidi="ar-SA"/>
    </w:rPr>
  </w:style>
  <w:style w:type="paragraph" w:customStyle="1" w:styleId="108">
    <w:name w:val="样式 标题 2 + Times New Roman 四号 非加粗 段前: 5 磅 段后: 0 磅 行距: 固定值 20..."/>
    <w:basedOn w:val="3"/>
    <w:autoRedefine/>
    <w:qFormat/>
    <w:uiPriority w:val="0"/>
    <w:pPr>
      <w:widowControl w:val="0"/>
      <w:spacing w:before="100" w:after="0" w:line="400" w:lineRule="exact"/>
      <w:jc w:val="both"/>
    </w:pPr>
    <w:rPr>
      <w:rFonts w:ascii="Times New Roman" w:hAnsi="Times New Roman" w:cs="宋体"/>
      <w:b w:val="0"/>
      <w:bCs w:val="0"/>
      <w:kern w:val="2"/>
      <w:sz w:val="28"/>
      <w:szCs w:val="20"/>
    </w:rPr>
  </w:style>
  <w:style w:type="paragraph" w:customStyle="1" w:styleId="109">
    <w:name w:val="样式1"/>
    <w:basedOn w:val="5"/>
    <w:autoRedefine/>
    <w:qFormat/>
    <w:uiPriority w:val="0"/>
    <w:rPr>
      <w:rFonts w:ascii="黑体"/>
      <w:sz w:val="24"/>
      <w:szCs w:val="30"/>
    </w:rPr>
  </w:style>
  <w:style w:type="paragraph" w:customStyle="1" w:styleId="110">
    <w:name w:val="PP 行"/>
    <w:basedOn w:val="70"/>
    <w:autoRedefine/>
    <w:qFormat/>
    <w:uiPriority w:val="0"/>
  </w:style>
  <w:style w:type="paragraph" w:customStyle="1" w:styleId="111">
    <w:name w:val="xl79"/>
    <w:basedOn w:val="1"/>
    <w:autoRedefine/>
    <w:qFormat/>
    <w:uiPriority w:val="0"/>
    <w:pPr>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sz w:val="24"/>
      <w:szCs w:val="24"/>
    </w:rPr>
  </w:style>
  <w:style w:type="paragraph" w:customStyle="1" w:styleId="112">
    <w:name w:val="Char Char Char Char1 Char Char Char Char Char1 Char Char Char Char Char Char Char Char Char Char Char Char Char"/>
    <w:basedOn w:val="1"/>
    <w:autoRedefine/>
    <w:qFormat/>
    <w:uiPriority w:val="0"/>
    <w:pPr>
      <w:widowControl w:val="0"/>
      <w:spacing w:line="240" w:lineRule="atLeast"/>
      <w:ind w:left="420" w:firstLine="420"/>
      <w:jc w:val="both"/>
    </w:pPr>
    <w:rPr>
      <w:sz w:val="21"/>
      <w:szCs w:val="21"/>
    </w:rPr>
  </w:style>
  <w:style w:type="paragraph" w:customStyle="1" w:styleId="113">
    <w:name w:val="7"/>
    <w:basedOn w:val="1"/>
    <w:autoRedefine/>
    <w:qFormat/>
    <w:uiPriority w:val="0"/>
    <w:pPr>
      <w:tabs>
        <w:tab w:val="left" w:pos="425"/>
      </w:tabs>
      <w:spacing w:beforeLines="100" w:after="160" w:line="240" w:lineRule="exact"/>
      <w:ind w:left="425" w:hanging="425"/>
    </w:pPr>
    <w:rPr>
      <w:rFonts w:ascii="Verdana" w:hAnsi="Verdana" w:eastAsia="黑体"/>
      <w:lang w:eastAsia="en-US"/>
    </w:rPr>
  </w:style>
  <w:style w:type="paragraph" w:customStyle="1" w:styleId="114">
    <w:name w:val="xl78"/>
    <w:basedOn w:val="1"/>
    <w:autoRedefine/>
    <w:qFormat/>
    <w:uiPriority w:val="0"/>
    <w:pPr>
      <w:pBdr>
        <w:top w:val="single" w:color="auto" w:sz="4" w:space="0"/>
        <w:bottom w:val="single" w:color="auto" w:sz="4" w:space="0"/>
        <w:right w:val="single" w:color="auto" w:sz="4" w:space="0"/>
      </w:pBdr>
      <w:shd w:val="clear" w:color="000000" w:fill="D8D8D8"/>
      <w:spacing w:before="100" w:beforeAutospacing="1" w:after="100" w:afterAutospacing="1"/>
      <w:jc w:val="center"/>
    </w:pPr>
    <w:rPr>
      <w:rFonts w:ascii="微软雅黑" w:hAnsi="微软雅黑" w:eastAsia="微软雅黑" w:cs="宋体"/>
      <w:sz w:val="24"/>
      <w:szCs w:val="24"/>
    </w:rPr>
  </w:style>
  <w:style w:type="paragraph" w:customStyle="1" w:styleId="115">
    <w:name w:val="xl76"/>
    <w:basedOn w:val="1"/>
    <w:autoRedefine/>
    <w:qFormat/>
    <w:uiPriority w:val="0"/>
    <w:pPr>
      <w:pBdr>
        <w:top w:val="single" w:color="auto" w:sz="4" w:space="0"/>
        <w:left w:val="single" w:color="auto" w:sz="4" w:space="0"/>
        <w:bottom w:val="single" w:color="auto" w:sz="4" w:space="0"/>
      </w:pBdr>
      <w:shd w:val="clear" w:color="000000" w:fill="D8D8D8"/>
      <w:spacing w:before="100" w:beforeAutospacing="1" w:after="100" w:afterAutospacing="1"/>
      <w:jc w:val="center"/>
    </w:pPr>
    <w:rPr>
      <w:rFonts w:ascii="微软雅黑" w:hAnsi="微软雅黑" w:eastAsia="微软雅黑" w:cs="宋体"/>
      <w:sz w:val="24"/>
      <w:szCs w:val="24"/>
    </w:rPr>
  </w:style>
  <w:style w:type="paragraph" w:customStyle="1" w:styleId="116">
    <w:name w:val="Char1"/>
    <w:basedOn w:val="1"/>
    <w:autoRedefine/>
    <w:qFormat/>
    <w:uiPriority w:val="0"/>
    <w:pPr>
      <w:tabs>
        <w:tab w:val="left" w:pos="425"/>
      </w:tabs>
      <w:spacing w:beforeLines="100" w:after="160" w:line="240" w:lineRule="exact"/>
      <w:ind w:left="425" w:hanging="425"/>
    </w:pPr>
    <w:rPr>
      <w:rFonts w:ascii="Verdana" w:hAnsi="Verdana" w:eastAsia="黑体"/>
      <w:lang w:eastAsia="en-US"/>
    </w:rPr>
  </w:style>
  <w:style w:type="paragraph" w:customStyle="1" w:styleId="117">
    <w:name w:val="Char Char Char Char Char Char Char Char Char Char Char Char Char Char Char Char Char Char Char Char Char Char"/>
    <w:basedOn w:val="1"/>
    <w:autoRedefine/>
    <w:qFormat/>
    <w:uiPriority w:val="0"/>
    <w:pPr>
      <w:spacing w:after="160" w:line="240" w:lineRule="exact"/>
    </w:pPr>
    <w:rPr>
      <w:rFonts w:ascii="Verdana" w:hAnsi="Verdana" w:eastAsia="仿宋_GB2312"/>
      <w:sz w:val="24"/>
      <w:lang w:eastAsia="en-US"/>
    </w:rPr>
  </w:style>
  <w:style w:type="paragraph" w:customStyle="1" w:styleId="118">
    <w:name w:val="_Style 27"/>
    <w:basedOn w:val="1"/>
    <w:next w:val="66"/>
    <w:autoRedefine/>
    <w:qFormat/>
    <w:uiPriority w:val="0"/>
    <w:pPr>
      <w:widowControl w:val="0"/>
      <w:adjustRightInd w:val="0"/>
      <w:ind w:left="420" w:right="33"/>
      <w:textAlignment w:val="baseline"/>
    </w:pPr>
    <w:rPr>
      <w:sz w:val="24"/>
    </w:rPr>
  </w:style>
  <w:style w:type="paragraph" w:customStyle="1" w:styleId="119">
    <w:name w:val="Preformatted"/>
    <w:basedOn w:val="1"/>
    <w:autoRedefine/>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120">
    <w:name w:val="Char6 Char Char Char"/>
    <w:basedOn w:val="1"/>
    <w:autoRedefine/>
    <w:qFormat/>
    <w:uiPriority w:val="0"/>
    <w:pPr>
      <w:widowControl w:val="0"/>
      <w:tabs>
        <w:tab w:val="left" w:pos="794"/>
        <w:tab w:val="left" w:pos="1191"/>
        <w:tab w:val="left" w:pos="1588"/>
        <w:tab w:val="left" w:pos="1985"/>
      </w:tabs>
      <w:autoSpaceDE w:val="0"/>
      <w:autoSpaceDN w:val="0"/>
      <w:adjustRightInd w:val="0"/>
      <w:spacing w:before="136"/>
      <w:jc w:val="both"/>
    </w:pPr>
    <w:rPr>
      <w:rFonts w:ascii="Tahoma" w:hAnsi="Tahoma"/>
      <w:sz w:val="24"/>
    </w:rPr>
  </w:style>
  <w:style w:type="paragraph" w:customStyle="1" w:styleId="121">
    <w:name w:val="标题4"/>
    <w:basedOn w:val="1"/>
    <w:next w:val="5"/>
    <w:autoRedefine/>
    <w:qFormat/>
    <w:uiPriority w:val="0"/>
    <w:rPr>
      <w:rFonts w:ascii="黑体" w:eastAsia="黑体"/>
      <w:sz w:val="24"/>
      <w:szCs w:val="30"/>
    </w:rPr>
  </w:style>
  <w:style w:type="paragraph" w:customStyle="1" w:styleId="122">
    <w:name w:val="xl3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2"/>
      <w:szCs w:val="22"/>
    </w:rPr>
  </w:style>
  <w:style w:type="paragraph" w:customStyle="1" w:styleId="123">
    <w:name w:val="xl6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sz w:val="24"/>
      <w:szCs w:val="24"/>
    </w:rPr>
  </w:style>
  <w:style w:type="paragraph" w:customStyle="1" w:styleId="124">
    <w:name w:val="xl71"/>
    <w:basedOn w:val="1"/>
    <w:autoRedefine/>
    <w:qFormat/>
    <w:uiPriority w:val="0"/>
    <w:pPr>
      <w:pBdr>
        <w:top w:val="single" w:color="auto" w:sz="4" w:space="0"/>
        <w:left w:val="single" w:color="auto" w:sz="4" w:space="0"/>
        <w:bottom w:val="single" w:color="auto" w:sz="4" w:space="0"/>
      </w:pBdr>
      <w:shd w:val="clear" w:color="000000" w:fill="FFFF00"/>
      <w:spacing w:before="100" w:beforeAutospacing="1" w:after="100" w:afterAutospacing="1"/>
      <w:jc w:val="center"/>
    </w:pPr>
    <w:rPr>
      <w:rFonts w:ascii="微软雅黑" w:hAnsi="微软雅黑" w:eastAsia="微软雅黑" w:cs="宋体"/>
      <w:sz w:val="24"/>
      <w:szCs w:val="24"/>
    </w:rPr>
  </w:style>
  <w:style w:type="paragraph" w:customStyle="1" w:styleId="125">
    <w:name w:val="Char6 Char Char Char1"/>
    <w:basedOn w:val="1"/>
    <w:autoRedefine/>
    <w:qFormat/>
    <w:uiPriority w:val="0"/>
    <w:pPr>
      <w:widowControl w:val="0"/>
      <w:tabs>
        <w:tab w:val="left" w:pos="794"/>
        <w:tab w:val="left" w:pos="1191"/>
        <w:tab w:val="left" w:pos="1588"/>
        <w:tab w:val="left" w:pos="1985"/>
      </w:tabs>
      <w:autoSpaceDE w:val="0"/>
      <w:autoSpaceDN w:val="0"/>
      <w:adjustRightInd w:val="0"/>
      <w:spacing w:before="136"/>
      <w:jc w:val="both"/>
    </w:pPr>
    <w:rPr>
      <w:rFonts w:ascii="Tahoma" w:hAnsi="Tahoma"/>
      <w:sz w:val="24"/>
    </w:rPr>
  </w:style>
  <w:style w:type="paragraph" w:customStyle="1" w:styleId="126">
    <w:name w:val="_Style 54"/>
    <w:basedOn w:val="1"/>
    <w:autoRedefine/>
    <w:qFormat/>
    <w:uiPriority w:val="0"/>
    <w:pPr>
      <w:widowControl w:val="0"/>
      <w:ind w:firstLine="467" w:firstLineChars="200"/>
      <w:jc w:val="both"/>
    </w:pPr>
    <w:rPr>
      <w:rFonts w:ascii="仿宋_GB2312" w:eastAsia="仿宋_GB2312"/>
      <w:kern w:val="2"/>
      <w:sz w:val="24"/>
      <w:szCs w:val="24"/>
    </w:rPr>
  </w:style>
  <w:style w:type="paragraph" w:customStyle="1" w:styleId="127">
    <w:name w:val="Char Char Char Char1"/>
    <w:basedOn w:val="1"/>
    <w:autoRedefine/>
    <w:qFormat/>
    <w:uiPriority w:val="0"/>
    <w:pPr>
      <w:widowControl w:val="0"/>
      <w:jc w:val="both"/>
    </w:pPr>
    <w:rPr>
      <w:kern w:val="2"/>
      <w:sz w:val="21"/>
      <w:szCs w:val="24"/>
    </w:rPr>
  </w:style>
  <w:style w:type="paragraph" w:customStyle="1" w:styleId="128">
    <w:name w:val="表格"/>
    <w:basedOn w:val="1"/>
    <w:autoRedefine/>
    <w:qFormat/>
    <w:uiPriority w:val="0"/>
    <w:pPr>
      <w:tabs>
        <w:tab w:val="left" w:pos="1200"/>
      </w:tabs>
      <w:spacing w:line="500" w:lineRule="exact"/>
      <w:jc w:val="center"/>
    </w:pPr>
    <w:rPr>
      <w:kern w:val="2"/>
      <w:sz w:val="24"/>
      <w:szCs w:val="18"/>
    </w:rPr>
  </w:style>
  <w:style w:type="paragraph" w:customStyle="1" w:styleId="129">
    <w:name w:val="xl6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sz w:val="24"/>
      <w:szCs w:val="24"/>
    </w:rPr>
  </w:style>
  <w:style w:type="paragraph" w:customStyle="1" w:styleId="130">
    <w:name w:val="_Style 119"/>
    <w:basedOn w:val="64"/>
    <w:next w:val="79"/>
    <w:autoRedefine/>
    <w:qFormat/>
    <w:uiPriority w:val="0"/>
    <w:pPr>
      <w:widowControl w:val="0"/>
      <w:ind w:firstLine="420" w:firstLineChars="200"/>
      <w:jc w:val="both"/>
    </w:pPr>
    <w:rPr>
      <w:szCs w:val="24"/>
    </w:rPr>
  </w:style>
  <w:style w:type="paragraph" w:customStyle="1" w:styleId="131">
    <w:name w:val="xl65"/>
    <w:basedOn w:val="1"/>
    <w:autoRedefine/>
    <w:qFormat/>
    <w:uiPriority w:val="0"/>
    <w:pPr>
      <w:spacing w:before="100" w:beforeAutospacing="1" w:after="100" w:afterAutospacing="1"/>
    </w:pPr>
    <w:rPr>
      <w:rFonts w:ascii="微软雅黑" w:hAnsi="微软雅黑" w:eastAsia="微软雅黑" w:cs="宋体"/>
      <w:sz w:val="24"/>
      <w:szCs w:val="24"/>
    </w:rPr>
  </w:style>
  <w:style w:type="paragraph" w:customStyle="1" w:styleId="132">
    <w:name w:val="_Style 117"/>
    <w:basedOn w:val="64"/>
    <w:next w:val="79"/>
    <w:autoRedefine/>
    <w:qFormat/>
    <w:uiPriority w:val="0"/>
    <w:pPr>
      <w:widowControl w:val="0"/>
      <w:ind w:firstLine="420" w:firstLineChars="200"/>
      <w:jc w:val="both"/>
    </w:pPr>
    <w:rPr>
      <w:szCs w:val="24"/>
    </w:rPr>
  </w:style>
  <w:style w:type="paragraph" w:customStyle="1" w:styleId="133">
    <w:name w:val="xl74"/>
    <w:basedOn w:val="1"/>
    <w:autoRedefine/>
    <w:qFormat/>
    <w:uiPriority w:val="0"/>
    <w:pPr>
      <w:shd w:val="clear" w:color="000000" w:fill="FFFF00"/>
      <w:spacing w:before="100" w:beforeAutospacing="1" w:after="100" w:afterAutospacing="1"/>
      <w:jc w:val="center"/>
    </w:pPr>
    <w:rPr>
      <w:rFonts w:ascii="微软雅黑" w:hAnsi="微软雅黑" w:eastAsia="微软雅黑" w:cs="宋体"/>
      <w:sz w:val="24"/>
      <w:szCs w:val="24"/>
    </w:rPr>
  </w:style>
  <w:style w:type="paragraph" w:customStyle="1" w:styleId="134">
    <w:name w:val="Char32"/>
    <w:basedOn w:val="1"/>
    <w:autoRedefine/>
    <w:qFormat/>
    <w:uiPriority w:val="0"/>
    <w:pPr>
      <w:widowControl w:val="0"/>
      <w:tabs>
        <w:tab w:val="left" w:pos="794"/>
        <w:tab w:val="left" w:pos="1191"/>
        <w:tab w:val="left" w:pos="1588"/>
        <w:tab w:val="left" w:pos="1985"/>
      </w:tabs>
      <w:autoSpaceDE w:val="0"/>
      <w:autoSpaceDN w:val="0"/>
      <w:adjustRightInd w:val="0"/>
      <w:spacing w:before="136"/>
      <w:jc w:val="both"/>
    </w:pPr>
    <w:rPr>
      <w:rFonts w:ascii="Tahoma" w:hAnsi="Tahoma"/>
      <w:sz w:val="24"/>
    </w:rPr>
  </w:style>
  <w:style w:type="paragraph" w:customStyle="1" w:styleId="135">
    <w:name w:val="Normal_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
    <w:name w:val="Char31"/>
    <w:basedOn w:val="1"/>
    <w:autoRedefine/>
    <w:qFormat/>
    <w:uiPriority w:val="0"/>
    <w:pPr>
      <w:widowControl w:val="0"/>
      <w:tabs>
        <w:tab w:val="left" w:pos="794"/>
        <w:tab w:val="left" w:pos="1191"/>
        <w:tab w:val="left" w:pos="1588"/>
        <w:tab w:val="left" w:pos="1985"/>
      </w:tabs>
      <w:autoSpaceDE w:val="0"/>
      <w:autoSpaceDN w:val="0"/>
      <w:adjustRightInd w:val="0"/>
      <w:spacing w:before="136"/>
      <w:jc w:val="both"/>
    </w:pPr>
    <w:rPr>
      <w:rFonts w:ascii="Tahoma" w:hAnsi="Tahoma"/>
      <w:sz w:val="24"/>
    </w:rPr>
  </w:style>
  <w:style w:type="paragraph" w:customStyle="1" w:styleId="137">
    <w:name w:val="font5"/>
    <w:basedOn w:val="1"/>
    <w:autoRedefine/>
    <w:qFormat/>
    <w:uiPriority w:val="0"/>
    <w:pPr>
      <w:spacing w:before="100" w:beforeAutospacing="1" w:after="100" w:afterAutospacing="1"/>
    </w:pPr>
    <w:rPr>
      <w:rFonts w:ascii="等线" w:hAnsi="等线" w:eastAsia="等线" w:cs="宋体"/>
      <w:sz w:val="18"/>
      <w:szCs w:val="18"/>
    </w:rPr>
  </w:style>
  <w:style w:type="paragraph" w:customStyle="1" w:styleId="138">
    <w:name w:val="opening2"/>
    <w:basedOn w:val="1"/>
    <w:autoRedefine/>
    <w:qFormat/>
    <w:uiPriority w:val="0"/>
    <w:pPr>
      <w:spacing w:before="100" w:beforeAutospacing="1" w:after="100" w:afterAutospacing="1"/>
    </w:pPr>
    <w:rPr>
      <w:rFonts w:ascii="宋体" w:hAnsi="宋体" w:cs="宋体"/>
      <w:color w:val="000000"/>
      <w:sz w:val="23"/>
      <w:szCs w:val="23"/>
    </w:rPr>
  </w:style>
  <w:style w:type="paragraph" w:customStyle="1" w:styleId="139">
    <w:name w:val="xl70"/>
    <w:basedOn w:val="1"/>
    <w:autoRedefine/>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微软雅黑" w:hAnsi="微软雅黑" w:eastAsia="微软雅黑" w:cs="宋体"/>
      <w:sz w:val="24"/>
      <w:szCs w:val="24"/>
    </w:rPr>
  </w:style>
  <w:style w:type="paragraph" w:customStyle="1" w:styleId="140">
    <w:name w:val="_Style 3"/>
    <w:basedOn w:val="1"/>
    <w:autoRedefine/>
    <w:qFormat/>
    <w:uiPriority w:val="0"/>
    <w:pPr>
      <w:widowControl w:val="0"/>
      <w:ind w:firstLine="420" w:firstLineChars="200"/>
      <w:jc w:val="both"/>
    </w:pPr>
    <w:rPr>
      <w:kern w:val="2"/>
      <w:sz w:val="21"/>
      <w:szCs w:val="22"/>
    </w:rPr>
  </w:style>
  <w:style w:type="paragraph" w:customStyle="1" w:styleId="141">
    <w:name w:val="列出段落11"/>
    <w:basedOn w:val="1"/>
    <w:autoRedefine/>
    <w:qFormat/>
    <w:uiPriority w:val="0"/>
    <w:pPr>
      <w:widowControl w:val="0"/>
      <w:ind w:firstLine="420" w:firstLineChars="200"/>
      <w:jc w:val="both"/>
    </w:pPr>
    <w:rPr>
      <w:rFonts w:ascii="Calibri" w:hAnsi="Calibri"/>
      <w:kern w:val="2"/>
      <w:sz w:val="21"/>
      <w:szCs w:val="22"/>
    </w:rPr>
  </w:style>
  <w:style w:type="paragraph" w:customStyle="1" w:styleId="142">
    <w:name w:val="xl73"/>
    <w:basedOn w:val="1"/>
    <w:autoRedefine/>
    <w:qFormat/>
    <w:uiPriority w:val="0"/>
    <w:pPr>
      <w:pBdr>
        <w:top w:val="single" w:color="auto" w:sz="4" w:space="0"/>
        <w:bottom w:val="single" w:color="auto" w:sz="4" w:space="0"/>
        <w:right w:val="single" w:color="auto" w:sz="4" w:space="0"/>
      </w:pBdr>
      <w:shd w:val="clear" w:color="000000" w:fill="FFFF00"/>
      <w:spacing w:before="100" w:beforeAutospacing="1" w:after="100" w:afterAutospacing="1"/>
      <w:jc w:val="center"/>
    </w:pPr>
    <w:rPr>
      <w:rFonts w:ascii="微软雅黑" w:hAnsi="微软雅黑" w:eastAsia="微软雅黑" w:cs="宋体"/>
      <w:sz w:val="24"/>
      <w:szCs w:val="24"/>
    </w:rPr>
  </w:style>
  <w:style w:type="paragraph" w:customStyle="1" w:styleId="143">
    <w:name w:val="xl68"/>
    <w:basedOn w:val="1"/>
    <w:autoRedefine/>
    <w:qFormat/>
    <w:uiPriority w:val="0"/>
    <w:pPr>
      <w:spacing w:before="100" w:beforeAutospacing="1" w:after="100" w:afterAutospacing="1"/>
      <w:jc w:val="center"/>
    </w:pPr>
    <w:rPr>
      <w:rFonts w:ascii="微软雅黑" w:hAnsi="微软雅黑" w:eastAsia="微软雅黑" w:cs="宋体"/>
      <w:sz w:val="24"/>
      <w:szCs w:val="24"/>
    </w:rPr>
  </w:style>
  <w:style w:type="paragraph" w:customStyle="1" w:styleId="144">
    <w:name w:val="xl24"/>
    <w:basedOn w:val="1"/>
    <w:autoRedefine/>
    <w:qFormat/>
    <w:uiPriority w:val="0"/>
    <w:pPr>
      <w:spacing w:before="100" w:beforeAutospacing="1" w:after="100" w:afterAutospacing="1"/>
      <w:jc w:val="center"/>
      <w:textAlignment w:val="center"/>
    </w:pPr>
    <w:rPr>
      <w:rFonts w:ascii="宋体" w:hAnsi="宋体"/>
      <w:sz w:val="24"/>
      <w:szCs w:val="24"/>
    </w:rPr>
  </w:style>
  <w:style w:type="paragraph" w:customStyle="1" w:styleId="145">
    <w:name w:val="xl51"/>
    <w:basedOn w:val="1"/>
    <w:autoRedefine/>
    <w:qFormat/>
    <w:uiPriority w:val="0"/>
    <w:pPr>
      <w:pBdr>
        <w:bottom w:val="single" w:color="auto" w:sz="4" w:space="0"/>
      </w:pBdr>
      <w:spacing w:before="100" w:beforeAutospacing="1" w:after="100" w:afterAutospacing="1"/>
      <w:jc w:val="center"/>
      <w:textAlignment w:val="center"/>
    </w:pPr>
    <w:rPr>
      <w:rFonts w:ascii="宋体" w:hAnsi="宋体"/>
      <w:b/>
      <w:bCs/>
      <w:sz w:val="32"/>
      <w:szCs w:val="32"/>
    </w:rPr>
  </w:style>
  <w:style w:type="paragraph" w:customStyle="1" w:styleId="146">
    <w:name w:val="Char Char Char Char"/>
    <w:basedOn w:val="1"/>
    <w:autoRedefine/>
    <w:qFormat/>
    <w:uiPriority w:val="0"/>
    <w:pPr>
      <w:widowControl w:val="0"/>
      <w:spacing w:line="240" w:lineRule="atLeast"/>
      <w:ind w:left="420" w:firstLine="420"/>
      <w:jc w:val="both"/>
    </w:pPr>
    <w:rPr>
      <w:sz w:val="21"/>
      <w:szCs w:val="21"/>
    </w:rPr>
  </w:style>
  <w:style w:type="paragraph" w:customStyle="1" w:styleId="147">
    <w:name w:val="1"/>
    <w:basedOn w:val="1"/>
    <w:next w:val="66"/>
    <w:autoRedefine/>
    <w:qFormat/>
    <w:uiPriority w:val="0"/>
    <w:pPr>
      <w:widowControl w:val="0"/>
      <w:adjustRightInd w:val="0"/>
      <w:ind w:left="420" w:right="33"/>
      <w:textAlignment w:val="baseline"/>
    </w:pPr>
    <w:rPr>
      <w:sz w:val="24"/>
    </w:rPr>
  </w:style>
  <w:style w:type="paragraph" w:customStyle="1" w:styleId="148">
    <w:name w:val="Char6 Char Char Char2"/>
    <w:basedOn w:val="1"/>
    <w:autoRedefine/>
    <w:qFormat/>
    <w:uiPriority w:val="0"/>
    <w:pPr>
      <w:widowControl w:val="0"/>
      <w:tabs>
        <w:tab w:val="left" w:pos="794"/>
        <w:tab w:val="left" w:pos="1191"/>
        <w:tab w:val="left" w:pos="1588"/>
        <w:tab w:val="left" w:pos="1985"/>
      </w:tabs>
      <w:autoSpaceDE w:val="0"/>
      <w:autoSpaceDN w:val="0"/>
      <w:adjustRightInd w:val="0"/>
      <w:spacing w:before="136"/>
      <w:jc w:val="both"/>
    </w:pPr>
    <w:rPr>
      <w:rFonts w:ascii="Tahoma" w:hAnsi="Tahoma"/>
      <w:sz w:val="24"/>
    </w:rPr>
  </w:style>
  <w:style w:type="paragraph" w:customStyle="1" w:styleId="149">
    <w:name w:val="Char3"/>
    <w:basedOn w:val="1"/>
    <w:autoRedefine/>
    <w:qFormat/>
    <w:uiPriority w:val="0"/>
    <w:pPr>
      <w:widowControl w:val="0"/>
      <w:tabs>
        <w:tab w:val="left" w:pos="794"/>
        <w:tab w:val="left" w:pos="1191"/>
        <w:tab w:val="left" w:pos="1588"/>
        <w:tab w:val="left" w:pos="1985"/>
      </w:tabs>
      <w:autoSpaceDE w:val="0"/>
      <w:autoSpaceDN w:val="0"/>
      <w:adjustRightInd w:val="0"/>
      <w:spacing w:before="136"/>
      <w:jc w:val="both"/>
    </w:pPr>
    <w:rPr>
      <w:rFonts w:ascii="Tahoma" w:hAnsi="Tahoma"/>
      <w:sz w:val="24"/>
    </w:rPr>
  </w:style>
  <w:style w:type="paragraph" w:customStyle="1" w:styleId="150">
    <w:name w:val="样式 标题 3 + (中文) 黑体 小四 非加粗 段前: 7.8 磅 段后: 0 磅 行距: 固定值 20 磅"/>
    <w:basedOn w:val="4"/>
    <w:autoRedefine/>
    <w:qFormat/>
    <w:uiPriority w:val="0"/>
    <w:pPr>
      <w:widowControl w:val="0"/>
      <w:spacing w:before="0" w:after="0" w:line="400" w:lineRule="exact"/>
      <w:jc w:val="both"/>
    </w:pPr>
    <w:rPr>
      <w:rFonts w:eastAsia="黑体" w:cs="宋体"/>
      <w:b w:val="0"/>
      <w:bCs w:val="0"/>
      <w:kern w:val="2"/>
      <w:sz w:val="24"/>
      <w:szCs w:val="20"/>
    </w:rPr>
  </w:style>
  <w:style w:type="paragraph" w:customStyle="1" w:styleId="151">
    <w:name w:val="_Style 5"/>
    <w:basedOn w:val="1"/>
    <w:autoRedefine/>
    <w:qFormat/>
    <w:uiPriority w:val="0"/>
    <w:pPr>
      <w:spacing w:after="160" w:line="240" w:lineRule="exact"/>
    </w:pPr>
    <w:rPr>
      <w:rFonts w:ascii="Verdana" w:hAnsi="Verdana" w:eastAsia="仿宋_GB2312"/>
      <w:sz w:val="24"/>
      <w:lang w:eastAsia="en-US"/>
    </w:rPr>
  </w:style>
  <w:style w:type="paragraph" w:customStyle="1" w:styleId="152">
    <w:name w:val="简单回函地址"/>
    <w:basedOn w:val="1"/>
    <w:autoRedefine/>
    <w:qFormat/>
    <w:uiPriority w:val="0"/>
    <w:pPr>
      <w:widowControl w:val="0"/>
      <w:jc w:val="both"/>
    </w:pPr>
    <w:rPr>
      <w:kern w:val="2"/>
      <w:sz w:val="21"/>
      <w:szCs w:val="24"/>
    </w:rPr>
  </w:style>
  <w:style w:type="paragraph" w:customStyle="1" w:styleId="153">
    <w:name w:val="纯文本11"/>
    <w:basedOn w:val="1"/>
    <w:autoRedefine/>
    <w:qFormat/>
    <w:uiPriority w:val="0"/>
    <w:rPr>
      <w:rFonts w:ascii="宋体"/>
      <w:kern w:val="2"/>
      <w:sz w:val="21"/>
    </w:rPr>
  </w:style>
  <w:style w:type="character" w:customStyle="1" w:styleId="154">
    <w:name w:val="批注引用1"/>
    <w:basedOn w:val="33"/>
    <w:autoRedefine/>
    <w:qFormat/>
    <w:uiPriority w:val="0"/>
    <w:rPr>
      <w:sz w:val="21"/>
      <w:szCs w:val="21"/>
    </w:rPr>
  </w:style>
  <w:style w:type="character" w:customStyle="1" w:styleId="155">
    <w:name w:val="批注框文本 Char Char Char Char"/>
    <w:link w:val="60"/>
    <w:autoRedefine/>
    <w:semiHidden/>
    <w:qFormat/>
    <w:uiPriority w:val="0"/>
    <w:rPr>
      <w:sz w:val="18"/>
      <w:szCs w:val="18"/>
    </w:rPr>
  </w:style>
  <w:style w:type="character" w:customStyle="1" w:styleId="156">
    <w:name w:val="页码1"/>
    <w:basedOn w:val="33"/>
    <w:autoRedefine/>
    <w:qFormat/>
    <w:uiPriority w:val="0"/>
  </w:style>
  <w:style w:type="character" w:customStyle="1" w:styleId="157">
    <w:name w:val="批注引用11"/>
    <w:autoRedefine/>
    <w:qFormat/>
    <w:uiPriority w:val="0"/>
    <w:rPr>
      <w:sz w:val="21"/>
      <w:szCs w:val="21"/>
    </w:rPr>
  </w:style>
  <w:style w:type="character" w:customStyle="1" w:styleId="158">
    <w:name w:val="标题 1 字符"/>
    <w:basedOn w:val="33"/>
    <w:autoRedefine/>
    <w:qFormat/>
    <w:uiPriority w:val="0"/>
    <w:rPr>
      <w:rFonts w:ascii="Times New Roman" w:hAnsi="Times New Roman" w:eastAsia="宋体" w:cs="Times New Roman"/>
      <w:b/>
      <w:bCs/>
      <w:kern w:val="44"/>
      <w:sz w:val="44"/>
      <w:szCs w:val="44"/>
    </w:rPr>
  </w:style>
  <w:style w:type="character" w:customStyle="1" w:styleId="159">
    <w:name w:val="标题 2 字符"/>
    <w:basedOn w:val="33"/>
    <w:autoRedefine/>
    <w:qFormat/>
    <w:uiPriority w:val="0"/>
    <w:rPr>
      <w:rFonts w:ascii="等线 Light" w:hAnsi="等线 Light" w:eastAsia="等线 Light" w:cs="黑体"/>
      <w:b/>
      <w:bCs/>
      <w:kern w:val="0"/>
      <w:sz w:val="32"/>
      <w:szCs w:val="32"/>
    </w:rPr>
  </w:style>
  <w:style w:type="character" w:customStyle="1" w:styleId="160">
    <w:name w:val="标题 3 字符"/>
    <w:basedOn w:val="33"/>
    <w:autoRedefine/>
    <w:qFormat/>
    <w:uiPriority w:val="0"/>
    <w:rPr>
      <w:rFonts w:ascii="Times New Roman" w:hAnsi="Times New Roman" w:eastAsia="宋体" w:cs="Times New Roman"/>
      <w:b/>
      <w:bCs/>
      <w:kern w:val="0"/>
      <w:sz w:val="32"/>
      <w:szCs w:val="32"/>
    </w:rPr>
  </w:style>
  <w:style w:type="character" w:customStyle="1" w:styleId="161">
    <w:name w:val="标题 4 字符"/>
    <w:basedOn w:val="33"/>
    <w:autoRedefine/>
    <w:qFormat/>
    <w:uiPriority w:val="0"/>
    <w:rPr>
      <w:rFonts w:ascii="等线 Light" w:hAnsi="等线 Light" w:eastAsia="等线 Light" w:cs="黑体"/>
      <w:b/>
      <w:bCs/>
      <w:kern w:val="0"/>
      <w:sz w:val="28"/>
      <w:szCs w:val="28"/>
    </w:rPr>
  </w:style>
  <w:style w:type="character" w:customStyle="1" w:styleId="162">
    <w:name w:val="正文缩进 字符"/>
    <w:autoRedefine/>
    <w:qFormat/>
    <w:uiPriority w:val="0"/>
  </w:style>
  <w:style w:type="character" w:customStyle="1" w:styleId="163">
    <w:name w:val="文档结构图 字符"/>
    <w:autoRedefine/>
    <w:qFormat/>
    <w:uiPriority w:val="0"/>
    <w:rPr>
      <w:rFonts w:ascii="宋体"/>
      <w:sz w:val="18"/>
      <w:szCs w:val="18"/>
    </w:rPr>
  </w:style>
  <w:style w:type="character" w:customStyle="1" w:styleId="164">
    <w:name w:val="Char Char1"/>
    <w:autoRedefine/>
    <w:qFormat/>
    <w:uiPriority w:val="0"/>
    <w:rPr>
      <w:b/>
      <w:bCs/>
      <w:kern w:val="44"/>
      <w:sz w:val="44"/>
      <w:szCs w:val="44"/>
    </w:rPr>
  </w:style>
  <w:style w:type="character" w:customStyle="1" w:styleId="165">
    <w:name w:val="页脚 字符1"/>
    <w:autoRedefine/>
    <w:qFormat/>
    <w:uiPriority w:val="0"/>
    <w:rPr>
      <w:rFonts w:ascii="Times New Roman" w:hAnsi="Times New Roman" w:eastAsia="宋体" w:cs="Times New Roman"/>
      <w:sz w:val="18"/>
      <w:szCs w:val="18"/>
      <w:lang w:val="en-US" w:eastAsia="zh-CN" w:bidi="ar-SA"/>
    </w:rPr>
  </w:style>
  <w:style w:type="character" w:customStyle="1" w:styleId="166">
    <w:name w:val="g1"/>
    <w:autoRedefine/>
    <w:qFormat/>
    <w:uiPriority w:val="0"/>
    <w:rPr>
      <w:color w:val="008000"/>
    </w:rPr>
  </w:style>
  <w:style w:type="character" w:customStyle="1" w:styleId="167">
    <w:name w:val="标题 2 字符2"/>
    <w:autoRedefine/>
    <w:qFormat/>
    <w:uiPriority w:val="0"/>
    <w:rPr>
      <w:rFonts w:ascii="Arial" w:hAnsi="Arial" w:eastAsia="黑体" w:cs="Times New Roman"/>
      <w:b/>
      <w:bCs/>
      <w:sz w:val="32"/>
      <w:szCs w:val="32"/>
    </w:rPr>
  </w:style>
  <w:style w:type="character" w:customStyle="1" w:styleId="168">
    <w:name w:val="font11"/>
    <w:basedOn w:val="33"/>
    <w:autoRedefine/>
    <w:qFormat/>
    <w:uiPriority w:val="0"/>
    <w:rPr>
      <w:rFonts w:hint="eastAsia" w:ascii="宋体" w:hAnsi="宋体" w:eastAsia="宋体" w:cs="宋体"/>
      <w:color w:val="000000"/>
      <w:sz w:val="18"/>
      <w:szCs w:val="18"/>
      <w:u w:val="none"/>
    </w:rPr>
  </w:style>
  <w:style w:type="character" w:customStyle="1" w:styleId="169">
    <w:name w:val="纯文本 字符"/>
    <w:autoRedefine/>
    <w:qFormat/>
    <w:uiPriority w:val="0"/>
    <w:rPr>
      <w:rFonts w:ascii="宋体" w:hAnsi="Courier New" w:cs="Courier New"/>
      <w:kern w:val="2"/>
      <w:sz w:val="21"/>
      <w:szCs w:val="21"/>
    </w:rPr>
  </w:style>
  <w:style w:type="character" w:customStyle="1" w:styleId="170">
    <w:name w:val="标题 1 字符1"/>
    <w:autoRedefine/>
    <w:qFormat/>
    <w:uiPriority w:val="0"/>
    <w:rPr>
      <w:rFonts w:ascii="Times New Roman" w:hAnsi="Times New Roman" w:eastAsia="宋体" w:cs="Times New Roman"/>
      <w:b/>
      <w:bCs/>
      <w:kern w:val="44"/>
      <w:sz w:val="44"/>
      <w:szCs w:val="44"/>
    </w:rPr>
  </w:style>
  <w:style w:type="character" w:customStyle="1" w:styleId="171">
    <w:name w:val="正文文本 + 间距 0 pt"/>
    <w:autoRedefine/>
    <w:qFormat/>
    <w:uiPriority w:val="0"/>
    <w:rPr>
      <w:rFonts w:ascii="MingLiU" w:hAnsi="MingLiU" w:eastAsia="MingLiU" w:cs="MingLiU"/>
      <w:color w:val="000000"/>
      <w:spacing w:val="10"/>
      <w:w w:val="100"/>
      <w:position w:val="0"/>
      <w:sz w:val="19"/>
      <w:szCs w:val="19"/>
      <w:shd w:val="clear" w:color="auto" w:fill="FFFFFF"/>
      <w:lang w:val="zh-TW"/>
    </w:rPr>
  </w:style>
  <w:style w:type="character" w:customStyle="1" w:styleId="172">
    <w:name w:val="正文缩进 字符1"/>
    <w:link w:val="63"/>
    <w:autoRedefine/>
    <w:semiHidden/>
    <w:qFormat/>
    <w:uiPriority w:val="0"/>
  </w:style>
  <w:style w:type="character" w:customStyle="1" w:styleId="173">
    <w:name w:val="页脚 字符2"/>
    <w:autoRedefine/>
    <w:qFormat/>
    <w:uiPriority w:val="0"/>
    <w:rPr>
      <w:rFonts w:eastAsia="宋体"/>
      <w:sz w:val="18"/>
      <w:szCs w:val="18"/>
      <w:lang w:val="en-US" w:eastAsia="zh-CN" w:bidi="ar-SA"/>
    </w:rPr>
  </w:style>
  <w:style w:type="character" w:customStyle="1" w:styleId="174">
    <w:name w:val="正文文本缩进 3 字符"/>
    <w:link w:val="72"/>
    <w:autoRedefine/>
    <w:semiHidden/>
    <w:qFormat/>
    <w:uiPriority w:val="0"/>
    <w:rPr>
      <w:sz w:val="16"/>
      <w:szCs w:val="16"/>
    </w:rPr>
  </w:style>
  <w:style w:type="character" w:customStyle="1" w:styleId="175">
    <w:name w:val="页眉 字符1"/>
    <w:autoRedefine/>
    <w:qFormat/>
    <w:uiPriority w:val="0"/>
    <w:rPr>
      <w:rFonts w:ascii="Times New Roman" w:hAnsi="Times New Roman" w:eastAsia="宋体" w:cs="Times New Roman"/>
      <w:sz w:val="18"/>
      <w:szCs w:val="18"/>
    </w:rPr>
  </w:style>
  <w:style w:type="character" w:customStyle="1" w:styleId="176">
    <w:name w:val="style11"/>
    <w:autoRedefine/>
    <w:qFormat/>
    <w:uiPriority w:val="0"/>
    <w:rPr>
      <w:b/>
      <w:bCs/>
    </w:rPr>
  </w:style>
  <w:style w:type="character" w:customStyle="1" w:styleId="177">
    <w:name w:val="批注文字 字符"/>
    <w:autoRedefine/>
    <w:qFormat/>
    <w:uiPriority w:val="0"/>
    <w:rPr>
      <w:sz w:val="24"/>
    </w:rPr>
  </w:style>
  <w:style w:type="character" w:customStyle="1" w:styleId="178">
    <w:name w:val="标题 3 字符2"/>
    <w:autoRedefine/>
    <w:qFormat/>
    <w:uiPriority w:val="0"/>
    <w:rPr>
      <w:rFonts w:ascii="Times New Roman" w:hAnsi="Times New Roman" w:eastAsia="宋体" w:cs="Times New Roman"/>
      <w:b/>
      <w:bCs/>
      <w:sz w:val="32"/>
      <w:szCs w:val="32"/>
    </w:rPr>
  </w:style>
  <w:style w:type="character" w:customStyle="1" w:styleId="179">
    <w:name w:val="日期 字符"/>
    <w:link w:val="68"/>
    <w:autoRedefine/>
    <w:semiHidden/>
    <w:qFormat/>
    <w:uiPriority w:val="0"/>
  </w:style>
  <w:style w:type="character" w:customStyle="1" w:styleId="180">
    <w:name w:val="正文文本 字符"/>
    <w:autoRedefine/>
    <w:qFormat/>
    <w:uiPriority w:val="0"/>
    <w:rPr>
      <w:rFonts w:eastAsia="宋体"/>
      <w:lang w:val="en-US" w:eastAsia="zh-CN" w:bidi="ar-SA"/>
    </w:rPr>
  </w:style>
  <w:style w:type="character" w:customStyle="1" w:styleId="181">
    <w:name w:val="标题 2XW Char2"/>
    <w:autoRedefine/>
    <w:qFormat/>
    <w:uiPriority w:val="0"/>
    <w:rPr>
      <w:rFonts w:ascii="Cambria" w:hAnsi="Cambria" w:eastAsia="宋体" w:cs="Times New Roman"/>
      <w:b/>
      <w:bCs/>
      <w:sz w:val="32"/>
      <w:szCs w:val="32"/>
    </w:rPr>
  </w:style>
  <w:style w:type="character" w:customStyle="1" w:styleId="182">
    <w:name w:val="Char Char4"/>
    <w:basedOn w:val="33"/>
    <w:autoRedefine/>
    <w:qFormat/>
    <w:uiPriority w:val="0"/>
  </w:style>
  <w:style w:type="character" w:customStyle="1" w:styleId="183">
    <w:name w:val="正文文本_"/>
    <w:link w:val="80"/>
    <w:autoRedefine/>
    <w:semiHidden/>
    <w:qFormat/>
    <w:uiPriority w:val="0"/>
    <w:rPr>
      <w:rFonts w:ascii="MingLiU" w:hAnsi="MingLiU" w:eastAsia="MingLiU" w:cs="MingLiU"/>
      <w:sz w:val="19"/>
      <w:szCs w:val="19"/>
      <w:shd w:val="clear" w:color="auto" w:fill="FFFFFF"/>
    </w:rPr>
  </w:style>
  <w:style w:type="character" w:customStyle="1" w:styleId="184">
    <w:name w:val="未处理的提及1"/>
    <w:autoRedefine/>
    <w:qFormat/>
    <w:uiPriority w:val="0"/>
    <w:rPr>
      <w:color w:val="605E5C"/>
      <w:shd w:val="clear" w:color="auto" w:fill="E1DFDD"/>
    </w:rPr>
  </w:style>
  <w:style w:type="character" w:customStyle="1" w:styleId="185">
    <w:name w:val="日期 Char1"/>
    <w:autoRedefine/>
    <w:qFormat/>
    <w:uiPriority w:val="0"/>
    <w:rPr>
      <w:kern w:val="2"/>
      <w:sz w:val="21"/>
      <w:szCs w:val="22"/>
    </w:rPr>
  </w:style>
  <w:style w:type="character" w:customStyle="1" w:styleId="186">
    <w:name w:val="font51"/>
    <w:basedOn w:val="33"/>
    <w:autoRedefine/>
    <w:qFormat/>
    <w:uiPriority w:val="0"/>
    <w:rPr>
      <w:rFonts w:hint="eastAsia" w:ascii="宋体" w:hAnsi="宋体" w:eastAsia="宋体" w:cs="宋体"/>
      <w:color w:val="000000"/>
      <w:sz w:val="18"/>
      <w:szCs w:val="18"/>
      <w:u w:val="none"/>
    </w:rPr>
  </w:style>
  <w:style w:type="character" w:customStyle="1" w:styleId="187">
    <w:name w:val="fy"/>
    <w:autoRedefine/>
    <w:qFormat/>
    <w:uiPriority w:val="0"/>
  </w:style>
  <w:style w:type="character" w:customStyle="1" w:styleId="188">
    <w:name w:val="页眉 字符2"/>
    <w:autoRedefine/>
    <w:qFormat/>
    <w:uiPriority w:val="0"/>
    <w:rPr>
      <w:sz w:val="18"/>
      <w:szCs w:val="18"/>
    </w:rPr>
  </w:style>
  <w:style w:type="character" w:customStyle="1" w:styleId="189">
    <w:name w:val="正文文本 字符1"/>
    <w:autoRedefine/>
    <w:qFormat/>
    <w:uiPriority w:val="0"/>
    <w:rPr>
      <w:rFonts w:eastAsia="宋体"/>
      <w:lang w:val="en-US" w:eastAsia="zh-CN" w:bidi="ar-SA"/>
    </w:rPr>
  </w:style>
  <w:style w:type="character" w:customStyle="1" w:styleId="190">
    <w:name w:val="纯文本 字符1"/>
    <w:autoRedefine/>
    <w:qFormat/>
    <w:uiPriority w:val="0"/>
    <w:rPr>
      <w:rFonts w:ascii="宋体" w:hAnsi="Courier New" w:cs="Courier New"/>
      <w:kern w:val="2"/>
      <w:sz w:val="21"/>
      <w:szCs w:val="21"/>
    </w:rPr>
  </w:style>
  <w:style w:type="character" w:customStyle="1" w:styleId="191">
    <w:name w:val="BoldText"/>
    <w:autoRedefine/>
    <w:qFormat/>
    <w:uiPriority w:val="0"/>
    <w:rPr>
      <w:rFonts w:ascii="Times New Roman" w:hAnsi="Times New Roman" w:cs="Times New Roman"/>
      <w:b/>
      <w:bCs/>
    </w:rPr>
  </w:style>
  <w:style w:type="character" w:customStyle="1" w:styleId="192">
    <w:name w:val="文档结构图 字符1"/>
    <w:link w:val="61"/>
    <w:autoRedefine/>
    <w:semiHidden/>
    <w:qFormat/>
    <w:uiPriority w:val="0"/>
    <w:rPr>
      <w:rFonts w:ascii="宋体"/>
      <w:sz w:val="18"/>
      <w:szCs w:val="18"/>
    </w:rPr>
  </w:style>
  <w:style w:type="character" w:customStyle="1" w:styleId="193">
    <w:name w:val="zbggmain style9"/>
    <w:autoRedefine/>
    <w:qFormat/>
    <w:uiPriority w:val="0"/>
  </w:style>
  <w:style w:type="character" w:customStyle="1" w:styleId="194">
    <w:name w:val="批注文字 字符1"/>
    <w:autoRedefine/>
    <w:qFormat/>
    <w:uiPriority w:val="0"/>
    <w:rPr>
      <w:rFonts w:eastAsia="宋体"/>
      <w:sz w:val="24"/>
      <w:lang w:val="en-US" w:eastAsia="zh-CN" w:bidi="ar-SA"/>
    </w:rPr>
  </w:style>
  <w:style w:type="character" w:customStyle="1" w:styleId="195">
    <w:name w:val="font21"/>
    <w:basedOn w:val="33"/>
    <w:autoRedefine/>
    <w:qFormat/>
    <w:uiPriority w:val="0"/>
    <w:rPr>
      <w:rFonts w:hint="eastAsia" w:ascii="宋体" w:hAnsi="宋体" w:eastAsia="宋体" w:cs="宋体"/>
      <w:color w:val="000000"/>
      <w:sz w:val="18"/>
      <w:szCs w:val="18"/>
      <w:u w:val="none"/>
    </w:rPr>
  </w:style>
  <w:style w:type="character" w:customStyle="1" w:styleId="196">
    <w:name w:val="纯文本 字符2"/>
    <w:link w:val="67"/>
    <w:autoRedefine/>
    <w:semiHidden/>
    <w:qFormat/>
    <w:uiPriority w:val="0"/>
    <w:rPr>
      <w:rFonts w:ascii="宋体" w:hAnsi="Courier New" w:eastAsia="宋体" w:cs="Courier New"/>
      <w:szCs w:val="21"/>
    </w:rPr>
  </w:style>
  <w:style w:type="character" w:customStyle="1" w:styleId="197">
    <w:name w:val="批注主题 字符"/>
    <w:link w:val="77"/>
    <w:autoRedefine/>
    <w:semiHidden/>
    <w:qFormat/>
    <w:uiPriority w:val="0"/>
    <w:rPr>
      <w:b/>
      <w:bCs/>
    </w:rPr>
  </w:style>
  <w:style w:type="character" w:customStyle="1" w:styleId="198">
    <w:name w:val="无间隔 字符"/>
    <w:link w:val="81"/>
    <w:autoRedefine/>
    <w:qFormat/>
    <w:uiPriority w:val="0"/>
    <w:rPr>
      <w:rFonts w:ascii="Calibri" w:hAnsi="Calibri"/>
      <w:sz w:val="22"/>
      <w:lang w:bidi="ar-SA"/>
    </w:rPr>
  </w:style>
  <w:style w:type="character" w:customStyle="1" w:styleId="199">
    <w:name w:val="HTML Markup"/>
    <w:autoRedefine/>
    <w:qFormat/>
    <w:uiPriority w:val="0"/>
    <w:rPr>
      <w:vanish/>
      <w:color w:val="FF0000"/>
    </w:rPr>
  </w:style>
  <w:style w:type="character" w:customStyle="1" w:styleId="200">
    <w:name w:val="javascript"/>
    <w:autoRedefine/>
    <w:qFormat/>
    <w:uiPriority w:val="0"/>
  </w:style>
  <w:style w:type="character" w:customStyle="1" w:styleId="201">
    <w:name w:val="纯文本 Char1"/>
    <w:autoRedefine/>
    <w:qFormat/>
    <w:uiPriority w:val="0"/>
    <w:rPr>
      <w:rFonts w:ascii="宋体" w:hAnsi="Courier New" w:cs="Courier New"/>
      <w:sz w:val="21"/>
      <w:szCs w:val="21"/>
    </w:rPr>
  </w:style>
  <w:style w:type="character" w:customStyle="1" w:styleId="202">
    <w:name w:val="标题 2 字符3"/>
    <w:autoRedefine/>
    <w:qFormat/>
    <w:uiPriority w:val="0"/>
    <w:rPr>
      <w:rFonts w:ascii="Arial" w:hAnsi="Arial" w:eastAsia="黑体"/>
      <w:b/>
      <w:bCs/>
      <w:sz w:val="32"/>
      <w:szCs w:val="32"/>
    </w:rPr>
  </w:style>
  <w:style w:type="character" w:customStyle="1" w:styleId="203">
    <w:name w:val="正文文本缩进 字符1"/>
    <w:link w:val="64"/>
    <w:autoRedefine/>
    <w:semiHidden/>
    <w:qFormat/>
    <w:uiPriority w:val="0"/>
  </w:style>
  <w:style w:type="character" w:customStyle="1" w:styleId="204">
    <w:name w:val="样式3"/>
    <w:autoRedefine/>
    <w:qFormat/>
    <w:uiPriority w:val="0"/>
    <w:rPr>
      <w:rFonts w:ascii="黑体" w:hAnsi="黑体" w:eastAsia="宋体"/>
      <w:color w:val="FF0000"/>
      <w:sz w:val="21"/>
      <w:szCs w:val="30"/>
    </w:rPr>
  </w:style>
  <w:style w:type="character" w:customStyle="1" w:styleId="205">
    <w:name w:val="jianju"/>
    <w:autoRedefine/>
    <w:qFormat/>
    <w:uiPriority w:val="0"/>
  </w:style>
  <w:style w:type="character" w:customStyle="1" w:styleId="206">
    <w:name w:val="Char Char3"/>
    <w:autoRedefine/>
    <w:qFormat/>
    <w:uiPriority w:val="0"/>
    <w:rPr>
      <w:sz w:val="18"/>
    </w:rPr>
  </w:style>
  <w:style w:type="character" w:customStyle="1" w:styleId="207">
    <w:name w:val="正文文本缩进 2 字符"/>
    <w:link w:val="69"/>
    <w:autoRedefine/>
    <w:semiHidden/>
    <w:qFormat/>
    <w:uiPriority w:val="0"/>
  </w:style>
  <w:style w:type="character" w:customStyle="1" w:styleId="208">
    <w:name w:val="正文文本缩进 字符"/>
    <w:autoRedefine/>
    <w:qFormat/>
    <w:uiPriority w:val="0"/>
  </w:style>
  <w:style w:type="character" w:customStyle="1" w:styleId="209">
    <w:name w:val="正文文本 2 字符"/>
    <w:link w:val="73"/>
    <w:autoRedefine/>
    <w:semiHidden/>
    <w:qFormat/>
    <w:uiPriority w:val="0"/>
  </w:style>
  <w:style w:type="character" w:customStyle="1" w:styleId="210">
    <w:name w:val="正文文本首行缩进 字符"/>
    <w:basedOn w:val="53"/>
    <w:link w:val="78"/>
    <w:autoRedefine/>
    <w:semiHidden/>
    <w:qFormat/>
    <w:uiPriority w:val="0"/>
    <w:rPr>
      <w:rFonts w:ascii="Times New Roman" w:hAnsi="Times New Roman" w:eastAsia="宋体" w:cs="Times New Roman"/>
      <w:kern w:val="0"/>
      <w:sz w:val="20"/>
      <w:szCs w:val="20"/>
    </w:rPr>
  </w:style>
  <w:style w:type="character" w:customStyle="1" w:styleId="211">
    <w:name w:val="HTML 预设格式 字符"/>
    <w:basedOn w:val="33"/>
    <w:link w:val="74"/>
    <w:autoRedefine/>
    <w:semiHidden/>
    <w:qFormat/>
    <w:uiPriority w:val="0"/>
    <w:rPr>
      <w:rFonts w:ascii="宋体" w:hAnsi="宋体" w:eastAsia="宋体" w:cs="宋体"/>
      <w:kern w:val="0"/>
      <w:sz w:val="24"/>
      <w:szCs w:val="24"/>
    </w:rPr>
  </w:style>
  <w:style w:type="character" w:customStyle="1" w:styleId="212">
    <w:name w:val="副标题 字符1"/>
    <w:basedOn w:val="33"/>
    <w:autoRedefine/>
    <w:qFormat/>
    <w:uiPriority w:val="0"/>
    <w:rPr>
      <w:b/>
      <w:bCs/>
      <w:kern w:val="28"/>
      <w:sz w:val="32"/>
      <w:szCs w:val="32"/>
    </w:rPr>
  </w:style>
  <w:style w:type="character" w:customStyle="1" w:styleId="213">
    <w:name w:val="批注主题 字符1"/>
    <w:basedOn w:val="52"/>
    <w:autoRedefine/>
    <w:qFormat/>
    <w:uiPriority w:val="0"/>
    <w:rPr>
      <w:rFonts w:ascii="Times New Roman" w:hAnsi="Times New Roman" w:eastAsia="宋体" w:cs="Times New Roman"/>
      <w:b/>
      <w:bCs/>
      <w:kern w:val="0"/>
      <w:sz w:val="20"/>
      <w:szCs w:val="20"/>
    </w:rPr>
  </w:style>
  <w:style w:type="character" w:customStyle="1" w:styleId="214">
    <w:name w:val="签名 字符"/>
    <w:basedOn w:val="33"/>
    <w:link w:val="70"/>
    <w:autoRedefine/>
    <w:semiHidden/>
    <w:qFormat/>
    <w:uiPriority w:val="0"/>
    <w:rPr>
      <w:rFonts w:ascii="Times New Roman" w:hAnsi="Times New Roman" w:eastAsia="宋体" w:cs="Times New Roman"/>
      <w:szCs w:val="24"/>
    </w:rPr>
  </w:style>
  <w:style w:type="character" w:customStyle="1" w:styleId="215">
    <w:name w:val="正文文本 2 字符1"/>
    <w:basedOn w:val="33"/>
    <w:autoRedefine/>
    <w:qFormat/>
    <w:uiPriority w:val="0"/>
    <w:rPr>
      <w:rFonts w:ascii="Times New Roman" w:hAnsi="Times New Roman" w:eastAsia="宋体" w:cs="Times New Roman"/>
      <w:kern w:val="0"/>
      <w:sz w:val="20"/>
      <w:szCs w:val="20"/>
    </w:rPr>
  </w:style>
  <w:style w:type="character" w:customStyle="1" w:styleId="216">
    <w:name w:val="批注框文本 字符1"/>
    <w:basedOn w:val="33"/>
    <w:autoRedefine/>
    <w:qFormat/>
    <w:uiPriority w:val="0"/>
    <w:rPr>
      <w:rFonts w:ascii="Times New Roman" w:hAnsi="Times New Roman" w:eastAsia="宋体" w:cs="Times New Roman"/>
      <w:kern w:val="0"/>
      <w:sz w:val="18"/>
      <w:szCs w:val="18"/>
    </w:rPr>
  </w:style>
  <w:style w:type="character" w:customStyle="1" w:styleId="217">
    <w:name w:val="文档结构图 字符2"/>
    <w:basedOn w:val="33"/>
    <w:autoRedefine/>
    <w:qFormat/>
    <w:uiPriority w:val="0"/>
    <w:rPr>
      <w:rFonts w:ascii="Microsoft YaHei UI" w:hAnsi="Times New Roman" w:eastAsia="Microsoft YaHei UI" w:cs="Times New Roman"/>
      <w:kern w:val="0"/>
      <w:sz w:val="18"/>
      <w:szCs w:val="18"/>
    </w:rPr>
  </w:style>
  <w:style w:type="character" w:customStyle="1" w:styleId="218">
    <w:name w:val="正文文本缩进 字符2"/>
    <w:basedOn w:val="33"/>
    <w:autoRedefine/>
    <w:qFormat/>
    <w:uiPriority w:val="0"/>
    <w:rPr>
      <w:rFonts w:ascii="Times New Roman" w:hAnsi="Times New Roman" w:eastAsia="宋体" w:cs="Times New Roman"/>
      <w:kern w:val="0"/>
      <w:sz w:val="20"/>
      <w:szCs w:val="20"/>
    </w:rPr>
  </w:style>
  <w:style w:type="character" w:customStyle="1" w:styleId="219">
    <w:name w:val="正文文本缩进 3 字符1"/>
    <w:basedOn w:val="33"/>
    <w:autoRedefine/>
    <w:qFormat/>
    <w:uiPriority w:val="0"/>
    <w:rPr>
      <w:rFonts w:ascii="Times New Roman" w:hAnsi="Times New Roman" w:eastAsia="宋体" w:cs="Times New Roman"/>
      <w:kern w:val="0"/>
      <w:sz w:val="16"/>
      <w:szCs w:val="16"/>
    </w:rPr>
  </w:style>
  <w:style w:type="character" w:customStyle="1" w:styleId="220">
    <w:name w:val="正文文本首行缩进 2 字符"/>
    <w:basedOn w:val="218"/>
    <w:link w:val="79"/>
    <w:autoRedefine/>
    <w:semiHidden/>
    <w:qFormat/>
    <w:uiPriority w:val="0"/>
    <w:rPr>
      <w:rFonts w:ascii="Times New Roman" w:hAnsi="Times New Roman" w:eastAsia="宋体" w:cs="Times New Roman"/>
      <w:kern w:val="0"/>
      <w:sz w:val="20"/>
      <w:szCs w:val="24"/>
    </w:rPr>
  </w:style>
  <w:style w:type="character" w:customStyle="1" w:styleId="221">
    <w:name w:val="纯文本 字符3"/>
    <w:basedOn w:val="33"/>
    <w:autoRedefine/>
    <w:qFormat/>
    <w:uiPriority w:val="0"/>
    <w:rPr>
      <w:rFonts w:ascii="等线" w:hAnsi="Courier New" w:cs="Courier New"/>
      <w:kern w:val="0"/>
      <w:sz w:val="20"/>
      <w:szCs w:val="20"/>
    </w:rPr>
  </w:style>
  <w:style w:type="character" w:customStyle="1" w:styleId="222">
    <w:name w:val="正文文本缩进 2 字符1"/>
    <w:basedOn w:val="33"/>
    <w:autoRedefine/>
    <w:qFormat/>
    <w:uiPriority w:val="0"/>
    <w:rPr>
      <w:rFonts w:ascii="Times New Roman" w:hAnsi="Times New Roman" w:eastAsia="宋体" w:cs="Times New Roman"/>
      <w:kern w:val="0"/>
      <w:sz w:val="20"/>
      <w:szCs w:val="20"/>
    </w:rPr>
  </w:style>
  <w:style w:type="character" w:customStyle="1" w:styleId="223">
    <w:name w:val="日期 字符1"/>
    <w:basedOn w:val="33"/>
    <w:autoRedefine/>
    <w:qFormat/>
    <w:uiPriority w:val="0"/>
    <w:rPr>
      <w:rFonts w:ascii="Times New Roman" w:hAnsi="Times New Roman" w:eastAsia="宋体" w:cs="Times New Roman"/>
      <w:kern w:val="0"/>
      <w:sz w:val="20"/>
      <w:szCs w:val="20"/>
    </w:rPr>
  </w:style>
  <w:style w:type="character" w:customStyle="1" w:styleId="224">
    <w:name w:val="grame"/>
    <w:autoRedefine/>
    <w:qFormat/>
    <w:uiPriority w:val="0"/>
    <w:rPr>
      <w:rFonts w:cs="Times New Roman"/>
    </w:rPr>
  </w:style>
  <w:style w:type="character" w:customStyle="1" w:styleId="225">
    <w:name w:val="未处理的提及2"/>
    <w:basedOn w:val="33"/>
    <w:autoRedefine/>
    <w:qFormat/>
    <w:uiPriority w:val="0"/>
    <w:rPr>
      <w:color w:val="605E5C"/>
      <w:shd w:val="clear" w:color="auto" w:fill="E1DFDD"/>
    </w:rPr>
  </w:style>
  <w:style w:type="character" w:customStyle="1" w:styleId="226">
    <w:name w:val="NormalCharacter"/>
    <w:autoRedefine/>
    <w:qFormat/>
    <w:uiPriority w:val="0"/>
  </w:style>
  <w:style w:type="paragraph" w:customStyle="1" w:styleId="227">
    <w:name w:val="null3"/>
    <w:autoRedefine/>
    <w:hidden/>
    <w:qFormat/>
    <w:uiPriority w:val="0"/>
    <w:rPr>
      <w:rFonts w:hint="eastAsia" w:asciiTheme="minorHAnsi" w:hAnsiTheme="minorHAnsi" w:eastAsiaTheme="minorEastAsia" w:cstheme="minorBidi"/>
      <w:lang w:val="en-US" w:eastAsia="zh-Hans"/>
    </w:rPr>
  </w:style>
  <w:style w:type="paragraph" w:customStyle="1" w:styleId="2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60</Pages>
  <Words>7194</Words>
  <Characters>8023</Characters>
  <Lines>322</Lines>
  <Paragraphs>90</Paragraphs>
  <TotalTime>67</TotalTime>
  <ScaleCrop>false</ScaleCrop>
  <LinksUpToDate>false</LinksUpToDate>
  <CharactersWithSpaces>8145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2023-08-27T07:11:00Z</dcterms:created>
  <dc:creator>libin</dc:creator>
  <cp:lastModifiedBy>个旧市锡都大健康产业有限公司</cp:lastModifiedBy>
  <cp:lastPrinted>2026-05-09T01:33:00Z</cp:lastPrinted>
  <dcterms:modified xsi:type="dcterms:W3CDTF">2026-05-14T08:52:40Z</dcterms:modified>
  <dc:title>敷忆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928BE7EA6EBA4FB4A5025B4B079200C1_13</vt:lpwstr>
  </property>
  <property fmtid="{D5CDD505-2E9C-101B-9397-08002B2CF9AE}" pid="3" name="KSOProductBuildVer">
    <vt:lpwstr>2052-12.1.0.25865</vt:lpwstr>
  </property>
  <property fmtid="{D5CDD505-2E9C-101B-9397-08002B2CF9AE}" pid="4" name="KSOTemplateDocerSaveRecord">
    <vt:lpwstr>eyJoZGlkIjoiY2ZmNGRiNThmYTFiY2ZmOTRhNGQ5NDBmODhkNTE3NjciLCJ1c2VySWQiOiI1NjA2NjMwMDAifQ==</vt:lpwstr>
  </property>
</Properties>
</file>