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C65E0">
      <w:pPr>
        <w:spacing w:line="360" w:lineRule="auto"/>
        <w:rPr>
          <w:highlight w:val="none"/>
        </w:rPr>
      </w:pPr>
    </w:p>
    <w:p w14:paraId="025D109B">
      <w:pPr>
        <w:spacing w:line="360" w:lineRule="auto"/>
        <w:rPr>
          <w:highlight w:val="none"/>
        </w:rPr>
      </w:pPr>
      <w:bookmarkStart w:id="0" w:name="_Hlk83600134"/>
      <w:bookmarkEnd w:id="0"/>
    </w:p>
    <w:p w14:paraId="4752AFB3">
      <w:pPr>
        <w:spacing w:line="360" w:lineRule="auto"/>
        <w:rPr>
          <w:highlight w:val="none"/>
        </w:rPr>
      </w:pPr>
    </w:p>
    <w:p w14:paraId="4A2B3202">
      <w:pPr>
        <w:spacing w:line="360" w:lineRule="auto"/>
        <w:jc w:val="center"/>
        <w:rPr>
          <w:highlight w:val="none"/>
        </w:rPr>
      </w:pPr>
      <w:r>
        <w:rPr>
          <w:rFonts w:hint="eastAsia"/>
          <w:sz w:val="72"/>
          <w:highlight w:val="none"/>
        </w:rPr>
        <w:t>招 标 文 件</w:t>
      </w:r>
      <w:r>
        <w:rPr>
          <w:rFonts w:hint="eastAsia"/>
          <w:highlight w:val="none"/>
        </w:rPr>
        <w:br w:type="textWrapping"/>
      </w:r>
    </w:p>
    <w:p w14:paraId="762A483F">
      <w:pPr>
        <w:pStyle w:val="10"/>
        <w:spacing w:line="360" w:lineRule="auto"/>
        <w:ind w:firstLine="480"/>
        <w:rPr>
          <w:highlight w:val="none"/>
        </w:rPr>
      </w:pPr>
    </w:p>
    <w:p w14:paraId="4F228AB4">
      <w:pPr>
        <w:spacing w:line="360" w:lineRule="auto"/>
        <w:rPr>
          <w:highlight w:val="none"/>
        </w:rPr>
      </w:pPr>
    </w:p>
    <w:p w14:paraId="7B2FF1EE">
      <w:pPr>
        <w:spacing w:line="360" w:lineRule="auto"/>
        <w:rPr>
          <w:highlight w:val="none"/>
        </w:rPr>
      </w:pPr>
    </w:p>
    <w:p w14:paraId="79612FCB">
      <w:pPr>
        <w:spacing w:line="360" w:lineRule="auto"/>
        <w:rPr>
          <w:highlight w:val="none"/>
        </w:rPr>
      </w:pPr>
    </w:p>
    <w:p w14:paraId="20737429">
      <w:pPr>
        <w:spacing w:line="360" w:lineRule="auto"/>
        <w:rPr>
          <w:highlight w:val="none"/>
        </w:rPr>
      </w:pPr>
    </w:p>
    <w:p w14:paraId="083C14A7">
      <w:pPr>
        <w:spacing w:line="360" w:lineRule="auto"/>
        <w:rPr>
          <w:highlight w:val="none"/>
        </w:rPr>
      </w:pPr>
    </w:p>
    <w:p w14:paraId="03F0F049">
      <w:pPr>
        <w:spacing w:line="360" w:lineRule="auto"/>
        <w:rPr>
          <w:highlight w:val="none"/>
        </w:rPr>
      </w:pPr>
      <w:r>
        <w:rPr>
          <w:rFonts w:hint="eastAsia"/>
          <w:highlight w:val="none"/>
        </w:rPr>
        <w:t>项目编号：0724-2621XJ262867</w:t>
      </w:r>
    </w:p>
    <w:p w14:paraId="4D3EDB0A">
      <w:pPr>
        <w:spacing w:line="360" w:lineRule="auto"/>
        <w:rPr>
          <w:highlight w:val="none"/>
        </w:rPr>
      </w:pPr>
      <w:r>
        <w:rPr>
          <w:rFonts w:hint="eastAsia"/>
          <w:highlight w:val="none"/>
        </w:rPr>
        <w:t>项目名称: 新疆医科大学2026年活禽肉水产采购项目</w:t>
      </w:r>
    </w:p>
    <w:p w14:paraId="7F65E326">
      <w:pPr>
        <w:spacing w:line="360" w:lineRule="auto"/>
        <w:rPr>
          <w:highlight w:val="none"/>
        </w:rPr>
      </w:pPr>
      <w:r>
        <w:rPr>
          <w:rFonts w:hint="eastAsia"/>
          <w:highlight w:val="none"/>
        </w:rPr>
        <w:t>采 购 人（盖章）：新疆医科大学</w:t>
      </w:r>
    </w:p>
    <w:p w14:paraId="02C824D1">
      <w:pPr>
        <w:spacing w:line="360" w:lineRule="auto"/>
        <w:rPr>
          <w:highlight w:val="none"/>
        </w:rPr>
      </w:pPr>
      <w:r>
        <w:rPr>
          <w:rFonts w:hint="eastAsia"/>
          <w:highlight w:val="none"/>
        </w:rPr>
        <w:t>联系人： 李朝晖</w:t>
      </w:r>
    </w:p>
    <w:p w14:paraId="53390AB7">
      <w:pPr>
        <w:spacing w:line="360" w:lineRule="auto"/>
        <w:rPr>
          <w:highlight w:val="none"/>
        </w:rPr>
      </w:pPr>
      <w:r>
        <w:rPr>
          <w:rFonts w:hint="eastAsia"/>
          <w:highlight w:val="none"/>
        </w:rPr>
        <w:t xml:space="preserve">联系方式： </w:t>
      </w:r>
      <w:r>
        <w:rPr>
          <w:highlight w:val="none"/>
        </w:rPr>
        <w:t>0991-2110176、13999278240</w:t>
      </w:r>
    </w:p>
    <w:p w14:paraId="4E5CEF71">
      <w:pPr>
        <w:spacing w:line="360" w:lineRule="auto"/>
        <w:rPr>
          <w:highlight w:val="none"/>
        </w:rPr>
      </w:pPr>
      <w:r>
        <w:rPr>
          <w:rFonts w:hint="eastAsia"/>
          <w:highlight w:val="none"/>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5E5A8E2D">
      <w:pPr>
        <w:spacing w:line="360" w:lineRule="auto"/>
        <w:rPr>
          <w:highlight w:val="none"/>
        </w:rPr>
      </w:pPr>
      <w:r>
        <w:rPr>
          <w:rFonts w:hint="eastAsia"/>
          <w:highlight w:val="none"/>
        </w:rPr>
        <w:t>采购代理机构（盖章）：</w:t>
      </w:r>
      <w:r>
        <w:rPr>
          <w:highlight w:val="none"/>
        </w:rPr>
        <w:t xml:space="preserve"> 国义招标股份有限公司</w:t>
      </w:r>
    </w:p>
    <w:p w14:paraId="530D432A">
      <w:pPr>
        <w:spacing w:line="360" w:lineRule="auto"/>
        <w:rPr>
          <w:highlight w:val="none"/>
        </w:rPr>
      </w:pPr>
      <w:r>
        <w:rPr>
          <w:rFonts w:hint="eastAsia"/>
          <w:highlight w:val="none"/>
        </w:rPr>
        <w:t>项目联系人：周鑫</w:t>
      </w:r>
      <w:r>
        <w:rPr>
          <w:highlight w:val="none"/>
        </w:rPr>
        <w:t>、阿米娜·托汗、赵梓杰、钟晓涵</w:t>
      </w:r>
    </w:p>
    <w:p w14:paraId="3ED694E6">
      <w:pPr>
        <w:spacing w:line="360" w:lineRule="auto"/>
        <w:rPr>
          <w:highlight w:val="none"/>
        </w:rPr>
      </w:pPr>
      <w:r>
        <w:rPr>
          <w:rFonts w:hint="eastAsia"/>
          <w:highlight w:val="none"/>
        </w:rPr>
        <w:t>联系方式：0</w:t>
      </w:r>
      <w:r>
        <w:rPr>
          <w:highlight w:val="none"/>
        </w:rPr>
        <w:t>991-4664267、</w:t>
      </w:r>
      <w:r>
        <w:rPr>
          <w:rFonts w:hint="eastAsia"/>
          <w:highlight w:val="none"/>
        </w:rPr>
        <w:t>1</w:t>
      </w:r>
      <w:r>
        <w:rPr>
          <w:highlight w:val="none"/>
        </w:rPr>
        <w:t>3079986963</w:t>
      </w:r>
    </w:p>
    <w:p w14:paraId="491B11F2">
      <w:pPr>
        <w:spacing w:line="360" w:lineRule="auto"/>
        <w:rPr>
          <w:highlight w:val="none"/>
        </w:rPr>
      </w:pPr>
      <w:r>
        <w:rPr>
          <w:rFonts w:hint="eastAsia"/>
          <w:highlight w:val="none"/>
        </w:rPr>
        <w:t>详细地址：</w:t>
      </w:r>
      <w:r>
        <w:rPr>
          <w:highlight w:val="none"/>
        </w:rPr>
        <w:t>乌鲁木齐市水磨沟区红光山路</w:t>
      </w:r>
      <w:r>
        <w:rPr>
          <w:rFonts w:hint="eastAsia"/>
          <w:highlight w:val="none"/>
        </w:rPr>
        <w:t>8</w:t>
      </w:r>
      <w:r>
        <w:rPr>
          <w:highlight w:val="none"/>
        </w:rPr>
        <w:t>88号绿城广场</w:t>
      </w:r>
      <w:r>
        <w:rPr>
          <w:rFonts w:hint="eastAsia"/>
          <w:highlight w:val="none"/>
        </w:rPr>
        <w:t>1</w:t>
      </w:r>
      <w:r>
        <w:rPr>
          <w:highlight w:val="none"/>
        </w:rPr>
        <w:t>B栋</w:t>
      </w:r>
      <w:r>
        <w:rPr>
          <w:rFonts w:hint="eastAsia"/>
          <w:highlight w:val="none"/>
        </w:rPr>
        <w:t>3</w:t>
      </w:r>
      <w:r>
        <w:rPr>
          <w:highlight w:val="none"/>
        </w:rPr>
        <w:t>5楼</w:t>
      </w:r>
      <w:r>
        <w:rPr>
          <w:rFonts w:hint="eastAsia"/>
          <w:highlight w:val="none"/>
        </w:rPr>
        <w:t>3</w:t>
      </w:r>
      <w:r>
        <w:rPr>
          <w:highlight w:val="none"/>
        </w:rPr>
        <w:t>504</w:t>
      </w:r>
    </w:p>
    <w:p w14:paraId="2E8C5B50">
      <w:pPr>
        <w:pStyle w:val="37"/>
        <w:spacing w:line="360" w:lineRule="auto"/>
        <w:ind w:firstLine="1440"/>
        <w:rPr>
          <w:rFonts w:ascii="黑体" w:hAnsi="黑体" w:eastAsia="黑体"/>
          <w:sz w:val="72"/>
          <w:szCs w:val="72"/>
          <w:highlight w:val="none"/>
        </w:rPr>
        <w:sectPr>
          <w:pgSz w:w="11906" w:h="16838"/>
          <w:pgMar w:top="1440" w:right="1800" w:bottom="1440" w:left="1800" w:header="851" w:footer="879" w:gutter="0"/>
          <w:cols w:space="0" w:num="1"/>
          <w:docGrid w:type="lines" w:linePitch="312" w:charSpace="0"/>
        </w:sectPr>
      </w:pPr>
    </w:p>
    <w:p w14:paraId="5997E334">
      <w:pPr>
        <w:spacing w:line="360" w:lineRule="auto"/>
        <w:rPr>
          <w:highlight w:val="none"/>
        </w:rPr>
      </w:pPr>
      <w:r>
        <w:rPr>
          <w:rFonts w:hint="eastAsia"/>
          <w:highlight w:val="none"/>
        </w:rPr>
        <w:t>目  录</w:t>
      </w:r>
    </w:p>
    <w:p w14:paraId="705F6FAF">
      <w:pPr>
        <w:pStyle w:val="22"/>
        <w:tabs>
          <w:tab w:val="right" w:leader="dot" w:pos="8296"/>
        </w:tabs>
        <w:rPr>
          <w:rFonts w:hAnsiTheme="minorHAnsi" w:eastAsiaTheme="minorEastAsia"/>
          <w:b w:val="0"/>
          <w:bCs w:val="0"/>
          <w:caps w:val="0"/>
          <w:sz w:val="21"/>
          <w:szCs w:val="22"/>
          <w:highlight w:val="none"/>
        </w:rPr>
      </w:pPr>
      <w:r>
        <w:rPr>
          <w:rFonts w:hint="eastAsia"/>
          <w:highlight w:val="none"/>
        </w:rPr>
        <w:fldChar w:fldCharType="begin"/>
      </w:r>
      <w:r>
        <w:rPr>
          <w:rFonts w:hint="eastAsia"/>
          <w:highlight w:val="none"/>
        </w:rPr>
        <w:instrText xml:space="preserve">TOC \o "1-2" \h \u </w:instrText>
      </w:r>
      <w:r>
        <w:rPr>
          <w:rFonts w:hint="eastAsia"/>
          <w:highlight w:val="none"/>
        </w:rPr>
        <w:fldChar w:fldCharType="separate"/>
      </w:r>
      <w:r>
        <w:rPr>
          <w:highlight w:val="none"/>
        </w:rPr>
        <w:fldChar w:fldCharType="begin"/>
      </w:r>
      <w:r>
        <w:rPr>
          <w:highlight w:val="none"/>
        </w:rPr>
        <w:instrText xml:space="preserve"> HYPERLINK \l "_Toc229390272" </w:instrText>
      </w:r>
      <w:r>
        <w:rPr>
          <w:highlight w:val="none"/>
        </w:rPr>
        <w:fldChar w:fldCharType="separate"/>
      </w:r>
      <w:r>
        <w:rPr>
          <w:rStyle w:val="35"/>
          <w:rFonts w:hint="eastAsia"/>
          <w:highlight w:val="none"/>
        </w:rPr>
        <w:t>第一章</w:t>
      </w:r>
      <w:r>
        <w:rPr>
          <w:rStyle w:val="35"/>
          <w:highlight w:val="none"/>
        </w:rPr>
        <w:t xml:space="preserve"> </w:t>
      </w:r>
      <w:r>
        <w:rPr>
          <w:rStyle w:val="35"/>
          <w:rFonts w:hint="eastAsia"/>
          <w:highlight w:val="none"/>
        </w:rPr>
        <w:t>招标公告</w:t>
      </w:r>
      <w:r>
        <w:rPr>
          <w:highlight w:val="none"/>
        </w:rPr>
        <w:tab/>
      </w:r>
      <w:r>
        <w:rPr>
          <w:highlight w:val="none"/>
        </w:rPr>
        <w:fldChar w:fldCharType="begin"/>
      </w:r>
      <w:r>
        <w:rPr>
          <w:highlight w:val="none"/>
        </w:rPr>
        <w:instrText xml:space="preserve"> PAGEREF _Toc229390272 \h </w:instrText>
      </w:r>
      <w:r>
        <w:rPr>
          <w:highlight w:val="none"/>
        </w:rPr>
        <w:fldChar w:fldCharType="separate"/>
      </w:r>
      <w:r>
        <w:rPr>
          <w:highlight w:val="none"/>
        </w:rPr>
        <w:t>- 1 -</w:t>
      </w:r>
      <w:r>
        <w:rPr>
          <w:highlight w:val="none"/>
        </w:rPr>
        <w:fldChar w:fldCharType="end"/>
      </w:r>
      <w:r>
        <w:rPr>
          <w:highlight w:val="none"/>
        </w:rPr>
        <w:fldChar w:fldCharType="end"/>
      </w:r>
    </w:p>
    <w:p w14:paraId="184C70FB">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"_Toc229390273" </w:instrText>
      </w:r>
      <w:r>
        <w:rPr>
          <w:highlight w:val="none"/>
        </w:rPr>
        <w:fldChar w:fldCharType="separate"/>
      </w:r>
      <w:r>
        <w:rPr>
          <w:rStyle w:val="35"/>
          <w:rFonts w:hint="eastAsia"/>
          <w:highlight w:val="none"/>
        </w:rPr>
        <w:t>项目概况：</w:t>
      </w:r>
      <w:r>
        <w:rPr>
          <w:highlight w:val="none"/>
        </w:rPr>
        <w:tab/>
      </w:r>
      <w:r>
        <w:rPr>
          <w:highlight w:val="none"/>
        </w:rPr>
        <w:fldChar w:fldCharType="begin"/>
      </w:r>
      <w:r>
        <w:rPr>
          <w:highlight w:val="none"/>
        </w:rPr>
        <w:instrText xml:space="preserve"> PAGEREF _Toc229390273 \h </w:instrText>
      </w:r>
      <w:r>
        <w:rPr>
          <w:highlight w:val="none"/>
        </w:rPr>
        <w:fldChar w:fldCharType="separate"/>
      </w:r>
      <w:r>
        <w:rPr>
          <w:highlight w:val="none"/>
        </w:rPr>
        <w:t>- 1 -</w:t>
      </w:r>
      <w:r>
        <w:rPr>
          <w:highlight w:val="none"/>
        </w:rPr>
        <w:fldChar w:fldCharType="end"/>
      </w:r>
      <w:r>
        <w:rPr>
          <w:highlight w:val="none"/>
        </w:rPr>
        <w:fldChar w:fldCharType="end"/>
      </w:r>
    </w:p>
    <w:p w14:paraId="47970FF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"_Toc229390274" </w:instrText>
      </w:r>
      <w:r>
        <w:rPr>
          <w:highlight w:val="none"/>
        </w:rPr>
        <w:fldChar w:fldCharType="separate"/>
      </w:r>
      <w:r>
        <w:rPr>
          <w:rStyle w:val="35"/>
          <w:rFonts w:hint="eastAsia"/>
          <w:highlight w:val="none"/>
          <w:lang w:val="hr-HR"/>
        </w:rPr>
        <w:t>一、项目基本情况</w:t>
      </w:r>
      <w:r>
        <w:rPr>
          <w:highlight w:val="none"/>
        </w:rPr>
        <w:tab/>
      </w:r>
      <w:r>
        <w:rPr>
          <w:highlight w:val="none"/>
        </w:rPr>
        <w:fldChar w:fldCharType="begin"/>
      </w:r>
      <w:r>
        <w:rPr>
          <w:highlight w:val="none"/>
        </w:rPr>
        <w:instrText xml:space="preserve"> PAGEREF _Toc229390274 \h </w:instrText>
      </w:r>
      <w:r>
        <w:rPr>
          <w:highlight w:val="none"/>
        </w:rPr>
        <w:fldChar w:fldCharType="separate"/>
      </w:r>
      <w:r>
        <w:rPr>
          <w:highlight w:val="none"/>
        </w:rPr>
        <w:t>- 1 -</w:t>
      </w:r>
      <w:r>
        <w:rPr>
          <w:highlight w:val="none"/>
        </w:rPr>
        <w:fldChar w:fldCharType="end"/>
      </w:r>
      <w:r>
        <w:rPr>
          <w:highlight w:val="none"/>
        </w:rPr>
        <w:fldChar w:fldCharType="end"/>
      </w:r>
    </w:p>
    <w:p w14:paraId="094B8AB0">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"_Toc229390275" </w:instrText>
      </w:r>
      <w:r>
        <w:rPr>
          <w:highlight w:val="none"/>
        </w:rPr>
        <w:fldChar w:fldCharType="separate"/>
      </w:r>
      <w:r>
        <w:rPr>
          <w:rStyle w:val="35"/>
          <w:rFonts w:hint="eastAsia"/>
          <w:highlight w:val="none"/>
        </w:rPr>
        <w:t>二、申请</w:t>
      </w:r>
      <w:r>
        <w:rPr>
          <w:rStyle w:val="35"/>
          <w:rFonts w:hint="eastAsia"/>
          <w:highlight w:val="none"/>
          <w:lang w:val="hr-HR"/>
        </w:rPr>
        <w:t>人</w:t>
      </w:r>
      <w:r>
        <w:rPr>
          <w:rStyle w:val="35"/>
          <w:rFonts w:hint="eastAsia"/>
          <w:highlight w:val="none"/>
        </w:rPr>
        <w:t>的</w:t>
      </w:r>
      <w:r>
        <w:rPr>
          <w:rStyle w:val="35"/>
          <w:rFonts w:hint="eastAsia"/>
          <w:highlight w:val="none"/>
          <w:lang w:val="hr-HR"/>
        </w:rPr>
        <w:t>资格要求</w:t>
      </w:r>
      <w:r>
        <w:rPr>
          <w:highlight w:val="none"/>
        </w:rPr>
        <w:tab/>
      </w:r>
      <w:r>
        <w:rPr>
          <w:highlight w:val="none"/>
        </w:rPr>
        <w:fldChar w:fldCharType="begin"/>
      </w:r>
      <w:r>
        <w:rPr>
          <w:highlight w:val="none"/>
        </w:rPr>
        <w:instrText xml:space="preserve"> PAGEREF _Toc229390275 \h </w:instrText>
      </w:r>
      <w:r>
        <w:rPr>
          <w:highlight w:val="none"/>
        </w:rPr>
        <w:fldChar w:fldCharType="separate"/>
      </w:r>
      <w:r>
        <w:rPr>
          <w:highlight w:val="none"/>
        </w:rPr>
        <w:t>- 1 -</w:t>
      </w:r>
      <w:r>
        <w:rPr>
          <w:highlight w:val="none"/>
        </w:rPr>
        <w:fldChar w:fldCharType="end"/>
      </w:r>
      <w:r>
        <w:rPr>
          <w:highlight w:val="none"/>
        </w:rPr>
        <w:fldChar w:fldCharType="end"/>
      </w:r>
    </w:p>
    <w:p w14:paraId="32143843">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"_Toc229390276" </w:instrText>
      </w:r>
      <w:r>
        <w:rPr>
          <w:highlight w:val="none"/>
        </w:rPr>
        <w:fldChar w:fldCharType="separate"/>
      </w:r>
      <w:r>
        <w:rPr>
          <w:rStyle w:val="35"/>
          <w:rFonts w:hint="eastAsia"/>
          <w:highlight w:val="none"/>
        </w:rPr>
        <w:t>三、</w:t>
      </w:r>
      <w:r>
        <w:rPr>
          <w:rStyle w:val="35"/>
          <w:rFonts w:hint="eastAsia"/>
          <w:highlight w:val="none"/>
          <w:lang w:val="hr-HR"/>
        </w:rPr>
        <w:t>获取招标文件</w:t>
      </w:r>
      <w:r>
        <w:rPr>
          <w:highlight w:val="none"/>
        </w:rPr>
        <w:tab/>
      </w:r>
      <w:r>
        <w:rPr>
          <w:highlight w:val="none"/>
        </w:rPr>
        <w:fldChar w:fldCharType="begin"/>
      </w:r>
      <w:r>
        <w:rPr>
          <w:highlight w:val="none"/>
        </w:rPr>
        <w:instrText xml:space="preserve"> PAGEREF _Toc229390276 \h </w:instrText>
      </w:r>
      <w:r>
        <w:rPr>
          <w:highlight w:val="none"/>
        </w:rPr>
        <w:fldChar w:fldCharType="separate"/>
      </w:r>
      <w:r>
        <w:rPr>
          <w:highlight w:val="none"/>
        </w:rPr>
        <w:t>- 2 -</w:t>
      </w:r>
      <w:r>
        <w:rPr>
          <w:highlight w:val="none"/>
        </w:rPr>
        <w:fldChar w:fldCharType="end"/>
      </w:r>
      <w:r>
        <w:rPr>
          <w:highlight w:val="none"/>
        </w:rPr>
        <w:fldChar w:fldCharType="end"/>
      </w:r>
    </w:p>
    <w:p w14:paraId="4CBF3044">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"_Toc229390277" </w:instrText>
      </w:r>
      <w:r>
        <w:rPr>
          <w:highlight w:val="none"/>
        </w:rPr>
        <w:fldChar w:fldCharType="separate"/>
      </w:r>
      <w:r>
        <w:rPr>
          <w:rStyle w:val="35"/>
          <w:rFonts w:hint="eastAsia"/>
          <w:highlight w:val="none"/>
        </w:rPr>
        <w:t>四、</w:t>
      </w:r>
      <w:r>
        <w:rPr>
          <w:rStyle w:val="35"/>
          <w:rFonts w:hint="eastAsia"/>
          <w:highlight w:val="none"/>
          <w:lang w:val="hr-HR"/>
        </w:rPr>
        <w:t>提交投标文件截止时间</w:t>
      </w:r>
      <w:r>
        <w:rPr>
          <w:rStyle w:val="35"/>
          <w:highlight w:val="none"/>
        </w:rPr>
        <w:t>/</w:t>
      </w:r>
      <w:r>
        <w:rPr>
          <w:rStyle w:val="35"/>
          <w:rFonts w:hint="eastAsia"/>
          <w:highlight w:val="none"/>
          <w:lang w:val="hr-HR"/>
        </w:rPr>
        <w:t>开标时间、递交方式和</w:t>
      </w:r>
      <w:r>
        <w:rPr>
          <w:rStyle w:val="35"/>
          <w:rFonts w:hint="eastAsia"/>
          <w:highlight w:val="none"/>
        </w:rPr>
        <w:t>开标</w:t>
      </w:r>
      <w:r>
        <w:rPr>
          <w:rStyle w:val="35"/>
          <w:rFonts w:hint="eastAsia"/>
          <w:highlight w:val="none"/>
          <w:lang w:val="hr-HR"/>
        </w:rPr>
        <w:t>地点</w:t>
      </w:r>
      <w:r>
        <w:rPr>
          <w:highlight w:val="none"/>
        </w:rPr>
        <w:tab/>
      </w:r>
      <w:r>
        <w:rPr>
          <w:highlight w:val="none"/>
        </w:rPr>
        <w:fldChar w:fldCharType="begin"/>
      </w:r>
      <w:r>
        <w:rPr>
          <w:highlight w:val="none"/>
        </w:rPr>
        <w:instrText xml:space="preserve"> PAGEREF _Toc229390277 \h </w:instrText>
      </w:r>
      <w:r>
        <w:rPr>
          <w:highlight w:val="none"/>
        </w:rPr>
        <w:fldChar w:fldCharType="separate"/>
      </w:r>
      <w:r>
        <w:rPr>
          <w:highlight w:val="none"/>
        </w:rPr>
        <w:t>- 2 -</w:t>
      </w:r>
      <w:r>
        <w:rPr>
          <w:highlight w:val="none"/>
        </w:rPr>
        <w:fldChar w:fldCharType="end"/>
      </w:r>
      <w:r>
        <w:rPr>
          <w:highlight w:val="none"/>
        </w:rPr>
        <w:fldChar w:fldCharType="end"/>
      </w:r>
    </w:p>
    <w:p w14:paraId="5DAB76F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"_Toc229390278" </w:instrText>
      </w:r>
      <w:r>
        <w:rPr>
          <w:highlight w:val="none"/>
        </w:rPr>
        <w:fldChar w:fldCharType="separate"/>
      </w:r>
      <w:r>
        <w:rPr>
          <w:rStyle w:val="35"/>
          <w:rFonts w:hint="eastAsia"/>
          <w:highlight w:val="none"/>
        </w:rPr>
        <w:t>五、</w:t>
      </w:r>
      <w:r>
        <w:rPr>
          <w:rStyle w:val="35"/>
          <w:rFonts w:hint="eastAsia"/>
          <w:highlight w:val="none"/>
          <w:lang w:val="hr-HR"/>
        </w:rPr>
        <w:t>公告期限</w:t>
      </w:r>
      <w:r>
        <w:rPr>
          <w:highlight w:val="none"/>
        </w:rPr>
        <w:tab/>
      </w:r>
      <w:r>
        <w:rPr>
          <w:highlight w:val="none"/>
        </w:rPr>
        <w:fldChar w:fldCharType="begin"/>
      </w:r>
      <w:r>
        <w:rPr>
          <w:highlight w:val="none"/>
        </w:rPr>
        <w:instrText xml:space="preserve"> PAGEREF _Toc229390278 \h </w:instrText>
      </w:r>
      <w:r>
        <w:rPr>
          <w:highlight w:val="none"/>
        </w:rPr>
        <w:fldChar w:fldCharType="separate"/>
      </w:r>
      <w:r>
        <w:rPr>
          <w:highlight w:val="none"/>
        </w:rPr>
        <w:t>- 2 -</w:t>
      </w:r>
      <w:r>
        <w:rPr>
          <w:highlight w:val="none"/>
        </w:rPr>
        <w:fldChar w:fldCharType="end"/>
      </w:r>
      <w:r>
        <w:rPr>
          <w:highlight w:val="none"/>
        </w:rPr>
        <w:fldChar w:fldCharType="end"/>
      </w:r>
    </w:p>
    <w:p w14:paraId="15FEFE61">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"_Toc229390279" </w:instrText>
      </w:r>
      <w:r>
        <w:rPr>
          <w:highlight w:val="none"/>
        </w:rPr>
        <w:fldChar w:fldCharType="separate"/>
      </w:r>
      <w:r>
        <w:rPr>
          <w:rStyle w:val="35"/>
          <w:rFonts w:hint="eastAsia"/>
          <w:highlight w:val="none"/>
        </w:rPr>
        <w:t>六、</w:t>
      </w:r>
      <w:r>
        <w:rPr>
          <w:rStyle w:val="35"/>
          <w:rFonts w:hint="eastAsia"/>
          <w:highlight w:val="none"/>
          <w:lang w:val="hr-HR"/>
        </w:rPr>
        <w:t>其他补充事宜</w:t>
      </w:r>
      <w:r>
        <w:rPr>
          <w:highlight w:val="none"/>
        </w:rPr>
        <w:tab/>
      </w:r>
      <w:r>
        <w:rPr>
          <w:highlight w:val="none"/>
        </w:rPr>
        <w:fldChar w:fldCharType="begin"/>
      </w:r>
      <w:r>
        <w:rPr>
          <w:highlight w:val="none"/>
        </w:rPr>
        <w:instrText xml:space="preserve"> PAGEREF _Toc229390279 \h </w:instrText>
      </w:r>
      <w:r>
        <w:rPr>
          <w:highlight w:val="none"/>
        </w:rPr>
        <w:fldChar w:fldCharType="separate"/>
      </w:r>
      <w:r>
        <w:rPr>
          <w:highlight w:val="none"/>
        </w:rPr>
        <w:t>- 2 -</w:t>
      </w:r>
      <w:r>
        <w:rPr>
          <w:highlight w:val="none"/>
        </w:rPr>
        <w:fldChar w:fldCharType="end"/>
      </w:r>
      <w:r>
        <w:rPr>
          <w:highlight w:val="none"/>
        </w:rPr>
        <w:fldChar w:fldCharType="end"/>
      </w:r>
    </w:p>
    <w:p w14:paraId="7271884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"_Toc229390280" </w:instrText>
      </w:r>
      <w:r>
        <w:rPr>
          <w:highlight w:val="none"/>
        </w:rPr>
        <w:fldChar w:fldCharType="separate"/>
      </w:r>
      <w:r>
        <w:rPr>
          <w:rStyle w:val="35"/>
          <w:rFonts w:hint="eastAsia"/>
          <w:highlight w:val="none"/>
        </w:rPr>
        <w:t>七、</w:t>
      </w:r>
      <w:r>
        <w:rPr>
          <w:rStyle w:val="35"/>
          <w:rFonts w:hint="eastAsia"/>
          <w:highlight w:val="none"/>
          <w:lang w:val="hr-HR"/>
        </w:rPr>
        <w:t>对本次</w:t>
      </w:r>
      <w:r>
        <w:rPr>
          <w:rStyle w:val="35"/>
          <w:rFonts w:hint="eastAsia"/>
          <w:highlight w:val="none"/>
        </w:rPr>
        <w:t>招标</w:t>
      </w:r>
      <w:r>
        <w:rPr>
          <w:rStyle w:val="35"/>
          <w:rFonts w:hint="eastAsia"/>
          <w:highlight w:val="none"/>
          <w:lang w:val="hr-HR"/>
        </w:rPr>
        <w:t>提出询问，请按以下方式联系</w:t>
      </w:r>
      <w:r>
        <w:rPr>
          <w:highlight w:val="none"/>
        </w:rPr>
        <w:tab/>
      </w:r>
      <w:r>
        <w:rPr>
          <w:highlight w:val="none"/>
        </w:rPr>
        <w:fldChar w:fldCharType="begin"/>
      </w:r>
      <w:r>
        <w:rPr>
          <w:highlight w:val="none"/>
        </w:rPr>
        <w:instrText xml:space="preserve"> PAGEREF _Toc229390280 \h </w:instrText>
      </w:r>
      <w:r>
        <w:rPr>
          <w:highlight w:val="none"/>
        </w:rPr>
        <w:fldChar w:fldCharType="separate"/>
      </w:r>
      <w:r>
        <w:rPr>
          <w:highlight w:val="none"/>
        </w:rPr>
        <w:t>- 3 -</w:t>
      </w:r>
      <w:r>
        <w:rPr>
          <w:highlight w:val="none"/>
        </w:rPr>
        <w:fldChar w:fldCharType="end"/>
      </w:r>
      <w:r>
        <w:rPr>
          <w:highlight w:val="none"/>
        </w:rPr>
        <w:fldChar w:fldCharType="end"/>
      </w:r>
    </w:p>
    <w:p w14:paraId="08852E96">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"_Toc229390281" </w:instrText>
      </w:r>
      <w:r>
        <w:rPr>
          <w:highlight w:val="none"/>
        </w:rPr>
        <w:fldChar w:fldCharType="separate"/>
      </w:r>
      <w:r>
        <w:rPr>
          <w:rStyle w:val="35"/>
          <w:rFonts w:hint="eastAsia"/>
          <w:highlight w:val="none"/>
        </w:rPr>
        <w:t>第二章</w:t>
      </w:r>
      <w:r>
        <w:rPr>
          <w:rStyle w:val="35"/>
          <w:highlight w:val="none"/>
        </w:rPr>
        <w:t xml:space="preserve"> </w:t>
      </w:r>
      <w:r>
        <w:rPr>
          <w:rStyle w:val="35"/>
          <w:rFonts w:hint="eastAsia"/>
          <w:highlight w:val="none"/>
        </w:rPr>
        <w:t>投标人须知</w:t>
      </w:r>
      <w:r>
        <w:rPr>
          <w:highlight w:val="none"/>
        </w:rPr>
        <w:tab/>
      </w:r>
      <w:r>
        <w:rPr>
          <w:highlight w:val="none"/>
        </w:rPr>
        <w:fldChar w:fldCharType="begin"/>
      </w:r>
      <w:r>
        <w:rPr>
          <w:highlight w:val="none"/>
        </w:rPr>
        <w:instrText xml:space="preserve"> PAGEREF _Toc229390281 \h </w:instrText>
      </w:r>
      <w:r>
        <w:rPr>
          <w:highlight w:val="none"/>
        </w:rPr>
        <w:fldChar w:fldCharType="separate"/>
      </w:r>
      <w:r>
        <w:rPr>
          <w:highlight w:val="none"/>
        </w:rPr>
        <w:t>- 5 -</w:t>
      </w:r>
      <w:r>
        <w:rPr>
          <w:highlight w:val="none"/>
        </w:rPr>
        <w:fldChar w:fldCharType="end"/>
      </w:r>
      <w:r>
        <w:rPr>
          <w:highlight w:val="none"/>
        </w:rPr>
        <w:fldChar w:fldCharType="end"/>
      </w:r>
    </w:p>
    <w:p w14:paraId="7858E577">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"_Toc229390282" </w:instrText>
      </w:r>
      <w:r>
        <w:rPr>
          <w:highlight w:val="none"/>
        </w:rPr>
        <w:fldChar w:fldCharType="separate"/>
      </w:r>
      <w:r>
        <w:rPr>
          <w:rStyle w:val="35"/>
          <w:rFonts w:hint="eastAsia"/>
          <w:highlight w:val="none"/>
        </w:rPr>
        <w:t>一、投标人须知前附表</w:t>
      </w:r>
      <w:r>
        <w:rPr>
          <w:highlight w:val="none"/>
        </w:rPr>
        <w:tab/>
      </w:r>
      <w:r>
        <w:rPr>
          <w:highlight w:val="none"/>
        </w:rPr>
        <w:fldChar w:fldCharType="begin"/>
      </w:r>
      <w:r>
        <w:rPr>
          <w:highlight w:val="none"/>
        </w:rPr>
        <w:instrText xml:space="preserve"> PAGEREF _Toc229390282 \h </w:instrText>
      </w:r>
      <w:r>
        <w:rPr>
          <w:highlight w:val="none"/>
        </w:rPr>
        <w:fldChar w:fldCharType="separate"/>
      </w:r>
      <w:r>
        <w:rPr>
          <w:highlight w:val="none"/>
        </w:rPr>
        <w:t>- 5 -</w:t>
      </w:r>
      <w:r>
        <w:rPr>
          <w:highlight w:val="none"/>
        </w:rPr>
        <w:fldChar w:fldCharType="end"/>
      </w:r>
      <w:r>
        <w:rPr>
          <w:highlight w:val="none"/>
        </w:rPr>
        <w:fldChar w:fldCharType="end"/>
      </w:r>
    </w:p>
    <w:p w14:paraId="0567F02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"_Toc229390283" </w:instrText>
      </w:r>
      <w:r>
        <w:rPr>
          <w:highlight w:val="none"/>
        </w:rPr>
        <w:fldChar w:fldCharType="separate"/>
      </w:r>
      <w:r>
        <w:rPr>
          <w:rStyle w:val="35"/>
          <w:rFonts w:hint="eastAsia"/>
          <w:highlight w:val="none"/>
        </w:rPr>
        <w:t>二、投标人须知</w:t>
      </w:r>
      <w:r>
        <w:rPr>
          <w:highlight w:val="none"/>
        </w:rPr>
        <w:tab/>
      </w:r>
      <w:r>
        <w:rPr>
          <w:highlight w:val="none"/>
        </w:rPr>
        <w:fldChar w:fldCharType="begin"/>
      </w:r>
      <w:r>
        <w:rPr>
          <w:highlight w:val="none"/>
        </w:rPr>
        <w:instrText xml:space="preserve"> PAGEREF _Toc229390283 \h </w:instrText>
      </w:r>
      <w:r>
        <w:rPr>
          <w:highlight w:val="none"/>
        </w:rPr>
        <w:fldChar w:fldCharType="separate"/>
      </w:r>
      <w:r>
        <w:rPr>
          <w:highlight w:val="none"/>
        </w:rPr>
        <w:t>- 19 -</w:t>
      </w:r>
      <w:r>
        <w:rPr>
          <w:highlight w:val="none"/>
        </w:rPr>
        <w:fldChar w:fldCharType="end"/>
      </w:r>
      <w:r>
        <w:rPr>
          <w:highlight w:val="none"/>
        </w:rPr>
        <w:fldChar w:fldCharType="end"/>
      </w:r>
    </w:p>
    <w:p w14:paraId="7F75E88D">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"_Toc229390284" </w:instrText>
      </w:r>
      <w:r>
        <w:rPr>
          <w:highlight w:val="none"/>
        </w:rPr>
        <w:fldChar w:fldCharType="separate"/>
      </w:r>
      <w:r>
        <w:rPr>
          <w:rStyle w:val="35"/>
          <w:rFonts w:hint="eastAsia"/>
          <w:highlight w:val="none"/>
        </w:rPr>
        <w:t>第三章</w:t>
      </w:r>
      <w:r>
        <w:rPr>
          <w:rStyle w:val="35"/>
          <w:highlight w:val="none"/>
        </w:rPr>
        <w:t xml:space="preserve"> </w:t>
      </w:r>
      <w:r>
        <w:rPr>
          <w:rStyle w:val="35"/>
          <w:rFonts w:hint="eastAsia"/>
          <w:highlight w:val="none"/>
        </w:rPr>
        <w:t>采购需求</w:t>
      </w:r>
      <w:r>
        <w:rPr>
          <w:highlight w:val="none"/>
        </w:rPr>
        <w:tab/>
      </w:r>
      <w:r>
        <w:rPr>
          <w:highlight w:val="none"/>
        </w:rPr>
        <w:fldChar w:fldCharType="begin"/>
      </w:r>
      <w:r>
        <w:rPr>
          <w:highlight w:val="none"/>
        </w:rPr>
        <w:instrText xml:space="preserve"> PAGEREF _Toc229390284 \h </w:instrText>
      </w:r>
      <w:r>
        <w:rPr>
          <w:highlight w:val="none"/>
        </w:rPr>
        <w:fldChar w:fldCharType="separate"/>
      </w:r>
      <w:r>
        <w:rPr>
          <w:highlight w:val="none"/>
        </w:rPr>
        <w:t>- 51 -</w:t>
      </w:r>
      <w:r>
        <w:rPr>
          <w:highlight w:val="none"/>
        </w:rPr>
        <w:fldChar w:fldCharType="end"/>
      </w:r>
      <w:r>
        <w:rPr>
          <w:highlight w:val="none"/>
        </w:rPr>
        <w:fldChar w:fldCharType="end"/>
      </w:r>
    </w:p>
    <w:p w14:paraId="6967733D">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"_Toc229390285" </w:instrText>
      </w:r>
      <w:r>
        <w:rPr>
          <w:highlight w:val="none"/>
        </w:rPr>
        <w:fldChar w:fldCharType="separate"/>
      </w:r>
      <w:r>
        <w:rPr>
          <w:rStyle w:val="35"/>
          <w:rFonts w:hint="eastAsia"/>
          <w:highlight w:val="none"/>
        </w:rPr>
        <w:t>一、采购标的</w:t>
      </w:r>
      <w:r>
        <w:rPr>
          <w:highlight w:val="none"/>
        </w:rPr>
        <w:tab/>
      </w:r>
      <w:r>
        <w:rPr>
          <w:highlight w:val="none"/>
        </w:rPr>
        <w:fldChar w:fldCharType="begin"/>
      </w:r>
      <w:r>
        <w:rPr>
          <w:highlight w:val="none"/>
        </w:rPr>
        <w:instrText xml:space="preserve"> PAGEREF _Toc229390285 \h </w:instrText>
      </w:r>
      <w:r>
        <w:rPr>
          <w:highlight w:val="none"/>
        </w:rPr>
        <w:fldChar w:fldCharType="separate"/>
      </w:r>
      <w:r>
        <w:rPr>
          <w:highlight w:val="none"/>
        </w:rPr>
        <w:t>- 51 -</w:t>
      </w:r>
      <w:r>
        <w:rPr>
          <w:highlight w:val="none"/>
        </w:rPr>
        <w:fldChar w:fldCharType="end"/>
      </w:r>
      <w:r>
        <w:rPr>
          <w:highlight w:val="none"/>
        </w:rPr>
        <w:fldChar w:fldCharType="end"/>
      </w:r>
    </w:p>
    <w:p w14:paraId="40BCDB7A">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"_Toc229390286" </w:instrText>
      </w:r>
      <w:r>
        <w:rPr>
          <w:highlight w:val="none"/>
        </w:rPr>
        <w:fldChar w:fldCharType="separate"/>
      </w:r>
      <w:r>
        <w:rPr>
          <w:rStyle w:val="35"/>
          <w:rFonts w:hint="eastAsia"/>
          <w:highlight w:val="none"/>
        </w:rPr>
        <w:t>二、商务要求</w:t>
      </w:r>
      <w:r>
        <w:rPr>
          <w:highlight w:val="none"/>
        </w:rPr>
        <w:tab/>
      </w:r>
      <w:r>
        <w:rPr>
          <w:highlight w:val="none"/>
        </w:rPr>
        <w:fldChar w:fldCharType="begin"/>
      </w:r>
      <w:r>
        <w:rPr>
          <w:highlight w:val="none"/>
        </w:rPr>
        <w:instrText xml:space="preserve"> PAGEREF _Toc229390286 \h </w:instrText>
      </w:r>
      <w:r>
        <w:rPr>
          <w:highlight w:val="none"/>
        </w:rPr>
        <w:fldChar w:fldCharType="separate"/>
      </w:r>
      <w:r>
        <w:rPr>
          <w:highlight w:val="none"/>
        </w:rPr>
        <w:t>- 52 -</w:t>
      </w:r>
      <w:r>
        <w:rPr>
          <w:highlight w:val="none"/>
        </w:rPr>
        <w:fldChar w:fldCharType="end"/>
      </w:r>
      <w:r>
        <w:rPr>
          <w:highlight w:val="none"/>
        </w:rPr>
        <w:fldChar w:fldCharType="end"/>
      </w:r>
    </w:p>
    <w:p w14:paraId="283CBBE0">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"_Toc229390287" </w:instrText>
      </w:r>
      <w:r>
        <w:rPr>
          <w:highlight w:val="none"/>
        </w:rPr>
        <w:fldChar w:fldCharType="separate"/>
      </w:r>
      <w:r>
        <w:rPr>
          <w:rStyle w:val="35"/>
          <w:rFonts w:hint="eastAsia"/>
          <w:highlight w:val="none"/>
        </w:rPr>
        <w:t>三、技术要求</w:t>
      </w:r>
      <w:r>
        <w:rPr>
          <w:highlight w:val="none"/>
        </w:rPr>
        <w:tab/>
      </w:r>
      <w:r>
        <w:rPr>
          <w:highlight w:val="none"/>
        </w:rPr>
        <w:fldChar w:fldCharType="begin"/>
      </w:r>
      <w:r>
        <w:rPr>
          <w:highlight w:val="none"/>
        </w:rPr>
        <w:instrText xml:space="preserve"> PAGEREF _Toc229390287 \h </w:instrText>
      </w:r>
      <w:r>
        <w:rPr>
          <w:highlight w:val="none"/>
        </w:rPr>
        <w:fldChar w:fldCharType="separate"/>
      </w:r>
      <w:r>
        <w:rPr>
          <w:highlight w:val="none"/>
        </w:rPr>
        <w:t>- 54 -</w:t>
      </w:r>
      <w:r>
        <w:rPr>
          <w:highlight w:val="none"/>
        </w:rPr>
        <w:fldChar w:fldCharType="end"/>
      </w:r>
      <w:r>
        <w:rPr>
          <w:highlight w:val="none"/>
        </w:rPr>
        <w:fldChar w:fldCharType="end"/>
      </w:r>
    </w:p>
    <w:p w14:paraId="3D005113">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"_Toc229390288" </w:instrText>
      </w:r>
      <w:r>
        <w:rPr>
          <w:highlight w:val="none"/>
        </w:rPr>
        <w:fldChar w:fldCharType="separate"/>
      </w:r>
      <w:r>
        <w:rPr>
          <w:rStyle w:val="35"/>
          <w:rFonts w:hint="eastAsia"/>
          <w:highlight w:val="none"/>
        </w:rPr>
        <w:t>第四章</w:t>
      </w:r>
      <w:r>
        <w:rPr>
          <w:rStyle w:val="35"/>
          <w:highlight w:val="none"/>
        </w:rPr>
        <w:t xml:space="preserve"> </w:t>
      </w:r>
      <w:r>
        <w:rPr>
          <w:rStyle w:val="35"/>
          <w:rFonts w:hint="eastAsia"/>
          <w:highlight w:val="none"/>
        </w:rPr>
        <w:t>资格审查</w:t>
      </w:r>
      <w:r>
        <w:rPr>
          <w:highlight w:val="none"/>
        </w:rPr>
        <w:tab/>
      </w:r>
      <w:r>
        <w:rPr>
          <w:highlight w:val="none"/>
        </w:rPr>
        <w:fldChar w:fldCharType="begin"/>
      </w:r>
      <w:r>
        <w:rPr>
          <w:highlight w:val="none"/>
        </w:rPr>
        <w:instrText xml:space="preserve"> PAGEREF _Toc229390288 \h </w:instrText>
      </w:r>
      <w:r>
        <w:rPr>
          <w:highlight w:val="none"/>
        </w:rPr>
        <w:fldChar w:fldCharType="separate"/>
      </w:r>
      <w:r>
        <w:rPr>
          <w:highlight w:val="none"/>
        </w:rPr>
        <w:t>- 59 -</w:t>
      </w:r>
      <w:r>
        <w:rPr>
          <w:highlight w:val="none"/>
        </w:rPr>
        <w:fldChar w:fldCharType="end"/>
      </w:r>
      <w:r>
        <w:rPr>
          <w:highlight w:val="none"/>
        </w:rPr>
        <w:fldChar w:fldCharType="end"/>
      </w:r>
    </w:p>
    <w:p w14:paraId="5033116E">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"_Toc229390289" </w:instrText>
      </w:r>
      <w:r>
        <w:rPr>
          <w:highlight w:val="none"/>
        </w:rPr>
        <w:fldChar w:fldCharType="separate"/>
      </w:r>
      <w:r>
        <w:rPr>
          <w:rStyle w:val="35"/>
          <w:rFonts w:hint="eastAsia"/>
          <w:highlight w:val="none"/>
        </w:rPr>
        <w:t>一、资格审查程序</w:t>
      </w:r>
      <w:r>
        <w:rPr>
          <w:highlight w:val="none"/>
        </w:rPr>
        <w:tab/>
      </w:r>
      <w:r>
        <w:rPr>
          <w:highlight w:val="none"/>
        </w:rPr>
        <w:fldChar w:fldCharType="begin"/>
      </w:r>
      <w:r>
        <w:rPr>
          <w:highlight w:val="none"/>
        </w:rPr>
        <w:instrText xml:space="preserve"> PAGEREF _Toc229390289 \h </w:instrText>
      </w:r>
      <w:r>
        <w:rPr>
          <w:highlight w:val="none"/>
        </w:rPr>
        <w:fldChar w:fldCharType="separate"/>
      </w:r>
      <w:r>
        <w:rPr>
          <w:highlight w:val="none"/>
        </w:rPr>
        <w:t>- 59 -</w:t>
      </w:r>
      <w:r>
        <w:rPr>
          <w:highlight w:val="none"/>
        </w:rPr>
        <w:fldChar w:fldCharType="end"/>
      </w:r>
      <w:r>
        <w:rPr>
          <w:highlight w:val="none"/>
        </w:rPr>
        <w:fldChar w:fldCharType="end"/>
      </w:r>
    </w:p>
    <w:p w14:paraId="52308665">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"_Toc229390290" </w:instrText>
      </w:r>
      <w:r>
        <w:rPr>
          <w:highlight w:val="none"/>
        </w:rPr>
        <w:fldChar w:fldCharType="separate"/>
      </w:r>
      <w:r>
        <w:rPr>
          <w:rStyle w:val="35"/>
          <w:rFonts w:hint="eastAsia"/>
          <w:highlight w:val="none"/>
        </w:rPr>
        <w:t>二、资格审查要求</w:t>
      </w:r>
      <w:r>
        <w:rPr>
          <w:highlight w:val="none"/>
        </w:rPr>
        <w:tab/>
      </w:r>
      <w:r>
        <w:rPr>
          <w:highlight w:val="none"/>
        </w:rPr>
        <w:fldChar w:fldCharType="begin"/>
      </w:r>
      <w:r>
        <w:rPr>
          <w:highlight w:val="none"/>
        </w:rPr>
        <w:instrText xml:space="preserve"> PAGEREF _Toc229390290 \h </w:instrText>
      </w:r>
      <w:r>
        <w:rPr>
          <w:highlight w:val="none"/>
        </w:rPr>
        <w:fldChar w:fldCharType="separate"/>
      </w:r>
      <w:r>
        <w:rPr>
          <w:highlight w:val="none"/>
        </w:rPr>
        <w:t>- 59 -</w:t>
      </w:r>
      <w:r>
        <w:rPr>
          <w:highlight w:val="none"/>
        </w:rPr>
        <w:fldChar w:fldCharType="end"/>
      </w:r>
      <w:r>
        <w:rPr>
          <w:highlight w:val="none"/>
        </w:rPr>
        <w:fldChar w:fldCharType="end"/>
      </w:r>
    </w:p>
    <w:p w14:paraId="2AA0BDF0">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"_Toc229390291" </w:instrText>
      </w:r>
      <w:r>
        <w:rPr>
          <w:highlight w:val="none"/>
        </w:rPr>
        <w:fldChar w:fldCharType="separate"/>
      </w:r>
      <w:r>
        <w:rPr>
          <w:rStyle w:val="35"/>
          <w:rFonts w:hint="eastAsia"/>
          <w:highlight w:val="none"/>
        </w:rPr>
        <w:t>第五章</w:t>
      </w:r>
      <w:r>
        <w:rPr>
          <w:rStyle w:val="35"/>
          <w:highlight w:val="none"/>
        </w:rPr>
        <w:t xml:space="preserve"> </w:t>
      </w:r>
      <w:r>
        <w:rPr>
          <w:rStyle w:val="35"/>
          <w:rFonts w:hint="eastAsia"/>
          <w:highlight w:val="none"/>
        </w:rPr>
        <w:t>评标方法及标准</w:t>
      </w:r>
      <w:r>
        <w:rPr>
          <w:rStyle w:val="35"/>
          <w:highlight w:val="none"/>
        </w:rPr>
        <w:t>(</w:t>
      </w:r>
      <w:r>
        <w:rPr>
          <w:rStyle w:val="35"/>
          <w:rFonts w:hint="eastAsia"/>
          <w:highlight w:val="none"/>
        </w:rPr>
        <w:t>综合评分法</w:t>
      </w:r>
      <w:r>
        <w:rPr>
          <w:rStyle w:val="35"/>
          <w:highlight w:val="none"/>
        </w:rPr>
        <w:t>)</w:t>
      </w:r>
      <w:r>
        <w:rPr>
          <w:highlight w:val="none"/>
        </w:rPr>
        <w:tab/>
      </w:r>
      <w:r>
        <w:rPr>
          <w:highlight w:val="none"/>
        </w:rPr>
        <w:fldChar w:fldCharType="begin"/>
      </w:r>
      <w:r>
        <w:rPr>
          <w:highlight w:val="none"/>
        </w:rPr>
        <w:instrText xml:space="preserve"> PAGEREF _Toc229390291 \h </w:instrText>
      </w:r>
      <w:r>
        <w:rPr>
          <w:highlight w:val="none"/>
        </w:rPr>
        <w:fldChar w:fldCharType="separate"/>
      </w:r>
      <w:r>
        <w:rPr>
          <w:highlight w:val="none"/>
        </w:rPr>
        <w:t>- 62 -</w:t>
      </w:r>
      <w:r>
        <w:rPr>
          <w:highlight w:val="none"/>
        </w:rPr>
        <w:fldChar w:fldCharType="end"/>
      </w:r>
      <w:r>
        <w:rPr>
          <w:highlight w:val="none"/>
        </w:rPr>
        <w:fldChar w:fldCharType="end"/>
      </w:r>
    </w:p>
    <w:p w14:paraId="73A37394">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"_Toc229390292" </w:instrText>
      </w:r>
      <w:r>
        <w:rPr>
          <w:highlight w:val="none"/>
        </w:rPr>
        <w:fldChar w:fldCharType="separate"/>
      </w:r>
      <w:r>
        <w:rPr>
          <w:rStyle w:val="35"/>
          <w:rFonts w:hint="eastAsia"/>
          <w:highlight w:val="none"/>
          <w:lang w:val="zh-CN"/>
        </w:rPr>
        <w:t>一、评标</w:t>
      </w:r>
      <w:r>
        <w:rPr>
          <w:rStyle w:val="35"/>
          <w:rFonts w:hint="eastAsia"/>
          <w:highlight w:val="none"/>
        </w:rPr>
        <w:t>方</w:t>
      </w:r>
      <w:r>
        <w:rPr>
          <w:rStyle w:val="35"/>
          <w:rFonts w:hint="eastAsia"/>
          <w:highlight w:val="none"/>
          <w:lang w:val="zh-CN"/>
        </w:rPr>
        <w:t>法</w:t>
      </w:r>
      <w:r>
        <w:rPr>
          <w:highlight w:val="none"/>
        </w:rPr>
        <w:tab/>
      </w:r>
      <w:r>
        <w:rPr>
          <w:highlight w:val="none"/>
        </w:rPr>
        <w:fldChar w:fldCharType="begin"/>
      </w:r>
      <w:r>
        <w:rPr>
          <w:highlight w:val="none"/>
        </w:rPr>
        <w:instrText xml:space="preserve"> PAGEREF _Toc229390292 \h </w:instrText>
      </w:r>
      <w:r>
        <w:rPr>
          <w:highlight w:val="none"/>
        </w:rPr>
        <w:fldChar w:fldCharType="separate"/>
      </w:r>
      <w:r>
        <w:rPr>
          <w:highlight w:val="none"/>
        </w:rPr>
        <w:t>- 62 -</w:t>
      </w:r>
      <w:r>
        <w:rPr>
          <w:highlight w:val="none"/>
        </w:rPr>
        <w:fldChar w:fldCharType="end"/>
      </w:r>
      <w:r>
        <w:rPr>
          <w:highlight w:val="none"/>
        </w:rPr>
        <w:fldChar w:fldCharType="end"/>
      </w:r>
    </w:p>
    <w:p w14:paraId="6095FB56">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"_Toc229390293" </w:instrText>
      </w:r>
      <w:r>
        <w:rPr>
          <w:highlight w:val="none"/>
        </w:rPr>
        <w:fldChar w:fldCharType="separate"/>
      </w:r>
      <w:r>
        <w:rPr>
          <w:rStyle w:val="35"/>
          <w:rFonts w:hint="eastAsia"/>
          <w:highlight w:val="none"/>
        </w:rPr>
        <w:t>二</w:t>
      </w:r>
      <w:r>
        <w:rPr>
          <w:rStyle w:val="35"/>
          <w:rFonts w:hint="eastAsia"/>
          <w:highlight w:val="none"/>
          <w:lang w:val="zh-CN"/>
        </w:rPr>
        <w:t>、评标程序</w:t>
      </w:r>
      <w:r>
        <w:rPr>
          <w:highlight w:val="none"/>
        </w:rPr>
        <w:tab/>
      </w:r>
      <w:r>
        <w:rPr>
          <w:highlight w:val="none"/>
        </w:rPr>
        <w:fldChar w:fldCharType="begin"/>
      </w:r>
      <w:r>
        <w:rPr>
          <w:highlight w:val="none"/>
        </w:rPr>
        <w:instrText xml:space="preserve"> PAGEREF _Toc229390293 \h </w:instrText>
      </w:r>
      <w:r>
        <w:rPr>
          <w:highlight w:val="none"/>
        </w:rPr>
        <w:fldChar w:fldCharType="separate"/>
      </w:r>
      <w:r>
        <w:rPr>
          <w:highlight w:val="none"/>
        </w:rPr>
        <w:t>- 62 -</w:t>
      </w:r>
      <w:r>
        <w:rPr>
          <w:highlight w:val="none"/>
        </w:rPr>
        <w:fldChar w:fldCharType="end"/>
      </w:r>
      <w:r>
        <w:rPr>
          <w:highlight w:val="none"/>
        </w:rPr>
        <w:fldChar w:fldCharType="end"/>
      </w:r>
    </w:p>
    <w:p w14:paraId="74D7F4C5">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"_Toc229390294" </w:instrText>
      </w:r>
      <w:r>
        <w:rPr>
          <w:highlight w:val="none"/>
        </w:rPr>
        <w:fldChar w:fldCharType="separate"/>
      </w:r>
      <w:r>
        <w:rPr>
          <w:rStyle w:val="35"/>
          <w:rFonts w:hint="eastAsia"/>
          <w:highlight w:val="none"/>
          <w:lang w:val="zh-CN"/>
        </w:rPr>
        <w:t>三、评标</w:t>
      </w:r>
      <w:r>
        <w:rPr>
          <w:rStyle w:val="35"/>
          <w:rFonts w:hint="eastAsia"/>
          <w:highlight w:val="none"/>
        </w:rPr>
        <w:t>其他要求</w:t>
      </w:r>
      <w:r>
        <w:rPr>
          <w:highlight w:val="none"/>
        </w:rPr>
        <w:tab/>
      </w:r>
      <w:r>
        <w:rPr>
          <w:highlight w:val="none"/>
        </w:rPr>
        <w:fldChar w:fldCharType="begin"/>
      </w:r>
      <w:r>
        <w:rPr>
          <w:highlight w:val="none"/>
        </w:rPr>
        <w:instrText xml:space="preserve"> PAGEREF _Toc229390294 \h </w:instrText>
      </w:r>
      <w:r>
        <w:rPr>
          <w:highlight w:val="none"/>
        </w:rPr>
        <w:fldChar w:fldCharType="separate"/>
      </w:r>
      <w:r>
        <w:rPr>
          <w:highlight w:val="none"/>
        </w:rPr>
        <w:t>- 71 -</w:t>
      </w:r>
      <w:r>
        <w:rPr>
          <w:highlight w:val="none"/>
        </w:rPr>
        <w:fldChar w:fldCharType="end"/>
      </w:r>
      <w:r>
        <w:rPr>
          <w:highlight w:val="none"/>
        </w:rPr>
        <w:fldChar w:fldCharType="end"/>
      </w:r>
    </w:p>
    <w:p w14:paraId="1BD6244D">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"_Toc229390295" </w:instrText>
      </w:r>
      <w:r>
        <w:rPr>
          <w:highlight w:val="none"/>
        </w:rPr>
        <w:fldChar w:fldCharType="separate"/>
      </w:r>
      <w:r>
        <w:rPr>
          <w:rStyle w:val="35"/>
          <w:rFonts w:hint="eastAsia"/>
          <w:highlight w:val="none"/>
        </w:rPr>
        <w:t>四</w:t>
      </w:r>
      <w:r>
        <w:rPr>
          <w:rStyle w:val="35"/>
          <w:rFonts w:hint="eastAsia"/>
          <w:highlight w:val="none"/>
          <w:lang w:val="zh-CN"/>
        </w:rPr>
        <w:t>、评标标准</w:t>
      </w:r>
      <w:r>
        <w:rPr>
          <w:highlight w:val="none"/>
        </w:rPr>
        <w:tab/>
      </w:r>
      <w:r>
        <w:rPr>
          <w:highlight w:val="none"/>
        </w:rPr>
        <w:fldChar w:fldCharType="begin"/>
      </w:r>
      <w:r>
        <w:rPr>
          <w:highlight w:val="none"/>
        </w:rPr>
        <w:instrText xml:space="preserve"> PAGEREF _Toc229390295 \h </w:instrText>
      </w:r>
      <w:r>
        <w:rPr>
          <w:highlight w:val="none"/>
        </w:rPr>
        <w:fldChar w:fldCharType="separate"/>
      </w:r>
      <w:r>
        <w:rPr>
          <w:highlight w:val="none"/>
        </w:rPr>
        <w:t>- 71 -</w:t>
      </w:r>
      <w:r>
        <w:rPr>
          <w:highlight w:val="none"/>
        </w:rPr>
        <w:fldChar w:fldCharType="end"/>
      </w:r>
      <w:r>
        <w:rPr>
          <w:highlight w:val="none"/>
        </w:rPr>
        <w:fldChar w:fldCharType="end"/>
      </w:r>
    </w:p>
    <w:p w14:paraId="013B65D5">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"_Toc229390296" </w:instrText>
      </w:r>
      <w:r>
        <w:rPr>
          <w:highlight w:val="none"/>
        </w:rPr>
        <w:fldChar w:fldCharType="separate"/>
      </w:r>
      <w:r>
        <w:rPr>
          <w:rStyle w:val="35"/>
          <w:rFonts w:hint="eastAsia"/>
          <w:highlight w:val="none"/>
          <w:lang w:val="zh-CN"/>
        </w:rPr>
        <w:t>第六章</w:t>
      </w:r>
      <w:r>
        <w:rPr>
          <w:rStyle w:val="35"/>
          <w:highlight w:val="none"/>
          <w:lang w:val="zh-CN"/>
        </w:rPr>
        <w:t xml:space="preserve"> </w:t>
      </w:r>
      <w:r>
        <w:rPr>
          <w:rStyle w:val="35"/>
          <w:rFonts w:hint="eastAsia"/>
          <w:highlight w:val="none"/>
          <w:lang w:val="zh-CN"/>
        </w:rPr>
        <w:t>合同草案</w:t>
      </w:r>
      <w:r>
        <w:rPr>
          <w:highlight w:val="none"/>
        </w:rPr>
        <w:tab/>
      </w:r>
      <w:r>
        <w:rPr>
          <w:highlight w:val="none"/>
        </w:rPr>
        <w:fldChar w:fldCharType="begin"/>
      </w:r>
      <w:r>
        <w:rPr>
          <w:highlight w:val="none"/>
        </w:rPr>
        <w:instrText xml:space="preserve"> PAGEREF _Toc229390296 \h </w:instrText>
      </w:r>
      <w:r>
        <w:rPr>
          <w:highlight w:val="none"/>
        </w:rPr>
        <w:fldChar w:fldCharType="separate"/>
      </w:r>
      <w:r>
        <w:rPr>
          <w:highlight w:val="none"/>
        </w:rPr>
        <w:t>- 80 -</w:t>
      </w:r>
      <w:r>
        <w:rPr>
          <w:highlight w:val="none"/>
        </w:rPr>
        <w:fldChar w:fldCharType="end"/>
      </w:r>
      <w:r>
        <w:rPr>
          <w:highlight w:val="none"/>
        </w:rPr>
        <w:fldChar w:fldCharType="end"/>
      </w:r>
    </w:p>
    <w:p w14:paraId="5EBE5745">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"_Toc229390297" </w:instrText>
      </w:r>
      <w:r>
        <w:rPr>
          <w:highlight w:val="none"/>
        </w:rPr>
        <w:fldChar w:fldCharType="separate"/>
      </w:r>
      <w:r>
        <w:rPr>
          <w:rStyle w:val="35"/>
          <w:rFonts w:hint="eastAsia"/>
          <w:highlight w:val="none"/>
        </w:rPr>
        <w:t>第七章</w:t>
      </w:r>
      <w:r>
        <w:rPr>
          <w:rStyle w:val="35"/>
          <w:highlight w:val="none"/>
        </w:rPr>
        <w:t xml:space="preserve"> </w:t>
      </w:r>
      <w:r>
        <w:rPr>
          <w:rStyle w:val="35"/>
          <w:rFonts w:hint="eastAsia"/>
          <w:highlight w:val="none"/>
        </w:rPr>
        <w:t>投标文件格式</w:t>
      </w:r>
      <w:r>
        <w:rPr>
          <w:highlight w:val="none"/>
        </w:rPr>
        <w:tab/>
      </w:r>
      <w:r>
        <w:rPr>
          <w:highlight w:val="none"/>
        </w:rPr>
        <w:fldChar w:fldCharType="begin"/>
      </w:r>
      <w:r>
        <w:rPr>
          <w:highlight w:val="none"/>
        </w:rPr>
        <w:instrText xml:space="preserve"> PAGEREF _Toc229390297 \h </w:instrText>
      </w:r>
      <w:r>
        <w:rPr>
          <w:highlight w:val="none"/>
        </w:rPr>
        <w:fldChar w:fldCharType="separate"/>
      </w:r>
      <w:r>
        <w:rPr>
          <w:highlight w:val="none"/>
        </w:rPr>
        <w:t>100</w:t>
      </w:r>
      <w:r>
        <w:rPr>
          <w:highlight w:val="none"/>
        </w:rPr>
        <w:fldChar w:fldCharType="end"/>
      </w:r>
      <w:r>
        <w:rPr>
          <w:highlight w:val="none"/>
        </w:rPr>
        <w:fldChar w:fldCharType="end"/>
      </w:r>
    </w:p>
    <w:p w14:paraId="4726E96E">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"_Toc229390298" </w:instrText>
      </w:r>
      <w:r>
        <w:rPr>
          <w:highlight w:val="none"/>
        </w:rPr>
        <w:fldChar w:fldCharType="separate"/>
      </w:r>
      <w:r>
        <w:rPr>
          <w:rStyle w:val="35"/>
          <w:rFonts w:hint="eastAsia"/>
          <w:highlight w:val="none"/>
        </w:rPr>
        <w:t>投</w:t>
      </w:r>
      <w:r>
        <w:rPr>
          <w:rStyle w:val="35"/>
          <w:highlight w:val="none"/>
        </w:rPr>
        <w:t xml:space="preserve"> </w:t>
      </w:r>
      <w:r>
        <w:rPr>
          <w:rStyle w:val="35"/>
          <w:rFonts w:hint="eastAsia"/>
          <w:highlight w:val="none"/>
        </w:rPr>
        <w:t>标</w:t>
      </w:r>
      <w:r>
        <w:rPr>
          <w:rStyle w:val="35"/>
          <w:highlight w:val="none"/>
        </w:rPr>
        <w:t xml:space="preserve"> </w:t>
      </w:r>
      <w:r>
        <w:rPr>
          <w:rStyle w:val="35"/>
          <w:rFonts w:hint="eastAsia"/>
          <w:highlight w:val="none"/>
        </w:rPr>
        <w:t>文</w:t>
      </w:r>
      <w:r>
        <w:rPr>
          <w:rStyle w:val="35"/>
          <w:highlight w:val="none"/>
        </w:rPr>
        <w:t xml:space="preserve"> </w:t>
      </w:r>
      <w:r>
        <w:rPr>
          <w:rStyle w:val="35"/>
          <w:rFonts w:hint="eastAsia"/>
          <w:highlight w:val="none"/>
        </w:rPr>
        <w:t>件</w:t>
      </w:r>
      <w:r>
        <w:rPr>
          <w:highlight w:val="none"/>
        </w:rPr>
        <w:tab/>
      </w:r>
      <w:r>
        <w:rPr>
          <w:highlight w:val="none"/>
        </w:rPr>
        <w:fldChar w:fldCharType="begin"/>
      </w:r>
      <w:r>
        <w:rPr>
          <w:highlight w:val="none"/>
        </w:rPr>
        <w:instrText xml:space="preserve"> PAGEREF _Toc229390298 \h </w:instrText>
      </w:r>
      <w:r>
        <w:rPr>
          <w:highlight w:val="none"/>
        </w:rPr>
        <w:fldChar w:fldCharType="separate"/>
      </w:r>
      <w:r>
        <w:rPr>
          <w:highlight w:val="none"/>
        </w:rPr>
        <w:t>101</w:t>
      </w:r>
      <w:r>
        <w:rPr>
          <w:highlight w:val="none"/>
        </w:rPr>
        <w:fldChar w:fldCharType="end"/>
      </w:r>
      <w:r>
        <w:rPr>
          <w:highlight w:val="none"/>
        </w:rPr>
        <w:fldChar w:fldCharType="end"/>
      </w:r>
    </w:p>
    <w:p w14:paraId="3AD5ED77">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"_Toc229390299" </w:instrText>
      </w:r>
      <w:r>
        <w:rPr>
          <w:highlight w:val="none"/>
        </w:rPr>
        <w:fldChar w:fldCharType="separate"/>
      </w:r>
      <w:r>
        <w:rPr>
          <w:rStyle w:val="35"/>
          <w:rFonts w:hint="eastAsia"/>
          <w:highlight w:val="none"/>
        </w:rPr>
        <w:t>资格证明文件</w:t>
      </w:r>
      <w:r>
        <w:rPr>
          <w:highlight w:val="none"/>
        </w:rPr>
        <w:tab/>
      </w:r>
      <w:r>
        <w:rPr>
          <w:highlight w:val="none"/>
        </w:rPr>
        <w:fldChar w:fldCharType="begin"/>
      </w:r>
      <w:r>
        <w:rPr>
          <w:highlight w:val="none"/>
        </w:rPr>
        <w:instrText xml:space="preserve"> PAGEREF _Toc229390299 \h </w:instrText>
      </w:r>
      <w:r>
        <w:rPr>
          <w:highlight w:val="none"/>
        </w:rPr>
        <w:fldChar w:fldCharType="separate"/>
      </w:r>
      <w:r>
        <w:rPr>
          <w:highlight w:val="none"/>
        </w:rPr>
        <w:t>101</w:t>
      </w:r>
      <w:r>
        <w:rPr>
          <w:highlight w:val="none"/>
        </w:rPr>
        <w:fldChar w:fldCharType="end"/>
      </w:r>
      <w:r>
        <w:rPr>
          <w:highlight w:val="none"/>
        </w:rPr>
        <w:fldChar w:fldCharType="end"/>
      </w:r>
    </w:p>
    <w:p w14:paraId="3C03B32A">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"_Toc229390300" </w:instrText>
      </w:r>
      <w:r>
        <w:rPr>
          <w:highlight w:val="none"/>
        </w:rPr>
        <w:fldChar w:fldCharType="separate"/>
      </w:r>
      <w:r>
        <w:rPr>
          <w:rStyle w:val="35"/>
          <w:rFonts w:hint="eastAsia"/>
          <w:highlight w:val="none"/>
        </w:rPr>
        <w:t>一、满足《中华人民共和国政府采购法》第二十二条规定</w:t>
      </w:r>
      <w:r>
        <w:rPr>
          <w:highlight w:val="none"/>
        </w:rPr>
        <w:tab/>
      </w:r>
      <w:r>
        <w:rPr>
          <w:highlight w:val="none"/>
        </w:rPr>
        <w:fldChar w:fldCharType="begin"/>
      </w:r>
      <w:r>
        <w:rPr>
          <w:highlight w:val="none"/>
        </w:rPr>
        <w:instrText xml:space="preserve"> PAGEREF _Toc229390300 \h </w:instrText>
      </w:r>
      <w:r>
        <w:rPr>
          <w:highlight w:val="none"/>
        </w:rPr>
        <w:fldChar w:fldCharType="separate"/>
      </w:r>
      <w:r>
        <w:rPr>
          <w:highlight w:val="none"/>
        </w:rPr>
        <w:t>102</w:t>
      </w:r>
      <w:r>
        <w:rPr>
          <w:highlight w:val="none"/>
        </w:rPr>
        <w:fldChar w:fldCharType="end"/>
      </w:r>
      <w:r>
        <w:rPr>
          <w:highlight w:val="none"/>
        </w:rPr>
        <w:fldChar w:fldCharType="end"/>
      </w:r>
    </w:p>
    <w:p w14:paraId="74FD304A">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"_Toc229390301" </w:instrText>
      </w:r>
      <w:r>
        <w:rPr>
          <w:highlight w:val="none"/>
        </w:rPr>
        <w:fldChar w:fldCharType="separate"/>
      </w:r>
      <w:r>
        <w:rPr>
          <w:rStyle w:val="35"/>
          <w:rFonts w:hint="eastAsia"/>
          <w:highlight w:val="none"/>
        </w:rPr>
        <w:t>二、</w:t>
      </w:r>
      <w:r>
        <w:rPr>
          <w:rStyle w:val="35"/>
          <w:rFonts w:hint="eastAsia"/>
          <w:highlight w:val="none"/>
          <w:lang w:val="zh-CN"/>
        </w:rPr>
        <w:t>联合体协议书【</w:t>
      </w:r>
      <w:r>
        <w:rPr>
          <w:rStyle w:val="35"/>
          <w:rFonts w:hint="eastAsia"/>
          <w:highlight w:val="none"/>
        </w:rPr>
        <w:t>不适用可不提供</w:t>
      </w:r>
      <w:r>
        <w:rPr>
          <w:rStyle w:val="35"/>
          <w:rFonts w:hint="eastAsia"/>
          <w:highlight w:val="none"/>
          <w:lang w:val="zh-CN"/>
        </w:rPr>
        <w:t>】</w:t>
      </w:r>
      <w:r>
        <w:rPr>
          <w:highlight w:val="none"/>
        </w:rPr>
        <w:tab/>
      </w:r>
      <w:r>
        <w:rPr>
          <w:highlight w:val="none"/>
        </w:rPr>
        <w:fldChar w:fldCharType="begin"/>
      </w:r>
      <w:r>
        <w:rPr>
          <w:highlight w:val="none"/>
        </w:rPr>
        <w:instrText xml:space="preserve"> PAGEREF _Toc229390301 \h </w:instrText>
      </w:r>
      <w:r>
        <w:rPr>
          <w:highlight w:val="none"/>
        </w:rPr>
        <w:fldChar w:fldCharType="separate"/>
      </w:r>
      <w:r>
        <w:rPr>
          <w:highlight w:val="none"/>
        </w:rPr>
        <w:t>- 109 -</w:t>
      </w:r>
      <w:r>
        <w:rPr>
          <w:highlight w:val="none"/>
        </w:rPr>
        <w:fldChar w:fldCharType="end"/>
      </w:r>
      <w:r>
        <w:rPr>
          <w:highlight w:val="none"/>
        </w:rPr>
        <w:fldChar w:fldCharType="end"/>
      </w:r>
    </w:p>
    <w:p w14:paraId="30328583">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"_Toc229390302" </w:instrText>
      </w:r>
      <w:r>
        <w:rPr>
          <w:highlight w:val="none"/>
        </w:rPr>
        <w:fldChar w:fldCharType="separate"/>
      </w:r>
      <w:r>
        <w:rPr>
          <w:rStyle w:val="35"/>
          <w:rFonts w:hint="eastAsia"/>
          <w:highlight w:val="none"/>
        </w:rPr>
        <w:t>三、</w:t>
      </w:r>
      <w:r>
        <w:rPr>
          <w:rStyle w:val="35"/>
          <w:rFonts w:hint="eastAsia"/>
          <w:highlight w:val="none"/>
          <w:lang w:val="zh-CN"/>
        </w:rPr>
        <w:t>分包意向协议书【</w:t>
      </w:r>
      <w:r>
        <w:rPr>
          <w:rStyle w:val="35"/>
          <w:rFonts w:hint="eastAsia"/>
          <w:highlight w:val="none"/>
        </w:rPr>
        <w:t>不适用可不提供</w:t>
      </w:r>
      <w:r>
        <w:rPr>
          <w:rStyle w:val="35"/>
          <w:rFonts w:hint="eastAsia"/>
          <w:highlight w:val="none"/>
          <w:lang w:val="zh-CN"/>
        </w:rPr>
        <w:t>】</w:t>
      </w:r>
      <w:r>
        <w:rPr>
          <w:highlight w:val="none"/>
        </w:rPr>
        <w:tab/>
      </w:r>
      <w:r>
        <w:rPr>
          <w:highlight w:val="none"/>
        </w:rPr>
        <w:fldChar w:fldCharType="begin"/>
      </w:r>
      <w:r>
        <w:rPr>
          <w:highlight w:val="none"/>
        </w:rPr>
        <w:instrText xml:space="preserve"> PAGEREF _Toc229390302 \h </w:instrText>
      </w:r>
      <w:r>
        <w:rPr>
          <w:highlight w:val="none"/>
        </w:rPr>
        <w:fldChar w:fldCharType="separate"/>
      </w:r>
      <w:r>
        <w:rPr>
          <w:highlight w:val="none"/>
        </w:rPr>
        <w:t>- 111 -</w:t>
      </w:r>
      <w:r>
        <w:rPr>
          <w:highlight w:val="none"/>
        </w:rPr>
        <w:fldChar w:fldCharType="end"/>
      </w:r>
      <w:r>
        <w:rPr>
          <w:highlight w:val="none"/>
        </w:rPr>
        <w:fldChar w:fldCharType="end"/>
      </w:r>
    </w:p>
    <w:p w14:paraId="1D38CB88">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"_Toc229390303" </w:instrText>
      </w:r>
      <w:r>
        <w:rPr>
          <w:highlight w:val="none"/>
        </w:rPr>
        <w:fldChar w:fldCharType="separate"/>
      </w:r>
      <w:r>
        <w:rPr>
          <w:rStyle w:val="35"/>
          <w:rFonts w:hint="eastAsia"/>
          <w:highlight w:val="none"/>
        </w:rPr>
        <w:t>四、落实政府采购政策相关证明文件</w:t>
      </w:r>
      <w:r>
        <w:rPr>
          <w:highlight w:val="none"/>
        </w:rPr>
        <w:tab/>
      </w:r>
      <w:r>
        <w:rPr>
          <w:highlight w:val="none"/>
        </w:rPr>
        <w:fldChar w:fldCharType="begin"/>
      </w:r>
      <w:r>
        <w:rPr>
          <w:highlight w:val="none"/>
        </w:rPr>
        <w:instrText xml:space="preserve"> PAGEREF _Toc229390303 \h </w:instrText>
      </w:r>
      <w:r>
        <w:rPr>
          <w:highlight w:val="none"/>
        </w:rPr>
        <w:fldChar w:fldCharType="separate"/>
      </w:r>
      <w:r>
        <w:rPr>
          <w:highlight w:val="none"/>
        </w:rPr>
        <w:t>- 113 -</w:t>
      </w:r>
      <w:r>
        <w:rPr>
          <w:highlight w:val="none"/>
        </w:rPr>
        <w:fldChar w:fldCharType="end"/>
      </w:r>
      <w:r>
        <w:rPr>
          <w:highlight w:val="none"/>
        </w:rPr>
        <w:fldChar w:fldCharType="end"/>
      </w:r>
    </w:p>
    <w:p w14:paraId="26E4EB30">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"_Toc229390304" </w:instrText>
      </w:r>
      <w:r>
        <w:rPr>
          <w:highlight w:val="none"/>
        </w:rPr>
        <w:fldChar w:fldCharType="separate"/>
      </w:r>
      <w:r>
        <w:rPr>
          <w:rStyle w:val="35"/>
          <w:rFonts w:hint="eastAsia"/>
          <w:highlight w:val="none"/>
        </w:rPr>
        <w:t>五、不参与围标串标承诺书</w:t>
      </w:r>
      <w:r>
        <w:rPr>
          <w:highlight w:val="none"/>
        </w:rPr>
        <w:tab/>
      </w:r>
      <w:r>
        <w:rPr>
          <w:highlight w:val="none"/>
        </w:rPr>
        <w:fldChar w:fldCharType="begin"/>
      </w:r>
      <w:r>
        <w:rPr>
          <w:highlight w:val="none"/>
        </w:rPr>
        <w:instrText xml:space="preserve"> PAGEREF _Toc229390304 \h </w:instrText>
      </w:r>
      <w:r>
        <w:rPr>
          <w:highlight w:val="none"/>
        </w:rPr>
        <w:fldChar w:fldCharType="separate"/>
      </w:r>
      <w:r>
        <w:rPr>
          <w:highlight w:val="none"/>
        </w:rPr>
        <w:t>- 124 -</w:t>
      </w:r>
      <w:r>
        <w:rPr>
          <w:highlight w:val="none"/>
        </w:rPr>
        <w:fldChar w:fldCharType="end"/>
      </w:r>
      <w:r>
        <w:rPr>
          <w:highlight w:val="none"/>
        </w:rPr>
        <w:fldChar w:fldCharType="end"/>
      </w:r>
    </w:p>
    <w:p w14:paraId="371F4E8E">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"_Toc229390305" </w:instrText>
      </w:r>
      <w:r>
        <w:rPr>
          <w:highlight w:val="none"/>
        </w:rPr>
        <w:fldChar w:fldCharType="separate"/>
      </w:r>
      <w:r>
        <w:rPr>
          <w:rStyle w:val="35"/>
          <w:rFonts w:hint="eastAsia"/>
          <w:highlight w:val="none"/>
        </w:rPr>
        <w:t>六、</w:t>
      </w:r>
      <w:r>
        <w:rPr>
          <w:rStyle w:val="35"/>
          <w:rFonts w:hint="eastAsia"/>
          <w:highlight w:val="none"/>
          <w:lang w:val="zh-CN"/>
        </w:rPr>
        <w:t>其他资格证明文件</w:t>
      </w:r>
      <w:r>
        <w:rPr>
          <w:highlight w:val="none"/>
        </w:rPr>
        <w:tab/>
      </w:r>
      <w:r>
        <w:rPr>
          <w:highlight w:val="none"/>
        </w:rPr>
        <w:fldChar w:fldCharType="begin"/>
      </w:r>
      <w:r>
        <w:rPr>
          <w:highlight w:val="none"/>
        </w:rPr>
        <w:instrText xml:space="preserve"> PAGEREF _Toc229390305 \h </w:instrText>
      </w:r>
      <w:r>
        <w:rPr>
          <w:highlight w:val="none"/>
        </w:rPr>
        <w:fldChar w:fldCharType="separate"/>
      </w:r>
      <w:r>
        <w:rPr>
          <w:highlight w:val="none"/>
        </w:rPr>
        <w:t>- 125 -</w:t>
      </w:r>
      <w:r>
        <w:rPr>
          <w:highlight w:val="none"/>
        </w:rPr>
        <w:fldChar w:fldCharType="end"/>
      </w:r>
      <w:r>
        <w:rPr>
          <w:highlight w:val="none"/>
        </w:rPr>
        <w:fldChar w:fldCharType="end"/>
      </w:r>
    </w:p>
    <w:p w14:paraId="47156751">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"_Toc229390306" </w:instrText>
      </w:r>
      <w:r>
        <w:rPr>
          <w:highlight w:val="none"/>
        </w:rPr>
        <w:fldChar w:fldCharType="separate"/>
      </w:r>
      <w:r>
        <w:rPr>
          <w:rStyle w:val="35"/>
          <w:rFonts w:hint="eastAsia"/>
          <w:highlight w:val="none"/>
        </w:rPr>
        <w:t>投</w:t>
      </w:r>
      <w:r>
        <w:rPr>
          <w:rStyle w:val="35"/>
          <w:highlight w:val="none"/>
        </w:rPr>
        <w:t xml:space="preserve"> </w:t>
      </w:r>
      <w:r>
        <w:rPr>
          <w:rStyle w:val="35"/>
          <w:rFonts w:hint="eastAsia"/>
          <w:highlight w:val="none"/>
        </w:rPr>
        <w:t>标</w:t>
      </w:r>
      <w:r>
        <w:rPr>
          <w:rStyle w:val="35"/>
          <w:highlight w:val="none"/>
        </w:rPr>
        <w:t xml:space="preserve"> </w:t>
      </w:r>
      <w:r>
        <w:rPr>
          <w:rStyle w:val="35"/>
          <w:rFonts w:hint="eastAsia"/>
          <w:highlight w:val="none"/>
        </w:rPr>
        <w:t>文</w:t>
      </w:r>
      <w:r>
        <w:rPr>
          <w:rStyle w:val="35"/>
          <w:highlight w:val="none"/>
        </w:rPr>
        <w:t xml:space="preserve"> </w:t>
      </w:r>
      <w:r>
        <w:rPr>
          <w:rStyle w:val="35"/>
          <w:rFonts w:hint="eastAsia"/>
          <w:highlight w:val="none"/>
        </w:rPr>
        <w:t>件</w:t>
      </w:r>
      <w:r>
        <w:rPr>
          <w:highlight w:val="none"/>
        </w:rPr>
        <w:tab/>
      </w:r>
      <w:r>
        <w:rPr>
          <w:highlight w:val="none"/>
        </w:rPr>
        <w:fldChar w:fldCharType="begin"/>
      </w:r>
      <w:r>
        <w:rPr>
          <w:highlight w:val="none"/>
        </w:rPr>
        <w:instrText xml:space="preserve"> PAGEREF _Toc229390306 \h </w:instrText>
      </w:r>
      <w:r>
        <w:rPr>
          <w:highlight w:val="none"/>
        </w:rPr>
        <w:fldChar w:fldCharType="separate"/>
      </w:r>
      <w:r>
        <w:rPr>
          <w:highlight w:val="none"/>
        </w:rPr>
        <w:t>- 126 -</w:t>
      </w:r>
      <w:r>
        <w:rPr>
          <w:highlight w:val="none"/>
        </w:rPr>
        <w:fldChar w:fldCharType="end"/>
      </w:r>
      <w:r>
        <w:rPr>
          <w:highlight w:val="none"/>
        </w:rPr>
        <w:fldChar w:fldCharType="end"/>
      </w:r>
    </w:p>
    <w:p w14:paraId="1B295E14">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"_Toc229390307" </w:instrText>
      </w:r>
      <w:r>
        <w:rPr>
          <w:highlight w:val="none"/>
        </w:rPr>
        <w:fldChar w:fldCharType="separate"/>
      </w:r>
      <w:r>
        <w:rPr>
          <w:rStyle w:val="35"/>
          <w:rFonts w:hint="eastAsia"/>
          <w:highlight w:val="none"/>
        </w:rPr>
        <w:t>报价文件</w:t>
      </w:r>
      <w:r>
        <w:rPr>
          <w:highlight w:val="none"/>
        </w:rPr>
        <w:tab/>
      </w:r>
      <w:r>
        <w:rPr>
          <w:highlight w:val="none"/>
        </w:rPr>
        <w:fldChar w:fldCharType="begin"/>
      </w:r>
      <w:r>
        <w:rPr>
          <w:highlight w:val="none"/>
        </w:rPr>
        <w:instrText xml:space="preserve"> PAGEREF _Toc229390307 \h </w:instrText>
      </w:r>
      <w:r>
        <w:rPr>
          <w:highlight w:val="none"/>
        </w:rPr>
        <w:fldChar w:fldCharType="separate"/>
      </w:r>
      <w:r>
        <w:rPr>
          <w:highlight w:val="none"/>
        </w:rPr>
        <w:t>- 126 -</w:t>
      </w:r>
      <w:r>
        <w:rPr>
          <w:highlight w:val="none"/>
        </w:rPr>
        <w:fldChar w:fldCharType="end"/>
      </w:r>
      <w:r>
        <w:rPr>
          <w:highlight w:val="none"/>
        </w:rPr>
        <w:fldChar w:fldCharType="end"/>
      </w:r>
    </w:p>
    <w:p w14:paraId="1D0ADBF7">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"_Toc229390308" </w:instrText>
      </w:r>
      <w:r>
        <w:rPr>
          <w:highlight w:val="none"/>
        </w:rPr>
        <w:fldChar w:fldCharType="separate"/>
      </w:r>
      <w:r>
        <w:rPr>
          <w:rStyle w:val="35"/>
          <w:rFonts w:hint="eastAsia"/>
          <w:highlight w:val="none"/>
        </w:rPr>
        <w:t>一、开标一览表</w:t>
      </w:r>
      <w:r>
        <w:rPr>
          <w:highlight w:val="none"/>
        </w:rPr>
        <w:tab/>
      </w:r>
      <w:r>
        <w:rPr>
          <w:highlight w:val="none"/>
        </w:rPr>
        <w:fldChar w:fldCharType="begin"/>
      </w:r>
      <w:r>
        <w:rPr>
          <w:highlight w:val="none"/>
        </w:rPr>
        <w:instrText xml:space="preserve"> PAGEREF _Toc229390308 \h </w:instrText>
      </w:r>
      <w:r>
        <w:rPr>
          <w:highlight w:val="none"/>
        </w:rPr>
        <w:fldChar w:fldCharType="separate"/>
      </w:r>
      <w:r>
        <w:rPr>
          <w:highlight w:val="none"/>
        </w:rPr>
        <w:t>- 127 -</w:t>
      </w:r>
      <w:r>
        <w:rPr>
          <w:highlight w:val="none"/>
        </w:rPr>
        <w:fldChar w:fldCharType="end"/>
      </w:r>
      <w:r>
        <w:rPr>
          <w:highlight w:val="none"/>
        </w:rPr>
        <w:fldChar w:fldCharType="end"/>
      </w:r>
    </w:p>
    <w:p w14:paraId="44A55D2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"_Toc229390309" </w:instrText>
      </w:r>
      <w:r>
        <w:rPr>
          <w:highlight w:val="none"/>
        </w:rPr>
        <w:fldChar w:fldCharType="separate"/>
      </w:r>
      <w:r>
        <w:rPr>
          <w:rStyle w:val="35"/>
          <w:rFonts w:hint="eastAsia"/>
          <w:highlight w:val="none"/>
        </w:rPr>
        <w:t>二、关于符合本国产品标准的声明函或财政部规定的其他证明文件</w:t>
      </w:r>
      <w:r>
        <w:rPr>
          <w:highlight w:val="none"/>
        </w:rPr>
        <w:tab/>
      </w:r>
      <w:r>
        <w:rPr>
          <w:highlight w:val="none"/>
        </w:rPr>
        <w:fldChar w:fldCharType="begin"/>
      </w:r>
      <w:r>
        <w:rPr>
          <w:highlight w:val="none"/>
        </w:rPr>
        <w:instrText xml:space="preserve"> PAGEREF _Toc229390309 \h </w:instrText>
      </w:r>
      <w:r>
        <w:rPr>
          <w:highlight w:val="none"/>
        </w:rPr>
        <w:fldChar w:fldCharType="separate"/>
      </w:r>
      <w:r>
        <w:rPr>
          <w:highlight w:val="none"/>
        </w:rPr>
        <w:t>- 128 -</w:t>
      </w:r>
      <w:r>
        <w:rPr>
          <w:highlight w:val="none"/>
        </w:rPr>
        <w:fldChar w:fldCharType="end"/>
      </w:r>
      <w:r>
        <w:rPr>
          <w:highlight w:val="none"/>
        </w:rPr>
        <w:fldChar w:fldCharType="end"/>
      </w:r>
    </w:p>
    <w:p w14:paraId="16F2C95B">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"_Toc229390310" </w:instrText>
      </w:r>
      <w:r>
        <w:rPr>
          <w:highlight w:val="none"/>
        </w:rPr>
        <w:fldChar w:fldCharType="separate"/>
      </w:r>
      <w:r>
        <w:rPr>
          <w:rStyle w:val="35"/>
          <w:rFonts w:hint="eastAsia"/>
          <w:highlight w:val="none"/>
        </w:rPr>
        <w:t>投</w:t>
      </w:r>
      <w:r>
        <w:rPr>
          <w:rStyle w:val="35"/>
          <w:highlight w:val="none"/>
        </w:rPr>
        <w:t xml:space="preserve"> </w:t>
      </w:r>
      <w:r>
        <w:rPr>
          <w:rStyle w:val="35"/>
          <w:rFonts w:hint="eastAsia"/>
          <w:highlight w:val="none"/>
        </w:rPr>
        <w:t>标</w:t>
      </w:r>
      <w:r>
        <w:rPr>
          <w:rStyle w:val="35"/>
          <w:highlight w:val="none"/>
        </w:rPr>
        <w:t xml:space="preserve"> </w:t>
      </w:r>
      <w:r>
        <w:rPr>
          <w:rStyle w:val="35"/>
          <w:rFonts w:hint="eastAsia"/>
          <w:highlight w:val="none"/>
        </w:rPr>
        <w:t>文</w:t>
      </w:r>
      <w:r>
        <w:rPr>
          <w:rStyle w:val="35"/>
          <w:highlight w:val="none"/>
        </w:rPr>
        <w:t xml:space="preserve"> </w:t>
      </w:r>
      <w:r>
        <w:rPr>
          <w:rStyle w:val="35"/>
          <w:rFonts w:hint="eastAsia"/>
          <w:highlight w:val="none"/>
        </w:rPr>
        <w:t>件</w:t>
      </w:r>
      <w:r>
        <w:rPr>
          <w:highlight w:val="none"/>
        </w:rPr>
        <w:tab/>
      </w:r>
      <w:r>
        <w:rPr>
          <w:highlight w:val="none"/>
        </w:rPr>
        <w:fldChar w:fldCharType="begin"/>
      </w:r>
      <w:r>
        <w:rPr>
          <w:highlight w:val="none"/>
        </w:rPr>
        <w:instrText xml:space="preserve"> PAGEREF _Toc229390310 \h </w:instrText>
      </w:r>
      <w:r>
        <w:rPr>
          <w:highlight w:val="none"/>
        </w:rPr>
        <w:fldChar w:fldCharType="separate"/>
      </w:r>
      <w:r>
        <w:rPr>
          <w:highlight w:val="none"/>
        </w:rPr>
        <w:t>- 130 -</w:t>
      </w:r>
      <w:r>
        <w:rPr>
          <w:highlight w:val="none"/>
        </w:rPr>
        <w:fldChar w:fldCharType="end"/>
      </w:r>
      <w:r>
        <w:rPr>
          <w:highlight w:val="none"/>
        </w:rPr>
        <w:fldChar w:fldCharType="end"/>
      </w:r>
    </w:p>
    <w:p w14:paraId="7B236007">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"_Toc229390311" </w:instrText>
      </w:r>
      <w:r>
        <w:rPr>
          <w:highlight w:val="none"/>
        </w:rPr>
        <w:fldChar w:fldCharType="separate"/>
      </w:r>
      <w:r>
        <w:rPr>
          <w:rStyle w:val="35"/>
          <w:rFonts w:hint="eastAsia"/>
          <w:highlight w:val="none"/>
        </w:rPr>
        <w:t>商务技术文件</w:t>
      </w:r>
      <w:r>
        <w:rPr>
          <w:highlight w:val="none"/>
        </w:rPr>
        <w:tab/>
      </w:r>
      <w:r>
        <w:rPr>
          <w:highlight w:val="none"/>
        </w:rPr>
        <w:fldChar w:fldCharType="begin"/>
      </w:r>
      <w:r>
        <w:rPr>
          <w:highlight w:val="none"/>
        </w:rPr>
        <w:instrText xml:space="preserve"> PAGEREF _Toc229390311 \h </w:instrText>
      </w:r>
      <w:r>
        <w:rPr>
          <w:highlight w:val="none"/>
        </w:rPr>
        <w:fldChar w:fldCharType="separate"/>
      </w:r>
      <w:r>
        <w:rPr>
          <w:highlight w:val="none"/>
        </w:rPr>
        <w:t>- 130 -</w:t>
      </w:r>
      <w:r>
        <w:rPr>
          <w:highlight w:val="none"/>
        </w:rPr>
        <w:fldChar w:fldCharType="end"/>
      </w:r>
      <w:r>
        <w:rPr>
          <w:highlight w:val="none"/>
        </w:rPr>
        <w:fldChar w:fldCharType="end"/>
      </w:r>
    </w:p>
    <w:p w14:paraId="1727E0A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"_Toc229390312" </w:instrText>
      </w:r>
      <w:r>
        <w:rPr>
          <w:highlight w:val="none"/>
        </w:rPr>
        <w:fldChar w:fldCharType="separate"/>
      </w:r>
      <w:r>
        <w:rPr>
          <w:rStyle w:val="35"/>
          <w:rFonts w:hint="eastAsia"/>
          <w:highlight w:val="none"/>
        </w:rPr>
        <w:t>一、投标函</w:t>
      </w:r>
      <w:r>
        <w:rPr>
          <w:highlight w:val="none"/>
        </w:rPr>
        <w:tab/>
      </w:r>
      <w:r>
        <w:rPr>
          <w:highlight w:val="none"/>
        </w:rPr>
        <w:fldChar w:fldCharType="begin"/>
      </w:r>
      <w:r>
        <w:rPr>
          <w:highlight w:val="none"/>
        </w:rPr>
        <w:instrText xml:space="preserve"> PAGEREF _Toc229390312 \h </w:instrText>
      </w:r>
      <w:r>
        <w:rPr>
          <w:highlight w:val="none"/>
        </w:rPr>
        <w:fldChar w:fldCharType="separate"/>
      </w:r>
      <w:r>
        <w:rPr>
          <w:highlight w:val="none"/>
        </w:rPr>
        <w:t>- 131 -</w:t>
      </w:r>
      <w:r>
        <w:rPr>
          <w:highlight w:val="none"/>
        </w:rPr>
        <w:fldChar w:fldCharType="end"/>
      </w:r>
      <w:r>
        <w:rPr>
          <w:highlight w:val="none"/>
        </w:rPr>
        <w:fldChar w:fldCharType="end"/>
      </w:r>
    </w:p>
    <w:p w14:paraId="6FE36207">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"_Toc229390313" </w:instrText>
      </w:r>
      <w:r>
        <w:rPr>
          <w:highlight w:val="none"/>
        </w:rPr>
        <w:fldChar w:fldCharType="separate"/>
      </w:r>
      <w:r>
        <w:rPr>
          <w:rStyle w:val="35"/>
          <w:rFonts w:hint="eastAsia"/>
          <w:highlight w:val="none"/>
        </w:rPr>
        <w:t>二、法定代表人（单位负责人）身份证明</w:t>
      </w:r>
      <w:r>
        <w:rPr>
          <w:highlight w:val="none"/>
        </w:rPr>
        <w:tab/>
      </w:r>
      <w:r>
        <w:rPr>
          <w:highlight w:val="none"/>
        </w:rPr>
        <w:fldChar w:fldCharType="begin"/>
      </w:r>
      <w:r>
        <w:rPr>
          <w:highlight w:val="none"/>
        </w:rPr>
        <w:instrText xml:space="preserve"> PAGEREF _Toc229390313 \h </w:instrText>
      </w:r>
      <w:r>
        <w:rPr>
          <w:highlight w:val="none"/>
        </w:rPr>
        <w:fldChar w:fldCharType="separate"/>
      </w:r>
      <w:r>
        <w:rPr>
          <w:highlight w:val="none"/>
        </w:rPr>
        <w:t>- 133 -</w:t>
      </w:r>
      <w:r>
        <w:rPr>
          <w:highlight w:val="none"/>
        </w:rPr>
        <w:fldChar w:fldCharType="end"/>
      </w:r>
      <w:r>
        <w:rPr>
          <w:highlight w:val="none"/>
        </w:rPr>
        <w:fldChar w:fldCharType="end"/>
      </w:r>
    </w:p>
    <w:p w14:paraId="01349930">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"_Toc229390314" </w:instrText>
      </w:r>
      <w:r>
        <w:rPr>
          <w:highlight w:val="none"/>
        </w:rPr>
        <w:fldChar w:fldCharType="separate"/>
      </w:r>
      <w:r>
        <w:rPr>
          <w:rStyle w:val="35"/>
          <w:rFonts w:hint="eastAsia"/>
          <w:highlight w:val="none"/>
        </w:rPr>
        <w:t>三、授权委托书</w:t>
      </w:r>
      <w:r>
        <w:rPr>
          <w:highlight w:val="none"/>
        </w:rPr>
        <w:tab/>
      </w:r>
      <w:r>
        <w:rPr>
          <w:highlight w:val="none"/>
        </w:rPr>
        <w:fldChar w:fldCharType="begin"/>
      </w:r>
      <w:r>
        <w:rPr>
          <w:highlight w:val="none"/>
        </w:rPr>
        <w:instrText xml:space="preserve"> PAGEREF _Toc229390314 \h </w:instrText>
      </w:r>
      <w:r>
        <w:rPr>
          <w:highlight w:val="none"/>
        </w:rPr>
        <w:fldChar w:fldCharType="separate"/>
      </w:r>
      <w:r>
        <w:rPr>
          <w:highlight w:val="none"/>
        </w:rPr>
        <w:t>- 134 -</w:t>
      </w:r>
      <w:r>
        <w:rPr>
          <w:highlight w:val="none"/>
        </w:rPr>
        <w:fldChar w:fldCharType="end"/>
      </w:r>
      <w:r>
        <w:rPr>
          <w:highlight w:val="none"/>
        </w:rPr>
        <w:fldChar w:fldCharType="end"/>
      </w:r>
    </w:p>
    <w:p w14:paraId="59E5769D">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"_Toc229390315" </w:instrText>
      </w:r>
      <w:r>
        <w:rPr>
          <w:highlight w:val="none"/>
        </w:rPr>
        <w:fldChar w:fldCharType="separate"/>
      </w:r>
      <w:r>
        <w:rPr>
          <w:rStyle w:val="35"/>
          <w:rFonts w:hint="eastAsia"/>
          <w:highlight w:val="none"/>
        </w:rPr>
        <w:t>四、</w:t>
      </w:r>
      <w:r>
        <w:rPr>
          <w:rStyle w:val="35"/>
          <w:rFonts w:hint="eastAsia"/>
          <w:highlight w:val="none"/>
          <w:lang w:val="zh-CN"/>
        </w:rPr>
        <w:t>政府采购</w:t>
      </w:r>
      <w:r>
        <w:rPr>
          <w:rStyle w:val="35"/>
          <w:rFonts w:hint="eastAsia"/>
          <w:highlight w:val="none"/>
        </w:rPr>
        <w:t>投标人</w:t>
      </w:r>
      <w:r>
        <w:rPr>
          <w:rStyle w:val="35"/>
          <w:rFonts w:hint="eastAsia"/>
          <w:highlight w:val="none"/>
          <w:lang w:val="zh-CN"/>
        </w:rPr>
        <w:t>廉洁自律承诺书</w:t>
      </w:r>
      <w:r>
        <w:rPr>
          <w:highlight w:val="none"/>
        </w:rPr>
        <w:tab/>
      </w:r>
      <w:r>
        <w:rPr>
          <w:highlight w:val="none"/>
        </w:rPr>
        <w:fldChar w:fldCharType="begin"/>
      </w:r>
      <w:r>
        <w:rPr>
          <w:highlight w:val="none"/>
        </w:rPr>
        <w:instrText xml:space="preserve"> PAGEREF _Toc229390315 \h </w:instrText>
      </w:r>
      <w:r>
        <w:rPr>
          <w:highlight w:val="none"/>
        </w:rPr>
        <w:fldChar w:fldCharType="separate"/>
      </w:r>
      <w:r>
        <w:rPr>
          <w:highlight w:val="none"/>
        </w:rPr>
        <w:t>- 135 -</w:t>
      </w:r>
      <w:r>
        <w:rPr>
          <w:highlight w:val="none"/>
        </w:rPr>
        <w:fldChar w:fldCharType="end"/>
      </w:r>
      <w:r>
        <w:rPr>
          <w:highlight w:val="none"/>
        </w:rPr>
        <w:fldChar w:fldCharType="end"/>
      </w:r>
    </w:p>
    <w:p w14:paraId="53045D5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"_Toc229390316" </w:instrText>
      </w:r>
      <w:r>
        <w:rPr>
          <w:highlight w:val="none"/>
        </w:rPr>
        <w:fldChar w:fldCharType="separate"/>
      </w:r>
      <w:r>
        <w:rPr>
          <w:rStyle w:val="35"/>
          <w:rFonts w:hint="eastAsia"/>
          <w:highlight w:val="none"/>
        </w:rPr>
        <w:t>五、</w:t>
      </w:r>
      <w:r>
        <w:rPr>
          <w:rStyle w:val="35"/>
          <w:rFonts w:hint="eastAsia"/>
          <w:highlight w:val="none"/>
          <w:lang w:val="zh-CN"/>
        </w:rPr>
        <w:t>实质性响应一览表【</w:t>
      </w:r>
      <w:r>
        <w:rPr>
          <w:rStyle w:val="35"/>
          <w:rFonts w:hint="eastAsia"/>
          <w:highlight w:val="none"/>
        </w:rPr>
        <w:t>本表须与第五章的一致】</w:t>
      </w:r>
      <w:r>
        <w:rPr>
          <w:highlight w:val="none"/>
        </w:rPr>
        <w:tab/>
      </w:r>
      <w:r>
        <w:rPr>
          <w:highlight w:val="none"/>
        </w:rPr>
        <w:fldChar w:fldCharType="begin"/>
      </w:r>
      <w:r>
        <w:rPr>
          <w:highlight w:val="none"/>
        </w:rPr>
        <w:instrText xml:space="preserve"> PAGEREF _Toc229390316 \h </w:instrText>
      </w:r>
      <w:r>
        <w:rPr>
          <w:highlight w:val="none"/>
        </w:rPr>
        <w:fldChar w:fldCharType="separate"/>
      </w:r>
      <w:r>
        <w:rPr>
          <w:highlight w:val="none"/>
        </w:rPr>
        <w:t>- 136 -</w:t>
      </w:r>
      <w:r>
        <w:rPr>
          <w:highlight w:val="none"/>
        </w:rPr>
        <w:fldChar w:fldCharType="end"/>
      </w:r>
      <w:r>
        <w:rPr>
          <w:highlight w:val="none"/>
        </w:rPr>
        <w:fldChar w:fldCharType="end"/>
      </w:r>
    </w:p>
    <w:p w14:paraId="697EDFD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"_Toc229390317" </w:instrText>
      </w:r>
      <w:r>
        <w:rPr>
          <w:highlight w:val="none"/>
        </w:rPr>
        <w:fldChar w:fldCharType="separate"/>
      </w:r>
      <w:r>
        <w:rPr>
          <w:rStyle w:val="35"/>
          <w:rFonts w:hint="eastAsia"/>
          <w:highlight w:val="none"/>
        </w:rPr>
        <w:t>六、商务响应偏离表</w:t>
      </w:r>
      <w:r>
        <w:rPr>
          <w:highlight w:val="none"/>
        </w:rPr>
        <w:tab/>
      </w:r>
      <w:r>
        <w:rPr>
          <w:highlight w:val="none"/>
        </w:rPr>
        <w:fldChar w:fldCharType="begin"/>
      </w:r>
      <w:r>
        <w:rPr>
          <w:highlight w:val="none"/>
        </w:rPr>
        <w:instrText xml:space="preserve"> PAGEREF _Toc229390317 \h </w:instrText>
      </w:r>
      <w:r>
        <w:rPr>
          <w:highlight w:val="none"/>
        </w:rPr>
        <w:fldChar w:fldCharType="separate"/>
      </w:r>
      <w:r>
        <w:rPr>
          <w:highlight w:val="none"/>
        </w:rPr>
        <w:t>- 137 -</w:t>
      </w:r>
      <w:r>
        <w:rPr>
          <w:highlight w:val="none"/>
        </w:rPr>
        <w:fldChar w:fldCharType="end"/>
      </w:r>
      <w:r>
        <w:rPr>
          <w:highlight w:val="none"/>
        </w:rPr>
        <w:fldChar w:fldCharType="end"/>
      </w:r>
    </w:p>
    <w:p w14:paraId="435F7076">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"_Toc229390318" </w:instrText>
      </w:r>
      <w:r>
        <w:rPr>
          <w:highlight w:val="none"/>
        </w:rPr>
        <w:fldChar w:fldCharType="separate"/>
      </w:r>
      <w:r>
        <w:rPr>
          <w:rStyle w:val="35"/>
          <w:rFonts w:hint="eastAsia"/>
          <w:highlight w:val="none"/>
        </w:rPr>
        <w:t>七、业绩证明文件</w:t>
      </w:r>
      <w:r>
        <w:rPr>
          <w:highlight w:val="none"/>
        </w:rPr>
        <w:tab/>
      </w:r>
      <w:r>
        <w:rPr>
          <w:highlight w:val="none"/>
        </w:rPr>
        <w:fldChar w:fldCharType="begin"/>
      </w:r>
      <w:r>
        <w:rPr>
          <w:highlight w:val="none"/>
        </w:rPr>
        <w:instrText xml:space="preserve"> PAGEREF _Toc229390318 \h </w:instrText>
      </w:r>
      <w:r>
        <w:rPr>
          <w:highlight w:val="none"/>
        </w:rPr>
        <w:fldChar w:fldCharType="separate"/>
      </w:r>
      <w:r>
        <w:rPr>
          <w:highlight w:val="none"/>
        </w:rPr>
        <w:t>- 138 -</w:t>
      </w:r>
      <w:r>
        <w:rPr>
          <w:highlight w:val="none"/>
        </w:rPr>
        <w:fldChar w:fldCharType="end"/>
      </w:r>
      <w:r>
        <w:rPr>
          <w:highlight w:val="none"/>
        </w:rPr>
        <w:fldChar w:fldCharType="end"/>
      </w:r>
    </w:p>
    <w:p w14:paraId="3F6A41C6">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"_Toc229390319" </w:instrText>
      </w:r>
      <w:r>
        <w:rPr>
          <w:highlight w:val="none"/>
        </w:rPr>
        <w:fldChar w:fldCharType="separate"/>
      </w:r>
      <w:r>
        <w:rPr>
          <w:rStyle w:val="35"/>
          <w:rFonts w:hint="eastAsia"/>
          <w:highlight w:val="none"/>
        </w:rPr>
        <w:t>八、拟派项目团队</w:t>
      </w:r>
      <w:r>
        <w:rPr>
          <w:highlight w:val="none"/>
        </w:rPr>
        <w:tab/>
      </w:r>
      <w:r>
        <w:rPr>
          <w:highlight w:val="none"/>
        </w:rPr>
        <w:fldChar w:fldCharType="begin"/>
      </w:r>
      <w:r>
        <w:rPr>
          <w:highlight w:val="none"/>
        </w:rPr>
        <w:instrText xml:space="preserve"> PAGEREF _Toc229390319 \h </w:instrText>
      </w:r>
      <w:r>
        <w:rPr>
          <w:highlight w:val="none"/>
        </w:rPr>
        <w:fldChar w:fldCharType="separate"/>
      </w:r>
      <w:r>
        <w:rPr>
          <w:highlight w:val="none"/>
        </w:rPr>
        <w:t>- 139 -</w:t>
      </w:r>
      <w:r>
        <w:rPr>
          <w:highlight w:val="none"/>
        </w:rPr>
        <w:fldChar w:fldCharType="end"/>
      </w:r>
      <w:r>
        <w:rPr>
          <w:highlight w:val="none"/>
        </w:rPr>
        <w:fldChar w:fldCharType="end"/>
      </w:r>
    </w:p>
    <w:p w14:paraId="6A6A19C6">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"_Toc229390320" </w:instrText>
      </w:r>
      <w:r>
        <w:rPr>
          <w:highlight w:val="none"/>
        </w:rPr>
        <w:fldChar w:fldCharType="separate"/>
      </w:r>
      <w:r>
        <w:rPr>
          <w:rStyle w:val="35"/>
          <w:rFonts w:hint="eastAsia"/>
          <w:highlight w:val="none"/>
        </w:rPr>
        <w:t>九、技术响应偏离表</w:t>
      </w:r>
      <w:r>
        <w:rPr>
          <w:highlight w:val="none"/>
        </w:rPr>
        <w:tab/>
      </w:r>
      <w:r>
        <w:rPr>
          <w:highlight w:val="none"/>
        </w:rPr>
        <w:fldChar w:fldCharType="begin"/>
      </w:r>
      <w:r>
        <w:rPr>
          <w:highlight w:val="none"/>
        </w:rPr>
        <w:instrText xml:space="preserve"> PAGEREF _Toc229390320 \h </w:instrText>
      </w:r>
      <w:r>
        <w:rPr>
          <w:highlight w:val="none"/>
        </w:rPr>
        <w:fldChar w:fldCharType="separate"/>
      </w:r>
      <w:r>
        <w:rPr>
          <w:highlight w:val="none"/>
        </w:rPr>
        <w:t>- 140 -</w:t>
      </w:r>
      <w:r>
        <w:rPr>
          <w:highlight w:val="none"/>
        </w:rPr>
        <w:fldChar w:fldCharType="end"/>
      </w:r>
      <w:r>
        <w:rPr>
          <w:highlight w:val="none"/>
        </w:rPr>
        <w:fldChar w:fldCharType="end"/>
      </w:r>
    </w:p>
    <w:p w14:paraId="036BC0C3">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"_Toc229390321" </w:instrText>
      </w:r>
      <w:r>
        <w:rPr>
          <w:highlight w:val="none"/>
        </w:rPr>
        <w:fldChar w:fldCharType="separate"/>
      </w:r>
      <w:r>
        <w:rPr>
          <w:rStyle w:val="35"/>
          <w:rFonts w:hint="eastAsia"/>
          <w:highlight w:val="none"/>
        </w:rPr>
        <w:t>十、技术方案</w:t>
      </w:r>
      <w:r>
        <w:rPr>
          <w:highlight w:val="none"/>
        </w:rPr>
        <w:tab/>
      </w:r>
      <w:r>
        <w:rPr>
          <w:highlight w:val="none"/>
        </w:rPr>
        <w:fldChar w:fldCharType="begin"/>
      </w:r>
      <w:r>
        <w:rPr>
          <w:highlight w:val="none"/>
        </w:rPr>
        <w:instrText xml:space="preserve"> PAGEREF _Toc229390321 \h </w:instrText>
      </w:r>
      <w:r>
        <w:rPr>
          <w:highlight w:val="none"/>
        </w:rPr>
        <w:fldChar w:fldCharType="separate"/>
      </w:r>
      <w:r>
        <w:rPr>
          <w:highlight w:val="none"/>
        </w:rPr>
        <w:t>- 141 -</w:t>
      </w:r>
      <w:r>
        <w:rPr>
          <w:highlight w:val="none"/>
        </w:rPr>
        <w:fldChar w:fldCharType="end"/>
      </w:r>
      <w:r>
        <w:rPr>
          <w:highlight w:val="none"/>
        </w:rPr>
        <w:fldChar w:fldCharType="end"/>
      </w:r>
    </w:p>
    <w:p w14:paraId="57CEA7AB">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"_Toc229390322" </w:instrText>
      </w:r>
      <w:r>
        <w:rPr>
          <w:highlight w:val="none"/>
        </w:rPr>
        <w:fldChar w:fldCharType="separate"/>
      </w:r>
      <w:r>
        <w:rPr>
          <w:rStyle w:val="35"/>
          <w:rFonts w:hint="eastAsia"/>
          <w:highlight w:val="none"/>
        </w:rPr>
        <w:t>十一、其他文件</w:t>
      </w:r>
      <w:r>
        <w:rPr>
          <w:highlight w:val="none"/>
        </w:rPr>
        <w:tab/>
      </w:r>
      <w:r>
        <w:rPr>
          <w:highlight w:val="none"/>
        </w:rPr>
        <w:fldChar w:fldCharType="begin"/>
      </w:r>
      <w:r>
        <w:rPr>
          <w:highlight w:val="none"/>
        </w:rPr>
        <w:instrText xml:space="preserve"> PAGEREF _Toc229390322 \h </w:instrText>
      </w:r>
      <w:r>
        <w:rPr>
          <w:highlight w:val="none"/>
        </w:rPr>
        <w:fldChar w:fldCharType="separate"/>
      </w:r>
      <w:r>
        <w:rPr>
          <w:highlight w:val="none"/>
        </w:rPr>
        <w:t>- 142 -</w:t>
      </w:r>
      <w:r>
        <w:rPr>
          <w:highlight w:val="none"/>
        </w:rPr>
        <w:fldChar w:fldCharType="end"/>
      </w:r>
      <w:r>
        <w:rPr>
          <w:highlight w:val="none"/>
        </w:rPr>
        <w:fldChar w:fldCharType="end"/>
      </w:r>
    </w:p>
    <w:p w14:paraId="640B4754">
      <w:pPr>
        <w:spacing w:line="360" w:lineRule="auto"/>
        <w:rPr>
          <w:highlight w:val="none"/>
        </w:rPr>
      </w:pPr>
      <w:r>
        <w:rPr>
          <w:rFonts w:hint="eastAsia"/>
          <w:highlight w:val="none"/>
        </w:rPr>
        <w:fldChar w:fldCharType="end"/>
      </w:r>
    </w:p>
    <w:p w14:paraId="1FBC5847">
      <w:pPr>
        <w:spacing w:line="360" w:lineRule="auto"/>
        <w:rPr>
          <w:highlight w:val="none"/>
        </w:rPr>
        <w:sectPr>
          <w:headerReference r:id="rId3" w:type="default"/>
          <w:pgSz w:w="11906" w:h="16838"/>
          <w:pgMar w:top="1440" w:right="1800" w:bottom="1440" w:left="1800" w:header="851" w:footer="992" w:gutter="0"/>
          <w:cols w:space="425" w:num="1"/>
          <w:docGrid w:type="lines" w:linePitch="312" w:charSpace="0"/>
        </w:sectPr>
      </w:pPr>
    </w:p>
    <w:p w14:paraId="179371D0">
      <w:pPr>
        <w:pStyle w:val="2"/>
        <w:spacing w:line="360" w:lineRule="auto"/>
        <w:rPr>
          <w:highlight w:val="none"/>
        </w:rPr>
      </w:pPr>
      <w:bookmarkStart w:id="1" w:name="_Toc163492811"/>
      <w:bookmarkStart w:id="2" w:name="_Toc155185859"/>
      <w:bookmarkStart w:id="3" w:name="_Toc229390272"/>
      <w:r>
        <w:rPr>
          <w:rFonts w:hint="eastAsia"/>
          <w:highlight w:val="none"/>
        </w:rPr>
        <w:t xml:space="preserve">第一章 </w:t>
      </w:r>
      <w:bookmarkEnd w:id="1"/>
      <w:bookmarkEnd w:id="2"/>
      <w:bookmarkStart w:id="4" w:name="_Hlk130458318"/>
      <w:r>
        <w:rPr>
          <w:rFonts w:hint="eastAsia"/>
          <w:highlight w:val="none"/>
        </w:rPr>
        <w:t>招标公告</w:t>
      </w:r>
      <w:bookmarkEnd w:id="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447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E82001F">
            <w:pPr>
              <w:pStyle w:val="3"/>
              <w:spacing w:line="360" w:lineRule="auto"/>
              <w:rPr>
                <w:highlight w:val="none"/>
              </w:rPr>
            </w:pPr>
            <w:bookmarkStart w:id="5" w:name="_Toc229390273"/>
            <w:bookmarkStart w:id="6" w:name="_Toc155185860"/>
            <w:bookmarkStart w:id="7" w:name="_Toc35393798"/>
            <w:bookmarkStart w:id="8" w:name="_Toc109900248"/>
            <w:bookmarkStart w:id="9" w:name="_Toc28359089"/>
            <w:bookmarkStart w:id="10" w:name="_Toc44583628"/>
            <w:bookmarkStart w:id="11" w:name="_Toc140132745"/>
            <w:bookmarkStart w:id="12" w:name="_Toc109899410"/>
            <w:bookmarkStart w:id="13" w:name="_Toc35393629"/>
            <w:bookmarkStart w:id="14" w:name="_Toc28359012"/>
            <w:bookmarkStart w:id="15" w:name="_Toc109899829"/>
            <w:bookmarkStart w:id="16" w:name="_Toc163492812"/>
            <w:r>
              <w:rPr>
                <w:rFonts w:hint="eastAsia"/>
                <w:highlight w:val="none"/>
              </w:rPr>
              <w:t>项目概况：</w:t>
            </w:r>
            <w:bookmarkEnd w:id="5"/>
          </w:p>
          <w:p w14:paraId="2C4B6AA6">
            <w:pPr>
              <w:spacing w:line="360" w:lineRule="auto"/>
              <w:rPr>
                <w:highlight w:val="none"/>
              </w:rPr>
            </w:pPr>
            <w:r>
              <w:rPr>
                <w:rFonts w:hint="eastAsia"/>
                <w:highlight w:val="none"/>
                <w:shd w:val="clear" w:color="auto" w:fill="FFFFFF" w:themeFill="background1"/>
                <w:lang w:val="hr-HR"/>
              </w:rPr>
              <w:t xml:space="preserve"> </w:t>
            </w:r>
            <w:r>
              <w:rPr>
                <w:rFonts w:hint="eastAsia"/>
                <w:highlight w:val="none"/>
              </w:rPr>
              <w:t>新疆医科大学2026年活禽肉水产采购项目</w:t>
            </w:r>
            <w:r>
              <w:rPr>
                <w:rFonts w:hint="eastAsia"/>
                <w:highlight w:val="none"/>
                <w:shd w:val="clear" w:color="auto" w:fill="FFFFFF" w:themeFill="background1"/>
                <w:lang w:val="hr-HR"/>
              </w:rPr>
              <w:t>的潜在投标人应在政采云平台线上获取招标文件，并于2</w:t>
            </w:r>
            <w:r>
              <w:rPr>
                <w:highlight w:val="none"/>
                <w:shd w:val="clear" w:color="auto" w:fill="FFFFFF" w:themeFill="background1"/>
                <w:lang w:val="hr-HR"/>
              </w:rPr>
              <w:t>026</w:t>
            </w:r>
            <w:r>
              <w:rPr>
                <w:rFonts w:hint="eastAsia"/>
                <w:highlight w:val="none"/>
                <w:shd w:val="clear" w:color="auto" w:fill="FFFFFF" w:themeFill="background1"/>
                <w:lang w:val="hr-HR"/>
              </w:rPr>
              <w:t>年</w:t>
            </w:r>
            <w:r>
              <w:rPr>
                <w:rFonts w:hint="eastAsia"/>
                <w:highlight w:val="none"/>
                <w:shd w:val="clear" w:color="auto" w:fill="FFFFFF" w:themeFill="background1"/>
                <w:lang w:val="en-US" w:eastAsia="zh-CN"/>
              </w:rPr>
              <w:t>6</w:t>
            </w:r>
            <w:r>
              <w:rPr>
                <w:rFonts w:hint="eastAsia"/>
                <w:highlight w:val="none"/>
                <w:shd w:val="clear" w:color="auto" w:fill="FFFFFF" w:themeFill="background1"/>
                <w:lang w:val="hr-HR"/>
              </w:rPr>
              <w:t>月</w:t>
            </w:r>
            <w:r>
              <w:rPr>
                <w:rFonts w:hint="eastAsia"/>
                <w:highlight w:val="none"/>
                <w:shd w:val="clear" w:color="auto" w:fill="FFFFFF" w:themeFill="background1"/>
                <w:lang w:val="en-US" w:eastAsia="zh-CN"/>
              </w:rPr>
              <w:t>5</w:t>
            </w:r>
            <w:r>
              <w:rPr>
                <w:rFonts w:hint="eastAsia"/>
                <w:highlight w:val="none"/>
                <w:shd w:val="clear" w:color="auto" w:fill="FFFFFF" w:themeFill="background1"/>
                <w:lang w:val="hr-HR"/>
              </w:rPr>
              <w:t>日</w:t>
            </w:r>
            <w:r>
              <w:rPr>
                <w:rFonts w:hint="eastAsia"/>
                <w:highlight w:val="none"/>
                <w:shd w:val="clear" w:color="auto" w:fill="FFFFFF" w:themeFill="background1"/>
                <w:lang w:val="en-US" w:eastAsia="zh-CN"/>
              </w:rPr>
              <w:t>10</w:t>
            </w:r>
            <w:r>
              <w:rPr>
                <w:rFonts w:hint="eastAsia"/>
                <w:highlight w:val="none"/>
                <w:shd w:val="clear" w:color="auto" w:fill="FFFFFF" w:themeFill="background1"/>
              </w:rPr>
              <w:t>时</w:t>
            </w:r>
            <w:r>
              <w:rPr>
                <w:rFonts w:hint="eastAsia"/>
                <w:highlight w:val="none"/>
                <w:shd w:val="clear" w:color="auto" w:fill="FFFFFF" w:themeFill="background1"/>
                <w:lang w:val="en-US" w:eastAsia="zh-CN"/>
              </w:rPr>
              <w:t>30</w:t>
            </w:r>
            <w:r>
              <w:rPr>
                <w:rFonts w:hint="eastAsia"/>
                <w:highlight w:val="none"/>
                <w:shd w:val="clear" w:color="auto" w:fill="FFFFFF" w:themeFill="background1"/>
                <w:lang w:val="hr-HR"/>
              </w:rPr>
              <w:t>分（北京时间）前递交投标文件。</w:t>
            </w:r>
          </w:p>
        </w:tc>
      </w:tr>
    </w:tbl>
    <w:p w14:paraId="17409E24">
      <w:pPr>
        <w:pStyle w:val="3"/>
        <w:spacing w:line="360" w:lineRule="auto"/>
        <w:rPr>
          <w:highlight w:val="none"/>
          <w:lang w:val="hr-HR"/>
        </w:rPr>
      </w:pPr>
      <w:bookmarkStart w:id="17" w:name="_Toc4515"/>
      <w:bookmarkStart w:id="18" w:name="_Toc2335"/>
      <w:bookmarkStart w:id="19" w:name="_Toc11065"/>
      <w:bookmarkStart w:id="20" w:name="_Toc229390274"/>
      <w:bookmarkStart w:id="21" w:name="_Toc27682"/>
      <w:r>
        <w:rPr>
          <w:rFonts w:hint="eastAsia"/>
          <w:highlight w:val="none"/>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4FF7FC1">
      <w:pPr>
        <w:pStyle w:val="38"/>
        <w:spacing w:line="360" w:lineRule="auto"/>
        <w:rPr>
          <w:highlight w:val="none"/>
        </w:rPr>
      </w:pPr>
      <w:r>
        <w:rPr>
          <w:rFonts w:hint="eastAsia"/>
          <w:highlight w:val="none"/>
          <w:lang w:val="hr-HR"/>
        </w:rPr>
        <w:t>1.项目编号</w:t>
      </w:r>
      <w:r>
        <w:rPr>
          <w:rFonts w:hint="eastAsia"/>
          <w:highlight w:val="none"/>
          <w:lang w:val="en-US"/>
        </w:rPr>
        <w:t xml:space="preserve"> </w:t>
      </w:r>
      <w:r>
        <w:rPr>
          <w:rFonts w:hint="eastAsia"/>
          <w:highlight w:val="none"/>
          <w:lang w:val="hr-HR"/>
        </w:rPr>
        <w:t>：</w:t>
      </w:r>
      <w:r>
        <w:rPr>
          <w:rFonts w:hint="eastAsia"/>
          <w:highlight w:val="none"/>
        </w:rPr>
        <w:t>0724-2621XJ262867</w:t>
      </w:r>
    </w:p>
    <w:p w14:paraId="78D4DD2F">
      <w:pPr>
        <w:pStyle w:val="38"/>
        <w:spacing w:line="360" w:lineRule="auto"/>
        <w:rPr>
          <w:highlight w:val="none"/>
          <w:lang w:val="hr-HR"/>
        </w:rPr>
      </w:pPr>
      <w:r>
        <w:rPr>
          <w:rFonts w:hint="eastAsia"/>
          <w:highlight w:val="none"/>
          <w:lang w:val="en-US"/>
        </w:rPr>
        <w:t>2</w:t>
      </w:r>
      <w:r>
        <w:rPr>
          <w:rFonts w:hint="eastAsia"/>
          <w:highlight w:val="none"/>
          <w:lang w:val="hr-HR"/>
        </w:rPr>
        <w:t>.项目名称：</w:t>
      </w:r>
      <w:r>
        <w:rPr>
          <w:rFonts w:hint="eastAsia"/>
          <w:highlight w:val="none"/>
        </w:rPr>
        <w:t xml:space="preserve"> 新疆医科大学2026年活禽肉水产采购项目</w:t>
      </w:r>
    </w:p>
    <w:p w14:paraId="19365E9F">
      <w:pPr>
        <w:pStyle w:val="38"/>
        <w:spacing w:line="360" w:lineRule="auto"/>
        <w:rPr>
          <w:highlight w:val="none"/>
          <w:lang w:val="hr-HR"/>
        </w:rPr>
      </w:pPr>
      <w:r>
        <w:rPr>
          <w:rFonts w:hint="eastAsia"/>
          <w:highlight w:val="none"/>
          <w:lang w:val="en-US"/>
        </w:rPr>
        <w:t>3</w:t>
      </w:r>
      <w:r>
        <w:rPr>
          <w:rFonts w:hint="eastAsia"/>
          <w:highlight w:val="none"/>
        </w:rPr>
        <w:t>.采购方式：公开招标</w:t>
      </w:r>
    </w:p>
    <w:p w14:paraId="55D8A7B1">
      <w:pPr>
        <w:pStyle w:val="38"/>
        <w:spacing w:line="360" w:lineRule="auto"/>
        <w:rPr>
          <w:highlight w:val="none"/>
        </w:rPr>
      </w:pPr>
      <w:r>
        <w:rPr>
          <w:rFonts w:hint="eastAsia"/>
          <w:highlight w:val="none"/>
          <w:lang w:val="en-US"/>
        </w:rPr>
        <w:t>4</w:t>
      </w:r>
      <w:r>
        <w:rPr>
          <w:rFonts w:hint="eastAsia"/>
          <w:highlight w:val="none"/>
        </w:rPr>
        <w:t>.</w:t>
      </w:r>
      <w:r>
        <w:rPr>
          <w:rFonts w:hint="eastAsia"/>
          <w:highlight w:val="none"/>
          <w:lang w:val="en-US"/>
        </w:rPr>
        <w:t>项目</w:t>
      </w:r>
      <w:r>
        <w:rPr>
          <w:rFonts w:hint="eastAsia"/>
          <w:highlight w:val="none"/>
        </w:rPr>
        <w:t>预算金额：</w:t>
      </w:r>
      <w:r>
        <w:rPr>
          <w:rFonts w:hint="eastAsia"/>
          <w:highlight w:val="none"/>
          <w:u w:val="single"/>
        </w:rPr>
        <w:t xml:space="preserve"> </w:t>
      </w:r>
      <w:r>
        <w:rPr>
          <w:highlight w:val="none"/>
          <w:u w:val="single"/>
          <w:lang w:val="en-US"/>
        </w:rPr>
        <w:t>90</w:t>
      </w:r>
      <w:r>
        <w:rPr>
          <w:rFonts w:hint="eastAsia"/>
          <w:highlight w:val="none"/>
          <w:u w:val="single"/>
        </w:rPr>
        <w:t xml:space="preserve"> </w:t>
      </w:r>
      <w:r>
        <w:rPr>
          <w:rFonts w:hint="eastAsia"/>
          <w:highlight w:val="none"/>
        </w:rPr>
        <w:t>万元</w:t>
      </w:r>
    </w:p>
    <w:p w14:paraId="73A61866">
      <w:pPr>
        <w:pStyle w:val="38"/>
        <w:spacing w:line="360" w:lineRule="auto"/>
        <w:rPr>
          <w:highlight w:val="none"/>
          <w:lang w:val="hr-HR"/>
        </w:rPr>
      </w:pPr>
      <w:r>
        <w:rPr>
          <w:rFonts w:hint="eastAsia"/>
          <w:highlight w:val="none"/>
          <w:lang w:val="en-US"/>
        </w:rPr>
        <w:t>5</w:t>
      </w:r>
      <w:r>
        <w:rPr>
          <w:rFonts w:hint="eastAsia"/>
          <w:highlight w:val="none"/>
          <w:lang w:val="hr-HR"/>
        </w:rPr>
        <w:t>.</w:t>
      </w:r>
      <w:r>
        <w:rPr>
          <w:rFonts w:hint="eastAsia"/>
          <w:highlight w:val="none"/>
        </w:rPr>
        <w:t>最高限价</w:t>
      </w:r>
      <w:r>
        <w:rPr>
          <w:rFonts w:hint="eastAsia"/>
          <w:highlight w:val="none"/>
          <w:lang w:val="en-US"/>
        </w:rPr>
        <w:t xml:space="preserve"> </w:t>
      </w:r>
      <w:r>
        <w:rPr>
          <w:rFonts w:hint="eastAsia"/>
          <w:highlight w:val="none"/>
          <w:lang w:val="hr-HR"/>
        </w:rPr>
        <w:t>：</w:t>
      </w:r>
      <w:r>
        <w:rPr>
          <w:rFonts w:hint="eastAsia"/>
          <w:highlight w:val="none"/>
          <w:u w:val="single"/>
          <w:lang w:val="hr-HR"/>
        </w:rPr>
        <w:t xml:space="preserve">  </w:t>
      </w:r>
      <w:r>
        <w:rPr>
          <w:highlight w:val="none"/>
          <w:u w:val="single"/>
          <w:lang w:val="en-US"/>
        </w:rPr>
        <w:t xml:space="preserve">90 </w:t>
      </w:r>
      <w:r>
        <w:rPr>
          <w:rFonts w:hint="eastAsia"/>
          <w:highlight w:val="none"/>
        </w:rPr>
        <w:t>万元，下浮/上浮比率：三去鱼类上浮率</w:t>
      </w:r>
      <w:r>
        <w:rPr>
          <w:highlight w:val="none"/>
        </w:rPr>
        <w:t>X≤35.00%；两去鱼类上浮率Y≤20.00%；其他水产下浮率Z≥10.00%;白条鸡下浮率A≥5.00%。</w:t>
      </w:r>
    </w:p>
    <w:p w14:paraId="4602FEDC">
      <w:pPr>
        <w:pStyle w:val="38"/>
        <w:spacing w:line="360" w:lineRule="auto"/>
        <w:rPr>
          <w:highlight w:val="none"/>
          <w:lang w:val="en-US"/>
        </w:rPr>
      </w:pPr>
      <w:r>
        <w:rPr>
          <w:rFonts w:hint="eastAsia"/>
          <w:highlight w:val="none"/>
          <w:lang w:val="en-US"/>
        </w:rPr>
        <w:t>6</w:t>
      </w:r>
      <w:r>
        <w:rPr>
          <w:rFonts w:hint="eastAsia"/>
          <w:highlight w:val="none"/>
        </w:rPr>
        <w:t>.采购需求： 新疆</w:t>
      </w:r>
      <w:r>
        <w:rPr>
          <w:highlight w:val="none"/>
        </w:rPr>
        <w:t>医科大学</w:t>
      </w:r>
      <w:r>
        <w:rPr>
          <w:rFonts w:hint="eastAsia"/>
          <w:highlight w:val="none"/>
        </w:rPr>
        <w:t>2</w:t>
      </w:r>
      <w:r>
        <w:rPr>
          <w:highlight w:val="none"/>
        </w:rPr>
        <w:t>026年度</w:t>
      </w:r>
      <w:r>
        <w:rPr>
          <w:rFonts w:hint="eastAsia"/>
          <w:highlight w:val="none"/>
        </w:rPr>
        <w:t>活禽肉水产采购</w:t>
      </w:r>
      <w:r>
        <w:rPr>
          <w:highlight w:val="none"/>
        </w:rPr>
        <w:t>，包括</w:t>
      </w:r>
      <w:r>
        <w:rPr>
          <w:rFonts w:hint="eastAsia"/>
          <w:highlight w:val="none"/>
        </w:rPr>
        <w:t>三去鱼类、</w:t>
      </w:r>
      <w:r>
        <w:rPr>
          <w:highlight w:val="none"/>
        </w:rPr>
        <w:t>两去鱼类、其他水产、白条鸡等，具体采购</w:t>
      </w:r>
      <w:r>
        <w:rPr>
          <w:rFonts w:hint="eastAsia"/>
          <w:highlight w:val="none"/>
        </w:rPr>
        <w:t>需求及要求详见招标文件。</w:t>
      </w:r>
    </w:p>
    <w:p w14:paraId="7BF816DC">
      <w:pPr>
        <w:pStyle w:val="38"/>
        <w:spacing w:line="360" w:lineRule="auto"/>
        <w:rPr>
          <w:highlight w:val="none"/>
          <w:lang w:val="en-US"/>
        </w:rPr>
      </w:pPr>
      <w:r>
        <w:rPr>
          <w:rFonts w:hint="eastAsia"/>
          <w:highlight w:val="none"/>
          <w:lang w:val="en-US"/>
        </w:rPr>
        <w:t>7.</w:t>
      </w:r>
      <w:r>
        <w:rPr>
          <w:rFonts w:hint="eastAsia"/>
          <w:highlight w:val="none"/>
        </w:rPr>
        <w:t>合同履行期限</w:t>
      </w:r>
      <w:r>
        <w:rPr>
          <w:rFonts w:hint="eastAsia"/>
          <w:highlight w:val="none"/>
          <w:lang w:val="en-US"/>
        </w:rPr>
        <w:t>：</w:t>
      </w:r>
      <w:r>
        <w:rPr>
          <w:rFonts w:hint="eastAsia"/>
          <w:highlight w:val="none"/>
        </w:rPr>
        <w:t>壹年</w:t>
      </w:r>
      <w:r>
        <w:rPr>
          <w:rFonts w:hint="eastAsia"/>
          <w:highlight w:val="none"/>
          <w:lang w:val="en-US"/>
        </w:rPr>
        <w:t>，</w:t>
      </w:r>
      <w:r>
        <w:rPr>
          <w:rFonts w:hint="eastAsia"/>
          <w:highlight w:val="none"/>
        </w:rPr>
        <w:t>自</w:t>
      </w:r>
      <w:r>
        <w:rPr>
          <w:highlight w:val="none"/>
          <w:lang w:val="en-US"/>
        </w:rPr>
        <w:t>2026</w:t>
      </w:r>
      <w:r>
        <w:rPr>
          <w:highlight w:val="none"/>
        </w:rPr>
        <w:t>年</w:t>
      </w:r>
      <w:r>
        <w:rPr>
          <w:highlight w:val="none"/>
          <w:lang w:val="en-US"/>
        </w:rPr>
        <w:t>7</w:t>
      </w:r>
      <w:r>
        <w:rPr>
          <w:highlight w:val="none"/>
        </w:rPr>
        <w:t>月</w:t>
      </w:r>
      <w:r>
        <w:rPr>
          <w:highlight w:val="none"/>
          <w:lang w:val="en-US"/>
        </w:rPr>
        <w:t>21</w:t>
      </w:r>
      <w:r>
        <w:rPr>
          <w:highlight w:val="none"/>
        </w:rPr>
        <w:t>日</w:t>
      </w:r>
      <w:r>
        <w:rPr>
          <w:highlight w:val="none"/>
          <w:lang w:val="en-US"/>
        </w:rPr>
        <w:t xml:space="preserve"> </w:t>
      </w:r>
      <w:r>
        <w:rPr>
          <w:highlight w:val="none"/>
        </w:rPr>
        <w:t>起至</w:t>
      </w:r>
      <w:r>
        <w:rPr>
          <w:highlight w:val="none"/>
          <w:lang w:val="en-US"/>
        </w:rPr>
        <w:t>2027</w:t>
      </w:r>
      <w:r>
        <w:rPr>
          <w:highlight w:val="none"/>
        </w:rPr>
        <w:t>年</w:t>
      </w:r>
      <w:r>
        <w:rPr>
          <w:highlight w:val="none"/>
          <w:lang w:val="en-US"/>
        </w:rPr>
        <w:t>7</w:t>
      </w:r>
      <w:r>
        <w:rPr>
          <w:highlight w:val="none"/>
        </w:rPr>
        <w:t>月</w:t>
      </w:r>
      <w:r>
        <w:rPr>
          <w:highlight w:val="none"/>
          <w:lang w:val="en-US"/>
        </w:rPr>
        <w:t>20</w:t>
      </w:r>
      <w:r>
        <w:rPr>
          <w:highlight w:val="none"/>
        </w:rPr>
        <w:t>日止。</w:t>
      </w:r>
    </w:p>
    <w:p w14:paraId="7791E70F">
      <w:pPr>
        <w:pStyle w:val="38"/>
        <w:spacing w:line="360" w:lineRule="auto"/>
        <w:rPr>
          <w:highlight w:val="none"/>
        </w:rPr>
      </w:pPr>
      <w:bookmarkStart w:id="22" w:name="_Toc28359090"/>
      <w:bookmarkStart w:id="23" w:name="_Toc35393630"/>
      <w:bookmarkStart w:id="24" w:name="_Toc35393799"/>
      <w:bookmarkStart w:id="25" w:name="_Toc44583629"/>
      <w:bookmarkStart w:id="26" w:name="_Toc28359013"/>
      <w:r>
        <w:rPr>
          <w:rFonts w:hint="eastAsia"/>
          <w:highlight w:val="none"/>
        </w:rPr>
        <w:t>8.</w:t>
      </w:r>
      <w:bookmarkStart w:id="27" w:name="_Hlk162011358"/>
      <w:r>
        <w:rPr>
          <w:rFonts w:hint="eastAsia"/>
          <w:highlight w:val="none"/>
        </w:rPr>
        <w:t>本项目是否接受联合体投标：□是</w:t>
      </w:r>
      <w:bookmarkEnd w:id="27"/>
      <w:r>
        <w:rPr>
          <w:rFonts w:hint="eastAsia"/>
          <w:highlight w:val="none"/>
        </w:rPr>
        <w:t xml:space="preserve">   </w:t>
      </w:r>
      <w:r>
        <w:rPr>
          <w:rFonts w:ascii="Segoe UI Symbol" w:hAnsi="Segoe UI Symbol" w:cs="Segoe UI Symbol"/>
          <w:highlight w:val="none"/>
        </w:rPr>
        <w:t>☑</w:t>
      </w:r>
      <w:r>
        <w:rPr>
          <w:rFonts w:hint="eastAsia" w:cs="宋体"/>
          <w:highlight w:val="none"/>
        </w:rPr>
        <w:t>否</w:t>
      </w:r>
    </w:p>
    <w:p w14:paraId="335A3571">
      <w:pPr>
        <w:pStyle w:val="3"/>
        <w:spacing w:line="360" w:lineRule="auto"/>
        <w:rPr>
          <w:highlight w:val="none"/>
          <w:lang w:val="hr-HR"/>
        </w:rPr>
      </w:pPr>
      <w:bookmarkStart w:id="28" w:name="_Toc30635"/>
      <w:bookmarkStart w:id="29" w:name="_Toc109900249"/>
      <w:bookmarkStart w:id="30" w:name="_Toc109899830"/>
      <w:bookmarkStart w:id="31" w:name="_Toc10801"/>
      <w:bookmarkStart w:id="32" w:name="_Toc883"/>
      <w:bookmarkStart w:id="33" w:name="_Toc27911"/>
      <w:bookmarkStart w:id="34" w:name="_Toc140132746"/>
      <w:bookmarkStart w:id="35" w:name="_Toc229390275"/>
      <w:bookmarkStart w:id="36" w:name="_Toc163492813"/>
      <w:bookmarkStart w:id="37" w:name="_Toc155185861"/>
      <w:bookmarkStart w:id="38" w:name="_Toc109899411"/>
      <w:r>
        <w:rPr>
          <w:rFonts w:hint="eastAsia"/>
          <w:highlight w:val="none"/>
        </w:rPr>
        <w:t>二、申请</w:t>
      </w:r>
      <w:r>
        <w:rPr>
          <w:rFonts w:hint="eastAsia"/>
          <w:highlight w:val="none"/>
          <w:lang w:val="hr-HR"/>
        </w:rPr>
        <w:t>人</w:t>
      </w:r>
      <w:r>
        <w:rPr>
          <w:rFonts w:hint="eastAsia"/>
          <w:highlight w:val="none"/>
        </w:rPr>
        <w:t>的</w:t>
      </w:r>
      <w:r>
        <w:rPr>
          <w:rFonts w:hint="eastAsia"/>
          <w:highlight w:val="none"/>
          <w:lang w:val="hr-HR"/>
        </w:rPr>
        <w:t>资格要求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26C107CB">
      <w:pPr>
        <w:spacing w:line="360" w:lineRule="auto"/>
        <w:rPr>
          <w:highlight w:val="none"/>
        </w:rPr>
      </w:pPr>
      <w:bookmarkStart w:id="39" w:name="_Toc44583630"/>
      <w:bookmarkStart w:id="40" w:name="_Toc35393631"/>
      <w:bookmarkStart w:id="41" w:name="_Toc35393800"/>
      <w:bookmarkStart w:id="42" w:name="_Toc28359014"/>
      <w:bookmarkStart w:id="43" w:name="_Toc28359091"/>
      <w:r>
        <w:rPr>
          <w:rFonts w:hint="eastAsia"/>
          <w:highlight w:val="none"/>
        </w:rPr>
        <w:t>1.满足《中华人民共和国政府采购法》第二十二条规定；</w:t>
      </w:r>
    </w:p>
    <w:p w14:paraId="5654C51F">
      <w:pPr>
        <w:spacing w:line="360" w:lineRule="auto"/>
        <w:rPr>
          <w:highlight w:val="none"/>
        </w:rPr>
      </w:pPr>
      <w:r>
        <w:rPr>
          <w:rFonts w:hint="eastAsia"/>
          <w:highlight w:val="none"/>
        </w:rPr>
        <w:t>2.落实政府采购政策需满足的资格要求：本项目属于专门面向小微企业采购项目，供应商所投产品的制造商需为小微企业、监狱企业、残疾人福利性单位。</w:t>
      </w:r>
    </w:p>
    <w:p w14:paraId="0D1B0FF4">
      <w:pPr>
        <w:spacing w:line="360" w:lineRule="auto"/>
        <w:rPr>
          <w:highlight w:val="none"/>
        </w:rPr>
      </w:pPr>
      <w:r>
        <w:rPr>
          <w:rFonts w:hint="eastAsia"/>
          <w:highlight w:val="none"/>
        </w:rPr>
        <w:t>3.本项目的特定资格要求：无</w:t>
      </w:r>
    </w:p>
    <w:p w14:paraId="623FC760">
      <w:pPr>
        <w:spacing w:line="360" w:lineRule="auto"/>
        <w:rPr>
          <w:highlight w:val="none"/>
        </w:rPr>
      </w:pPr>
      <w:r>
        <w:rPr>
          <w:rFonts w:hint="eastAsia"/>
          <w:highlight w:val="none"/>
        </w:rPr>
        <w:t>4. 其他资格要求：</w:t>
      </w:r>
    </w:p>
    <w:p w14:paraId="43D08F82">
      <w:pPr>
        <w:pStyle w:val="38"/>
        <w:spacing w:line="360" w:lineRule="auto"/>
        <w:rPr>
          <w:highlight w:val="none"/>
        </w:rPr>
      </w:pPr>
      <w:r>
        <w:rPr>
          <w:rFonts w:hint="eastAsia"/>
          <w:highlight w:val="none"/>
          <w:lang w:val="en-US"/>
        </w:rPr>
        <w:t>（1）</w:t>
      </w:r>
      <w:r>
        <w:rPr>
          <w:rFonts w:hint="eastAsia"/>
          <w:highlight w:val="none"/>
        </w:rPr>
        <w:t>法定代表人或</w:t>
      </w:r>
      <w:r>
        <w:rPr>
          <w:rFonts w:hint="eastAsia"/>
          <w:highlight w:val="none"/>
          <w:lang w:val="en-US"/>
        </w:rPr>
        <w:t>单位</w:t>
      </w:r>
      <w:r>
        <w:rPr>
          <w:rFonts w:hint="eastAsia"/>
          <w:highlight w:val="none"/>
        </w:rPr>
        <w:t>负责人为同一人或者存在</w:t>
      </w:r>
      <w:r>
        <w:rPr>
          <w:rFonts w:hint="eastAsia"/>
          <w:highlight w:val="none"/>
          <w:lang w:val="en-US"/>
        </w:rPr>
        <w:t>直接</w:t>
      </w:r>
      <w:r>
        <w:rPr>
          <w:rFonts w:hint="eastAsia"/>
          <w:highlight w:val="none"/>
        </w:rPr>
        <w:t>控股、管理关系的</w:t>
      </w:r>
      <w:r>
        <w:rPr>
          <w:rFonts w:hint="eastAsia"/>
          <w:highlight w:val="none"/>
          <w:lang w:val="en-US"/>
        </w:rPr>
        <w:t>不同供应商</w:t>
      </w:r>
      <w:r>
        <w:rPr>
          <w:rFonts w:hint="eastAsia"/>
          <w:highlight w:val="none"/>
        </w:rPr>
        <w:t>，不得参加同一合同项下的政府采购活动。</w:t>
      </w:r>
    </w:p>
    <w:p w14:paraId="331E3BB4">
      <w:pPr>
        <w:pStyle w:val="38"/>
        <w:spacing w:line="360" w:lineRule="auto"/>
        <w:rPr>
          <w:highlight w:val="none"/>
        </w:rPr>
      </w:pPr>
      <w:r>
        <w:rPr>
          <w:rFonts w:hint="eastAsia"/>
          <w:highlight w:val="none"/>
          <w:lang w:val="en-US"/>
        </w:rPr>
        <w:t>（2）</w:t>
      </w:r>
      <w:r>
        <w:rPr>
          <w:rFonts w:hint="eastAsia"/>
          <w:highlight w:val="none"/>
        </w:rPr>
        <w:t>除单一来源采购项目外，为采购项目提供整体设计、规范编制或者项目管理、监理、检测等服务的供应商，不得再参加该采购项目的其他采购活动。</w:t>
      </w:r>
    </w:p>
    <w:p w14:paraId="29E53B30">
      <w:pPr>
        <w:pStyle w:val="38"/>
        <w:spacing w:line="360" w:lineRule="auto"/>
        <w:rPr>
          <w:highlight w:val="none"/>
        </w:rPr>
      </w:pPr>
      <w:r>
        <w:rPr>
          <w:rFonts w:hint="eastAsia"/>
          <w:highlight w:val="none"/>
          <w:lang w:val="hr-HR"/>
        </w:rPr>
        <w:t>（</w:t>
      </w:r>
      <w:r>
        <w:rPr>
          <w:rFonts w:hint="eastAsia"/>
          <w:highlight w:val="none"/>
        </w:rPr>
        <w:t>3）</w:t>
      </w:r>
      <w:r>
        <w:rPr>
          <w:rFonts w:hint="eastAsia"/>
          <w:highlight w:val="none"/>
          <w:lang w:val="hr-HR"/>
        </w:rPr>
        <w:t>供应商的信用行为：在</w:t>
      </w:r>
      <w:r>
        <w:rPr>
          <w:rFonts w:hint="eastAsia"/>
          <w:highlight w:val="none"/>
        </w:rPr>
        <w:t>资格审查阶段经查询</w:t>
      </w:r>
      <w:r>
        <w:rPr>
          <w:rFonts w:hint="eastAsia"/>
          <w:highlight w:val="none"/>
          <w:lang w:val="hr-HR"/>
        </w:rPr>
        <w:t>，</w:t>
      </w:r>
      <w:r>
        <w:rPr>
          <w:rFonts w:hint="eastAsia"/>
          <w:highlight w:val="none"/>
        </w:rPr>
        <w:t>未被列入“严重失信主体名单”“失信被执行人”、“重大税收违法失信主体名单”、“政府采购严重违法失信行为记录名单”</w:t>
      </w:r>
      <w:r>
        <w:rPr>
          <w:rFonts w:hint="eastAsia"/>
          <w:highlight w:val="none"/>
          <w:lang w:val="hr-HR"/>
        </w:rPr>
        <w:t>其中之一。如有以上不良信用记录</w:t>
      </w:r>
      <w:r>
        <w:rPr>
          <w:rFonts w:hint="eastAsia"/>
          <w:highlight w:val="none"/>
        </w:rPr>
        <w:t>之一的，</w:t>
      </w:r>
      <w:r>
        <w:rPr>
          <w:rFonts w:hint="eastAsia"/>
          <w:highlight w:val="none"/>
          <w:lang w:val="hr-HR"/>
        </w:rPr>
        <w:t>其</w:t>
      </w:r>
      <w:r>
        <w:rPr>
          <w:rFonts w:hint="eastAsia"/>
          <w:b/>
          <w:bCs/>
          <w:highlight w:val="none"/>
          <w:lang w:val="hr-HR"/>
        </w:rPr>
        <w:t>投标</w:t>
      </w:r>
      <w:r>
        <w:rPr>
          <w:rFonts w:hint="eastAsia"/>
          <w:b/>
          <w:bCs/>
          <w:highlight w:val="none"/>
        </w:rPr>
        <w:t>无效</w:t>
      </w:r>
      <w:r>
        <w:rPr>
          <w:rFonts w:hint="eastAsia"/>
          <w:highlight w:val="none"/>
          <w:lang w:val="hr-HR"/>
        </w:rPr>
        <w:t>。</w:t>
      </w:r>
    </w:p>
    <w:p w14:paraId="5A1C6F43">
      <w:pPr>
        <w:pStyle w:val="3"/>
        <w:spacing w:line="360" w:lineRule="auto"/>
        <w:rPr>
          <w:highlight w:val="none"/>
          <w:lang w:val="hr-HR"/>
        </w:rPr>
      </w:pPr>
      <w:bookmarkStart w:id="44" w:name="_Toc163492814"/>
      <w:bookmarkStart w:id="45" w:name="_Toc140132747"/>
      <w:bookmarkStart w:id="46" w:name="_Toc109900250"/>
      <w:bookmarkStart w:id="47" w:name="_Toc229390276"/>
      <w:bookmarkStart w:id="48" w:name="_Toc155185862"/>
      <w:bookmarkStart w:id="49" w:name="_Toc109899831"/>
      <w:bookmarkStart w:id="50" w:name="_Toc109899412"/>
      <w:bookmarkStart w:id="51" w:name="_Toc27361"/>
      <w:bookmarkStart w:id="52" w:name="_Toc5466"/>
      <w:bookmarkStart w:id="53" w:name="_Toc23301"/>
      <w:bookmarkStart w:id="54" w:name="_Toc13839"/>
      <w:r>
        <w:rPr>
          <w:rFonts w:hint="eastAsia"/>
          <w:highlight w:val="none"/>
        </w:rPr>
        <w:t>三、</w:t>
      </w:r>
      <w:r>
        <w:rPr>
          <w:rFonts w:hint="eastAsia"/>
          <w:highlight w:val="none"/>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highlight w:val="none"/>
          <w:lang w:val="hr-HR"/>
        </w:rPr>
        <w:t xml:space="preserve"> </w:t>
      </w:r>
    </w:p>
    <w:p w14:paraId="0FE53A7B">
      <w:pPr>
        <w:pStyle w:val="38"/>
        <w:spacing w:line="360" w:lineRule="auto"/>
        <w:rPr>
          <w:highlight w:val="none"/>
          <w:lang w:val="hr-HR"/>
        </w:rPr>
      </w:pPr>
      <w:bookmarkStart w:id="55" w:name="_Hlk130457234"/>
      <w:bookmarkStart w:id="56" w:name="_Hlk130457261"/>
      <w:bookmarkStart w:id="57" w:name="_Toc28359015"/>
      <w:bookmarkStart w:id="58" w:name="_Hlk130457327"/>
      <w:bookmarkStart w:id="59" w:name="_Toc35393632"/>
      <w:bookmarkStart w:id="60" w:name="_Toc35393801"/>
      <w:bookmarkStart w:id="61" w:name="_Toc28359092"/>
      <w:r>
        <w:rPr>
          <w:rFonts w:hint="eastAsia"/>
          <w:highlight w:val="none"/>
          <w:lang w:val="hr-HR"/>
        </w:rPr>
        <w:t>1.时间：</w:t>
      </w:r>
      <w:r>
        <w:rPr>
          <w:highlight w:val="none"/>
        </w:rPr>
        <w:t>2026</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14</w:t>
      </w:r>
      <w:r>
        <w:rPr>
          <w:rFonts w:hint="eastAsia"/>
          <w:highlight w:val="none"/>
        </w:rPr>
        <w:t>日</w:t>
      </w:r>
      <w:r>
        <w:rPr>
          <w:highlight w:val="none"/>
        </w:rPr>
        <w:t>00</w:t>
      </w:r>
      <w:r>
        <w:rPr>
          <w:rFonts w:hint="eastAsia"/>
          <w:highlight w:val="none"/>
        </w:rPr>
        <w:t>时</w:t>
      </w:r>
      <w:r>
        <w:rPr>
          <w:highlight w:val="none"/>
        </w:rPr>
        <w:t>00</w:t>
      </w:r>
      <w:r>
        <w:rPr>
          <w:rFonts w:hint="eastAsia"/>
          <w:highlight w:val="none"/>
        </w:rPr>
        <w:t>分</w:t>
      </w:r>
      <w:r>
        <w:rPr>
          <w:rFonts w:hint="eastAsia"/>
          <w:highlight w:val="none"/>
          <w:lang w:val="hr-HR"/>
        </w:rPr>
        <w:t>至</w:t>
      </w:r>
      <w:r>
        <w:rPr>
          <w:highlight w:val="none"/>
          <w:lang w:val="hr-HR"/>
        </w:rPr>
        <w:t>2026</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21</w:t>
      </w:r>
      <w:r>
        <w:rPr>
          <w:rFonts w:hint="eastAsia"/>
          <w:highlight w:val="none"/>
        </w:rPr>
        <w:t>日</w:t>
      </w:r>
      <w:r>
        <w:rPr>
          <w:highlight w:val="none"/>
        </w:rPr>
        <w:t>23</w:t>
      </w:r>
      <w:r>
        <w:rPr>
          <w:rFonts w:hint="eastAsia"/>
          <w:highlight w:val="none"/>
        </w:rPr>
        <w:t>时</w:t>
      </w:r>
      <w:r>
        <w:rPr>
          <w:highlight w:val="none"/>
        </w:rPr>
        <w:t>59</w:t>
      </w:r>
      <w:r>
        <w:rPr>
          <w:rFonts w:hint="eastAsia"/>
          <w:highlight w:val="none"/>
        </w:rPr>
        <w:t>分</w:t>
      </w:r>
      <w:r>
        <w:rPr>
          <w:rFonts w:hint="eastAsia"/>
          <w:highlight w:val="none"/>
          <w:lang w:val="hr-HR"/>
        </w:rPr>
        <w:t>（北京时间）。</w:t>
      </w:r>
    </w:p>
    <w:bookmarkEnd w:id="55"/>
    <w:p w14:paraId="68012BB1">
      <w:pPr>
        <w:pStyle w:val="38"/>
        <w:spacing w:line="360" w:lineRule="auto"/>
        <w:rPr>
          <w:highlight w:val="none"/>
          <w:lang w:val="hr-HR"/>
        </w:rPr>
      </w:pPr>
      <w:r>
        <w:rPr>
          <w:rFonts w:hint="eastAsia"/>
          <w:highlight w:val="none"/>
          <w:lang w:val="hr-HR"/>
        </w:rPr>
        <w:t>2.</w:t>
      </w:r>
      <w:r>
        <w:rPr>
          <w:rFonts w:hint="eastAsia"/>
          <w:highlight w:val="none"/>
        </w:rPr>
        <w:t>地点</w:t>
      </w:r>
      <w:r>
        <w:rPr>
          <w:rFonts w:hint="eastAsia"/>
          <w:highlight w:val="none"/>
          <w:lang w:val="hr-HR"/>
        </w:rPr>
        <w:t>：</w:t>
      </w:r>
      <w:bookmarkStart w:id="62" w:name="_Hlk89807779"/>
      <w:r>
        <w:rPr>
          <w:rFonts w:hint="eastAsia"/>
          <w:highlight w:val="none"/>
          <w:lang w:val="en-US"/>
        </w:rPr>
        <w:t>政采云平台线上</w:t>
      </w:r>
      <w:r>
        <w:rPr>
          <w:rFonts w:hint="eastAsia"/>
          <w:highlight w:val="none"/>
          <w:lang w:val="hr-HR"/>
        </w:rPr>
        <w:t>（</w:t>
      </w:r>
      <w:r>
        <w:rPr>
          <w:rFonts w:hint="eastAsia"/>
          <w:highlight w:val="none"/>
          <w:lang w:val="en-US"/>
        </w:rPr>
        <w:t>网址</w:t>
      </w:r>
      <w:r>
        <w:rPr>
          <w:rFonts w:hint="eastAsia"/>
          <w:highlight w:val="none"/>
          <w:lang w:val="hr-HR"/>
        </w:rPr>
        <w:t>：https://www.zcygov.cn/）</w:t>
      </w:r>
      <w:r>
        <w:rPr>
          <w:rFonts w:hint="eastAsia"/>
          <w:highlight w:val="none"/>
        </w:rPr>
        <w:t>。</w:t>
      </w:r>
      <w:bookmarkEnd w:id="62"/>
    </w:p>
    <w:p w14:paraId="0FF6092F">
      <w:pPr>
        <w:pStyle w:val="38"/>
        <w:spacing w:line="360" w:lineRule="auto"/>
        <w:rPr>
          <w:highlight w:val="none"/>
          <w:lang w:val="hr-HR"/>
        </w:rPr>
      </w:pPr>
      <w:r>
        <w:rPr>
          <w:rFonts w:hint="eastAsia"/>
          <w:highlight w:val="none"/>
          <w:lang w:val="hr-HR"/>
        </w:rPr>
        <w:t>3.</w:t>
      </w:r>
      <w:r>
        <w:rPr>
          <w:rFonts w:hint="eastAsia"/>
          <w:highlight w:val="none"/>
        </w:rPr>
        <w:t>方式</w:t>
      </w:r>
      <w:r>
        <w:rPr>
          <w:rFonts w:hint="eastAsia"/>
          <w:highlight w:val="none"/>
          <w:lang w:val="hr-HR"/>
        </w:rPr>
        <w:t>：</w:t>
      </w:r>
      <w:r>
        <w:rPr>
          <w:rFonts w:hint="eastAsia"/>
          <w:highlight w:val="none"/>
        </w:rPr>
        <w:t>投标供应商登录政采云平台</w:t>
      </w:r>
      <w:r>
        <w:rPr>
          <w:rFonts w:hint="eastAsia"/>
          <w:highlight w:val="none"/>
          <w:lang w:val="hr-HR"/>
        </w:rPr>
        <w:t>https://www.zcygov.cn/</w:t>
      </w:r>
      <w:r>
        <w:rPr>
          <w:rFonts w:hint="eastAsia"/>
          <w:highlight w:val="none"/>
        </w:rPr>
        <w:t>在线申请</w:t>
      </w:r>
      <w:r>
        <w:rPr>
          <w:rFonts w:hint="eastAsia"/>
          <w:highlight w:val="none"/>
          <w:lang w:val="hr-HR"/>
        </w:rPr>
        <w:t>，</w:t>
      </w:r>
      <w:r>
        <w:rPr>
          <w:rFonts w:hint="eastAsia"/>
          <w:highlight w:val="none"/>
        </w:rPr>
        <w:t>免费获取电子采购文件</w:t>
      </w:r>
      <w:r>
        <w:rPr>
          <w:rFonts w:hint="eastAsia"/>
          <w:highlight w:val="none"/>
          <w:lang w:val="hr-HR"/>
        </w:rPr>
        <w:t>（</w:t>
      </w:r>
      <w:r>
        <w:rPr>
          <w:rFonts w:hint="eastAsia"/>
          <w:highlight w:val="none"/>
        </w:rPr>
        <w:t>进入</w:t>
      </w:r>
      <w:r>
        <w:rPr>
          <w:rFonts w:hint="eastAsia"/>
          <w:highlight w:val="none"/>
          <w:lang w:val="hr-HR"/>
        </w:rPr>
        <w:t>“</w:t>
      </w:r>
      <w:r>
        <w:rPr>
          <w:rFonts w:hint="eastAsia"/>
          <w:highlight w:val="none"/>
        </w:rPr>
        <w:t>项目采购</w:t>
      </w:r>
      <w:r>
        <w:rPr>
          <w:rFonts w:hint="eastAsia"/>
          <w:highlight w:val="none"/>
          <w:lang w:val="hr-HR"/>
        </w:rPr>
        <w:t>”</w:t>
      </w:r>
      <w:r>
        <w:rPr>
          <w:rFonts w:hint="eastAsia"/>
          <w:highlight w:val="none"/>
        </w:rPr>
        <w:t>应用</w:t>
      </w:r>
      <w:r>
        <w:rPr>
          <w:rFonts w:hint="eastAsia"/>
          <w:highlight w:val="none"/>
          <w:lang w:val="hr-HR"/>
        </w:rPr>
        <w:t>，</w:t>
      </w:r>
      <w:r>
        <w:rPr>
          <w:rFonts w:hint="eastAsia"/>
          <w:highlight w:val="none"/>
        </w:rPr>
        <w:t>在获取采购文件菜单中选择项目</w:t>
      </w:r>
      <w:r>
        <w:rPr>
          <w:rFonts w:hint="eastAsia"/>
          <w:highlight w:val="none"/>
          <w:lang w:val="hr-HR"/>
        </w:rPr>
        <w:t>，</w:t>
      </w:r>
      <w:r>
        <w:rPr>
          <w:rFonts w:hint="eastAsia"/>
          <w:highlight w:val="none"/>
        </w:rPr>
        <w:t>申请获取采购文件</w:t>
      </w:r>
      <w:r>
        <w:rPr>
          <w:rFonts w:hint="eastAsia"/>
          <w:highlight w:val="none"/>
          <w:lang w:val="hr-HR"/>
        </w:rPr>
        <w:t>）</w:t>
      </w:r>
      <w:r>
        <w:rPr>
          <w:rFonts w:hint="eastAsia"/>
          <w:highlight w:val="none"/>
        </w:rPr>
        <w:t>。</w:t>
      </w:r>
    </w:p>
    <w:p w14:paraId="6CCB086B">
      <w:pPr>
        <w:pStyle w:val="38"/>
        <w:spacing w:line="360" w:lineRule="auto"/>
        <w:rPr>
          <w:highlight w:val="none"/>
        </w:rPr>
      </w:pPr>
      <w:r>
        <w:rPr>
          <w:rFonts w:hint="eastAsia"/>
          <w:highlight w:val="none"/>
        </w:rPr>
        <w:t>4.售价：0元。</w:t>
      </w:r>
    </w:p>
    <w:bookmarkEnd w:id="56"/>
    <w:bookmarkEnd w:id="57"/>
    <w:bookmarkEnd w:id="58"/>
    <w:bookmarkEnd w:id="59"/>
    <w:bookmarkEnd w:id="60"/>
    <w:bookmarkEnd w:id="61"/>
    <w:p w14:paraId="440EE17D">
      <w:pPr>
        <w:pStyle w:val="3"/>
        <w:spacing w:line="360" w:lineRule="auto"/>
        <w:rPr>
          <w:highlight w:val="none"/>
          <w:lang w:val="hr-HR"/>
        </w:rPr>
      </w:pPr>
      <w:bookmarkStart w:id="63" w:name="_Toc109899413"/>
      <w:bookmarkStart w:id="64" w:name="_Toc109900251"/>
      <w:bookmarkStart w:id="65" w:name="_Toc140132748"/>
      <w:bookmarkStart w:id="66" w:name="_Toc163492815"/>
      <w:bookmarkStart w:id="67" w:name="_Toc155185863"/>
      <w:bookmarkStart w:id="68" w:name="_Toc109899832"/>
      <w:bookmarkStart w:id="69" w:name="_Toc21751"/>
      <w:bookmarkStart w:id="70" w:name="_Toc27258"/>
      <w:bookmarkStart w:id="71" w:name="_Toc32460"/>
      <w:bookmarkStart w:id="72" w:name="_Toc1796"/>
      <w:bookmarkStart w:id="73" w:name="_Toc229390277"/>
      <w:r>
        <w:rPr>
          <w:rFonts w:hint="eastAsia"/>
          <w:highlight w:val="none"/>
        </w:rPr>
        <w:t>四、</w:t>
      </w:r>
      <w:bookmarkEnd w:id="63"/>
      <w:bookmarkEnd w:id="64"/>
      <w:bookmarkEnd w:id="65"/>
      <w:bookmarkEnd w:id="66"/>
      <w:bookmarkEnd w:id="67"/>
      <w:bookmarkEnd w:id="68"/>
      <w:r>
        <w:rPr>
          <w:rFonts w:hint="eastAsia"/>
          <w:highlight w:val="none"/>
          <w:lang w:val="hr-HR"/>
        </w:rPr>
        <w:t>提交投标文件截止时间</w:t>
      </w:r>
      <w:r>
        <w:rPr>
          <w:rFonts w:hint="eastAsia"/>
          <w:highlight w:val="none"/>
        </w:rPr>
        <w:t>/</w:t>
      </w:r>
      <w:r>
        <w:rPr>
          <w:rFonts w:hint="eastAsia"/>
          <w:highlight w:val="none"/>
          <w:lang w:val="hr-HR"/>
        </w:rPr>
        <w:t>开标时间、递交方式和</w:t>
      </w:r>
      <w:r>
        <w:rPr>
          <w:rFonts w:hint="eastAsia"/>
          <w:highlight w:val="none"/>
        </w:rPr>
        <w:t>开标</w:t>
      </w:r>
      <w:r>
        <w:rPr>
          <w:rFonts w:hint="eastAsia"/>
          <w:highlight w:val="none"/>
          <w:lang w:val="hr-HR"/>
        </w:rPr>
        <w:t>地点</w:t>
      </w:r>
      <w:bookmarkEnd w:id="69"/>
      <w:bookmarkEnd w:id="70"/>
      <w:bookmarkEnd w:id="71"/>
      <w:bookmarkEnd w:id="72"/>
      <w:bookmarkEnd w:id="73"/>
      <w:bookmarkStart w:id="74" w:name="_Hlk130457395"/>
      <w:bookmarkStart w:id="75" w:name="_Toc44583633"/>
      <w:bookmarkStart w:id="76" w:name="_Toc35393803"/>
      <w:bookmarkStart w:id="77" w:name="_Toc28359094"/>
      <w:bookmarkStart w:id="78" w:name="_Toc35393634"/>
      <w:bookmarkStart w:id="79" w:name="_Toc28359017"/>
    </w:p>
    <w:p w14:paraId="09ED528D">
      <w:pPr>
        <w:pStyle w:val="38"/>
        <w:spacing w:line="360" w:lineRule="auto"/>
        <w:rPr>
          <w:highlight w:val="none"/>
        </w:rPr>
      </w:pPr>
      <w:bookmarkStart w:id="80" w:name="_Toc5471"/>
      <w:bookmarkStart w:id="81" w:name="_Toc28855"/>
      <w:bookmarkStart w:id="82" w:name="_Toc12436"/>
      <w:bookmarkStart w:id="83" w:name="_Toc12519"/>
      <w:bookmarkStart w:id="84" w:name="_Toc8573"/>
      <w:r>
        <w:rPr>
          <w:rFonts w:hint="eastAsia"/>
          <w:highlight w:val="none"/>
        </w:rPr>
        <w:t>1.截止时间/开标时间：</w:t>
      </w:r>
      <w:r>
        <w:rPr>
          <w:highlight w:val="none"/>
          <w:u w:val="single"/>
          <w:lang w:val="hr-HR"/>
        </w:rPr>
        <w:t>2026</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5</w:t>
      </w:r>
      <w:r>
        <w:rPr>
          <w:rFonts w:hint="eastAsia"/>
          <w:highlight w:val="none"/>
          <w:u w:val="single"/>
        </w:rPr>
        <w:t>日</w:t>
      </w:r>
      <w:r>
        <w:rPr>
          <w:rFonts w:hint="eastAsia"/>
          <w:highlight w:val="none"/>
          <w:u w:val="single"/>
          <w:lang w:val="en-US" w:eastAsia="zh-CN"/>
        </w:rPr>
        <w:t>10</w:t>
      </w:r>
      <w:r>
        <w:rPr>
          <w:rFonts w:hint="eastAsia"/>
          <w:highlight w:val="none"/>
          <w:u w:val="single"/>
        </w:rPr>
        <w:t>时</w:t>
      </w:r>
      <w:r>
        <w:rPr>
          <w:rFonts w:hint="eastAsia"/>
          <w:highlight w:val="none"/>
          <w:u w:val="single"/>
          <w:lang w:val="en-US" w:eastAsia="zh-CN"/>
        </w:rPr>
        <w:t>30</w:t>
      </w:r>
      <w:r>
        <w:rPr>
          <w:rFonts w:hint="eastAsia"/>
          <w:highlight w:val="none"/>
          <w:u w:val="single"/>
        </w:rPr>
        <w:t>分</w:t>
      </w:r>
      <w:r>
        <w:rPr>
          <w:rFonts w:hint="eastAsia"/>
          <w:highlight w:val="none"/>
          <w:lang w:val="hr-HR"/>
        </w:rPr>
        <w:t>（北京时间）</w:t>
      </w:r>
      <w:r>
        <w:rPr>
          <w:rFonts w:hint="eastAsia"/>
          <w:highlight w:val="none"/>
        </w:rPr>
        <w:t>）。</w:t>
      </w:r>
      <w:bookmarkEnd w:id="80"/>
      <w:bookmarkEnd w:id="81"/>
      <w:bookmarkEnd w:id="82"/>
      <w:bookmarkEnd w:id="83"/>
      <w:bookmarkEnd w:id="84"/>
    </w:p>
    <w:p w14:paraId="7084B267">
      <w:pPr>
        <w:pStyle w:val="38"/>
        <w:spacing w:line="360" w:lineRule="auto"/>
        <w:rPr>
          <w:highlight w:val="none"/>
        </w:rPr>
      </w:pPr>
      <w:r>
        <w:rPr>
          <w:rFonts w:hint="eastAsia"/>
          <w:highlight w:val="none"/>
        </w:rPr>
        <w:t>2.递交方式：</w:t>
      </w:r>
      <w:bookmarkStart w:id="85" w:name="_Hlk89807823"/>
      <w:r>
        <w:rPr>
          <w:rFonts w:hint="eastAsia"/>
          <w:highlight w:val="none"/>
        </w:rPr>
        <w:t>在新疆政府采购电子交易云平台（网址：https://www.zcygov.cn/）进入“项目采购”应用，在投标文件上传菜单中选择项目进行上传。</w:t>
      </w:r>
      <w:bookmarkEnd w:id="85"/>
    </w:p>
    <w:p w14:paraId="2DBD08B0">
      <w:pPr>
        <w:pStyle w:val="38"/>
        <w:spacing w:line="360" w:lineRule="auto"/>
        <w:rPr>
          <w:highlight w:val="none"/>
        </w:rPr>
      </w:pPr>
      <w:r>
        <w:rPr>
          <w:rFonts w:hint="eastAsia"/>
          <w:highlight w:val="none"/>
        </w:rPr>
        <w:t>3.开标地点：投标人登录政采云平台https://www.zcygov.cn/，进入项目采购－开标评标－右边选择对应项目点击“进入项目”进入开标大厅。</w:t>
      </w:r>
    </w:p>
    <w:bookmarkEnd w:id="74"/>
    <w:p w14:paraId="480317BC">
      <w:pPr>
        <w:pStyle w:val="3"/>
        <w:spacing w:line="360" w:lineRule="auto"/>
        <w:rPr>
          <w:highlight w:val="none"/>
          <w:lang w:val="hr-HR"/>
        </w:rPr>
      </w:pPr>
      <w:bookmarkStart w:id="86" w:name="_Toc14194"/>
      <w:bookmarkStart w:id="87" w:name="_Toc109900252"/>
      <w:bookmarkStart w:id="88" w:name="_Toc163492816"/>
      <w:bookmarkStart w:id="89" w:name="_Toc109899833"/>
      <w:bookmarkStart w:id="90" w:name="_Toc13347"/>
      <w:bookmarkStart w:id="91" w:name="_Toc140132749"/>
      <w:bookmarkStart w:id="92" w:name="_Toc155185864"/>
      <w:bookmarkStart w:id="93" w:name="_Toc229390278"/>
      <w:bookmarkStart w:id="94" w:name="_Toc109899414"/>
      <w:bookmarkStart w:id="95" w:name="_Toc6696"/>
      <w:bookmarkStart w:id="96" w:name="_Toc20013"/>
      <w:r>
        <w:rPr>
          <w:rFonts w:hint="eastAsia"/>
          <w:highlight w:val="none"/>
        </w:rPr>
        <w:t>五、</w:t>
      </w:r>
      <w:r>
        <w:rPr>
          <w:rFonts w:hint="eastAsia"/>
          <w:highlight w:val="none"/>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39B2724C">
      <w:pPr>
        <w:pStyle w:val="38"/>
        <w:spacing w:line="360" w:lineRule="auto"/>
        <w:rPr>
          <w:highlight w:val="none"/>
        </w:rPr>
      </w:pPr>
      <w:r>
        <w:rPr>
          <w:rFonts w:hint="eastAsia"/>
          <w:highlight w:val="none"/>
        </w:rPr>
        <w:t>自招标公告发布之日起5个工作日。</w:t>
      </w:r>
    </w:p>
    <w:p w14:paraId="0DD78FC6">
      <w:pPr>
        <w:pStyle w:val="3"/>
        <w:spacing w:line="360" w:lineRule="auto"/>
        <w:rPr>
          <w:highlight w:val="none"/>
          <w:lang w:val="hr-HR"/>
        </w:rPr>
      </w:pPr>
      <w:bookmarkStart w:id="97" w:name="_Toc229390279"/>
      <w:bookmarkStart w:id="98" w:name="_Toc7878"/>
      <w:bookmarkStart w:id="99" w:name="_Toc163492817"/>
      <w:bookmarkStart w:id="100" w:name="_Toc155185865"/>
      <w:bookmarkStart w:id="101" w:name="_Toc109900253"/>
      <w:bookmarkStart w:id="102" w:name="_Toc109899415"/>
      <w:bookmarkStart w:id="103" w:name="_Toc109899834"/>
      <w:bookmarkStart w:id="104" w:name="_Toc14182"/>
      <w:bookmarkStart w:id="105" w:name="_Toc35393635"/>
      <w:bookmarkStart w:id="106" w:name="_Toc140132750"/>
      <w:bookmarkStart w:id="107" w:name="_Toc30667"/>
      <w:bookmarkStart w:id="108" w:name="_Toc35393804"/>
      <w:bookmarkStart w:id="109" w:name="_Toc44583634"/>
      <w:bookmarkStart w:id="110" w:name="_Toc7635"/>
      <w:r>
        <w:rPr>
          <w:rFonts w:hint="eastAsia"/>
          <w:highlight w:val="none"/>
        </w:rPr>
        <w:t>六、</w:t>
      </w:r>
      <w:r>
        <w:rPr>
          <w:rFonts w:hint="eastAsia"/>
          <w:highlight w:val="none"/>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1B36151">
      <w:pPr>
        <w:spacing w:line="360" w:lineRule="auto"/>
        <w:rPr>
          <w:highlight w:val="none"/>
        </w:rPr>
      </w:pPr>
      <w:bookmarkStart w:id="111" w:name="_Toc163492818"/>
      <w:bookmarkStart w:id="112" w:name="_Toc28359018"/>
      <w:bookmarkStart w:id="113" w:name="_Toc35393636"/>
      <w:bookmarkStart w:id="114" w:name="_Toc109900254"/>
      <w:bookmarkStart w:id="115" w:name="_Toc109899835"/>
      <w:bookmarkStart w:id="116" w:name="_Toc155185866"/>
      <w:bookmarkStart w:id="117" w:name="_Toc28359095"/>
      <w:bookmarkStart w:id="118" w:name="_Toc109899416"/>
      <w:bookmarkStart w:id="119" w:name="_Toc140132751"/>
      <w:bookmarkStart w:id="120" w:name="_Toc35393805"/>
      <w:bookmarkStart w:id="121" w:name="_Toc44583635"/>
      <w:bookmarkStart w:id="122" w:name="_Toc19771"/>
      <w:bookmarkStart w:id="123" w:name="_Toc22960"/>
      <w:bookmarkStart w:id="124" w:name="_Toc10795"/>
      <w:bookmarkStart w:id="125" w:name="_Toc14349"/>
      <w:r>
        <w:rPr>
          <w:rFonts w:hint="eastAsia"/>
          <w:highlight w:val="none"/>
        </w:rPr>
        <w:t>1、本项目实行网上投标，采用电子投标文件。</w:t>
      </w:r>
    </w:p>
    <w:p w14:paraId="79A937B7">
      <w:pPr>
        <w:spacing w:line="360" w:lineRule="auto"/>
        <w:rPr>
          <w:highlight w:val="none"/>
        </w:rPr>
      </w:pPr>
      <w:r>
        <w:rPr>
          <w:rFonts w:hint="eastAsia"/>
          <w:highlight w:val="none"/>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6BCB58C5">
      <w:pPr>
        <w:spacing w:line="360" w:lineRule="auto"/>
        <w:rPr>
          <w:highlight w:val="none"/>
        </w:rPr>
      </w:pPr>
      <w:r>
        <w:rPr>
          <w:rFonts w:hint="eastAsia"/>
          <w:highlight w:val="none"/>
        </w:rPr>
        <w:t>3、供应商将政采云电子交易客户端下载、安装完成后，可通过账号密码或CA登录客户端进行投标文件的制作。在使用政采云投标客户端时，建议使用WIN7及以上操作系统。</w:t>
      </w:r>
    </w:p>
    <w:p w14:paraId="73196FFB">
      <w:pPr>
        <w:spacing w:line="360" w:lineRule="auto"/>
        <w:rPr>
          <w:highlight w:val="none"/>
        </w:rPr>
      </w:pPr>
      <w:r>
        <w:rPr>
          <w:rFonts w:hint="eastAsia"/>
          <w:highlight w:val="none"/>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1E9D81C">
      <w:pPr>
        <w:pStyle w:val="3"/>
        <w:spacing w:line="360" w:lineRule="auto"/>
        <w:rPr>
          <w:highlight w:val="none"/>
          <w:lang w:val="hr-HR"/>
        </w:rPr>
      </w:pPr>
      <w:bookmarkStart w:id="126" w:name="_Toc229390280"/>
      <w:r>
        <w:rPr>
          <w:rFonts w:hint="eastAsia"/>
          <w:highlight w:val="none"/>
        </w:rPr>
        <w:t>七、</w:t>
      </w:r>
      <w:bookmarkEnd w:id="111"/>
      <w:bookmarkEnd w:id="112"/>
      <w:bookmarkEnd w:id="113"/>
      <w:bookmarkEnd w:id="114"/>
      <w:bookmarkEnd w:id="115"/>
      <w:bookmarkEnd w:id="116"/>
      <w:bookmarkEnd w:id="117"/>
      <w:bookmarkEnd w:id="118"/>
      <w:bookmarkEnd w:id="119"/>
      <w:bookmarkEnd w:id="120"/>
      <w:bookmarkEnd w:id="121"/>
      <w:r>
        <w:rPr>
          <w:rFonts w:hint="eastAsia"/>
          <w:highlight w:val="none"/>
          <w:lang w:val="hr-HR"/>
        </w:rPr>
        <w:t>对本次</w:t>
      </w:r>
      <w:r>
        <w:rPr>
          <w:rFonts w:hint="eastAsia"/>
          <w:highlight w:val="none"/>
        </w:rPr>
        <w:t>招标</w:t>
      </w:r>
      <w:r>
        <w:rPr>
          <w:rFonts w:hint="eastAsia"/>
          <w:highlight w:val="none"/>
          <w:lang w:val="hr-HR"/>
        </w:rPr>
        <w:t>提出询问，请按以下方式联系</w:t>
      </w:r>
      <w:bookmarkEnd w:id="122"/>
      <w:bookmarkEnd w:id="123"/>
      <w:bookmarkEnd w:id="124"/>
      <w:bookmarkEnd w:id="125"/>
      <w:bookmarkEnd w:id="126"/>
    </w:p>
    <w:p w14:paraId="7314819C">
      <w:pPr>
        <w:pStyle w:val="38"/>
        <w:spacing w:line="360" w:lineRule="auto"/>
        <w:rPr>
          <w:highlight w:val="none"/>
        </w:rPr>
      </w:pPr>
      <w:r>
        <w:rPr>
          <w:rFonts w:hint="eastAsia"/>
          <w:highlight w:val="none"/>
        </w:rPr>
        <w:t>1.采购人信息</w:t>
      </w:r>
    </w:p>
    <w:p w14:paraId="74BD3CE6">
      <w:pPr>
        <w:pStyle w:val="38"/>
        <w:spacing w:line="360" w:lineRule="auto"/>
        <w:rPr>
          <w:highlight w:val="none"/>
        </w:rPr>
      </w:pPr>
      <w:r>
        <w:rPr>
          <w:rFonts w:hint="eastAsia"/>
          <w:highlight w:val="none"/>
        </w:rPr>
        <w:t>名称：新疆医科大学</w:t>
      </w:r>
    </w:p>
    <w:p w14:paraId="1AD62DE1">
      <w:pPr>
        <w:pStyle w:val="38"/>
        <w:spacing w:line="360" w:lineRule="auto"/>
        <w:rPr>
          <w:highlight w:val="none"/>
        </w:rPr>
      </w:pPr>
      <w:r>
        <w:rPr>
          <w:rFonts w:hint="eastAsia"/>
          <w:highlight w:val="none"/>
        </w:rPr>
        <w:t>地址：乌鲁木齐市水磨沟区尚德北路5</w:t>
      </w:r>
      <w:r>
        <w:rPr>
          <w:highlight w:val="none"/>
        </w:rPr>
        <w:t>67号</w:t>
      </w:r>
    </w:p>
    <w:p w14:paraId="25AAE0FD">
      <w:pPr>
        <w:pStyle w:val="38"/>
        <w:spacing w:line="360" w:lineRule="auto"/>
        <w:rPr>
          <w:highlight w:val="none"/>
        </w:rPr>
      </w:pPr>
      <w:r>
        <w:rPr>
          <w:rFonts w:hint="eastAsia"/>
          <w:highlight w:val="none"/>
        </w:rPr>
        <w:t>联系人：李朝晖</w:t>
      </w:r>
    </w:p>
    <w:p w14:paraId="278611FE">
      <w:pPr>
        <w:pStyle w:val="38"/>
        <w:spacing w:line="360" w:lineRule="auto"/>
        <w:rPr>
          <w:highlight w:val="none"/>
        </w:rPr>
      </w:pPr>
      <w:r>
        <w:rPr>
          <w:rFonts w:hint="eastAsia"/>
          <w:highlight w:val="none"/>
        </w:rPr>
        <w:t>联系方式：</w:t>
      </w:r>
      <w:r>
        <w:rPr>
          <w:highlight w:val="none"/>
        </w:rPr>
        <w:t>0991-2110176、13999278240</w:t>
      </w:r>
    </w:p>
    <w:p w14:paraId="5D6D0D12">
      <w:pPr>
        <w:pStyle w:val="38"/>
        <w:spacing w:line="360" w:lineRule="auto"/>
        <w:rPr>
          <w:highlight w:val="none"/>
        </w:rPr>
      </w:pPr>
      <w:r>
        <w:rPr>
          <w:rFonts w:hint="eastAsia"/>
          <w:highlight w:val="none"/>
        </w:rPr>
        <w:t>2.采购代理机构信息</w:t>
      </w:r>
    </w:p>
    <w:p w14:paraId="3B9B568A">
      <w:pPr>
        <w:pStyle w:val="38"/>
        <w:spacing w:line="360" w:lineRule="auto"/>
        <w:rPr>
          <w:highlight w:val="none"/>
        </w:rPr>
      </w:pPr>
      <w:r>
        <w:rPr>
          <w:rFonts w:hint="eastAsia"/>
          <w:highlight w:val="none"/>
        </w:rPr>
        <w:t>名称：国义招标股份有限公司</w:t>
      </w:r>
    </w:p>
    <w:p w14:paraId="5153AE4B">
      <w:pPr>
        <w:pStyle w:val="38"/>
        <w:spacing w:line="360" w:lineRule="auto"/>
        <w:rPr>
          <w:highlight w:val="none"/>
        </w:rPr>
      </w:pPr>
      <w:r>
        <w:rPr>
          <w:rFonts w:hint="eastAsia"/>
          <w:highlight w:val="none"/>
        </w:rPr>
        <w:t>地址：乌鲁木齐市水磨沟区红光山路8</w:t>
      </w:r>
      <w:r>
        <w:rPr>
          <w:highlight w:val="none"/>
        </w:rPr>
        <w:t>88号绿城广场</w:t>
      </w:r>
      <w:r>
        <w:rPr>
          <w:rFonts w:hint="eastAsia"/>
          <w:highlight w:val="none"/>
        </w:rPr>
        <w:t>1</w:t>
      </w:r>
      <w:r>
        <w:rPr>
          <w:highlight w:val="none"/>
        </w:rPr>
        <w:t>B栋</w:t>
      </w:r>
      <w:r>
        <w:rPr>
          <w:rFonts w:hint="eastAsia"/>
          <w:highlight w:val="none"/>
        </w:rPr>
        <w:t>3</w:t>
      </w:r>
      <w:r>
        <w:rPr>
          <w:highlight w:val="none"/>
        </w:rPr>
        <w:t>5楼</w:t>
      </w:r>
      <w:r>
        <w:rPr>
          <w:rFonts w:hint="eastAsia"/>
          <w:highlight w:val="none"/>
        </w:rPr>
        <w:t>3</w:t>
      </w:r>
      <w:r>
        <w:rPr>
          <w:highlight w:val="none"/>
        </w:rPr>
        <w:t>504室</w:t>
      </w:r>
    </w:p>
    <w:p w14:paraId="12525C00">
      <w:pPr>
        <w:pStyle w:val="38"/>
        <w:spacing w:line="360" w:lineRule="auto"/>
        <w:rPr>
          <w:highlight w:val="none"/>
        </w:rPr>
      </w:pPr>
      <w:r>
        <w:rPr>
          <w:rFonts w:hint="eastAsia"/>
          <w:highlight w:val="none"/>
        </w:rPr>
        <w:t>联系方式：</w:t>
      </w:r>
      <w:r>
        <w:rPr>
          <w:highlight w:val="none"/>
        </w:rPr>
        <w:t>0991-4664267</w:t>
      </w:r>
    </w:p>
    <w:p w14:paraId="7CA01CED">
      <w:pPr>
        <w:pStyle w:val="38"/>
        <w:spacing w:line="360" w:lineRule="auto"/>
        <w:rPr>
          <w:highlight w:val="none"/>
        </w:rPr>
      </w:pPr>
      <w:r>
        <w:rPr>
          <w:highlight w:val="none"/>
        </w:rPr>
        <w:t>3.项目联系方式</w:t>
      </w:r>
    </w:p>
    <w:p w14:paraId="2582A164">
      <w:pPr>
        <w:pStyle w:val="38"/>
        <w:spacing w:line="360" w:lineRule="auto"/>
        <w:rPr>
          <w:highlight w:val="none"/>
        </w:rPr>
      </w:pPr>
      <w:r>
        <w:rPr>
          <w:rFonts w:hint="eastAsia"/>
          <w:highlight w:val="none"/>
        </w:rPr>
        <w:t>项目联系人：周鑫、阿米娜·托汗、赵梓杰、钟晓涵</w:t>
      </w:r>
    </w:p>
    <w:p w14:paraId="1F764562">
      <w:pPr>
        <w:pStyle w:val="38"/>
        <w:spacing w:line="360" w:lineRule="auto"/>
        <w:rPr>
          <w:highlight w:val="none"/>
        </w:rPr>
      </w:pPr>
      <w:r>
        <w:rPr>
          <w:rFonts w:hint="eastAsia"/>
          <w:highlight w:val="none"/>
        </w:rPr>
        <w:t>电</w:t>
      </w:r>
      <w:r>
        <w:rPr>
          <w:highlight w:val="none"/>
        </w:rPr>
        <w:t xml:space="preserve"> 话：0991-4664267、13079986963</w:t>
      </w:r>
    </w:p>
    <w:p w14:paraId="17508217">
      <w:pPr>
        <w:spacing w:line="360" w:lineRule="auto"/>
        <w:rPr>
          <w:highlight w:val="none"/>
        </w:rPr>
      </w:pPr>
    </w:p>
    <w:p w14:paraId="069B7CC2">
      <w:pPr>
        <w:spacing w:line="360" w:lineRule="auto"/>
        <w:rPr>
          <w:highlight w:val="none"/>
        </w:rPr>
      </w:pPr>
    </w:p>
    <w:p w14:paraId="160DCE22">
      <w:pPr>
        <w:spacing w:line="360" w:lineRule="auto"/>
        <w:rPr>
          <w:highlight w:val="none"/>
        </w:rPr>
      </w:pPr>
    </w:p>
    <w:p w14:paraId="2AA9B5E9">
      <w:pPr>
        <w:spacing w:line="360" w:lineRule="auto"/>
        <w:rPr>
          <w:highlight w:val="none"/>
        </w:rPr>
      </w:pPr>
    </w:p>
    <w:p w14:paraId="4BB47107">
      <w:pPr>
        <w:spacing w:line="360" w:lineRule="auto"/>
        <w:rPr>
          <w:highlight w:val="none"/>
        </w:r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6460FB06">
      <w:pPr>
        <w:pStyle w:val="2"/>
        <w:spacing w:line="360" w:lineRule="auto"/>
        <w:rPr>
          <w:highlight w:val="none"/>
        </w:rPr>
      </w:pPr>
      <w:bookmarkStart w:id="127" w:name="_Toc155185867"/>
      <w:bookmarkStart w:id="128" w:name="_Toc229390281"/>
      <w:bookmarkStart w:id="129" w:name="_Toc163492819"/>
      <w:r>
        <w:rPr>
          <w:rFonts w:hint="eastAsia"/>
          <w:highlight w:val="none"/>
        </w:rPr>
        <w:t>第二章 投标人须知</w:t>
      </w:r>
      <w:bookmarkEnd w:id="127"/>
      <w:bookmarkEnd w:id="128"/>
      <w:bookmarkEnd w:id="129"/>
    </w:p>
    <w:bookmarkEnd w:id="4"/>
    <w:p w14:paraId="778AFB14">
      <w:pPr>
        <w:pStyle w:val="3"/>
        <w:spacing w:line="360" w:lineRule="auto"/>
        <w:rPr>
          <w:highlight w:val="none"/>
        </w:rPr>
      </w:pPr>
      <w:bookmarkStart w:id="130" w:name="_Toc155185868"/>
      <w:bookmarkStart w:id="131" w:name="_Toc229390282"/>
      <w:bookmarkStart w:id="132" w:name="_Toc163492820"/>
      <w:r>
        <w:rPr>
          <w:rFonts w:hint="eastAsia"/>
          <w:highlight w:val="none"/>
        </w:rPr>
        <w:t>一、投标人须知前附表</w:t>
      </w:r>
      <w:bookmarkEnd w:id="130"/>
      <w:bookmarkEnd w:id="131"/>
      <w:bookmarkEnd w:id="132"/>
    </w:p>
    <w:p w14:paraId="29CF2FAB">
      <w:pPr>
        <w:pStyle w:val="38"/>
        <w:spacing w:line="360" w:lineRule="auto"/>
        <w:rPr>
          <w:highlight w:val="none"/>
          <w:lang w:val="en-US"/>
        </w:rPr>
      </w:pPr>
      <w:r>
        <w:rPr>
          <w:rFonts w:hint="eastAsia"/>
          <w:highlight w:val="none"/>
        </w:rPr>
        <w:t>投标人应仔细阅读本招标文件的第二章“投标人须知”，下面所列资料是对“投标人须知”的具体补充和说明，如有矛盾，应以本表为准。</w:t>
      </w:r>
      <w:r>
        <w:rPr>
          <w:rFonts w:hint="eastAsia"/>
          <w:highlight w:val="none"/>
          <w:lang w:val="en-US"/>
        </w:rPr>
        <w:t>标记“</w:t>
      </w:r>
      <w:r>
        <w:rPr>
          <w:rFonts w:ascii="Segoe UI Symbol" w:hAnsi="Segoe UI Symbol" w:cs="Segoe UI Symbol"/>
          <w:highlight w:val="none"/>
          <w:lang w:val="en-US"/>
        </w:rPr>
        <w:t>☑</w:t>
      </w:r>
      <w:r>
        <w:rPr>
          <w:rFonts w:hint="eastAsia" w:cs="宋体"/>
          <w:highlight w:val="none"/>
          <w:lang w:val="en-US"/>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56854C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C648146">
            <w:pPr>
              <w:pStyle w:val="50"/>
              <w:spacing w:line="360" w:lineRule="auto"/>
              <w:jc w:val="center"/>
              <w:rPr>
                <w:rFonts w:cs="宋体"/>
                <w:b/>
                <w:bCs/>
                <w:szCs w:val="24"/>
                <w:highlight w:val="none"/>
              </w:rPr>
            </w:pPr>
            <w:r>
              <w:rPr>
                <w:rFonts w:hint="eastAsia" w:cs="宋体"/>
                <w:b/>
                <w:bCs/>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6C01F38">
            <w:pPr>
              <w:pStyle w:val="50"/>
              <w:spacing w:line="360" w:lineRule="auto"/>
              <w:jc w:val="center"/>
              <w:rPr>
                <w:rFonts w:cs="宋体"/>
                <w:b/>
                <w:bCs/>
                <w:szCs w:val="24"/>
                <w:highlight w:val="none"/>
              </w:rPr>
            </w:pPr>
            <w:r>
              <w:rPr>
                <w:rFonts w:hint="eastAsia" w:cs="宋体"/>
                <w:b/>
                <w:bCs/>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37A5115">
            <w:pPr>
              <w:pStyle w:val="50"/>
              <w:spacing w:line="360" w:lineRule="auto"/>
              <w:jc w:val="center"/>
              <w:rPr>
                <w:rFonts w:cs="宋体"/>
                <w:b/>
                <w:bCs/>
                <w:szCs w:val="24"/>
                <w:highlight w:val="none"/>
              </w:rPr>
            </w:pPr>
            <w:r>
              <w:rPr>
                <w:rFonts w:hint="eastAsia" w:cs="宋体"/>
                <w:b/>
                <w:bCs/>
                <w:szCs w:val="24"/>
                <w:highlight w:val="none"/>
              </w:rPr>
              <w:t>内  容</w:t>
            </w:r>
          </w:p>
        </w:tc>
      </w:tr>
      <w:tr w14:paraId="0320F2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52DF1FF8">
            <w:pPr>
              <w:pStyle w:val="50"/>
              <w:spacing w:line="360" w:lineRule="auto"/>
              <w:jc w:val="center"/>
              <w:rPr>
                <w:rFonts w:cs="宋体"/>
                <w:szCs w:val="24"/>
                <w:highlight w:val="none"/>
              </w:rPr>
            </w:pPr>
            <w:r>
              <w:rPr>
                <w:rFonts w:hint="eastAsia" w:cs="宋体"/>
                <w:szCs w:val="24"/>
                <w:highlight w:val="none"/>
              </w:rPr>
              <w:t>2.1</w:t>
            </w:r>
          </w:p>
        </w:tc>
        <w:tc>
          <w:tcPr>
            <w:tcW w:w="1738" w:type="dxa"/>
            <w:shd w:val="clear" w:color="auto" w:fill="auto"/>
            <w:vAlign w:val="center"/>
          </w:tcPr>
          <w:p w14:paraId="54DA5757">
            <w:pPr>
              <w:pStyle w:val="50"/>
              <w:spacing w:line="360" w:lineRule="auto"/>
              <w:rPr>
                <w:rFonts w:cs="宋体"/>
                <w:szCs w:val="24"/>
                <w:highlight w:val="none"/>
              </w:rPr>
            </w:pPr>
            <w:r>
              <w:rPr>
                <w:rFonts w:hint="eastAsia" w:cs="宋体"/>
                <w:szCs w:val="24"/>
                <w:highlight w:val="none"/>
              </w:rPr>
              <w:t>项目名称及编号</w:t>
            </w:r>
          </w:p>
        </w:tc>
        <w:tc>
          <w:tcPr>
            <w:tcW w:w="6700" w:type="dxa"/>
            <w:shd w:val="clear" w:color="auto" w:fill="auto"/>
            <w:vAlign w:val="center"/>
          </w:tcPr>
          <w:p w14:paraId="5755942C">
            <w:pPr>
              <w:pStyle w:val="50"/>
              <w:spacing w:line="360" w:lineRule="auto"/>
              <w:rPr>
                <w:rFonts w:cs="宋体"/>
                <w:szCs w:val="24"/>
                <w:highlight w:val="none"/>
              </w:rPr>
            </w:pPr>
            <w:r>
              <w:rPr>
                <w:rFonts w:hint="eastAsia" w:cs="宋体"/>
                <w:szCs w:val="24"/>
                <w:highlight w:val="none"/>
              </w:rPr>
              <w:t>项目名称：</w:t>
            </w:r>
            <w:r>
              <w:rPr>
                <w:rFonts w:hint="eastAsia"/>
                <w:highlight w:val="none"/>
              </w:rPr>
              <w:t>新疆医科大学2026年活禽肉水产采购项目</w:t>
            </w:r>
          </w:p>
          <w:p w14:paraId="09224796">
            <w:pPr>
              <w:pStyle w:val="50"/>
              <w:spacing w:line="360" w:lineRule="auto"/>
              <w:rPr>
                <w:rFonts w:cs="宋体"/>
                <w:szCs w:val="24"/>
                <w:highlight w:val="none"/>
              </w:rPr>
            </w:pPr>
            <w:r>
              <w:rPr>
                <w:rFonts w:hint="eastAsia" w:cs="宋体"/>
                <w:szCs w:val="24"/>
                <w:highlight w:val="none"/>
              </w:rPr>
              <w:t>项目编号：0724-2621XJ262867</w:t>
            </w:r>
          </w:p>
        </w:tc>
      </w:tr>
      <w:tr w14:paraId="4E36A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220A9EA2">
            <w:pPr>
              <w:pStyle w:val="50"/>
              <w:spacing w:line="360" w:lineRule="auto"/>
              <w:jc w:val="center"/>
              <w:rPr>
                <w:rFonts w:cs="宋体"/>
                <w:szCs w:val="24"/>
                <w:highlight w:val="none"/>
              </w:rPr>
            </w:pPr>
            <w:r>
              <w:rPr>
                <w:rFonts w:hint="eastAsia" w:cs="宋体"/>
                <w:szCs w:val="24"/>
                <w:highlight w:val="none"/>
              </w:rPr>
              <w:t>2.2</w:t>
            </w:r>
          </w:p>
        </w:tc>
        <w:tc>
          <w:tcPr>
            <w:tcW w:w="1738" w:type="dxa"/>
            <w:shd w:val="clear" w:color="auto" w:fill="auto"/>
            <w:vAlign w:val="center"/>
          </w:tcPr>
          <w:p w14:paraId="0C7460C8">
            <w:pPr>
              <w:pStyle w:val="50"/>
              <w:spacing w:line="360" w:lineRule="auto"/>
              <w:rPr>
                <w:rFonts w:cs="宋体"/>
                <w:szCs w:val="24"/>
                <w:highlight w:val="none"/>
              </w:rPr>
            </w:pPr>
            <w:r>
              <w:rPr>
                <w:rFonts w:hint="eastAsia" w:cs="宋体"/>
                <w:szCs w:val="24"/>
                <w:highlight w:val="none"/>
              </w:rPr>
              <w:t>采购人</w:t>
            </w:r>
          </w:p>
        </w:tc>
        <w:tc>
          <w:tcPr>
            <w:tcW w:w="6700" w:type="dxa"/>
            <w:shd w:val="clear" w:color="auto" w:fill="auto"/>
            <w:vAlign w:val="center"/>
          </w:tcPr>
          <w:p w14:paraId="67B19E6A">
            <w:pPr>
              <w:pStyle w:val="50"/>
              <w:spacing w:line="360" w:lineRule="auto"/>
              <w:rPr>
                <w:rFonts w:cs="宋体"/>
                <w:szCs w:val="24"/>
                <w:highlight w:val="none"/>
              </w:rPr>
            </w:pPr>
            <w:r>
              <w:rPr>
                <w:rFonts w:hint="eastAsia" w:cs="宋体"/>
                <w:szCs w:val="24"/>
                <w:highlight w:val="none"/>
              </w:rPr>
              <w:t>名    称：新疆医科大学</w:t>
            </w:r>
          </w:p>
          <w:p w14:paraId="24172678">
            <w:pPr>
              <w:pStyle w:val="50"/>
              <w:spacing w:line="360" w:lineRule="auto"/>
              <w:rPr>
                <w:rFonts w:cs="宋体"/>
                <w:szCs w:val="24"/>
                <w:highlight w:val="none"/>
              </w:rPr>
            </w:pPr>
            <w:r>
              <w:rPr>
                <w:rFonts w:hint="eastAsia" w:cs="宋体"/>
                <w:szCs w:val="24"/>
                <w:highlight w:val="none"/>
              </w:rPr>
              <w:t>地    址：乌鲁木齐市尚德北路5</w:t>
            </w:r>
            <w:r>
              <w:rPr>
                <w:rFonts w:cs="宋体"/>
                <w:szCs w:val="24"/>
                <w:highlight w:val="none"/>
              </w:rPr>
              <w:t>67号</w:t>
            </w:r>
          </w:p>
          <w:p w14:paraId="272B9AE5">
            <w:pPr>
              <w:pStyle w:val="50"/>
              <w:spacing w:line="360" w:lineRule="auto"/>
              <w:rPr>
                <w:rFonts w:cs="宋体"/>
                <w:szCs w:val="24"/>
                <w:highlight w:val="none"/>
              </w:rPr>
            </w:pPr>
            <w:r>
              <w:rPr>
                <w:rFonts w:hint="eastAsia" w:cs="宋体"/>
                <w:szCs w:val="24"/>
                <w:highlight w:val="none"/>
              </w:rPr>
              <w:t>联 系 人：李朝晖</w:t>
            </w:r>
          </w:p>
          <w:p w14:paraId="4EE1F9BD">
            <w:pPr>
              <w:pStyle w:val="50"/>
              <w:spacing w:line="360" w:lineRule="auto"/>
              <w:rPr>
                <w:rFonts w:cs="宋体"/>
                <w:szCs w:val="24"/>
                <w:highlight w:val="none"/>
              </w:rPr>
            </w:pPr>
            <w:r>
              <w:rPr>
                <w:rFonts w:hint="eastAsia" w:cs="宋体"/>
                <w:szCs w:val="24"/>
                <w:highlight w:val="none"/>
              </w:rPr>
              <w:t>联系电话：</w:t>
            </w:r>
            <w:r>
              <w:rPr>
                <w:highlight w:val="none"/>
              </w:rPr>
              <w:t>0991-2110176、</w:t>
            </w:r>
            <w:r>
              <w:rPr>
                <w:rFonts w:cs="宋体"/>
                <w:szCs w:val="24"/>
                <w:highlight w:val="none"/>
              </w:rPr>
              <w:t>13999278240</w:t>
            </w:r>
          </w:p>
        </w:tc>
      </w:tr>
      <w:tr w14:paraId="0F9B07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22376DA8">
            <w:pPr>
              <w:pStyle w:val="50"/>
              <w:spacing w:line="360" w:lineRule="auto"/>
              <w:jc w:val="center"/>
              <w:rPr>
                <w:rFonts w:cs="宋体"/>
                <w:szCs w:val="24"/>
                <w:highlight w:val="none"/>
              </w:rPr>
            </w:pPr>
            <w:r>
              <w:rPr>
                <w:rFonts w:hint="eastAsia" w:cs="宋体"/>
                <w:szCs w:val="24"/>
                <w:highlight w:val="none"/>
              </w:rPr>
              <w:t>2.3</w:t>
            </w:r>
          </w:p>
        </w:tc>
        <w:tc>
          <w:tcPr>
            <w:tcW w:w="1738" w:type="dxa"/>
            <w:shd w:val="clear" w:color="auto" w:fill="auto"/>
            <w:vAlign w:val="center"/>
          </w:tcPr>
          <w:p w14:paraId="43767D41">
            <w:pPr>
              <w:pStyle w:val="50"/>
              <w:spacing w:line="360" w:lineRule="auto"/>
              <w:rPr>
                <w:rFonts w:cs="宋体"/>
                <w:szCs w:val="24"/>
                <w:highlight w:val="none"/>
              </w:rPr>
            </w:pPr>
            <w:r>
              <w:rPr>
                <w:rFonts w:hint="eastAsia" w:cs="宋体"/>
                <w:szCs w:val="24"/>
                <w:highlight w:val="none"/>
              </w:rPr>
              <w:t>采购代理机构</w:t>
            </w:r>
          </w:p>
        </w:tc>
        <w:tc>
          <w:tcPr>
            <w:tcW w:w="6700" w:type="dxa"/>
            <w:shd w:val="clear" w:color="auto" w:fill="auto"/>
            <w:vAlign w:val="center"/>
          </w:tcPr>
          <w:p w14:paraId="33AFFB6F">
            <w:pPr>
              <w:pStyle w:val="50"/>
              <w:spacing w:line="360" w:lineRule="auto"/>
              <w:rPr>
                <w:rFonts w:cs="宋体"/>
                <w:szCs w:val="24"/>
                <w:highlight w:val="none"/>
              </w:rPr>
            </w:pPr>
            <w:r>
              <w:rPr>
                <w:rFonts w:hint="eastAsia" w:cs="宋体"/>
                <w:szCs w:val="24"/>
                <w:highlight w:val="none"/>
              </w:rPr>
              <w:t>名    称：</w:t>
            </w:r>
            <w:r>
              <w:rPr>
                <w:highlight w:val="none"/>
              </w:rPr>
              <w:t>国义招标股份有限公司</w:t>
            </w:r>
          </w:p>
          <w:p w14:paraId="014D9C7B">
            <w:pPr>
              <w:pStyle w:val="50"/>
              <w:spacing w:line="360" w:lineRule="auto"/>
              <w:rPr>
                <w:rFonts w:cs="宋体"/>
                <w:szCs w:val="24"/>
                <w:highlight w:val="none"/>
              </w:rPr>
            </w:pPr>
            <w:r>
              <w:rPr>
                <w:rFonts w:hint="eastAsia" w:cs="宋体"/>
                <w:szCs w:val="24"/>
                <w:highlight w:val="none"/>
              </w:rPr>
              <w:t>地    址：</w:t>
            </w:r>
            <w:r>
              <w:rPr>
                <w:highlight w:val="none"/>
              </w:rPr>
              <w:t>乌鲁木齐市水磨沟区红光山路</w:t>
            </w:r>
            <w:r>
              <w:rPr>
                <w:rFonts w:hint="eastAsia"/>
                <w:highlight w:val="none"/>
              </w:rPr>
              <w:t>8</w:t>
            </w:r>
            <w:r>
              <w:rPr>
                <w:highlight w:val="none"/>
              </w:rPr>
              <w:t>88号绿城广场</w:t>
            </w:r>
            <w:r>
              <w:rPr>
                <w:rFonts w:hint="eastAsia"/>
                <w:highlight w:val="none"/>
              </w:rPr>
              <w:t>1</w:t>
            </w:r>
            <w:r>
              <w:rPr>
                <w:highlight w:val="none"/>
              </w:rPr>
              <w:t>B栋</w:t>
            </w:r>
            <w:r>
              <w:rPr>
                <w:rFonts w:hint="eastAsia"/>
                <w:highlight w:val="none"/>
              </w:rPr>
              <w:t>3</w:t>
            </w:r>
            <w:r>
              <w:rPr>
                <w:highlight w:val="none"/>
              </w:rPr>
              <w:t>5楼</w:t>
            </w:r>
            <w:r>
              <w:rPr>
                <w:rFonts w:hint="eastAsia"/>
                <w:highlight w:val="none"/>
              </w:rPr>
              <w:t>3</w:t>
            </w:r>
            <w:r>
              <w:rPr>
                <w:highlight w:val="none"/>
              </w:rPr>
              <w:t>504</w:t>
            </w:r>
          </w:p>
          <w:p w14:paraId="1978D548">
            <w:pPr>
              <w:pStyle w:val="50"/>
              <w:spacing w:line="360" w:lineRule="auto"/>
              <w:rPr>
                <w:rFonts w:cs="宋体"/>
                <w:szCs w:val="24"/>
                <w:highlight w:val="none"/>
              </w:rPr>
            </w:pPr>
            <w:r>
              <w:rPr>
                <w:rFonts w:hint="eastAsia" w:cs="宋体"/>
                <w:szCs w:val="24"/>
                <w:highlight w:val="none"/>
              </w:rPr>
              <w:t>联 系 人：</w:t>
            </w:r>
            <w:r>
              <w:rPr>
                <w:rFonts w:hint="eastAsia"/>
                <w:highlight w:val="none"/>
              </w:rPr>
              <w:t>周鑫</w:t>
            </w:r>
            <w:r>
              <w:rPr>
                <w:highlight w:val="none"/>
              </w:rPr>
              <w:t>、阿米娜·托汗、赵梓杰、钟晓涵</w:t>
            </w:r>
          </w:p>
          <w:p w14:paraId="4B9AE048">
            <w:pPr>
              <w:pStyle w:val="50"/>
              <w:spacing w:line="360" w:lineRule="auto"/>
              <w:rPr>
                <w:rFonts w:cs="宋体"/>
                <w:szCs w:val="24"/>
                <w:highlight w:val="none"/>
              </w:rPr>
            </w:pPr>
            <w:r>
              <w:rPr>
                <w:rFonts w:hint="eastAsia" w:cs="宋体"/>
                <w:szCs w:val="24"/>
                <w:highlight w:val="none"/>
              </w:rPr>
              <w:t>联系电话：</w:t>
            </w:r>
            <w:r>
              <w:rPr>
                <w:rFonts w:cs="宋体"/>
                <w:szCs w:val="24"/>
                <w:highlight w:val="none"/>
              </w:rPr>
              <w:t>09914664267、</w:t>
            </w:r>
            <w:r>
              <w:rPr>
                <w:rFonts w:hint="eastAsia" w:cs="宋体"/>
                <w:szCs w:val="24"/>
                <w:highlight w:val="none"/>
              </w:rPr>
              <w:t>1</w:t>
            </w:r>
            <w:r>
              <w:rPr>
                <w:rFonts w:cs="宋体"/>
                <w:szCs w:val="24"/>
                <w:highlight w:val="none"/>
              </w:rPr>
              <w:t>3079986963</w:t>
            </w:r>
          </w:p>
        </w:tc>
      </w:tr>
      <w:tr w14:paraId="4DC50A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496F49C6">
            <w:pPr>
              <w:pStyle w:val="50"/>
              <w:spacing w:line="360" w:lineRule="auto"/>
              <w:jc w:val="center"/>
              <w:rPr>
                <w:rFonts w:cs="宋体"/>
                <w:szCs w:val="24"/>
                <w:highlight w:val="none"/>
              </w:rPr>
            </w:pPr>
            <w:r>
              <w:rPr>
                <w:rFonts w:hint="eastAsia" w:cs="宋体"/>
                <w:szCs w:val="24"/>
                <w:highlight w:val="none"/>
              </w:rPr>
              <w:t>2</w:t>
            </w:r>
            <w:r>
              <w:rPr>
                <w:rFonts w:cs="宋体"/>
                <w:szCs w:val="24"/>
                <w:highlight w:val="none"/>
              </w:rPr>
              <w:t>.4</w:t>
            </w:r>
          </w:p>
        </w:tc>
        <w:tc>
          <w:tcPr>
            <w:tcW w:w="1738" w:type="dxa"/>
            <w:shd w:val="clear" w:color="auto" w:fill="auto"/>
            <w:vAlign w:val="center"/>
          </w:tcPr>
          <w:p w14:paraId="4D6E1782">
            <w:pPr>
              <w:pStyle w:val="50"/>
              <w:spacing w:line="360" w:lineRule="auto"/>
              <w:rPr>
                <w:rFonts w:cs="宋体"/>
                <w:szCs w:val="24"/>
                <w:highlight w:val="none"/>
              </w:rPr>
            </w:pPr>
            <w:r>
              <w:rPr>
                <w:rFonts w:hint="eastAsia" w:cs="宋体"/>
                <w:kern w:val="0"/>
                <w:szCs w:val="24"/>
                <w:highlight w:val="none"/>
                <w:lang w:bidi="ar"/>
              </w:rPr>
              <w:t>项目概况</w:t>
            </w:r>
          </w:p>
        </w:tc>
        <w:tc>
          <w:tcPr>
            <w:tcW w:w="6700" w:type="dxa"/>
            <w:shd w:val="clear" w:color="auto" w:fill="auto"/>
            <w:vAlign w:val="center"/>
          </w:tcPr>
          <w:p w14:paraId="1388A342">
            <w:pPr>
              <w:pStyle w:val="50"/>
              <w:spacing w:line="360" w:lineRule="auto"/>
              <w:rPr>
                <w:rFonts w:cs="宋体"/>
                <w:szCs w:val="24"/>
                <w:highlight w:val="none"/>
              </w:rPr>
            </w:pPr>
            <w:r>
              <w:rPr>
                <w:rFonts w:cs="宋体"/>
                <w:szCs w:val="24"/>
                <w:highlight w:val="none"/>
              </w:rPr>
              <w:t>1.采购内容：</w:t>
            </w:r>
            <w:r>
              <w:rPr>
                <w:rFonts w:hint="eastAsia" w:cs="宋体"/>
                <w:szCs w:val="24"/>
                <w:highlight w:val="none"/>
              </w:rPr>
              <w:t>新疆医科大学</w:t>
            </w:r>
            <w:r>
              <w:rPr>
                <w:rFonts w:cs="宋体"/>
                <w:szCs w:val="24"/>
                <w:highlight w:val="none"/>
              </w:rPr>
              <w:t>2026年度活禽肉水产采购，包括三去鱼类、两去鱼类、其他水产、白条鸡等，具体采购需求及要求详见招标文件。</w:t>
            </w:r>
          </w:p>
          <w:p w14:paraId="7BEBC3F6">
            <w:pPr>
              <w:pStyle w:val="50"/>
              <w:spacing w:line="360" w:lineRule="auto"/>
              <w:rPr>
                <w:rFonts w:cs="宋体"/>
                <w:szCs w:val="24"/>
                <w:highlight w:val="none"/>
              </w:rPr>
            </w:pPr>
            <w:r>
              <w:rPr>
                <w:rFonts w:cs="宋体"/>
                <w:szCs w:val="24"/>
                <w:highlight w:val="none"/>
              </w:rPr>
              <w:t>2.预算（最高限价）：</w:t>
            </w:r>
            <w:r>
              <w:rPr>
                <w:rFonts w:hint="eastAsia"/>
                <w:highlight w:val="none"/>
                <w:u w:val="single"/>
                <w:lang w:val="hr-HR"/>
              </w:rPr>
              <w:t xml:space="preserve">  </w:t>
            </w:r>
            <w:r>
              <w:rPr>
                <w:highlight w:val="none"/>
                <w:u w:val="single"/>
              </w:rPr>
              <w:t xml:space="preserve">90 </w:t>
            </w:r>
            <w:r>
              <w:rPr>
                <w:rFonts w:hint="eastAsia"/>
                <w:highlight w:val="none"/>
              </w:rPr>
              <w:t>万元，下浮/上浮比率：三去鱼类上浮率</w:t>
            </w:r>
            <w:r>
              <w:rPr>
                <w:highlight w:val="none"/>
              </w:rPr>
              <w:t>X≤35.00%；两去鱼类上浮率Y≤20.00%；其他水产下浮率Z≥10.00%;白条鸡下浮率A≥5.00%。</w:t>
            </w:r>
          </w:p>
          <w:p w14:paraId="1EC99BEC">
            <w:pPr>
              <w:pStyle w:val="50"/>
              <w:spacing w:line="360" w:lineRule="auto"/>
              <w:rPr>
                <w:rFonts w:cs="宋体"/>
                <w:szCs w:val="24"/>
                <w:highlight w:val="none"/>
              </w:rPr>
            </w:pPr>
            <w:r>
              <w:rPr>
                <w:rFonts w:cs="宋体"/>
                <w:szCs w:val="24"/>
                <w:highlight w:val="none"/>
              </w:rPr>
              <w:t>3.交货期</w:t>
            </w:r>
            <w:r>
              <w:rPr>
                <w:rFonts w:hint="eastAsia" w:cs="宋体"/>
                <w:szCs w:val="24"/>
                <w:highlight w:val="none"/>
              </w:rPr>
              <w:t>：乙方自接到采购人供货通知后</w:t>
            </w:r>
            <w:r>
              <w:rPr>
                <w:rFonts w:cs="宋体"/>
                <w:szCs w:val="24"/>
                <w:highlight w:val="none"/>
              </w:rPr>
              <w:t xml:space="preserve"> 24小时内进行供货。</w:t>
            </w:r>
          </w:p>
          <w:p w14:paraId="376F6169">
            <w:pPr>
              <w:pStyle w:val="50"/>
              <w:spacing w:line="360" w:lineRule="auto"/>
              <w:rPr>
                <w:rFonts w:cs="宋体"/>
                <w:szCs w:val="24"/>
                <w:highlight w:val="none"/>
              </w:rPr>
            </w:pPr>
            <w:r>
              <w:rPr>
                <w:rFonts w:hint="eastAsia" w:cs="宋体"/>
                <w:szCs w:val="24"/>
                <w:highlight w:val="none"/>
              </w:rPr>
              <w:t>4</w:t>
            </w:r>
            <w:r>
              <w:rPr>
                <w:rFonts w:cs="宋体"/>
                <w:szCs w:val="24"/>
                <w:highlight w:val="none"/>
              </w:rPr>
              <w:t>.交货地点：</w:t>
            </w:r>
            <w:r>
              <w:rPr>
                <w:rFonts w:hint="eastAsia" w:cs="宋体"/>
                <w:szCs w:val="24"/>
                <w:highlight w:val="none"/>
              </w:rPr>
              <w:t>新疆医科大学各校区各餐厅（新医路校区三个餐厅、雪莲山校区九个餐厅、三个加工中心）</w:t>
            </w:r>
          </w:p>
          <w:p w14:paraId="46F8C738">
            <w:pPr>
              <w:pStyle w:val="50"/>
              <w:spacing w:line="360" w:lineRule="auto"/>
              <w:rPr>
                <w:rFonts w:cs="宋体"/>
                <w:szCs w:val="24"/>
                <w:highlight w:val="none"/>
              </w:rPr>
            </w:pPr>
            <w:r>
              <w:rPr>
                <w:rFonts w:cs="宋体"/>
                <w:szCs w:val="24"/>
                <w:highlight w:val="none"/>
              </w:rPr>
              <w:t>5.付款方式：</w:t>
            </w:r>
            <w:r>
              <w:rPr>
                <w:rFonts w:hint="eastAsia" w:cs="宋体"/>
                <w:szCs w:val="24"/>
                <w:highlight w:val="none"/>
              </w:rPr>
              <w:t>（</w:t>
            </w:r>
            <w:r>
              <w:rPr>
                <w:rFonts w:cs="宋体"/>
                <w:szCs w:val="24"/>
                <w:highlight w:val="none"/>
              </w:rPr>
              <w:t>1）甲方支付任何一笔款项前，乙方应提供符合甲方财务做账要求的正规全额增值税发票；乙方开具的发票及发票附件中的物品名称、数量、价格与送货物品、合同相一致。否则，甲方有权拒付款项且不承担违约责任。</w:t>
            </w:r>
          </w:p>
          <w:p w14:paraId="50FF9386">
            <w:pPr>
              <w:pStyle w:val="50"/>
              <w:spacing w:line="360" w:lineRule="auto"/>
              <w:rPr>
                <w:rFonts w:cs="宋体"/>
                <w:szCs w:val="24"/>
                <w:highlight w:val="none"/>
              </w:rPr>
            </w:pPr>
            <w:r>
              <w:rPr>
                <w:rFonts w:hint="eastAsia" w:cs="宋体"/>
                <w:szCs w:val="24"/>
                <w:highlight w:val="none"/>
              </w:rPr>
              <w:t>（</w:t>
            </w:r>
            <w:r>
              <w:rPr>
                <w:rFonts w:cs="宋体"/>
                <w:szCs w:val="24"/>
                <w:highlight w:val="none"/>
              </w:rPr>
              <w:t>2）采取滚动押单方式结账。甲、乙双方签订本合同之后，乙方首次送货完毕且经甲方书面验收合格两个月后按照实际验收合格数量结算首月货款，以此类推。每月按使用餐厅的大类最多进行1次货款结算。如遇节假日、寒暑假、甲方财务扎账等特殊情况，结账日期依次顺延。</w:t>
            </w:r>
          </w:p>
          <w:p w14:paraId="77CB4FE5">
            <w:pPr>
              <w:pStyle w:val="50"/>
              <w:spacing w:line="360" w:lineRule="auto"/>
              <w:rPr>
                <w:rFonts w:cs="宋体"/>
                <w:szCs w:val="24"/>
                <w:highlight w:val="none"/>
              </w:rPr>
            </w:pPr>
            <w:r>
              <w:rPr>
                <w:rFonts w:cs="宋体"/>
                <w:szCs w:val="24"/>
                <w:highlight w:val="none"/>
              </w:rPr>
              <w:t>6.履约保证金：本项目不适用</w:t>
            </w:r>
          </w:p>
        </w:tc>
      </w:tr>
      <w:tr w14:paraId="4750D5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B37DD94">
            <w:pPr>
              <w:pStyle w:val="50"/>
              <w:spacing w:line="360" w:lineRule="auto"/>
              <w:jc w:val="center"/>
              <w:rPr>
                <w:rFonts w:cs="宋体"/>
                <w:szCs w:val="24"/>
                <w:highlight w:val="none"/>
              </w:rPr>
            </w:pPr>
            <w:r>
              <w:rPr>
                <w:rFonts w:hint="eastAsia" w:cs="宋体"/>
                <w:szCs w:val="24"/>
                <w:highlight w:val="none"/>
              </w:rPr>
              <w:t>2.</w:t>
            </w:r>
            <w:r>
              <w:rPr>
                <w:rFonts w:cs="宋体"/>
                <w:szCs w:val="24"/>
                <w:highlight w:val="none"/>
              </w:rPr>
              <w:t>6</w:t>
            </w:r>
          </w:p>
        </w:tc>
        <w:tc>
          <w:tcPr>
            <w:tcW w:w="1738" w:type="dxa"/>
            <w:shd w:val="clear" w:color="auto" w:fill="auto"/>
            <w:vAlign w:val="center"/>
          </w:tcPr>
          <w:p w14:paraId="493C2FDC">
            <w:pPr>
              <w:pStyle w:val="50"/>
              <w:spacing w:line="360" w:lineRule="auto"/>
              <w:rPr>
                <w:rFonts w:cs="宋体"/>
                <w:szCs w:val="24"/>
                <w:highlight w:val="none"/>
              </w:rPr>
            </w:pPr>
            <w:r>
              <w:rPr>
                <w:rFonts w:hint="eastAsia"/>
                <w:highlight w:val="none"/>
              </w:rPr>
              <w:t>核心产品</w:t>
            </w:r>
          </w:p>
        </w:tc>
        <w:tc>
          <w:tcPr>
            <w:tcW w:w="6700" w:type="dxa"/>
            <w:shd w:val="clear" w:color="auto" w:fill="auto"/>
            <w:vAlign w:val="center"/>
          </w:tcPr>
          <w:p w14:paraId="2504F47F">
            <w:pPr>
              <w:pStyle w:val="50"/>
              <w:spacing w:line="360" w:lineRule="auto"/>
              <w:rPr>
                <w:rFonts w:cs="宋体"/>
                <w:szCs w:val="24"/>
                <w:highlight w:val="none"/>
              </w:rPr>
            </w:pPr>
            <w:r>
              <w:rPr>
                <w:rFonts w:hint="eastAsia" w:cs="宋体"/>
                <w:szCs w:val="24"/>
                <w:highlight w:val="none"/>
              </w:rPr>
              <w:t>核心产品：</w:t>
            </w:r>
          </w:p>
          <w:p w14:paraId="4A24835A">
            <w:pPr>
              <w:pStyle w:val="50"/>
              <w:spacing w:line="360" w:lineRule="auto"/>
              <w:rPr>
                <w:rFonts w:cs="宋体"/>
                <w:szCs w:val="24"/>
                <w:highlight w:val="none"/>
              </w:rPr>
            </w:pPr>
            <w:r>
              <w:rPr>
                <w:rFonts w:hint="eastAsia" w:cs="宋体"/>
                <w:szCs w:val="24"/>
                <w:highlight w:val="none"/>
              </w:rPr>
              <w:t xml:space="preserve">□本项目为单一产品采购项目，不适用。 </w:t>
            </w:r>
          </w:p>
          <w:p w14:paraId="75CFFE04">
            <w:pPr>
              <w:pStyle w:val="50"/>
              <w:spacing w:line="360" w:lineRule="auto"/>
              <w:rPr>
                <w:rFonts w:cs="宋体"/>
                <w:szCs w:val="24"/>
                <w:highlight w:val="none"/>
              </w:rPr>
            </w:pPr>
            <w:r>
              <w:rPr>
                <w:rFonts w:hint="eastAsia" w:cs="宋体"/>
                <w:szCs w:val="24"/>
                <w:highlight w:val="none"/>
              </w:rPr>
              <w:t>☑本项目第__包为非单一产品采购项目，其中核心产品为：</w:t>
            </w:r>
            <w:r>
              <w:rPr>
                <w:rFonts w:hint="eastAsia" w:cs="宋体"/>
                <w:szCs w:val="24"/>
                <w:highlight w:val="none"/>
                <w:u w:val="single"/>
              </w:rPr>
              <w:t>_</w:t>
            </w:r>
            <w:r>
              <w:rPr>
                <w:rFonts w:hint="eastAsia" w:cs="宋体"/>
                <w:b/>
                <w:szCs w:val="24"/>
                <w:highlight w:val="none"/>
                <w:u w:val="single"/>
              </w:rPr>
              <w:t>三去鱼类</w:t>
            </w:r>
            <w:r>
              <w:rPr>
                <w:rFonts w:hint="eastAsia" w:cs="宋体"/>
                <w:b/>
                <w:szCs w:val="24"/>
                <w:highlight w:val="none"/>
              </w:rPr>
              <w:t>_</w:t>
            </w:r>
            <w:r>
              <w:rPr>
                <w:rFonts w:hint="eastAsia" w:cs="宋体"/>
                <w:szCs w:val="24"/>
                <w:highlight w:val="none"/>
              </w:rPr>
              <w:t>。</w:t>
            </w:r>
          </w:p>
        </w:tc>
      </w:tr>
      <w:tr w14:paraId="34820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032E328A">
            <w:pPr>
              <w:pStyle w:val="50"/>
              <w:spacing w:line="360" w:lineRule="auto"/>
              <w:jc w:val="center"/>
              <w:rPr>
                <w:rFonts w:cs="宋体"/>
                <w:szCs w:val="24"/>
                <w:highlight w:val="none"/>
              </w:rPr>
            </w:pPr>
            <w:r>
              <w:rPr>
                <w:rFonts w:hint="eastAsia" w:cs="宋体"/>
                <w:szCs w:val="24"/>
                <w:highlight w:val="none"/>
              </w:rPr>
              <w:t>2.</w:t>
            </w:r>
            <w:r>
              <w:rPr>
                <w:rFonts w:cs="宋体"/>
                <w:szCs w:val="24"/>
                <w:highlight w:val="none"/>
              </w:rPr>
              <w:t>7</w:t>
            </w:r>
          </w:p>
        </w:tc>
        <w:tc>
          <w:tcPr>
            <w:tcW w:w="1738" w:type="dxa"/>
            <w:shd w:val="clear" w:color="auto" w:fill="auto"/>
            <w:vAlign w:val="center"/>
          </w:tcPr>
          <w:p w14:paraId="1E5593A1">
            <w:pPr>
              <w:spacing w:line="360" w:lineRule="auto"/>
              <w:rPr>
                <w:highlight w:val="none"/>
              </w:rPr>
            </w:pPr>
            <w:r>
              <w:rPr>
                <w:rFonts w:hint="eastAsia"/>
                <w:highlight w:val="none"/>
                <w:lang w:bidi="ar"/>
              </w:rPr>
              <w:t>科研仪器设备</w:t>
            </w:r>
          </w:p>
        </w:tc>
        <w:tc>
          <w:tcPr>
            <w:tcW w:w="6700" w:type="dxa"/>
            <w:shd w:val="clear" w:color="auto" w:fill="auto"/>
            <w:vAlign w:val="center"/>
          </w:tcPr>
          <w:p w14:paraId="540D4382">
            <w:pPr>
              <w:spacing w:line="360" w:lineRule="auto"/>
              <w:rPr>
                <w:highlight w:val="none"/>
                <w:lang w:bidi="ar"/>
              </w:rPr>
            </w:pPr>
            <w:r>
              <w:rPr>
                <w:rFonts w:hint="eastAsia"/>
                <w:highlight w:val="none"/>
                <w:lang w:bidi="ar"/>
              </w:rPr>
              <w:t xml:space="preserve">是否属于科研仪器设备采购项目： </w:t>
            </w:r>
          </w:p>
          <w:p w14:paraId="1BE3AFAA">
            <w:pPr>
              <w:spacing w:line="360" w:lineRule="auto"/>
              <w:rPr>
                <w:highlight w:val="none"/>
                <w:lang w:bidi="ar"/>
              </w:rPr>
            </w:pPr>
            <w:r>
              <w:rPr>
                <w:rFonts w:hint="eastAsia"/>
                <w:highlight w:val="none"/>
              </w:rPr>
              <w:t>□</w:t>
            </w:r>
            <w:r>
              <w:rPr>
                <w:rFonts w:hint="eastAsia"/>
                <w:highlight w:val="none"/>
                <w:lang w:bidi="ar"/>
              </w:rPr>
              <w:t>是</w:t>
            </w:r>
          </w:p>
          <w:p w14:paraId="08D6D3A5">
            <w:pPr>
              <w:spacing w:line="360" w:lineRule="auto"/>
              <w:rPr>
                <w:kern w:val="0"/>
                <w:highlight w:val="none"/>
                <w:lang w:bidi="ar"/>
              </w:rPr>
            </w:pPr>
            <w:r>
              <w:rPr>
                <w:rFonts w:ascii="Segoe UI Symbol" w:hAnsi="Segoe UI Symbol" w:cs="Segoe UI Symbol"/>
                <w:highlight w:val="none"/>
                <w:lang w:bidi="ar"/>
              </w:rPr>
              <w:t>☑</w:t>
            </w:r>
            <w:r>
              <w:rPr>
                <w:rFonts w:hint="eastAsia"/>
                <w:highlight w:val="none"/>
                <w:lang w:bidi="ar"/>
              </w:rPr>
              <w:t>否</w:t>
            </w:r>
          </w:p>
        </w:tc>
      </w:tr>
      <w:tr w14:paraId="7E06EE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7C5EE9A9">
            <w:pPr>
              <w:pStyle w:val="50"/>
              <w:spacing w:line="360" w:lineRule="auto"/>
              <w:jc w:val="center"/>
              <w:rPr>
                <w:rFonts w:cs="宋体"/>
                <w:szCs w:val="24"/>
                <w:highlight w:val="none"/>
              </w:rPr>
            </w:pPr>
            <w:r>
              <w:rPr>
                <w:rFonts w:hint="eastAsia" w:cs="宋体"/>
                <w:szCs w:val="24"/>
                <w:highlight w:val="none"/>
              </w:rPr>
              <w:t>4.1</w:t>
            </w:r>
          </w:p>
        </w:tc>
        <w:tc>
          <w:tcPr>
            <w:tcW w:w="1738" w:type="dxa"/>
            <w:shd w:val="clear" w:color="auto" w:fill="auto"/>
            <w:vAlign w:val="center"/>
          </w:tcPr>
          <w:p w14:paraId="60370149">
            <w:pPr>
              <w:pStyle w:val="50"/>
              <w:spacing w:line="360" w:lineRule="auto"/>
              <w:rPr>
                <w:rFonts w:cs="宋体"/>
                <w:kern w:val="0"/>
                <w:szCs w:val="24"/>
                <w:highlight w:val="none"/>
                <w:lang w:bidi="ar"/>
              </w:rPr>
            </w:pPr>
            <w:r>
              <w:rPr>
                <w:rFonts w:hint="eastAsia" w:cs="宋体"/>
                <w:szCs w:val="24"/>
                <w:highlight w:val="none"/>
              </w:rPr>
              <w:t>投标人资格要求</w:t>
            </w:r>
          </w:p>
        </w:tc>
        <w:tc>
          <w:tcPr>
            <w:tcW w:w="6700" w:type="dxa"/>
            <w:shd w:val="clear" w:color="auto" w:fill="auto"/>
            <w:vAlign w:val="center"/>
          </w:tcPr>
          <w:p w14:paraId="39394854">
            <w:pPr>
              <w:pStyle w:val="50"/>
              <w:spacing w:line="360" w:lineRule="auto"/>
              <w:rPr>
                <w:rFonts w:cs="宋体"/>
                <w:szCs w:val="24"/>
                <w:highlight w:val="none"/>
              </w:rPr>
            </w:pPr>
            <w:r>
              <w:rPr>
                <w:rFonts w:cs="宋体"/>
                <w:szCs w:val="24"/>
                <w:highlight w:val="none"/>
              </w:rPr>
              <w:t>1.供应商应具备《中华人民共和国政府采购法》第二十二条规定的条件，提供下列材料：</w:t>
            </w:r>
          </w:p>
          <w:p w14:paraId="65988D30">
            <w:pPr>
              <w:pStyle w:val="50"/>
              <w:spacing w:line="360" w:lineRule="auto"/>
              <w:rPr>
                <w:rFonts w:cs="宋体"/>
                <w:szCs w:val="24"/>
                <w:highlight w:val="none"/>
              </w:rPr>
            </w:pPr>
            <w:r>
              <w:rPr>
                <w:rFonts w:cs="宋体"/>
                <w:szCs w:val="24"/>
                <w:highlight w:val="none"/>
              </w:rPr>
              <w:t>1）具有独立承担民事责任的能力；（投标时，提供在中华人民共和国境内注册的法人或其他组织的营业执照或事业单位法人证书或社会团体法人登记证书复印件/扫描件）</w:t>
            </w:r>
          </w:p>
          <w:p w14:paraId="286D6000">
            <w:pPr>
              <w:pStyle w:val="50"/>
              <w:spacing w:line="360" w:lineRule="auto"/>
              <w:rPr>
                <w:rFonts w:cs="宋体"/>
                <w:szCs w:val="24"/>
                <w:highlight w:val="none"/>
              </w:rPr>
            </w:pPr>
            <w:r>
              <w:rPr>
                <w:rFonts w:cs="宋体"/>
                <w:szCs w:val="24"/>
                <w:highlight w:val="none"/>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0708B99E">
            <w:pPr>
              <w:pStyle w:val="50"/>
              <w:spacing w:line="360" w:lineRule="auto"/>
              <w:rPr>
                <w:rFonts w:cs="宋体"/>
                <w:szCs w:val="24"/>
                <w:highlight w:val="none"/>
              </w:rPr>
            </w:pPr>
            <w:r>
              <w:rPr>
                <w:rFonts w:cs="宋体"/>
                <w:szCs w:val="24"/>
                <w:highlight w:val="none"/>
              </w:rPr>
              <w:t xml:space="preserve">3）具有良好的商业信誉和健全的财务会计制度：（投标时，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74C59F2A">
            <w:pPr>
              <w:pStyle w:val="50"/>
              <w:spacing w:line="360" w:lineRule="auto"/>
              <w:rPr>
                <w:rFonts w:cs="宋体"/>
                <w:szCs w:val="24"/>
                <w:highlight w:val="none"/>
              </w:rPr>
            </w:pPr>
            <w:r>
              <w:rPr>
                <w:rFonts w:cs="宋体"/>
                <w:szCs w:val="24"/>
                <w:highlight w:val="none"/>
              </w:rPr>
              <w:t>4）具有履行合同所必须的设备和专业技术能力；（投标时，供应商出具承诺函，承诺满足要求，加盖供应商公章）</w:t>
            </w:r>
          </w:p>
          <w:p w14:paraId="5C77F402">
            <w:pPr>
              <w:pStyle w:val="50"/>
              <w:spacing w:line="360" w:lineRule="auto"/>
              <w:rPr>
                <w:rFonts w:cs="宋体"/>
                <w:szCs w:val="24"/>
                <w:highlight w:val="none"/>
              </w:rPr>
            </w:pPr>
            <w:r>
              <w:rPr>
                <w:rFonts w:cs="宋体"/>
                <w:szCs w:val="24"/>
                <w:highlight w:val="none"/>
              </w:rPr>
              <w:t xml:space="preserve"> 5）参加采购活动前3年内，在经营活动中没有重大违法记录；（投标时，供应商出具承诺函，加盖供应商公章）</w:t>
            </w:r>
          </w:p>
          <w:p w14:paraId="00D8E458">
            <w:pPr>
              <w:pStyle w:val="50"/>
              <w:spacing w:line="360" w:lineRule="auto"/>
              <w:rPr>
                <w:rFonts w:cs="宋体"/>
                <w:szCs w:val="24"/>
                <w:highlight w:val="none"/>
              </w:rPr>
            </w:pPr>
            <w:r>
              <w:rPr>
                <w:rFonts w:hint="eastAsia" w:cs="宋体"/>
                <w:szCs w:val="24"/>
                <w:highlight w:val="none"/>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szCs w:val="24"/>
                <w:highlight w:val="none"/>
              </w:rPr>
              <w:t xml:space="preserve"> </w:t>
            </w:r>
          </w:p>
          <w:p w14:paraId="1BBCC1DD">
            <w:pPr>
              <w:pStyle w:val="50"/>
              <w:spacing w:line="360" w:lineRule="auto"/>
              <w:rPr>
                <w:rFonts w:cs="宋体"/>
                <w:szCs w:val="24"/>
                <w:highlight w:val="none"/>
              </w:rPr>
            </w:pPr>
            <w:r>
              <w:rPr>
                <w:rFonts w:cs="宋体"/>
                <w:szCs w:val="24"/>
                <w:highlight w:val="none"/>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3365F01D">
            <w:pPr>
              <w:pStyle w:val="50"/>
              <w:spacing w:line="360" w:lineRule="auto"/>
              <w:rPr>
                <w:rFonts w:cs="宋体"/>
                <w:szCs w:val="24"/>
                <w:highlight w:val="none"/>
              </w:rPr>
            </w:pPr>
            <w:r>
              <w:rPr>
                <w:rFonts w:cs="宋体"/>
                <w:szCs w:val="24"/>
                <w:highlight w:val="none"/>
              </w:rPr>
              <w:t>7）单位负责人为同一人或者存在直接控股、管理关系的不同供应商，不得参加同一合同项下的政府采购活动。与采购人存在利害关系可能影响招标公正性的法人、其他组织或者个人，不得参加投标。</w:t>
            </w:r>
          </w:p>
          <w:p w14:paraId="68B949AF">
            <w:pPr>
              <w:pStyle w:val="50"/>
              <w:spacing w:line="360" w:lineRule="auto"/>
              <w:rPr>
                <w:rFonts w:cs="宋体"/>
                <w:szCs w:val="24"/>
                <w:highlight w:val="none"/>
              </w:rPr>
            </w:pPr>
            <w:r>
              <w:rPr>
                <w:rFonts w:hint="eastAsia" w:cs="宋体"/>
                <w:szCs w:val="24"/>
                <w:highlight w:val="none"/>
              </w:rPr>
              <w:t>（投标时，供应商出具承诺函，加盖供应商公章）。</w:t>
            </w:r>
          </w:p>
          <w:p w14:paraId="274CA929">
            <w:pPr>
              <w:pStyle w:val="50"/>
              <w:spacing w:line="360" w:lineRule="auto"/>
              <w:rPr>
                <w:rFonts w:cs="宋体"/>
                <w:szCs w:val="24"/>
                <w:highlight w:val="none"/>
              </w:rPr>
            </w:pPr>
            <w:r>
              <w:rPr>
                <w:rFonts w:hint="eastAsia" w:cs="宋体"/>
                <w:szCs w:val="24"/>
                <w:highlight w:val="none"/>
              </w:rPr>
              <w:t>2.落实政府采购政策需满足的资格要求：</w:t>
            </w:r>
            <w:r>
              <w:rPr>
                <w:rFonts w:hint="eastAsia"/>
                <w:highlight w:val="none"/>
              </w:rPr>
              <w:t>本项目属于专门面向小微企业采购项目，供应商所投产品的制造商需为小微企业、监狱企业、残疾人福利性单位</w:t>
            </w:r>
            <w:r>
              <w:rPr>
                <w:rFonts w:cs="宋体"/>
                <w:szCs w:val="24"/>
                <w:highlight w:val="none"/>
              </w:rPr>
              <w:t>。（投标时，按招标文件格式要求提供《中小企业声明函》，加盖</w:t>
            </w:r>
            <w:r>
              <w:rPr>
                <w:rFonts w:hint="eastAsia" w:cs="宋体"/>
                <w:szCs w:val="24"/>
                <w:highlight w:val="none"/>
              </w:rPr>
              <w:t>供应商公章。</w:t>
            </w:r>
            <w:r>
              <w:rPr>
                <w:rFonts w:hint="eastAsia" w:cs="宋体"/>
                <w:b/>
                <w:szCs w:val="24"/>
                <w:highlight w:val="none"/>
              </w:rPr>
              <w:t>特别提示：</w:t>
            </w:r>
            <w:r>
              <w:rPr>
                <w:rFonts w:hint="eastAsia" w:cs="Times New Roman"/>
                <w:b/>
                <w:bCs/>
                <w:szCs w:val="24"/>
                <w:highlight w:val="none"/>
              </w:rPr>
              <w:t>根据</w:t>
            </w:r>
            <w:r>
              <w:rPr>
                <w:rFonts w:hint="eastAsia"/>
                <w:b/>
                <w:bCs/>
                <w:highlight w:val="none"/>
                <w:u w:val="single"/>
              </w:rPr>
              <w:t>《政府采购促进中小企业发展管理办法》第二条的规定，农民</w:t>
            </w:r>
            <w:r>
              <w:rPr>
                <w:b/>
                <w:bCs/>
                <w:highlight w:val="none"/>
                <w:u w:val="single"/>
              </w:rPr>
              <w:t>专业合作社按照《</w:t>
            </w:r>
            <w:r>
              <w:rPr>
                <w:rFonts w:hint="eastAsia"/>
                <w:b/>
                <w:bCs/>
                <w:highlight w:val="none"/>
                <w:u w:val="single"/>
              </w:rPr>
              <w:t>中华人民共和国农民专业合作社法</w:t>
            </w:r>
            <w:r>
              <w:rPr>
                <w:b/>
                <w:bCs/>
                <w:highlight w:val="none"/>
                <w:u w:val="single"/>
              </w:rPr>
              <w:t>》第二条规定属于</w:t>
            </w:r>
            <w:r>
              <w:rPr>
                <w:rFonts w:hint="eastAsia"/>
                <w:b/>
                <w:bCs/>
                <w:highlight w:val="none"/>
                <w:u w:val="single"/>
              </w:rPr>
              <w:t>互助性经济组织，不属于 “企业”，不享受</w:t>
            </w:r>
            <w:r>
              <w:rPr>
                <w:rFonts w:hint="eastAsia"/>
                <w:b/>
                <w:highlight w:val="none"/>
                <w:u w:val="single"/>
              </w:rPr>
              <w:t>政府采购政策优惠</w:t>
            </w:r>
            <w:r>
              <w:rPr>
                <w:rFonts w:hint="eastAsia"/>
                <w:b/>
                <w:bCs/>
                <w:highlight w:val="none"/>
                <w:u w:val="single"/>
              </w:rPr>
              <w:t>。</w:t>
            </w:r>
            <w:r>
              <w:rPr>
                <w:rFonts w:cs="宋体"/>
                <w:szCs w:val="24"/>
                <w:highlight w:val="none"/>
              </w:rPr>
              <w:t>）</w:t>
            </w:r>
          </w:p>
          <w:p w14:paraId="43025F50">
            <w:pPr>
              <w:pStyle w:val="50"/>
              <w:spacing w:line="360" w:lineRule="auto"/>
              <w:rPr>
                <w:rFonts w:cs="宋体"/>
                <w:szCs w:val="24"/>
                <w:highlight w:val="none"/>
              </w:rPr>
            </w:pPr>
            <w:r>
              <w:rPr>
                <w:rFonts w:hint="eastAsia" w:cs="宋体"/>
                <w:szCs w:val="24"/>
                <w:highlight w:val="none"/>
              </w:rPr>
              <w:t>3.本项目的特定资格要求：</w:t>
            </w:r>
            <w:r>
              <w:rPr>
                <w:rFonts w:hint="eastAsia"/>
                <w:highlight w:val="none"/>
              </w:rPr>
              <w:t>无</w:t>
            </w:r>
            <w:r>
              <w:rPr>
                <w:rFonts w:cs="宋体"/>
                <w:szCs w:val="24"/>
                <w:highlight w:val="none"/>
              </w:rPr>
              <w:t xml:space="preserve"> </w:t>
            </w:r>
          </w:p>
          <w:p w14:paraId="4D0F5C99">
            <w:pPr>
              <w:pStyle w:val="50"/>
              <w:spacing w:line="360" w:lineRule="auto"/>
              <w:rPr>
                <w:rFonts w:cs="宋体"/>
                <w:szCs w:val="24"/>
                <w:highlight w:val="none"/>
              </w:rPr>
            </w:pPr>
            <w:r>
              <w:rPr>
                <w:rFonts w:hint="eastAsia" w:cs="宋体"/>
                <w:szCs w:val="24"/>
                <w:highlight w:val="none"/>
              </w:rPr>
              <w:t>4. 其他资格要求：</w:t>
            </w:r>
          </w:p>
          <w:p w14:paraId="61603FEF">
            <w:pPr>
              <w:pStyle w:val="50"/>
              <w:spacing w:line="360" w:lineRule="auto"/>
              <w:rPr>
                <w:rFonts w:cs="宋体"/>
                <w:szCs w:val="24"/>
                <w:highlight w:val="none"/>
              </w:rPr>
            </w:pPr>
            <w:r>
              <w:rPr>
                <w:rFonts w:hint="eastAsia" w:cs="宋体"/>
                <w:szCs w:val="24"/>
                <w:highlight w:val="none"/>
              </w:rPr>
              <w:t>（1）法定代表人或单位负责人为同一人或者存在直接控股、管理关系的不同供应商，不得参加同一合同项下的政府采购活动。</w:t>
            </w:r>
          </w:p>
          <w:p w14:paraId="4481924F">
            <w:pPr>
              <w:pStyle w:val="50"/>
              <w:spacing w:line="360" w:lineRule="auto"/>
              <w:rPr>
                <w:rFonts w:cs="宋体"/>
                <w:szCs w:val="24"/>
                <w:highlight w:val="none"/>
              </w:rPr>
            </w:pPr>
            <w:r>
              <w:rPr>
                <w:rFonts w:hint="eastAsia" w:cs="宋体"/>
                <w:szCs w:val="24"/>
                <w:highlight w:val="none"/>
              </w:rPr>
              <w:t>（2）除单一来源采购项目外，为采购项目提供整体设计、规范编制或者项目管理、监理、检测等服务的供应商，不得再参加该采购项目的其他采购活动。</w:t>
            </w:r>
          </w:p>
          <w:p w14:paraId="39D6BC6A">
            <w:pPr>
              <w:pStyle w:val="50"/>
              <w:spacing w:line="360" w:lineRule="auto"/>
              <w:rPr>
                <w:rFonts w:cs="宋体"/>
                <w:szCs w:val="24"/>
                <w:highlight w:val="none"/>
              </w:rPr>
            </w:pPr>
            <w:r>
              <w:rPr>
                <w:rFonts w:cs="宋体"/>
                <w:szCs w:val="24"/>
                <w:highlight w:val="none"/>
              </w:rPr>
              <w:t>（3）本项目不接受联合体投标。</w:t>
            </w:r>
          </w:p>
        </w:tc>
      </w:tr>
      <w:tr w14:paraId="03F453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6AFB3C7D">
            <w:pPr>
              <w:pStyle w:val="50"/>
              <w:spacing w:line="360" w:lineRule="auto"/>
              <w:jc w:val="center"/>
              <w:rPr>
                <w:rFonts w:cs="宋体"/>
                <w:szCs w:val="24"/>
                <w:highlight w:val="none"/>
              </w:rPr>
            </w:pPr>
            <w:r>
              <w:rPr>
                <w:rFonts w:hint="eastAsia" w:cs="宋体"/>
                <w:szCs w:val="24"/>
                <w:highlight w:val="none"/>
              </w:rPr>
              <w:t>9.1</w:t>
            </w:r>
          </w:p>
        </w:tc>
        <w:tc>
          <w:tcPr>
            <w:tcW w:w="1738" w:type="dxa"/>
            <w:vAlign w:val="center"/>
          </w:tcPr>
          <w:p w14:paraId="434C8584">
            <w:pPr>
              <w:pStyle w:val="50"/>
              <w:spacing w:line="360" w:lineRule="auto"/>
              <w:rPr>
                <w:rFonts w:cs="宋体"/>
                <w:szCs w:val="24"/>
                <w:highlight w:val="none"/>
              </w:rPr>
            </w:pPr>
            <w:bookmarkStart w:id="133" w:name="_Hlk143529175"/>
            <w:r>
              <w:rPr>
                <w:rFonts w:hint="eastAsia" w:cs="宋体"/>
                <w:szCs w:val="24"/>
                <w:highlight w:val="none"/>
              </w:rPr>
              <w:t>现场考察</w:t>
            </w:r>
            <w:bookmarkEnd w:id="133"/>
          </w:p>
        </w:tc>
        <w:tc>
          <w:tcPr>
            <w:tcW w:w="6700" w:type="dxa"/>
            <w:vAlign w:val="center"/>
          </w:tcPr>
          <w:p w14:paraId="69AAE767">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不组织，投标人自行前往。</w:t>
            </w:r>
          </w:p>
          <w:p w14:paraId="5C7C3B13">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组织</w:t>
            </w:r>
          </w:p>
          <w:p w14:paraId="24F32DE2">
            <w:pPr>
              <w:pStyle w:val="50"/>
              <w:spacing w:line="360" w:lineRule="auto"/>
              <w:ind w:firstLine="240" w:firstLineChars="100"/>
              <w:rPr>
                <w:rFonts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2033F2BF">
            <w:pPr>
              <w:pStyle w:val="50"/>
              <w:spacing w:line="360" w:lineRule="auto"/>
              <w:ind w:firstLine="240" w:firstLineChars="100"/>
              <w:rPr>
                <w:rFonts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55A003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4F2E1529">
            <w:pPr>
              <w:pStyle w:val="50"/>
              <w:spacing w:line="360" w:lineRule="auto"/>
              <w:jc w:val="center"/>
              <w:rPr>
                <w:rFonts w:cs="宋体"/>
                <w:szCs w:val="24"/>
                <w:highlight w:val="none"/>
              </w:rPr>
            </w:pPr>
            <w:r>
              <w:rPr>
                <w:rFonts w:hint="eastAsia" w:cs="宋体"/>
                <w:szCs w:val="24"/>
                <w:highlight w:val="none"/>
              </w:rPr>
              <w:t>9.5</w:t>
            </w:r>
          </w:p>
        </w:tc>
        <w:tc>
          <w:tcPr>
            <w:tcW w:w="1738" w:type="dxa"/>
            <w:vAlign w:val="center"/>
          </w:tcPr>
          <w:p w14:paraId="35EE9698">
            <w:pPr>
              <w:pStyle w:val="50"/>
              <w:spacing w:line="360" w:lineRule="auto"/>
              <w:rPr>
                <w:rFonts w:cs="宋体"/>
                <w:szCs w:val="24"/>
                <w:highlight w:val="none"/>
              </w:rPr>
            </w:pPr>
            <w:r>
              <w:rPr>
                <w:rFonts w:hint="eastAsia" w:cs="宋体"/>
                <w:szCs w:val="24"/>
                <w:highlight w:val="none"/>
              </w:rPr>
              <w:t>答疑会</w:t>
            </w:r>
          </w:p>
        </w:tc>
        <w:tc>
          <w:tcPr>
            <w:tcW w:w="6700" w:type="dxa"/>
            <w:vAlign w:val="center"/>
          </w:tcPr>
          <w:p w14:paraId="1D1410C0">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不组织</w:t>
            </w:r>
          </w:p>
          <w:p w14:paraId="25D34CD3">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组织</w:t>
            </w:r>
          </w:p>
          <w:p w14:paraId="36370189">
            <w:pPr>
              <w:pStyle w:val="50"/>
              <w:spacing w:line="360" w:lineRule="auto"/>
              <w:ind w:firstLine="240" w:firstLineChars="100"/>
              <w:rPr>
                <w:rFonts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7742B829">
            <w:pPr>
              <w:pStyle w:val="50"/>
              <w:spacing w:line="360" w:lineRule="auto"/>
              <w:ind w:firstLine="240" w:firstLineChars="100"/>
              <w:rPr>
                <w:rFonts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66D6AB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6B1CEC2">
            <w:pPr>
              <w:pStyle w:val="50"/>
              <w:spacing w:line="360" w:lineRule="auto"/>
              <w:jc w:val="center"/>
              <w:rPr>
                <w:rFonts w:cs="宋体"/>
                <w:szCs w:val="24"/>
                <w:highlight w:val="none"/>
              </w:rPr>
            </w:pPr>
            <w:r>
              <w:rPr>
                <w:rFonts w:hint="eastAsia" w:cs="宋体"/>
                <w:szCs w:val="24"/>
                <w:highlight w:val="none"/>
              </w:rPr>
              <w:t>12.1</w:t>
            </w:r>
          </w:p>
        </w:tc>
        <w:tc>
          <w:tcPr>
            <w:tcW w:w="1738" w:type="dxa"/>
            <w:vAlign w:val="center"/>
          </w:tcPr>
          <w:p w14:paraId="1E55E336">
            <w:pPr>
              <w:pStyle w:val="50"/>
              <w:spacing w:line="360" w:lineRule="auto"/>
              <w:rPr>
                <w:szCs w:val="24"/>
                <w:highlight w:val="none"/>
              </w:rPr>
            </w:pPr>
            <w:r>
              <w:rPr>
                <w:rFonts w:hint="eastAsia"/>
                <w:szCs w:val="24"/>
                <w:highlight w:val="none"/>
              </w:rPr>
              <w:t>询问</w:t>
            </w:r>
          </w:p>
        </w:tc>
        <w:tc>
          <w:tcPr>
            <w:tcW w:w="6700" w:type="dxa"/>
            <w:vAlign w:val="center"/>
          </w:tcPr>
          <w:p w14:paraId="5FFA5679">
            <w:pPr>
              <w:pStyle w:val="50"/>
              <w:spacing w:line="360" w:lineRule="auto"/>
              <w:rPr>
                <w:szCs w:val="24"/>
                <w:highlight w:val="none"/>
              </w:rPr>
            </w:pPr>
            <w:r>
              <w:rPr>
                <w:rFonts w:hint="eastAsia"/>
                <w:szCs w:val="24"/>
                <w:highlight w:val="none"/>
              </w:rPr>
              <w:t>1.方式：在投标人客户端中按照格式填写询问函，并在生成询问函后加盖电子印章提交；其他询问方式：</w:t>
            </w:r>
            <w:r>
              <w:rPr>
                <w:rFonts w:hint="eastAsia"/>
                <w:szCs w:val="24"/>
                <w:highlight w:val="none"/>
                <w:u w:val="single"/>
              </w:rPr>
              <w:t xml:space="preserve"> 电话咨询</w:t>
            </w:r>
            <w:r>
              <w:rPr>
                <w:rFonts w:hint="eastAsia"/>
                <w:szCs w:val="24"/>
                <w:highlight w:val="none"/>
              </w:rPr>
              <w:t>。</w:t>
            </w:r>
          </w:p>
          <w:p w14:paraId="21D44137">
            <w:pPr>
              <w:pStyle w:val="50"/>
              <w:spacing w:line="360" w:lineRule="auto"/>
              <w:rPr>
                <w:szCs w:val="24"/>
                <w:highlight w:val="none"/>
              </w:rPr>
            </w:pPr>
            <w:r>
              <w:rPr>
                <w:rFonts w:hint="eastAsia"/>
                <w:szCs w:val="24"/>
                <w:highlight w:val="none"/>
              </w:rPr>
              <w:t>2.时间要求： 每天上午10:00 至13:30，下午15:30至19:00（北京时间，法定节假日除外）  。</w:t>
            </w:r>
          </w:p>
        </w:tc>
      </w:tr>
      <w:tr w14:paraId="1884BC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4907D38">
            <w:pPr>
              <w:pStyle w:val="50"/>
              <w:spacing w:line="360" w:lineRule="auto"/>
              <w:jc w:val="center"/>
              <w:rPr>
                <w:rFonts w:cs="宋体"/>
                <w:szCs w:val="24"/>
                <w:highlight w:val="none"/>
              </w:rPr>
            </w:pPr>
            <w:r>
              <w:rPr>
                <w:rFonts w:hint="eastAsia" w:cs="宋体"/>
                <w:szCs w:val="24"/>
                <w:highlight w:val="none"/>
              </w:rPr>
              <w:t>14.6</w:t>
            </w:r>
          </w:p>
        </w:tc>
        <w:tc>
          <w:tcPr>
            <w:tcW w:w="1738" w:type="dxa"/>
            <w:vAlign w:val="center"/>
          </w:tcPr>
          <w:p w14:paraId="4620C0A9">
            <w:pPr>
              <w:pStyle w:val="50"/>
              <w:spacing w:line="360" w:lineRule="auto"/>
              <w:rPr>
                <w:szCs w:val="24"/>
                <w:highlight w:val="none"/>
              </w:rPr>
            </w:pPr>
            <w:r>
              <w:rPr>
                <w:rFonts w:hint="eastAsia"/>
                <w:szCs w:val="24"/>
                <w:highlight w:val="none"/>
              </w:rPr>
              <w:t>采购预算（最高限价）</w:t>
            </w:r>
          </w:p>
        </w:tc>
        <w:tc>
          <w:tcPr>
            <w:tcW w:w="6700" w:type="dxa"/>
            <w:vAlign w:val="center"/>
          </w:tcPr>
          <w:p w14:paraId="718BDBC6">
            <w:pPr>
              <w:pStyle w:val="50"/>
              <w:spacing w:line="360" w:lineRule="auto"/>
              <w:rPr>
                <w:szCs w:val="24"/>
                <w:highlight w:val="none"/>
              </w:rPr>
            </w:pPr>
            <w:r>
              <w:rPr>
                <w:rFonts w:hint="eastAsia"/>
                <w:szCs w:val="24"/>
                <w:highlight w:val="none"/>
              </w:rPr>
              <w:t>采购预算（最高限价）：</w:t>
            </w:r>
            <w:r>
              <w:rPr>
                <w:highlight w:val="none"/>
                <w:u w:val="single"/>
              </w:rPr>
              <w:t xml:space="preserve">90 </w:t>
            </w:r>
            <w:r>
              <w:rPr>
                <w:rFonts w:hint="eastAsia"/>
                <w:highlight w:val="none"/>
              </w:rPr>
              <w:t>万元，下浮/上浮比率：三去鱼类上浮率</w:t>
            </w:r>
            <w:r>
              <w:rPr>
                <w:highlight w:val="none"/>
              </w:rPr>
              <w:t>X≤35.00%；两去鱼类上浮率Y≤20.00%；其他水产下浮率Z≥10.00%;白条鸡下浮率A≥5.00%。</w:t>
            </w:r>
          </w:p>
          <w:p w14:paraId="1D7B269B">
            <w:pPr>
              <w:pStyle w:val="50"/>
              <w:spacing w:line="360" w:lineRule="auto"/>
              <w:rPr>
                <w:szCs w:val="24"/>
                <w:highlight w:val="none"/>
              </w:rPr>
            </w:pPr>
            <w:r>
              <w:rPr>
                <w:rFonts w:hint="eastAsia" w:cs="宋体"/>
                <w:highlight w:val="none"/>
              </w:rPr>
              <w:t>供应商报价应为包括但不限于全部货品价、税费、包装费、运输、调试、安装费、装卸费、必不可少的部件等费用，以及已支付或将支付的增值税和其它税费等所有费用。</w:t>
            </w:r>
          </w:p>
        </w:tc>
      </w:tr>
      <w:tr w14:paraId="0427E6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7419E66">
            <w:pPr>
              <w:pStyle w:val="50"/>
              <w:spacing w:line="360" w:lineRule="auto"/>
              <w:jc w:val="center"/>
              <w:rPr>
                <w:rFonts w:cs="宋体"/>
                <w:szCs w:val="24"/>
                <w:highlight w:val="none"/>
              </w:rPr>
            </w:pPr>
            <w:r>
              <w:rPr>
                <w:rFonts w:hint="eastAsia" w:cs="宋体"/>
                <w:szCs w:val="24"/>
                <w:highlight w:val="none"/>
              </w:rPr>
              <w:t>15.1</w:t>
            </w:r>
          </w:p>
        </w:tc>
        <w:tc>
          <w:tcPr>
            <w:tcW w:w="1738" w:type="dxa"/>
            <w:vAlign w:val="center"/>
          </w:tcPr>
          <w:p w14:paraId="6B668598">
            <w:pPr>
              <w:pStyle w:val="50"/>
              <w:spacing w:line="360" w:lineRule="auto"/>
              <w:rPr>
                <w:rFonts w:cs="宋体"/>
                <w:szCs w:val="24"/>
                <w:highlight w:val="none"/>
              </w:rPr>
            </w:pPr>
            <w:r>
              <w:rPr>
                <w:rFonts w:hint="eastAsia" w:cs="宋体"/>
                <w:szCs w:val="24"/>
                <w:highlight w:val="none"/>
              </w:rPr>
              <w:t>投标有效期</w:t>
            </w:r>
          </w:p>
        </w:tc>
        <w:tc>
          <w:tcPr>
            <w:tcW w:w="6700" w:type="dxa"/>
            <w:vAlign w:val="center"/>
          </w:tcPr>
          <w:p w14:paraId="5720108D">
            <w:pPr>
              <w:pStyle w:val="50"/>
              <w:spacing w:line="360" w:lineRule="auto"/>
              <w:rPr>
                <w:rFonts w:cs="宋体"/>
                <w:szCs w:val="24"/>
                <w:highlight w:val="none"/>
              </w:rPr>
            </w:pPr>
            <w:r>
              <w:rPr>
                <w:rFonts w:hint="eastAsia" w:cs="宋体"/>
                <w:szCs w:val="24"/>
                <w:highlight w:val="none"/>
              </w:rPr>
              <w:t>投标截止时间后</w:t>
            </w:r>
            <w:r>
              <w:rPr>
                <w:rFonts w:hint="eastAsia" w:cs="宋体"/>
                <w:szCs w:val="24"/>
                <w:highlight w:val="none"/>
                <w:u w:val="single"/>
              </w:rPr>
              <w:t>90</w:t>
            </w:r>
            <w:r>
              <w:rPr>
                <w:rFonts w:hint="eastAsia" w:cs="宋体"/>
                <w:szCs w:val="24"/>
                <w:highlight w:val="none"/>
              </w:rPr>
              <w:t>日历日。</w:t>
            </w:r>
          </w:p>
        </w:tc>
      </w:tr>
      <w:tr w14:paraId="1732E0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C7C6E5">
            <w:pPr>
              <w:pStyle w:val="50"/>
              <w:spacing w:line="360" w:lineRule="auto"/>
              <w:jc w:val="center"/>
              <w:rPr>
                <w:rFonts w:cs="宋体"/>
                <w:szCs w:val="24"/>
                <w:highlight w:val="none"/>
              </w:rPr>
            </w:pPr>
            <w:r>
              <w:rPr>
                <w:rFonts w:hint="eastAsia" w:cs="宋体"/>
                <w:szCs w:val="24"/>
                <w:highlight w:val="none"/>
              </w:rPr>
              <w:t>1</w:t>
            </w:r>
            <w:r>
              <w:rPr>
                <w:rFonts w:cs="宋体"/>
                <w:szCs w:val="24"/>
                <w:highlight w:val="none"/>
              </w:rPr>
              <w:t>6.3</w:t>
            </w:r>
          </w:p>
        </w:tc>
        <w:tc>
          <w:tcPr>
            <w:tcW w:w="1738" w:type="dxa"/>
            <w:vAlign w:val="center"/>
          </w:tcPr>
          <w:p w14:paraId="50260433">
            <w:pPr>
              <w:pStyle w:val="50"/>
              <w:spacing w:line="360" w:lineRule="auto"/>
              <w:rPr>
                <w:rFonts w:cs="宋体"/>
                <w:szCs w:val="24"/>
                <w:highlight w:val="none"/>
              </w:rPr>
            </w:pPr>
            <w:r>
              <w:rPr>
                <w:rFonts w:hint="eastAsia" w:cs="宋体"/>
                <w:szCs w:val="24"/>
                <w:highlight w:val="none"/>
              </w:rPr>
              <w:t>招标文件实质性要求的标识及非实质性要求的偏离要求</w:t>
            </w:r>
          </w:p>
        </w:tc>
        <w:tc>
          <w:tcPr>
            <w:tcW w:w="6700" w:type="dxa"/>
            <w:vAlign w:val="center"/>
          </w:tcPr>
          <w:p w14:paraId="5D7BFD87">
            <w:pPr>
              <w:pStyle w:val="50"/>
              <w:spacing w:line="360" w:lineRule="auto"/>
              <w:rPr>
                <w:rFonts w:cs="宋体"/>
                <w:szCs w:val="24"/>
                <w:highlight w:val="none"/>
              </w:rPr>
            </w:pPr>
            <w:r>
              <w:rPr>
                <w:rFonts w:hint="eastAsia" w:cs="宋体"/>
                <w:szCs w:val="24"/>
                <w:highlight w:val="none"/>
              </w:rPr>
              <w:t>（</w:t>
            </w:r>
            <w:r>
              <w:rPr>
                <w:rFonts w:cs="宋体"/>
                <w:szCs w:val="24"/>
                <w:highlight w:val="none"/>
              </w:rPr>
              <w:t>1）招标文件第三章“技术要求”中标识“</w:t>
            </w:r>
            <w:r>
              <w:rPr>
                <w:rFonts w:hint="eastAsia" w:cs="宋体"/>
                <w:szCs w:val="24"/>
                <w:highlight w:val="none"/>
              </w:rPr>
              <w:t>★</w:t>
            </w:r>
            <w:r>
              <w:rPr>
                <w:rFonts w:cs="宋体"/>
                <w:szCs w:val="24"/>
                <w:highlight w:val="none"/>
              </w:rPr>
              <w:t>”的条款</w:t>
            </w:r>
            <w:r>
              <w:rPr>
                <w:rFonts w:hint="eastAsia" w:cs="宋体"/>
                <w:szCs w:val="24"/>
                <w:highlight w:val="none"/>
              </w:rPr>
              <w:t>（如果有）</w:t>
            </w:r>
            <w:r>
              <w:rPr>
                <w:rFonts w:cs="宋体"/>
                <w:szCs w:val="24"/>
                <w:highlight w:val="none"/>
              </w:rPr>
              <w:t>，均为实质性条款</w:t>
            </w:r>
            <w:r>
              <w:rPr>
                <w:rFonts w:hint="eastAsia" w:cs="宋体"/>
                <w:szCs w:val="24"/>
                <w:highlight w:val="none"/>
              </w:rPr>
              <w:t>；</w:t>
            </w:r>
            <w:r>
              <w:rPr>
                <w:rFonts w:cs="宋体"/>
                <w:szCs w:val="24"/>
                <w:highlight w:val="none"/>
              </w:rPr>
              <w:t>“商务要求”中实质性要求详见“实质性响应一览表”，投标人任何不满足实质性条款的投标均将被否决。</w:t>
            </w:r>
          </w:p>
          <w:p w14:paraId="78BA1E8C">
            <w:pPr>
              <w:pStyle w:val="50"/>
              <w:spacing w:line="360" w:lineRule="auto"/>
              <w:rPr>
                <w:rFonts w:cs="宋体"/>
                <w:szCs w:val="24"/>
                <w:highlight w:val="none"/>
              </w:rPr>
            </w:pPr>
            <w:r>
              <w:rPr>
                <w:rFonts w:hint="eastAsia" w:cs="宋体"/>
                <w:szCs w:val="24"/>
                <w:highlight w:val="none"/>
              </w:rPr>
              <w:t>（</w:t>
            </w:r>
            <w:r>
              <w:rPr>
                <w:rFonts w:cs="宋体"/>
                <w:szCs w:val="24"/>
                <w:highlight w:val="none"/>
              </w:rPr>
              <w:t>2）非实质性要求的偏离要求：商务要求和技术要求中重要参数（标记“</w:t>
            </w:r>
            <w:r>
              <w:rPr>
                <w:rFonts w:hint="eastAsia" w:cs="宋体"/>
                <w:szCs w:val="24"/>
                <w:highlight w:val="none"/>
              </w:rPr>
              <w:t>▲</w:t>
            </w:r>
            <w:r>
              <w:rPr>
                <w:rFonts w:cs="宋体"/>
                <w:szCs w:val="24"/>
                <w:highlight w:val="none"/>
              </w:rPr>
              <w:t>”）允许最大偏离项为</w:t>
            </w:r>
            <w:r>
              <w:rPr>
                <w:rFonts w:cs="宋体"/>
                <w:szCs w:val="24"/>
                <w:highlight w:val="none"/>
                <w:u w:val="single"/>
              </w:rPr>
              <w:t>\</w:t>
            </w:r>
            <w:r>
              <w:rPr>
                <w:rFonts w:cs="宋体"/>
                <w:szCs w:val="24"/>
                <w:highlight w:val="none"/>
              </w:rPr>
              <w:t>项，一般参数（无标记）</w:t>
            </w:r>
            <w:r>
              <w:rPr>
                <w:rFonts w:hint="eastAsia" w:cs="宋体"/>
                <w:szCs w:val="24"/>
                <w:highlight w:val="none"/>
              </w:rPr>
              <w:t>（如果需要：</w:t>
            </w:r>
            <w:r>
              <w:rPr>
                <w:rFonts w:cs="宋体"/>
                <w:szCs w:val="24"/>
                <w:highlight w:val="none"/>
              </w:rPr>
              <w:t>允许最大偏离项为</w:t>
            </w:r>
            <w:r>
              <w:rPr>
                <w:rFonts w:cs="宋体"/>
                <w:szCs w:val="24"/>
                <w:highlight w:val="none"/>
                <w:u w:val="single"/>
              </w:rPr>
              <w:t>\</w:t>
            </w:r>
            <w:r>
              <w:rPr>
                <w:rFonts w:cs="宋体"/>
                <w:szCs w:val="24"/>
                <w:highlight w:val="none"/>
              </w:rPr>
              <w:t>项，超过最大偏离项的，视为重大偏差，投标无效</w:t>
            </w:r>
            <w:r>
              <w:rPr>
                <w:rFonts w:hint="eastAsia" w:cs="宋体"/>
                <w:szCs w:val="24"/>
                <w:highlight w:val="none"/>
              </w:rPr>
              <w:t>）</w:t>
            </w:r>
            <w:r>
              <w:rPr>
                <w:rFonts w:cs="宋体"/>
                <w:szCs w:val="24"/>
                <w:highlight w:val="none"/>
              </w:rPr>
              <w:t>。</w:t>
            </w:r>
          </w:p>
        </w:tc>
      </w:tr>
      <w:tr w14:paraId="735FAA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8" w:hRule="atLeast"/>
        </w:trPr>
        <w:tc>
          <w:tcPr>
            <w:tcW w:w="970" w:type="dxa"/>
            <w:vAlign w:val="center"/>
          </w:tcPr>
          <w:p w14:paraId="15D715CD">
            <w:pPr>
              <w:pStyle w:val="50"/>
              <w:spacing w:line="360" w:lineRule="auto"/>
              <w:jc w:val="center"/>
              <w:rPr>
                <w:rFonts w:cs="宋体"/>
                <w:szCs w:val="24"/>
                <w:highlight w:val="none"/>
              </w:rPr>
            </w:pPr>
            <w:r>
              <w:rPr>
                <w:rFonts w:hint="eastAsia" w:cs="宋体"/>
                <w:szCs w:val="24"/>
                <w:highlight w:val="none"/>
              </w:rPr>
              <w:t>17.1</w:t>
            </w:r>
          </w:p>
        </w:tc>
        <w:tc>
          <w:tcPr>
            <w:tcW w:w="1738" w:type="dxa"/>
            <w:vAlign w:val="center"/>
          </w:tcPr>
          <w:p w14:paraId="776C1929">
            <w:pPr>
              <w:pStyle w:val="50"/>
              <w:spacing w:line="360" w:lineRule="auto"/>
              <w:rPr>
                <w:rFonts w:cs="宋体"/>
                <w:szCs w:val="24"/>
                <w:highlight w:val="none"/>
              </w:rPr>
            </w:pPr>
            <w:r>
              <w:rPr>
                <w:rFonts w:hint="eastAsia" w:cs="宋体"/>
                <w:szCs w:val="24"/>
                <w:highlight w:val="none"/>
              </w:rPr>
              <w:t>投标保证金</w:t>
            </w:r>
          </w:p>
        </w:tc>
        <w:tc>
          <w:tcPr>
            <w:tcW w:w="6700" w:type="dxa"/>
            <w:vAlign w:val="center"/>
          </w:tcPr>
          <w:p w14:paraId="090E22DF">
            <w:pPr>
              <w:pStyle w:val="54"/>
              <w:spacing w:line="360" w:lineRule="auto"/>
              <w:rPr>
                <w:rFonts w:ascii="宋体" w:hAnsi="宋体" w:cs="宋体"/>
                <w:sz w:val="24"/>
                <w:szCs w:val="24"/>
                <w:highlight w:val="none"/>
              </w:rPr>
            </w:pPr>
            <w:r>
              <w:rPr>
                <w:rFonts w:hint="eastAsia" w:ascii="宋体" w:hAnsi="宋体" w:cs="宋体"/>
                <w:sz w:val="24"/>
                <w:szCs w:val="24"/>
                <w:highlight w:val="none"/>
              </w:rPr>
              <w:t>1.金额：</w:t>
            </w:r>
          </w:p>
          <w:p w14:paraId="7E5C8AEB">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□免收</w:t>
            </w:r>
          </w:p>
          <w:p w14:paraId="3F4A4545">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□预算金额的   %。</w:t>
            </w:r>
          </w:p>
          <w:p w14:paraId="1F503120">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☑定额收取：人民币</w:t>
            </w:r>
            <w:r>
              <w:rPr>
                <w:rFonts w:ascii="宋体" w:hAnsi="宋体" w:cs="宋体"/>
                <w:sz w:val="24"/>
                <w:szCs w:val="24"/>
                <w:highlight w:val="none"/>
              </w:rPr>
              <w:t>9000</w:t>
            </w:r>
            <w:r>
              <w:rPr>
                <w:rFonts w:hint="eastAsia" w:ascii="宋体" w:hAnsi="宋体" w:cs="宋体"/>
                <w:sz w:val="24"/>
                <w:szCs w:val="24"/>
                <w:highlight w:val="none"/>
              </w:rPr>
              <w:t>元。</w:t>
            </w:r>
          </w:p>
          <w:p w14:paraId="62794FEC">
            <w:pPr>
              <w:pStyle w:val="54"/>
              <w:spacing w:line="360" w:lineRule="auto"/>
              <w:rPr>
                <w:rFonts w:ascii="宋体" w:hAnsi="宋体" w:cs="宋体"/>
                <w:sz w:val="24"/>
                <w:szCs w:val="24"/>
                <w:highlight w:val="none"/>
              </w:rPr>
            </w:pPr>
            <w:r>
              <w:rPr>
                <w:rFonts w:hint="eastAsia" w:ascii="宋体" w:hAnsi="宋体" w:cs="宋体"/>
                <w:sz w:val="24"/>
                <w:szCs w:val="24"/>
                <w:highlight w:val="none"/>
              </w:rPr>
              <w:t>2.支付方式：</w:t>
            </w:r>
          </w:p>
          <w:p w14:paraId="62FBEC85">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包括在中国注册的银行出具的银行保函、银行汇款、支票、汇票以及其他在中国注册的机构依法出具的投标保函、保险等，以银行汇款、支票、汇票等形式提交的投标保证金应当从投标人基本账户转出。</w:t>
            </w:r>
          </w:p>
          <w:p w14:paraId="75AD97B5">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 xml:space="preserve">3.收取单位：国义招标股份有限公司新疆分公司                            </w:t>
            </w:r>
          </w:p>
          <w:p w14:paraId="1FA20274">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4.收取账号：991903098610801</w:t>
            </w:r>
          </w:p>
          <w:p w14:paraId="2544CDD2">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 xml:space="preserve">5.开户行：招商银行乌鲁木齐西虹东路支行 </w:t>
            </w:r>
          </w:p>
          <w:p w14:paraId="5B98B52C">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注意事项：</w:t>
            </w:r>
          </w:p>
          <w:p w14:paraId="0C6B488E">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1.采用电汇或转账时，需附注：（项目编号后6位数+保证金），</w:t>
            </w:r>
            <w:r>
              <w:rPr>
                <w:rFonts w:hint="eastAsia" w:ascii="宋体" w:hAnsi="宋体" w:cs="宋体"/>
                <w:sz w:val="24"/>
                <w:szCs w:val="24"/>
                <w:highlight w:val="none"/>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0ACB34D3">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30B62FD6">
            <w:pPr>
              <w:pStyle w:val="54"/>
              <w:spacing w:line="360" w:lineRule="auto"/>
              <w:ind w:firstLine="240" w:firstLineChars="100"/>
              <w:rPr>
                <w:rFonts w:ascii="宋体" w:hAns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.以上各类机构出具的以担保函、保证保险承担责任的方式均须满足无条件见索即付条件。</w:t>
            </w:r>
          </w:p>
          <w:p w14:paraId="5855EC86">
            <w:pPr>
              <w:pStyle w:val="54"/>
              <w:spacing w:line="360" w:lineRule="auto"/>
              <w:ind w:firstLine="240" w:firstLineChars="100"/>
              <w:rPr>
                <w:rFonts w:ascii="宋体" w:hAns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.以担保函、保证保险形式缴纳投标保证金的，受益人和收取单位须为采购人。</w:t>
            </w:r>
          </w:p>
        </w:tc>
      </w:tr>
      <w:tr w14:paraId="12AA9B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44" w:hRule="atLeast"/>
        </w:trPr>
        <w:tc>
          <w:tcPr>
            <w:tcW w:w="970" w:type="dxa"/>
            <w:vAlign w:val="center"/>
          </w:tcPr>
          <w:p w14:paraId="382EC137">
            <w:pPr>
              <w:pStyle w:val="50"/>
              <w:spacing w:line="360" w:lineRule="auto"/>
              <w:jc w:val="center"/>
              <w:rPr>
                <w:rFonts w:cs="宋体"/>
                <w:szCs w:val="24"/>
                <w:highlight w:val="none"/>
              </w:rPr>
            </w:pPr>
            <w:r>
              <w:rPr>
                <w:rFonts w:hint="eastAsia" w:cs="宋体"/>
                <w:szCs w:val="24"/>
                <w:highlight w:val="none"/>
              </w:rPr>
              <w:t>22</w:t>
            </w:r>
          </w:p>
        </w:tc>
        <w:tc>
          <w:tcPr>
            <w:tcW w:w="1738" w:type="dxa"/>
            <w:vAlign w:val="center"/>
          </w:tcPr>
          <w:p w14:paraId="74B71BA4">
            <w:pPr>
              <w:pStyle w:val="50"/>
              <w:spacing w:line="360" w:lineRule="auto"/>
              <w:rPr>
                <w:rFonts w:cs="宋体"/>
                <w:szCs w:val="24"/>
                <w:highlight w:val="none"/>
              </w:rPr>
            </w:pPr>
            <w:r>
              <w:rPr>
                <w:rFonts w:hint="eastAsia" w:cs="宋体"/>
                <w:szCs w:val="24"/>
                <w:highlight w:val="none"/>
              </w:rPr>
              <w:t>实物样品</w:t>
            </w:r>
          </w:p>
        </w:tc>
        <w:tc>
          <w:tcPr>
            <w:tcW w:w="6700" w:type="dxa"/>
            <w:vAlign w:val="center"/>
          </w:tcPr>
          <w:p w14:paraId="2FAC596A">
            <w:pPr>
              <w:pStyle w:val="50"/>
              <w:spacing w:line="360" w:lineRule="auto"/>
              <w:rPr>
                <w:rFonts w:cs="宋体"/>
                <w:szCs w:val="24"/>
                <w:highlight w:val="none"/>
              </w:rPr>
            </w:pPr>
            <w:r>
              <w:rPr>
                <w:rFonts w:hint="eastAsia" w:cs="宋体"/>
                <w:szCs w:val="24"/>
                <w:highlight w:val="none"/>
              </w:rPr>
              <w:t xml:space="preserve">投标样品递交： </w:t>
            </w:r>
          </w:p>
          <w:p w14:paraId="01EF14A6">
            <w:pPr>
              <w:pStyle w:val="50"/>
              <w:spacing w:line="360" w:lineRule="auto"/>
              <w:rPr>
                <w:rFonts w:cs="宋体"/>
                <w:szCs w:val="24"/>
                <w:highlight w:val="none"/>
              </w:rPr>
            </w:pPr>
            <w:r>
              <w:rPr>
                <w:rFonts w:hint="eastAsia" w:cs="宋体"/>
                <w:szCs w:val="24"/>
                <w:highlight w:val="none"/>
              </w:rPr>
              <w:t xml:space="preserve">☑不需要 </w:t>
            </w:r>
          </w:p>
          <w:p w14:paraId="4BF7CF50">
            <w:pPr>
              <w:pStyle w:val="50"/>
              <w:spacing w:line="360" w:lineRule="auto"/>
              <w:rPr>
                <w:rFonts w:cs="宋体"/>
                <w:szCs w:val="24"/>
                <w:highlight w:val="none"/>
              </w:rPr>
            </w:pPr>
            <w:r>
              <w:rPr>
                <w:rFonts w:hint="eastAsia" w:cs="宋体"/>
                <w:szCs w:val="24"/>
                <w:highlight w:val="none"/>
              </w:rPr>
              <w:t xml:space="preserve">□需要，具体要求如下： </w:t>
            </w:r>
          </w:p>
          <w:p w14:paraId="7CD913F1">
            <w:pPr>
              <w:pStyle w:val="50"/>
              <w:spacing w:line="360" w:lineRule="auto"/>
              <w:rPr>
                <w:rFonts w:cs="宋体"/>
                <w:szCs w:val="24"/>
                <w:highlight w:val="none"/>
              </w:rPr>
            </w:pPr>
            <w:r>
              <w:rPr>
                <w:rFonts w:hint="eastAsia" w:cs="宋体"/>
                <w:szCs w:val="24"/>
                <w:highlight w:val="none"/>
              </w:rPr>
              <w:t xml:space="preserve">  1.样品制作的标准和要求：</w:t>
            </w:r>
            <w:r>
              <w:rPr>
                <w:rFonts w:hint="eastAsia" w:cs="宋体"/>
                <w:szCs w:val="24"/>
                <w:highlight w:val="none"/>
                <w:u w:val="single"/>
              </w:rPr>
              <w:t>/</w:t>
            </w:r>
            <w:r>
              <w:rPr>
                <w:rFonts w:hint="eastAsia" w:cs="宋体"/>
                <w:szCs w:val="24"/>
                <w:highlight w:val="none"/>
              </w:rPr>
              <w:t xml:space="preserve">； </w:t>
            </w:r>
          </w:p>
          <w:p w14:paraId="2EDEFA44">
            <w:pPr>
              <w:pStyle w:val="50"/>
              <w:spacing w:line="360" w:lineRule="auto"/>
              <w:rPr>
                <w:rFonts w:cs="宋体"/>
                <w:szCs w:val="24"/>
                <w:highlight w:val="none"/>
              </w:rPr>
            </w:pPr>
            <w:r>
              <w:rPr>
                <w:rFonts w:hint="eastAsia" w:cs="宋体"/>
                <w:szCs w:val="24"/>
                <w:highlight w:val="none"/>
              </w:rPr>
              <w:t xml:space="preserve">  2.是否需要随样品提交相关检测报告： </w:t>
            </w:r>
          </w:p>
          <w:p w14:paraId="3B33C3F7">
            <w:pPr>
              <w:pStyle w:val="50"/>
              <w:spacing w:line="360" w:lineRule="auto"/>
              <w:ind w:firstLine="480" w:firstLineChars="200"/>
              <w:rPr>
                <w:rFonts w:cs="宋体"/>
                <w:szCs w:val="24"/>
                <w:highlight w:val="none"/>
              </w:rPr>
            </w:pPr>
            <w:r>
              <w:rPr>
                <w:rFonts w:hint="eastAsia" w:cs="宋体"/>
                <w:szCs w:val="24"/>
                <w:highlight w:val="none"/>
              </w:rPr>
              <w:t xml:space="preserve">□不需要 </w:t>
            </w:r>
          </w:p>
          <w:p w14:paraId="4BF1BC96">
            <w:pPr>
              <w:pStyle w:val="50"/>
              <w:spacing w:line="360" w:lineRule="auto"/>
              <w:ind w:firstLine="480" w:firstLineChars="200"/>
              <w:rPr>
                <w:rFonts w:cs="宋体"/>
                <w:szCs w:val="24"/>
                <w:highlight w:val="none"/>
              </w:rPr>
            </w:pPr>
            <w:r>
              <w:rPr>
                <w:rFonts w:hint="eastAsia" w:cs="宋体"/>
                <w:szCs w:val="24"/>
                <w:highlight w:val="none"/>
              </w:rPr>
              <w:t xml:space="preserve">□需要 </w:t>
            </w:r>
          </w:p>
          <w:p w14:paraId="13DCA8E0">
            <w:pPr>
              <w:pStyle w:val="50"/>
              <w:spacing w:line="360" w:lineRule="auto"/>
              <w:ind w:firstLine="240" w:firstLineChars="100"/>
              <w:rPr>
                <w:rFonts w:cs="宋体"/>
                <w:szCs w:val="24"/>
                <w:highlight w:val="none"/>
              </w:rPr>
            </w:pPr>
            <w:r>
              <w:rPr>
                <w:rFonts w:hint="eastAsia" w:cs="宋体"/>
                <w:szCs w:val="24"/>
                <w:highlight w:val="none"/>
              </w:rPr>
              <w:t>3.样品递交要求：递交时间：</w:t>
            </w:r>
            <w:r>
              <w:rPr>
                <w:rFonts w:hint="eastAsia" w:cs="宋体"/>
                <w:szCs w:val="24"/>
                <w:highlight w:val="none"/>
                <w:u w:val="single"/>
              </w:rPr>
              <w:t xml:space="preserve">  /  </w:t>
            </w:r>
            <w:r>
              <w:rPr>
                <w:rFonts w:hint="eastAsia" w:cs="宋体"/>
                <w:szCs w:val="24"/>
                <w:highlight w:val="none"/>
              </w:rPr>
              <w:t xml:space="preserve"> ，</w:t>
            </w:r>
          </w:p>
          <w:p w14:paraId="13475FD0">
            <w:pPr>
              <w:pStyle w:val="50"/>
              <w:spacing w:line="360" w:lineRule="auto"/>
              <w:rPr>
                <w:rFonts w:cs="宋体"/>
                <w:szCs w:val="24"/>
                <w:highlight w:val="none"/>
              </w:rPr>
            </w:pPr>
            <w:r>
              <w:rPr>
                <w:rFonts w:hint="eastAsia" w:cs="宋体"/>
                <w:szCs w:val="24"/>
                <w:highlight w:val="none"/>
              </w:rPr>
              <w:t>递交地点：</w:t>
            </w:r>
            <w:r>
              <w:rPr>
                <w:rFonts w:hint="eastAsia" w:cs="宋体"/>
                <w:szCs w:val="24"/>
                <w:highlight w:val="none"/>
                <w:u w:val="single"/>
              </w:rPr>
              <w:t xml:space="preserve">   /   </w:t>
            </w:r>
            <w:r>
              <w:rPr>
                <w:rFonts w:hint="eastAsia" w:cs="宋体"/>
                <w:szCs w:val="24"/>
                <w:highlight w:val="none"/>
              </w:rPr>
              <w:t xml:space="preserve">，逾期提供的样品将不予接受。 </w:t>
            </w:r>
          </w:p>
          <w:p w14:paraId="34335826">
            <w:pPr>
              <w:pStyle w:val="50"/>
              <w:spacing w:line="360" w:lineRule="auto"/>
              <w:rPr>
                <w:rFonts w:cs="宋体"/>
                <w:szCs w:val="24"/>
                <w:highlight w:val="none"/>
              </w:rPr>
            </w:pPr>
            <w:r>
              <w:rPr>
                <w:rFonts w:hint="eastAsia" w:cs="宋体"/>
                <w:szCs w:val="24"/>
                <w:highlight w:val="none"/>
              </w:rPr>
              <w:t xml:space="preserve">  4.未中标人样品退还：</w:t>
            </w:r>
            <w:r>
              <w:rPr>
                <w:rFonts w:hint="eastAsia" w:cs="宋体"/>
                <w:szCs w:val="24"/>
                <w:highlight w:val="none"/>
                <w:u w:val="single"/>
              </w:rPr>
              <w:t xml:space="preserve">/ </w:t>
            </w:r>
            <w:r>
              <w:rPr>
                <w:rFonts w:hint="eastAsia" w:cs="宋体"/>
                <w:szCs w:val="24"/>
                <w:highlight w:val="none"/>
              </w:rPr>
              <w:t xml:space="preserve">； </w:t>
            </w:r>
          </w:p>
          <w:p w14:paraId="30C97C60">
            <w:pPr>
              <w:pStyle w:val="50"/>
              <w:spacing w:line="360" w:lineRule="auto"/>
              <w:rPr>
                <w:rFonts w:cs="宋体"/>
                <w:szCs w:val="24"/>
                <w:highlight w:val="none"/>
              </w:rPr>
            </w:pPr>
            <w:r>
              <w:rPr>
                <w:rFonts w:hint="eastAsia" w:cs="宋体"/>
                <w:szCs w:val="24"/>
                <w:highlight w:val="none"/>
              </w:rPr>
              <w:t xml:space="preserve">  5.中标人样品保管、封存及退还：</w:t>
            </w:r>
            <w:r>
              <w:rPr>
                <w:rFonts w:hint="eastAsia" w:cs="宋体"/>
                <w:szCs w:val="24"/>
                <w:highlight w:val="none"/>
                <w:u w:val="single"/>
              </w:rPr>
              <w:t>/</w:t>
            </w:r>
            <w:r>
              <w:rPr>
                <w:rFonts w:hint="eastAsia" w:cs="宋体"/>
                <w:szCs w:val="24"/>
                <w:highlight w:val="none"/>
              </w:rPr>
              <w:t xml:space="preserve">； </w:t>
            </w:r>
          </w:p>
          <w:p w14:paraId="3CB54F29">
            <w:pPr>
              <w:pStyle w:val="50"/>
              <w:spacing w:line="360" w:lineRule="auto"/>
              <w:rPr>
                <w:rFonts w:cs="宋体"/>
                <w:szCs w:val="24"/>
                <w:highlight w:val="none"/>
              </w:rPr>
            </w:pPr>
            <w:r>
              <w:rPr>
                <w:rFonts w:hint="eastAsia" w:cs="宋体"/>
                <w:szCs w:val="24"/>
                <w:highlight w:val="none"/>
              </w:rPr>
              <w:t xml:space="preserve">  6.其他要求（如有）：_</w:t>
            </w:r>
            <w:r>
              <w:rPr>
                <w:rFonts w:hint="eastAsia" w:cs="宋体"/>
                <w:szCs w:val="24"/>
                <w:highlight w:val="none"/>
                <w:u w:val="single"/>
              </w:rPr>
              <w:t>/</w:t>
            </w:r>
            <w:r>
              <w:rPr>
                <w:rFonts w:hint="eastAsia" w:cs="宋体"/>
                <w:szCs w:val="24"/>
                <w:highlight w:val="none"/>
              </w:rPr>
              <w:t xml:space="preserve">_。 </w:t>
            </w:r>
          </w:p>
        </w:tc>
      </w:tr>
      <w:tr w14:paraId="69C32E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60A5228">
            <w:pPr>
              <w:pStyle w:val="50"/>
              <w:spacing w:line="360" w:lineRule="auto"/>
              <w:jc w:val="center"/>
              <w:rPr>
                <w:rFonts w:cs="宋体"/>
                <w:szCs w:val="24"/>
                <w:highlight w:val="none"/>
              </w:rPr>
            </w:pPr>
            <w:r>
              <w:rPr>
                <w:rFonts w:hint="eastAsia" w:cs="宋体"/>
                <w:szCs w:val="24"/>
                <w:highlight w:val="none"/>
              </w:rPr>
              <w:t>23.1</w:t>
            </w:r>
          </w:p>
        </w:tc>
        <w:tc>
          <w:tcPr>
            <w:tcW w:w="1738" w:type="dxa"/>
            <w:vAlign w:val="center"/>
          </w:tcPr>
          <w:p w14:paraId="44FE909D">
            <w:pPr>
              <w:pStyle w:val="50"/>
              <w:spacing w:line="360" w:lineRule="auto"/>
              <w:rPr>
                <w:rFonts w:cs="宋体"/>
                <w:szCs w:val="24"/>
                <w:highlight w:val="none"/>
              </w:rPr>
            </w:pPr>
            <w:r>
              <w:rPr>
                <w:rFonts w:hint="eastAsia" w:cs="宋体"/>
                <w:szCs w:val="24"/>
                <w:highlight w:val="none"/>
              </w:rPr>
              <w:t>演示</w:t>
            </w:r>
          </w:p>
        </w:tc>
        <w:tc>
          <w:tcPr>
            <w:tcW w:w="6700" w:type="dxa"/>
            <w:vAlign w:val="center"/>
          </w:tcPr>
          <w:p w14:paraId="74FEA6D5">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不进行</w:t>
            </w:r>
          </w:p>
          <w:p w14:paraId="68532460">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进行，远程线上演示/现场演示</w:t>
            </w:r>
          </w:p>
          <w:p w14:paraId="58A75F66">
            <w:pPr>
              <w:pStyle w:val="50"/>
              <w:spacing w:line="360" w:lineRule="auto"/>
              <w:ind w:firstLine="240" w:firstLineChars="100"/>
              <w:rPr>
                <w:rFonts w:cs="宋体"/>
                <w:szCs w:val="24"/>
                <w:highlight w:val="none"/>
              </w:rPr>
            </w:pPr>
            <w:r>
              <w:rPr>
                <w:rFonts w:hint="eastAsia" w:cs="宋体"/>
                <w:szCs w:val="24"/>
                <w:highlight w:val="none"/>
              </w:rPr>
              <w:t>1.演示时间不得超过</w:t>
            </w:r>
            <w:r>
              <w:rPr>
                <w:rFonts w:hint="eastAsia" w:cs="宋体"/>
                <w:szCs w:val="24"/>
                <w:highlight w:val="none"/>
                <w:u w:val="single"/>
              </w:rPr>
              <w:t xml:space="preserve">   </w:t>
            </w:r>
            <w:r>
              <w:rPr>
                <w:rFonts w:hint="eastAsia" w:cs="宋体"/>
                <w:szCs w:val="24"/>
                <w:highlight w:val="none"/>
              </w:rPr>
              <w:t>分钟；</w:t>
            </w:r>
          </w:p>
          <w:p w14:paraId="2803B4CE">
            <w:pPr>
              <w:pStyle w:val="50"/>
              <w:spacing w:line="360" w:lineRule="auto"/>
              <w:ind w:firstLine="240" w:firstLineChars="100"/>
              <w:rPr>
                <w:rFonts w:cs="宋体"/>
                <w:szCs w:val="24"/>
                <w:highlight w:val="none"/>
              </w:rPr>
            </w:pPr>
            <w:r>
              <w:rPr>
                <w:rFonts w:hint="eastAsia" w:cs="宋体"/>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13C1A21">
            <w:pPr>
              <w:pStyle w:val="50"/>
              <w:spacing w:line="360" w:lineRule="auto"/>
              <w:ind w:firstLine="240" w:firstLineChars="100"/>
              <w:rPr>
                <w:rFonts w:cs="宋体"/>
                <w:szCs w:val="24"/>
                <w:highlight w:val="none"/>
              </w:rPr>
            </w:pPr>
            <w:r>
              <w:rPr>
                <w:rFonts w:hint="eastAsia" w:cs="宋体"/>
                <w:szCs w:val="24"/>
                <w:highlight w:val="none"/>
              </w:rPr>
              <w:t>3.进行现场演示的，演示人员不得超过</w:t>
            </w:r>
            <w:r>
              <w:rPr>
                <w:rFonts w:hint="eastAsia" w:cs="宋体"/>
                <w:szCs w:val="24"/>
                <w:highlight w:val="none"/>
                <w:u w:val="single"/>
              </w:rPr>
              <w:t xml:space="preserve">  </w:t>
            </w:r>
            <w:r>
              <w:rPr>
                <w:rFonts w:hint="eastAsia" w:cs="宋体"/>
                <w:szCs w:val="24"/>
                <w:highlight w:val="none"/>
              </w:rPr>
              <w:t>人，演示现场提供</w:t>
            </w:r>
            <w:r>
              <w:rPr>
                <w:rFonts w:hint="eastAsia" w:cs="宋体"/>
                <w:szCs w:val="24"/>
                <w:highlight w:val="none"/>
                <w:u w:val="single"/>
              </w:rPr>
              <w:t xml:space="preserve">       </w:t>
            </w:r>
            <w:r>
              <w:rPr>
                <w:rFonts w:hint="eastAsia" w:cs="宋体"/>
                <w:szCs w:val="24"/>
                <w:highlight w:val="none"/>
              </w:rPr>
              <w:t>。</w:t>
            </w:r>
          </w:p>
        </w:tc>
      </w:tr>
      <w:tr w14:paraId="17AAB3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7FEBB96B">
            <w:pPr>
              <w:pStyle w:val="50"/>
              <w:spacing w:line="360" w:lineRule="auto"/>
              <w:jc w:val="center"/>
              <w:rPr>
                <w:rFonts w:cs="宋体"/>
                <w:szCs w:val="24"/>
                <w:highlight w:val="none"/>
              </w:rPr>
            </w:pPr>
            <w:r>
              <w:rPr>
                <w:rFonts w:hint="eastAsia" w:cs="宋体"/>
                <w:szCs w:val="24"/>
                <w:highlight w:val="none"/>
              </w:rPr>
              <w:t>25.3</w:t>
            </w:r>
          </w:p>
        </w:tc>
        <w:tc>
          <w:tcPr>
            <w:tcW w:w="1738" w:type="dxa"/>
            <w:vAlign w:val="center"/>
          </w:tcPr>
          <w:p w14:paraId="11354C17">
            <w:pPr>
              <w:pStyle w:val="50"/>
              <w:spacing w:line="360" w:lineRule="auto"/>
              <w:rPr>
                <w:rFonts w:cs="宋体"/>
                <w:szCs w:val="24"/>
                <w:highlight w:val="none"/>
              </w:rPr>
            </w:pPr>
            <w:r>
              <w:rPr>
                <w:rFonts w:hint="eastAsia" w:cs="宋体"/>
                <w:szCs w:val="24"/>
                <w:highlight w:val="none"/>
              </w:rPr>
              <w:t>解密投标文件的时限</w:t>
            </w:r>
          </w:p>
        </w:tc>
        <w:tc>
          <w:tcPr>
            <w:tcW w:w="6700" w:type="dxa"/>
            <w:vAlign w:val="center"/>
          </w:tcPr>
          <w:p w14:paraId="44B4B88A">
            <w:pPr>
              <w:pStyle w:val="50"/>
              <w:spacing w:line="360" w:lineRule="auto"/>
              <w:rPr>
                <w:rFonts w:cs="宋体"/>
                <w:szCs w:val="24"/>
                <w:highlight w:val="none"/>
              </w:rPr>
            </w:pPr>
            <w:r>
              <w:rPr>
                <w:rFonts w:hint="eastAsia" w:cs="宋体"/>
                <w:szCs w:val="24"/>
                <w:highlight w:val="none"/>
              </w:rPr>
              <w:t>不见面开标默认解密时长：</w:t>
            </w:r>
            <w:r>
              <w:rPr>
                <w:rFonts w:hint="eastAsia" w:cs="宋体"/>
                <w:szCs w:val="24"/>
                <w:highlight w:val="none"/>
                <w:u w:val="single"/>
              </w:rPr>
              <w:t xml:space="preserve"> 30</w:t>
            </w:r>
            <w:r>
              <w:rPr>
                <w:rFonts w:hint="eastAsia" w:cs="宋体"/>
                <w:szCs w:val="24"/>
                <w:highlight w:val="none"/>
              </w:rPr>
              <w:t xml:space="preserve">分钟。 </w:t>
            </w:r>
          </w:p>
          <w:p w14:paraId="64186A16">
            <w:pPr>
              <w:pStyle w:val="50"/>
              <w:spacing w:line="360" w:lineRule="auto"/>
              <w:rPr>
                <w:rFonts w:cs="宋体"/>
                <w:szCs w:val="24"/>
                <w:highlight w:val="none"/>
              </w:rPr>
            </w:pPr>
            <w:r>
              <w:rPr>
                <w:rFonts w:hint="eastAsia" w:cs="宋体"/>
                <w:szCs w:val="24"/>
                <w:highlight w:val="none"/>
              </w:rPr>
              <w:t>除因交易平台发生故障导致投标文件无法按时解密外，投标文件未按时解密的，视为未按规定提交投标文件。</w:t>
            </w:r>
          </w:p>
        </w:tc>
      </w:tr>
      <w:tr w14:paraId="707D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0ABB939F">
            <w:pPr>
              <w:pStyle w:val="50"/>
              <w:spacing w:line="360" w:lineRule="auto"/>
              <w:jc w:val="center"/>
              <w:rPr>
                <w:rFonts w:cs="宋体"/>
                <w:szCs w:val="24"/>
                <w:highlight w:val="none"/>
              </w:rPr>
            </w:pPr>
            <w:r>
              <w:rPr>
                <w:rFonts w:hint="eastAsia" w:cs="宋体"/>
                <w:szCs w:val="24"/>
                <w:highlight w:val="none"/>
              </w:rPr>
              <w:t>29.1</w:t>
            </w:r>
          </w:p>
        </w:tc>
        <w:tc>
          <w:tcPr>
            <w:tcW w:w="1738" w:type="dxa"/>
            <w:vAlign w:val="center"/>
          </w:tcPr>
          <w:p w14:paraId="591AEED6">
            <w:pPr>
              <w:pStyle w:val="50"/>
              <w:spacing w:line="360" w:lineRule="auto"/>
              <w:rPr>
                <w:rFonts w:cs="宋体"/>
                <w:szCs w:val="24"/>
                <w:highlight w:val="none"/>
              </w:rPr>
            </w:pPr>
            <w:r>
              <w:rPr>
                <w:rFonts w:hint="eastAsia" w:cs="宋体"/>
                <w:szCs w:val="24"/>
                <w:highlight w:val="none"/>
              </w:rPr>
              <w:t>评标方法</w:t>
            </w:r>
          </w:p>
        </w:tc>
        <w:tc>
          <w:tcPr>
            <w:tcW w:w="6700" w:type="dxa"/>
            <w:vAlign w:val="center"/>
          </w:tcPr>
          <w:p w14:paraId="79496ACB">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综合评分法</w:t>
            </w:r>
          </w:p>
          <w:p w14:paraId="1092F2E6">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最低评标价法</w:t>
            </w:r>
          </w:p>
        </w:tc>
      </w:tr>
      <w:tr w14:paraId="3B48CA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0854F453">
            <w:pPr>
              <w:pStyle w:val="50"/>
              <w:spacing w:line="360" w:lineRule="auto"/>
              <w:jc w:val="center"/>
              <w:rPr>
                <w:rFonts w:cs="宋体"/>
                <w:szCs w:val="24"/>
                <w:highlight w:val="none"/>
              </w:rPr>
            </w:pPr>
            <w:r>
              <w:rPr>
                <w:rFonts w:hint="eastAsia" w:cs="宋体"/>
                <w:szCs w:val="24"/>
                <w:highlight w:val="none"/>
              </w:rPr>
              <w:t>29.3</w:t>
            </w:r>
          </w:p>
        </w:tc>
        <w:tc>
          <w:tcPr>
            <w:tcW w:w="1738" w:type="dxa"/>
            <w:vAlign w:val="center"/>
          </w:tcPr>
          <w:p w14:paraId="3E2DD09F">
            <w:pPr>
              <w:pStyle w:val="50"/>
              <w:spacing w:line="360" w:lineRule="auto"/>
              <w:rPr>
                <w:rFonts w:cs="宋体"/>
                <w:szCs w:val="24"/>
                <w:highlight w:val="none"/>
              </w:rPr>
            </w:pPr>
            <w:r>
              <w:rPr>
                <w:rFonts w:hint="eastAsia" w:cs="宋体"/>
                <w:szCs w:val="24"/>
                <w:highlight w:val="none"/>
              </w:rPr>
              <w:t>推荐中标候选人</w:t>
            </w:r>
          </w:p>
        </w:tc>
        <w:tc>
          <w:tcPr>
            <w:tcW w:w="6700" w:type="dxa"/>
            <w:vAlign w:val="center"/>
          </w:tcPr>
          <w:p w14:paraId="7EA92DA3">
            <w:pPr>
              <w:pStyle w:val="50"/>
              <w:spacing w:line="360" w:lineRule="auto"/>
              <w:rPr>
                <w:rFonts w:cs="宋体"/>
                <w:szCs w:val="24"/>
                <w:highlight w:val="none"/>
              </w:rPr>
            </w:pPr>
            <w:r>
              <w:rPr>
                <w:rFonts w:hint="eastAsia" w:cs="宋体"/>
                <w:szCs w:val="24"/>
                <w:highlight w:val="none"/>
              </w:rPr>
              <w:t>中标候选人数量</w:t>
            </w:r>
            <w:r>
              <w:rPr>
                <w:rFonts w:hint="eastAsia" w:cs="宋体"/>
                <w:szCs w:val="24"/>
                <w:highlight w:val="none"/>
                <w:u w:val="single"/>
              </w:rPr>
              <w:t xml:space="preserve">  3 </w:t>
            </w:r>
            <w:r>
              <w:rPr>
                <w:rFonts w:hint="eastAsia" w:cs="宋体"/>
                <w:szCs w:val="24"/>
                <w:highlight w:val="none"/>
              </w:rPr>
              <w:t>家</w:t>
            </w:r>
          </w:p>
        </w:tc>
      </w:tr>
      <w:tr w14:paraId="63C622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72808226">
            <w:pPr>
              <w:pStyle w:val="50"/>
              <w:spacing w:line="360" w:lineRule="auto"/>
              <w:jc w:val="center"/>
              <w:rPr>
                <w:rFonts w:cs="宋体"/>
                <w:szCs w:val="24"/>
                <w:highlight w:val="none"/>
              </w:rPr>
            </w:pPr>
            <w:r>
              <w:rPr>
                <w:rFonts w:hint="eastAsia" w:cs="宋体"/>
                <w:szCs w:val="24"/>
                <w:highlight w:val="none"/>
              </w:rPr>
              <w:t>30.1</w:t>
            </w:r>
          </w:p>
        </w:tc>
        <w:tc>
          <w:tcPr>
            <w:tcW w:w="1738" w:type="dxa"/>
            <w:vAlign w:val="center"/>
          </w:tcPr>
          <w:p w14:paraId="470DE44A">
            <w:pPr>
              <w:pStyle w:val="50"/>
              <w:spacing w:line="360" w:lineRule="auto"/>
              <w:rPr>
                <w:rFonts w:cs="宋体"/>
                <w:szCs w:val="24"/>
                <w:highlight w:val="none"/>
              </w:rPr>
            </w:pPr>
            <w:r>
              <w:rPr>
                <w:rFonts w:hint="eastAsia" w:cs="宋体"/>
                <w:szCs w:val="24"/>
                <w:highlight w:val="none"/>
              </w:rPr>
              <w:t>确定中标人</w:t>
            </w:r>
          </w:p>
        </w:tc>
        <w:tc>
          <w:tcPr>
            <w:tcW w:w="6700" w:type="dxa"/>
            <w:vAlign w:val="center"/>
          </w:tcPr>
          <w:p w14:paraId="7AFBC7B7">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采购人按评审报告中推荐的中标候选人排序确定中标人。</w:t>
            </w:r>
          </w:p>
          <w:p w14:paraId="2829B9B5">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采购人委托评标委员会直接确定中标人。</w:t>
            </w:r>
          </w:p>
        </w:tc>
      </w:tr>
      <w:tr w14:paraId="6B0BF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4335E311">
            <w:pPr>
              <w:pStyle w:val="50"/>
              <w:spacing w:line="360" w:lineRule="auto"/>
              <w:jc w:val="center"/>
              <w:rPr>
                <w:rFonts w:cs="宋体"/>
                <w:szCs w:val="24"/>
                <w:highlight w:val="none"/>
              </w:rPr>
            </w:pPr>
            <w:r>
              <w:rPr>
                <w:rFonts w:hint="eastAsia" w:cs="宋体"/>
                <w:szCs w:val="24"/>
                <w:highlight w:val="none"/>
              </w:rPr>
              <w:t>30.2</w:t>
            </w:r>
          </w:p>
          <w:p w14:paraId="0554D347">
            <w:pPr>
              <w:pStyle w:val="50"/>
              <w:spacing w:line="360" w:lineRule="auto"/>
              <w:jc w:val="center"/>
              <w:rPr>
                <w:rFonts w:cs="宋体"/>
                <w:szCs w:val="24"/>
                <w:highlight w:val="none"/>
              </w:rPr>
            </w:pPr>
            <w:r>
              <w:rPr>
                <w:rFonts w:hint="eastAsia" w:cs="宋体"/>
                <w:szCs w:val="24"/>
                <w:highlight w:val="none"/>
              </w:rPr>
              <w:t>30.3</w:t>
            </w:r>
          </w:p>
        </w:tc>
        <w:tc>
          <w:tcPr>
            <w:tcW w:w="1738" w:type="dxa"/>
            <w:vAlign w:val="center"/>
          </w:tcPr>
          <w:p w14:paraId="223A04F1">
            <w:pPr>
              <w:pStyle w:val="50"/>
              <w:spacing w:line="360" w:lineRule="auto"/>
              <w:rPr>
                <w:rFonts w:cs="宋体"/>
                <w:szCs w:val="24"/>
                <w:highlight w:val="none"/>
              </w:rPr>
            </w:pPr>
            <w:r>
              <w:rPr>
                <w:rFonts w:hint="eastAsia" w:cs="宋体"/>
                <w:kern w:val="0"/>
                <w:szCs w:val="24"/>
                <w:highlight w:val="none"/>
                <w:lang w:bidi="ar"/>
              </w:rPr>
              <w:t>提供相同品牌产品的不同投标人确定中标候选人的规定</w:t>
            </w:r>
          </w:p>
        </w:tc>
        <w:tc>
          <w:tcPr>
            <w:tcW w:w="6700" w:type="dxa"/>
            <w:vAlign w:val="center"/>
          </w:tcPr>
          <w:p w14:paraId="26DC433B">
            <w:pPr>
              <w:pStyle w:val="50"/>
              <w:spacing w:line="360" w:lineRule="auto"/>
              <w:ind w:firstLine="480" w:firstLineChars="200"/>
              <w:rPr>
                <w:rFonts w:cs="宋体"/>
                <w:kern w:val="0"/>
                <w:szCs w:val="24"/>
                <w:highlight w:val="none"/>
                <w:lang w:bidi="ar"/>
              </w:rPr>
            </w:pPr>
            <w:r>
              <w:rPr>
                <w:rFonts w:hint="eastAsia" w:cs="宋体"/>
                <w:szCs w:val="24"/>
                <w:highlight w:val="none"/>
              </w:rPr>
              <w:sym w:font="Wingdings" w:char="00FE"/>
            </w:r>
            <w:r>
              <w:rPr>
                <w:rFonts w:hint="eastAsia" w:cs="宋体"/>
                <w:kern w:val="0"/>
                <w:szCs w:val="24"/>
                <w:highlight w:val="none"/>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highlight w:val="none"/>
                <w:u w:val="single"/>
                <w:lang w:bidi="ar"/>
              </w:rPr>
              <w:t xml:space="preserve"> 报价最低的 </w:t>
            </w:r>
            <w:r>
              <w:rPr>
                <w:rFonts w:hint="eastAsia" w:cs="宋体"/>
                <w:kern w:val="0"/>
                <w:szCs w:val="24"/>
                <w:highlight w:val="none"/>
                <w:lang w:bidi="ar"/>
              </w:rPr>
              <w:t>方式确定一个投标人获得中标人推荐资格，其他同品牌投标人不作为中标候选人。</w:t>
            </w:r>
          </w:p>
        </w:tc>
      </w:tr>
      <w:tr w14:paraId="78253B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194" w:hRule="atLeast"/>
        </w:trPr>
        <w:tc>
          <w:tcPr>
            <w:tcW w:w="970" w:type="dxa"/>
            <w:vAlign w:val="center"/>
          </w:tcPr>
          <w:p w14:paraId="445BFCFE">
            <w:pPr>
              <w:pStyle w:val="50"/>
              <w:spacing w:line="360" w:lineRule="auto"/>
              <w:jc w:val="center"/>
              <w:rPr>
                <w:rFonts w:cs="宋体"/>
                <w:szCs w:val="24"/>
                <w:highlight w:val="none"/>
              </w:rPr>
            </w:pPr>
            <w:r>
              <w:rPr>
                <w:rFonts w:hint="eastAsia" w:cs="宋体"/>
                <w:szCs w:val="24"/>
                <w:highlight w:val="none"/>
              </w:rPr>
              <w:t>33.1</w:t>
            </w:r>
          </w:p>
        </w:tc>
        <w:tc>
          <w:tcPr>
            <w:tcW w:w="1738" w:type="dxa"/>
            <w:vAlign w:val="center"/>
          </w:tcPr>
          <w:p w14:paraId="180587F3">
            <w:pPr>
              <w:pStyle w:val="50"/>
              <w:spacing w:line="360" w:lineRule="auto"/>
              <w:rPr>
                <w:rFonts w:cs="宋体"/>
                <w:szCs w:val="24"/>
                <w:highlight w:val="none"/>
              </w:rPr>
            </w:pPr>
            <w:r>
              <w:rPr>
                <w:rFonts w:hint="eastAsia" w:cs="宋体"/>
                <w:szCs w:val="24"/>
                <w:highlight w:val="none"/>
              </w:rPr>
              <w:t>履约保证金</w:t>
            </w:r>
          </w:p>
        </w:tc>
        <w:tc>
          <w:tcPr>
            <w:tcW w:w="6700" w:type="dxa"/>
            <w:vAlign w:val="center"/>
          </w:tcPr>
          <w:p w14:paraId="273D296E">
            <w:pPr>
              <w:pStyle w:val="50"/>
              <w:spacing w:line="360" w:lineRule="auto"/>
              <w:rPr>
                <w:rFonts w:cs="宋体"/>
                <w:szCs w:val="24"/>
                <w:highlight w:val="none"/>
              </w:rPr>
            </w:pPr>
            <w:r>
              <w:rPr>
                <w:rFonts w:hint="eastAsia" w:cs="宋体"/>
                <w:szCs w:val="24"/>
                <w:highlight w:val="none"/>
              </w:rPr>
              <w:t xml:space="preserve"> 1.金额：</w:t>
            </w:r>
          </w:p>
          <w:p w14:paraId="706B249E">
            <w:pPr>
              <w:pStyle w:val="50"/>
              <w:spacing w:line="360" w:lineRule="auto"/>
              <w:ind w:firstLine="480" w:firstLineChars="200"/>
              <w:rPr>
                <w:rFonts w:cs="宋体"/>
                <w:szCs w:val="24"/>
                <w:highlight w:val="none"/>
              </w:rPr>
            </w:pPr>
            <w:r>
              <w:rPr>
                <w:rFonts w:hint="eastAsia" w:cs="宋体"/>
                <w:szCs w:val="24"/>
                <w:highlight w:val="none"/>
              </w:rPr>
              <w:t>☑免收</w:t>
            </w:r>
          </w:p>
          <w:p w14:paraId="5968C26C">
            <w:pPr>
              <w:pStyle w:val="50"/>
              <w:spacing w:line="360" w:lineRule="auto"/>
              <w:ind w:firstLine="480" w:firstLineChars="200"/>
              <w:rPr>
                <w:rFonts w:cs="宋体"/>
                <w:szCs w:val="24"/>
                <w:highlight w:val="none"/>
              </w:rPr>
            </w:pPr>
            <w:r>
              <w:rPr>
                <w:rFonts w:hint="eastAsia" w:cs="宋体"/>
                <w:szCs w:val="24"/>
                <w:highlight w:val="none"/>
              </w:rPr>
              <w:t xml:space="preserve">□合同价的 </w:t>
            </w:r>
            <w:r>
              <w:rPr>
                <w:rFonts w:hint="eastAsia" w:cs="宋体"/>
                <w:szCs w:val="24"/>
                <w:highlight w:val="none"/>
                <w:u w:val="single"/>
              </w:rPr>
              <w:t>/</w:t>
            </w:r>
            <w:r>
              <w:rPr>
                <w:rFonts w:hint="eastAsia" w:cs="宋体"/>
                <w:szCs w:val="24"/>
                <w:highlight w:val="none"/>
              </w:rPr>
              <w:t>%</w:t>
            </w:r>
          </w:p>
          <w:p w14:paraId="22F7A159">
            <w:pPr>
              <w:pStyle w:val="50"/>
              <w:spacing w:line="360" w:lineRule="auto"/>
              <w:ind w:firstLine="480" w:firstLineChars="200"/>
              <w:rPr>
                <w:rFonts w:cs="宋体"/>
                <w:szCs w:val="24"/>
                <w:highlight w:val="none"/>
              </w:rPr>
            </w:pPr>
            <w:r>
              <w:rPr>
                <w:rFonts w:hint="eastAsia" w:cs="宋体"/>
                <w:szCs w:val="24"/>
                <w:highlight w:val="none"/>
              </w:rPr>
              <w:t>□定额收取：人民币</w:t>
            </w:r>
            <w:r>
              <w:rPr>
                <w:rFonts w:hint="eastAsia" w:cs="宋体"/>
                <w:szCs w:val="24"/>
                <w:highlight w:val="none"/>
                <w:u w:val="single"/>
              </w:rPr>
              <w:t>/</w:t>
            </w:r>
            <w:r>
              <w:rPr>
                <w:rFonts w:hint="eastAsia" w:cs="宋体"/>
                <w:szCs w:val="24"/>
                <w:highlight w:val="none"/>
              </w:rPr>
              <w:t>元</w:t>
            </w:r>
          </w:p>
          <w:p w14:paraId="10F58D54">
            <w:pPr>
              <w:pStyle w:val="50"/>
              <w:spacing w:line="360" w:lineRule="auto"/>
              <w:rPr>
                <w:rFonts w:cs="宋体"/>
                <w:szCs w:val="24"/>
                <w:highlight w:val="none"/>
              </w:rPr>
            </w:pPr>
            <w:r>
              <w:rPr>
                <w:rFonts w:hint="eastAsia" w:cs="宋体"/>
                <w:szCs w:val="24"/>
                <w:highlight w:val="none"/>
              </w:rPr>
              <w:t xml:space="preserve"> 2.支付方式：投标人可自主选择以支票、汇票、本票、电汇、转账、网银、保函等非现金形式缴纳或提交保证金。</w:t>
            </w:r>
          </w:p>
          <w:p w14:paraId="373B999F">
            <w:pPr>
              <w:pStyle w:val="50"/>
              <w:spacing w:line="360" w:lineRule="auto"/>
              <w:rPr>
                <w:rFonts w:cs="宋体"/>
                <w:szCs w:val="24"/>
                <w:highlight w:val="none"/>
              </w:rPr>
            </w:pPr>
            <w:r>
              <w:rPr>
                <w:rFonts w:hint="eastAsia" w:cs="宋体"/>
                <w:szCs w:val="24"/>
                <w:highlight w:val="none"/>
              </w:rPr>
              <w:t xml:space="preserve"> 3.保函有效期：自合同生效之日起至合同约定的中标或成交供应商主要义务履行完毕  </w:t>
            </w:r>
          </w:p>
          <w:p w14:paraId="048134E5">
            <w:pPr>
              <w:pStyle w:val="50"/>
              <w:spacing w:line="360" w:lineRule="auto"/>
              <w:rPr>
                <w:rFonts w:cs="宋体"/>
                <w:szCs w:val="24"/>
                <w:highlight w:val="none"/>
              </w:rPr>
            </w:pPr>
            <w:r>
              <w:rPr>
                <w:rFonts w:hint="eastAsia" w:cs="宋体"/>
                <w:szCs w:val="24"/>
                <w:highlight w:val="none"/>
              </w:rPr>
              <w:t xml:space="preserve">4.缴纳时间：中标或成交供应商应在合同签订前3个工作日内向采购人提交履约保证金；                          </w:t>
            </w:r>
          </w:p>
          <w:p w14:paraId="6BD6D748">
            <w:pPr>
              <w:pStyle w:val="50"/>
              <w:spacing w:line="360" w:lineRule="auto"/>
              <w:rPr>
                <w:rFonts w:cs="宋体"/>
                <w:szCs w:val="24"/>
                <w:highlight w:val="none"/>
              </w:rPr>
            </w:pPr>
            <w:r>
              <w:rPr>
                <w:rFonts w:hint="eastAsia" w:cs="宋体"/>
                <w:szCs w:val="24"/>
                <w:highlight w:val="none"/>
              </w:rPr>
              <w:t xml:space="preserve">5.退还时间：中标或成交供应商合同主要义务履行完毕后，采购人按合同约定及时退还 </w:t>
            </w:r>
          </w:p>
          <w:p w14:paraId="2C0DD7CC">
            <w:pPr>
              <w:pStyle w:val="50"/>
              <w:spacing w:line="360" w:lineRule="auto"/>
              <w:rPr>
                <w:rFonts w:cs="宋体"/>
                <w:b/>
                <w:bCs/>
                <w:szCs w:val="24"/>
                <w:highlight w:val="none"/>
              </w:rPr>
            </w:pPr>
            <w:r>
              <w:rPr>
                <w:rFonts w:hint="eastAsia" w:cs="宋体"/>
                <w:b/>
                <w:bCs/>
                <w:szCs w:val="24"/>
                <w:highlight w:val="none"/>
              </w:rPr>
              <w:t>注意事项：</w:t>
            </w:r>
          </w:p>
          <w:p w14:paraId="2A1C83A7">
            <w:pPr>
              <w:pStyle w:val="50"/>
              <w:spacing w:line="360" w:lineRule="auto"/>
              <w:rPr>
                <w:rFonts w:cs="宋体"/>
                <w:szCs w:val="24"/>
                <w:highlight w:val="none"/>
              </w:rPr>
            </w:pPr>
            <w:r>
              <w:rPr>
                <w:rFonts w:hint="eastAsia" w:cs="宋体"/>
                <w:szCs w:val="24"/>
                <w:highlight w:val="none"/>
              </w:rPr>
              <w:t xml:space="preserve">  1.以上各类机构出具的以担保函、保证保险承担责任的方式均须满足无条件见索即付条件。</w:t>
            </w:r>
          </w:p>
          <w:p w14:paraId="22F36FA4">
            <w:pPr>
              <w:pStyle w:val="50"/>
              <w:spacing w:line="360" w:lineRule="auto"/>
              <w:rPr>
                <w:rFonts w:cs="宋体"/>
                <w:szCs w:val="24"/>
                <w:highlight w:val="none"/>
              </w:rPr>
            </w:pPr>
            <w:r>
              <w:rPr>
                <w:rFonts w:hint="eastAsia" w:cs="宋体"/>
                <w:szCs w:val="24"/>
                <w:highlight w:val="none"/>
              </w:rPr>
              <w:t xml:space="preserve">  2.以担保函、保证保险形式缴纳履约保证金的，受益人和收取单位须为采购人。</w:t>
            </w:r>
          </w:p>
          <w:p w14:paraId="700EB57A">
            <w:pPr>
              <w:pStyle w:val="50"/>
              <w:spacing w:line="360" w:lineRule="auto"/>
              <w:rPr>
                <w:rFonts w:cs="宋体"/>
                <w:szCs w:val="24"/>
                <w:highlight w:val="none"/>
              </w:rPr>
            </w:pPr>
          </w:p>
          <w:p w14:paraId="7F54ED6C">
            <w:pPr>
              <w:pStyle w:val="50"/>
              <w:spacing w:line="360" w:lineRule="auto"/>
              <w:rPr>
                <w:rFonts w:cs="宋体"/>
                <w:szCs w:val="24"/>
                <w:highlight w:val="none"/>
              </w:rPr>
            </w:pPr>
            <w:r>
              <w:rPr>
                <w:rFonts w:hint="eastAsia" w:cs="宋体"/>
                <w:szCs w:val="24"/>
                <w:highlight w:val="none"/>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375396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4775D829">
            <w:pPr>
              <w:pStyle w:val="50"/>
              <w:spacing w:line="360" w:lineRule="auto"/>
              <w:jc w:val="center"/>
              <w:rPr>
                <w:rFonts w:cs="宋体"/>
                <w:szCs w:val="24"/>
                <w:highlight w:val="none"/>
              </w:rPr>
            </w:pPr>
            <w:r>
              <w:rPr>
                <w:rFonts w:hint="eastAsia" w:cs="宋体"/>
                <w:szCs w:val="24"/>
                <w:highlight w:val="none"/>
              </w:rPr>
              <w:t>34.5</w:t>
            </w:r>
          </w:p>
        </w:tc>
        <w:tc>
          <w:tcPr>
            <w:tcW w:w="1738" w:type="dxa"/>
            <w:vAlign w:val="center"/>
          </w:tcPr>
          <w:p w14:paraId="0EF27F21">
            <w:pPr>
              <w:pStyle w:val="50"/>
              <w:spacing w:line="360" w:lineRule="auto"/>
              <w:rPr>
                <w:rFonts w:cs="宋体"/>
                <w:szCs w:val="24"/>
                <w:highlight w:val="none"/>
              </w:rPr>
            </w:pPr>
            <w:r>
              <w:rPr>
                <w:rFonts w:hint="eastAsia" w:cs="宋体"/>
                <w:szCs w:val="24"/>
                <w:highlight w:val="none"/>
              </w:rPr>
              <w:t>中标后分包</w:t>
            </w:r>
          </w:p>
        </w:tc>
        <w:tc>
          <w:tcPr>
            <w:tcW w:w="6700" w:type="dxa"/>
            <w:vAlign w:val="center"/>
          </w:tcPr>
          <w:p w14:paraId="0803CD7D">
            <w:pPr>
              <w:pStyle w:val="50"/>
              <w:spacing w:line="360" w:lineRule="auto"/>
              <w:rPr>
                <w:rFonts w:cs="宋体"/>
                <w:szCs w:val="24"/>
                <w:highlight w:val="none"/>
              </w:rPr>
            </w:pPr>
            <w:r>
              <w:rPr>
                <w:rFonts w:hint="eastAsia" w:cs="宋体"/>
                <w:szCs w:val="24"/>
                <w:highlight w:val="none"/>
              </w:rPr>
              <w:t xml:space="preserve">本项目的非主体、非关键性工作是否允许分包： </w:t>
            </w:r>
          </w:p>
          <w:p w14:paraId="14EEE63E">
            <w:pPr>
              <w:pStyle w:val="50"/>
              <w:spacing w:line="360" w:lineRule="auto"/>
              <w:ind w:firstLine="480" w:firstLineChars="200"/>
              <w:rPr>
                <w:rFonts w:cs="宋体"/>
                <w:szCs w:val="24"/>
                <w:highlight w:val="none"/>
              </w:rPr>
            </w:pPr>
            <w:r>
              <w:rPr>
                <w:rFonts w:hint="eastAsia" w:cs="宋体"/>
                <w:szCs w:val="24"/>
                <w:highlight w:val="none"/>
              </w:rPr>
              <w:t xml:space="preserve">☑不允许 </w:t>
            </w:r>
          </w:p>
          <w:p w14:paraId="2C0383FC">
            <w:pPr>
              <w:pStyle w:val="50"/>
              <w:spacing w:line="360" w:lineRule="auto"/>
              <w:ind w:firstLine="480" w:firstLineChars="200"/>
              <w:rPr>
                <w:rFonts w:cs="宋体"/>
                <w:szCs w:val="24"/>
                <w:highlight w:val="none"/>
              </w:rPr>
            </w:pPr>
            <w:r>
              <w:rPr>
                <w:rFonts w:hint="eastAsia" w:cs="宋体"/>
                <w:szCs w:val="24"/>
                <w:highlight w:val="none"/>
              </w:rPr>
              <w:t xml:space="preserve">□允许，具体要求： </w:t>
            </w:r>
          </w:p>
          <w:p w14:paraId="1DEB1B83">
            <w:pPr>
              <w:pStyle w:val="50"/>
              <w:spacing w:line="360" w:lineRule="auto"/>
              <w:rPr>
                <w:rFonts w:cs="宋体"/>
                <w:szCs w:val="24"/>
                <w:highlight w:val="none"/>
              </w:rPr>
            </w:pPr>
            <w:r>
              <w:rPr>
                <w:rFonts w:hint="eastAsia" w:cs="宋体"/>
                <w:szCs w:val="24"/>
                <w:highlight w:val="none"/>
              </w:rPr>
              <w:t xml:space="preserve">     1.可以分包履行的具体内容：_</w:t>
            </w:r>
            <w:r>
              <w:rPr>
                <w:rFonts w:hint="eastAsia" w:cs="宋体"/>
                <w:szCs w:val="24"/>
                <w:highlight w:val="none"/>
                <w:u w:val="single"/>
              </w:rPr>
              <w:t>/</w:t>
            </w:r>
            <w:r>
              <w:rPr>
                <w:rFonts w:hint="eastAsia" w:cs="宋体"/>
                <w:szCs w:val="24"/>
                <w:highlight w:val="none"/>
              </w:rPr>
              <w:t xml:space="preserve">__； </w:t>
            </w:r>
          </w:p>
          <w:p w14:paraId="5F8B3692">
            <w:pPr>
              <w:pStyle w:val="50"/>
              <w:spacing w:line="360" w:lineRule="auto"/>
              <w:rPr>
                <w:rFonts w:cs="宋体"/>
                <w:szCs w:val="24"/>
                <w:highlight w:val="none"/>
              </w:rPr>
            </w:pPr>
            <w:r>
              <w:rPr>
                <w:rFonts w:hint="eastAsia" w:cs="宋体"/>
                <w:szCs w:val="24"/>
                <w:highlight w:val="none"/>
              </w:rPr>
              <w:t xml:space="preserve">     2.允许分包的金额或者比例：_</w:t>
            </w:r>
            <w:r>
              <w:rPr>
                <w:rFonts w:hint="eastAsia" w:cs="宋体"/>
                <w:szCs w:val="24"/>
                <w:highlight w:val="none"/>
                <w:u w:val="single"/>
              </w:rPr>
              <w:t>/</w:t>
            </w:r>
            <w:r>
              <w:rPr>
                <w:rFonts w:hint="eastAsia" w:cs="宋体"/>
                <w:szCs w:val="24"/>
                <w:highlight w:val="none"/>
              </w:rPr>
              <w:t xml:space="preserve">__； </w:t>
            </w:r>
          </w:p>
          <w:p w14:paraId="7AB971E7">
            <w:pPr>
              <w:pStyle w:val="50"/>
              <w:spacing w:line="360" w:lineRule="auto"/>
              <w:rPr>
                <w:rFonts w:cs="宋体"/>
                <w:szCs w:val="24"/>
                <w:highlight w:val="none"/>
              </w:rPr>
            </w:pPr>
            <w:r>
              <w:rPr>
                <w:rFonts w:hint="eastAsia" w:cs="宋体"/>
                <w:szCs w:val="24"/>
                <w:highlight w:val="none"/>
              </w:rPr>
              <w:t xml:space="preserve">     3.其他要求：_</w:t>
            </w:r>
            <w:r>
              <w:rPr>
                <w:rFonts w:hint="eastAsia" w:cs="宋体"/>
                <w:szCs w:val="24"/>
                <w:highlight w:val="none"/>
                <w:u w:val="single"/>
              </w:rPr>
              <w:t>/</w:t>
            </w:r>
            <w:r>
              <w:rPr>
                <w:rFonts w:hint="eastAsia" w:cs="宋体"/>
                <w:szCs w:val="24"/>
                <w:highlight w:val="none"/>
              </w:rPr>
              <w:t xml:space="preserve">_。 </w:t>
            </w:r>
          </w:p>
        </w:tc>
      </w:tr>
      <w:tr w14:paraId="039419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CB69A05">
            <w:pPr>
              <w:pStyle w:val="50"/>
              <w:spacing w:line="360" w:lineRule="auto"/>
              <w:jc w:val="center"/>
              <w:rPr>
                <w:rFonts w:cs="宋体"/>
                <w:szCs w:val="24"/>
                <w:highlight w:val="none"/>
              </w:rPr>
            </w:pPr>
            <w:r>
              <w:rPr>
                <w:rFonts w:hint="eastAsia" w:cs="宋体"/>
                <w:szCs w:val="24"/>
                <w:highlight w:val="none"/>
              </w:rPr>
              <w:t>35.1</w:t>
            </w:r>
          </w:p>
        </w:tc>
        <w:tc>
          <w:tcPr>
            <w:tcW w:w="1738" w:type="dxa"/>
            <w:vAlign w:val="center"/>
          </w:tcPr>
          <w:p w14:paraId="243F63B8">
            <w:pPr>
              <w:pStyle w:val="50"/>
              <w:spacing w:line="360" w:lineRule="auto"/>
              <w:rPr>
                <w:szCs w:val="24"/>
                <w:highlight w:val="none"/>
              </w:rPr>
            </w:pPr>
            <w:r>
              <w:rPr>
                <w:rFonts w:hint="eastAsia"/>
                <w:szCs w:val="24"/>
                <w:highlight w:val="none"/>
              </w:rPr>
              <w:t>质疑</w:t>
            </w:r>
          </w:p>
        </w:tc>
        <w:tc>
          <w:tcPr>
            <w:tcW w:w="6700" w:type="dxa"/>
            <w:vAlign w:val="center"/>
          </w:tcPr>
          <w:p w14:paraId="2EE162A3">
            <w:pPr>
              <w:pStyle w:val="58"/>
              <w:autoSpaceDE w:val="0"/>
              <w:autoSpaceDN w:val="0"/>
              <w:adjustRightInd w:val="0"/>
              <w:spacing w:line="360" w:lineRule="auto"/>
              <w:jc w:val="left"/>
              <w:rPr>
                <w:rFonts w:ascii="宋体" w:hAnsi="宋体" w:cs="宋体"/>
                <w:sz w:val="24"/>
                <w:highlight w:val="none"/>
                <w:lang w:val="zh-CN"/>
              </w:rPr>
            </w:pPr>
            <w:r>
              <w:rPr>
                <w:rFonts w:hint="eastAsia" w:ascii="宋体" w:hAnsi="宋体" w:cs="宋体"/>
                <w:sz w:val="24"/>
                <w:highlight w:val="none"/>
                <w:lang w:val="zh-CN"/>
              </w:rPr>
              <w:t>递交方式：</w:t>
            </w:r>
            <w:r>
              <w:rPr>
                <w:rFonts w:hint="eastAsia" w:ascii="宋体" w:hAnsi="宋体" w:cs="宋体"/>
                <w:sz w:val="24"/>
                <w:highlight w:val="none"/>
              </w:rPr>
              <w:t>纸质版盖章质疑函原件递交至采购代理公司</w:t>
            </w:r>
            <w:r>
              <w:rPr>
                <w:rFonts w:hint="eastAsia" w:ascii="宋体" w:hAnsi="宋体" w:cs="宋体"/>
                <w:sz w:val="24"/>
                <w:highlight w:val="none"/>
                <w:lang w:val="zh-CN"/>
              </w:rPr>
              <w:t xml:space="preserve">              </w:t>
            </w:r>
          </w:p>
          <w:p w14:paraId="1791C40F">
            <w:pPr>
              <w:pStyle w:val="58"/>
              <w:autoSpaceDE w:val="0"/>
              <w:autoSpaceDN w:val="0"/>
              <w:adjustRightInd w:val="0"/>
              <w:spacing w:line="360" w:lineRule="auto"/>
              <w:jc w:val="left"/>
              <w:rPr>
                <w:rFonts w:ascii="宋体" w:hAnsi="宋体" w:cs="宋体"/>
                <w:sz w:val="24"/>
                <w:highlight w:val="none"/>
                <w:lang w:val="zh-CN"/>
              </w:rPr>
            </w:pPr>
            <w:r>
              <w:rPr>
                <w:rFonts w:hint="eastAsia" w:ascii="宋体" w:hAnsi="宋体" w:cs="宋体"/>
                <w:sz w:val="24"/>
                <w:highlight w:val="none"/>
                <w:lang w:val="zh-CN"/>
              </w:rPr>
              <w:t>接收部门：</w:t>
            </w:r>
            <w:r>
              <w:rPr>
                <w:rFonts w:hint="eastAsia" w:ascii="宋体" w:hAnsi="宋体" w:cs="宋体"/>
                <w:sz w:val="24"/>
                <w:highlight w:val="none"/>
              </w:rPr>
              <w:t>国义招标股份有限公司新疆分公司</w:t>
            </w:r>
          </w:p>
          <w:p w14:paraId="4E1B39CE">
            <w:pPr>
              <w:pStyle w:val="58"/>
              <w:autoSpaceDE w:val="0"/>
              <w:autoSpaceDN w:val="0"/>
              <w:adjustRightInd w:val="0"/>
              <w:spacing w:line="360" w:lineRule="auto"/>
              <w:jc w:val="left"/>
              <w:rPr>
                <w:rFonts w:ascii="宋体" w:hAnsi="宋体" w:cs="宋体"/>
                <w:sz w:val="24"/>
                <w:highlight w:val="none"/>
                <w:lang w:val="zh-CN"/>
              </w:rPr>
            </w:pPr>
            <w:r>
              <w:rPr>
                <w:rFonts w:hint="eastAsia" w:ascii="宋体" w:hAnsi="宋体" w:cs="宋体"/>
                <w:sz w:val="24"/>
                <w:highlight w:val="none"/>
                <w:lang w:val="zh-CN"/>
              </w:rPr>
              <w:t>联系电话：</w:t>
            </w:r>
            <w:r>
              <w:rPr>
                <w:rFonts w:ascii="宋体" w:hAnsi="宋体" w:cs="宋体"/>
                <w:sz w:val="24"/>
                <w:highlight w:val="none"/>
              </w:rPr>
              <w:t>13079986963</w:t>
            </w:r>
          </w:p>
          <w:p w14:paraId="0585832F">
            <w:pPr>
              <w:pStyle w:val="58"/>
              <w:autoSpaceDE w:val="0"/>
              <w:autoSpaceDN w:val="0"/>
              <w:adjustRightInd w:val="0"/>
              <w:spacing w:line="360" w:lineRule="auto"/>
              <w:jc w:val="left"/>
              <w:rPr>
                <w:rFonts w:ascii="宋体" w:hAnsi="宋体" w:cs="宋体"/>
                <w:kern w:val="0"/>
                <w:sz w:val="24"/>
                <w:highlight w:val="none"/>
              </w:rPr>
            </w:pPr>
            <w:r>
              <w:rPr>
                <w:rFonts w:hint="eastAsia" w:ascii="宋体" w:hAnsi="宋体" w:cs="宋体"/>
                <w:sz w:val="24"/>
                <w:highlight w:val="none"/>
                <w:lang w:val="zh-CN"/>
              </w:rPr>
              <w:t>通讯地址：</w:t>
            </w:r>
            <w:r>
              <w:rPr>
                <w:rFonts w:hint="eastAsia" w:ascii="宋体" w:hAnsi="宋体" w:cs="宋体"/>
                <w:kern w:val="0"/>
                <w:sz w:val="24"/>
                <w:highlight w:val="none"/>
              </w:rPr>
              <w:t>乌鲁木齐市红光山路</w:t>
            </w:r>
            <w:r>
              <w:rPr>
                <w:rFonts w:ascii="宋体" w:hAnsi="宋体" w:cs="宋体"/>
                <w:kern w:val="0"/>
                <w:sz w:val="24"/>
                <w:highlight w:val="none"/>
              </w:rPr>
              <w:t>888号绿城广场1B栋3504室</w:t>
            </w:r>
          </w:p>
          <w:p w14:paraId="6E065267">
            <w:pPr>
              <w:pStyle w:val="58"/>
              <w:autoSpaceDE w:val="0"/>
              <w:autoSpaceDN w:val="0"/>
              <w:adjustRightInd w:val="0"/>
              <w:spacing w:line="360" w:lineRule="auto"/>
              <w:jc w:val="left"/>
              <w:rPr>
                <w:rFonts w:ascii="宋体" w:hAnsi="宋体" w:cs="宋体"/>
                <w:sz w:val="24"/>
                <w:highlight w:val="none"/>
                <w:lang w:val="zh-CN"/>
              </w:rPr>
            </w:pPr>
            <w:r>
              <w:rPr>
                <w:rFonts w:hint="eastAsia" w:ascii="宋体" w:hAnsi="宋体" w:cs="宋体"/>
                <w:sz w:val="24"/>
                <w:highlight w:val="none"/>
                <w:lang w:val="zh-CN"/>
              </w:rPr>
              <w:t>供应商提出质疑时，应提交质疑函和必要的证明材料，供应商在法定质疑期内应一次性提出针对同一采购程序环节的质疑。</w:t>
            </w:r>
          </w:p>
        </w:tc>
      </w:tr>
      <w:tr w14:paraId="14D7F0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639C722C">
            <w:pPr>
              <w:pStyle w:val="50"/>
              <w:spacing w:line="360" w:lineRule="auto"/>
              <w:jc w:val="center"/>
              <w:rPr>
                <w:rFonts w:cs="宋体"/>
                <w:szCs w:val="24"/>
                <w:highlight w:val="none"/>
              </w:rPr>
            </w:pPr>
            <w:r>
              <w:rPr>
                <w:rFonts w:hint="eastAsia" w:cs="宋体"/>
                <w:szCs w:val="24"/>
                <w:highlight w:val="none"/>
              </w:rPr>
              <w:t>38.1</w:t>
            </w:r>
          </w:p>
        </w:tc>
        <w:tc>
          <w:tcPr>
            <w:tcW w:w="1738" w:type="dxa"/>
            <w:vAlign w:val="center"/>
          </w:tcPr>
          <w:p w14:paraId="03D4E6D8">
            <w:pPr>
              <w:pStyle w:val="50"/>
              <w:spacing w:line="360" w:lineRule="auto"/>
              <w:rPr>
                <w:szCs w:val="24"/>
                <w:highlight w:val="none"/>
              </w:rPr>
            </w:pPr>
            <w:r>
              <w:rPr>
                <w:rFonts w:hint="eastAsia"/>
                <w:szCs w:val="24"/>
                <w:highlight w:val="none"/>
              </w:rPr>
              <w:t>采购代理服务费</w:t>
            </w:r>
          </w:p>
        </w:tc>
        <w:tc>
          <w:tcPr>
            <w:tcW w:w="6700" w:type="dxa"/>
            <w:vAlign w:val="center"/>
          </w:tcPr>
          <w:p w14:paraId="19A88C51">
            <w:pPr>
              <w:spacing w:line="360" w:lineRule="auto"/>
              <w:rPr>
                <w:szCs w:val="24"/>
                <w:highlight w:val="none"/>
              </w:rPr>
            </w:pPr>
            <w:r>
              <w:rPr>
                <w:rFonts w:hint="eastAsia"/>
                <w:szCs w:val="24"/>
                <w:highlight w:val="none"/>
              </w:rPr>
              <w:t>一、代理服务费</w:t>
            </w:r>
          </w:p>
          <w:p w14:paraId="721BBA77">
            <w:pPr>
              <w:spacing w:line="360" w:lineRule="auto"/>
              <w:rPr>
                <w:szCs w:val="24"/>
                <w:highlight w:val="none"/>
              </w:rPr>
            </w:pPr>
            <w:r>
              <w:rPr>
                <w:rFonts w:hint="eastAsia"/>
                <w:szCs w:val="24"/>
                <w:highlight w:val="none"/>
              </w:rPr>
              <w:t>1、本项目招标代理服务费参照《招标代理服务收费管理暂行办法》计价格[2002]1980号文件（发改办价格[2003]857号文件）及财库[2018]2号文件计算的招标代理服务费下浮50%由中标人向招标代理支付。</w:t>
            </w:r>
          </w:p>
          <w:p w14:paraId="2CCD6C88">
            <w:pPr>
              <w:spacing w:line="360" w:lineRule="auto"/>
              <w:rPr>
                <w:szCs w:val="24"/>
                <w:highlight w:val="none"/>
              </w:rPr>
            </w:pPr>
            <w:r>
              <w:rPr>
                <w:rFonts w:hint="eastAsia"/>
                <w:szCs w:val="24"/>
                <w:highlight w:val="none"/>
              </w:rPr>
              <w:t>2、招标代理服务费按照采购预算为基数计取，中标人不再支付其他任何费用和款项。</w:t>
            </w:r>
          </w:p>
          <w:p w14:paraId="5FC95646">
            <w:pPr>
              <w:spacing w:line="360" w:lineRule="auto"/>
              <w:rPr>
                <w:szCs w:val="24"/>
                <w:highlight w:val="none"/>
              </w:rPr>
            </w:pPr>
            <w:r>
              <w:rPr>
                <w:rFonts w:hint="eastAsia"/>
                <w:szCs w:val="24"/>
                <w:highlight w:val="none"/>
              </w:rPr>
              <w:t>3、具体费用详见本项目中标结果公告中第六条“代理服务收费标准及金额”</w:t>
            </w:r>
          </w:p>
          <w:p w14:paraId="49FFB676">
            <w:pPr>
              <w:spacing w:line="360" w:lineRule="auto"/>
              <w:rPr>
                <w:szCs w:val="24"/>
                <w:highlight w:val="none"/>
              </w:rPr>
            </w:pPr>
            <w:r>
              <w:rPr>
                <w:rFonts w:hint="eastAsia"/>
                <w:szCs w:val="24"/>
                <w:highlight w:val="none"/>
              </w:rPr>
              <w:t>二、付款方式</w:t>
            </w:r>
          </w:p>
          <w:p w14:paraId="7207B072">
            <w:pPr>
              <w:spacing w:line="360" w:lineRule="auto"/>
              <w:rPr>
                <w:szCs w:val="24"/>
                <w:highlight w:val="none"/>
              </w:rPr>
            </w:pPr>
            <w:r>
              <w:rPr>
                <w:rFonts w:hint="eastAsia"/>
                <w:szCs w:val="24"/>
                <w:highlight w:val="none"/>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2C08EE9D">
            <w:pPr>
              <w:spacing w:line="360" w:lineRule="auto"/>
              <w:rPr>
                <w:szCs w:val="24"/>
                <w:highlight w:val="none"/>
              </w:rPr>
            </w:pPr>
            <w:r>
              <w:rPr>
                <w:rFonts w:hint="eastAsia"/>
                <w:szCs w:val="24"/>
                <w:highlight w:val="none"/>
              </w:rPr>
              <w:t>2、中标人于中标公示发布后7个工作日内一次性向招标代理公司支付代理服务费。</w:t>
            </w:r>
          </w:p>
          <w:p w14:paraId="6DB6D7C5">
            <w:pPr>
              <w:spacing w:line="360" w:lineRule="auto"/>
              <w:rPr>
                <w:szCs w:val="24"/>
                <w:highlight w:val="none"/>
              </w:rPr>
            </w:pPr>
            <w:r>
              <w:rPr>
                <w:rFonts w:hint="eastAsia"/>
                <w:szCs w:val="24"/>
                <w:highlight w:val="none"/>
              </w:rPr>
              <w:t>三、责任认定</w:t>
            </w:r>
          </w:p>
          <w:p w14:paraId="1A809F7F">
            <w:pPr>
              <w:spacing w:line="360" w:lineRule="auto"/>
              <w:rPr>
                <w:szCs w:val="24"/>
                <w:highlight w:val="none"/>
              </w:rPr>
            </w:pPr>
            <w:r>
              <w:rPr>
                <w:rFonts w:hint="eastAsia"/>
                <w:szCs w:val="24"/>
                <w:highlight w:val="none"/>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53739996">
            <w:pPr>
              <w:spacing w:line="360" w:lineRule="auto"/>
              <w:rPr>
                <w:szCs w:val="24"/>
                <w:highlight w:val="none"/>
              </w:rPr>
            </w:pPr>
            <w:r>
              <w:rPr>
                <w:rFonts w:hint="eastAsia"/>
                <w:szCs w:val="24"/>
                <w:highlight w:val="none"/>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4946EA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3B24C7C8">
            <w:pPr>
              <w:pStyle w:val="50"/>
              <w:spacing w:line="360" w:lineRule="auto"/>
              <w:jc w:val="center"/>
              <w:rPr>
                <w:rFonts w:cs="宋体"/>
                <w:szCs w:val="24"/>
                <w:highlight w:val="none"/>
              </w:rPr>
            </w:pPr>
            <w:r>
              <w:rPr>
                <w:rFonts w:hint="eastAsia" w:cs="宋体"/>
                <w:szCs w:val="24"/>
                <w:highlight w:val="none"/>
              </w:rPr>
              <w:t>41.1</w:t>
            </w:r>
          </w:p>
        </w:tc>
        <w:tc>
          <w:tcPr>
            <w:tcW w:w="1738" w:type="dxa"/>
            <w:vAlign w:val="center"/>
          </w:tcPr>
          <w:p w14:paraId="0D1125AA">
            <w:pPr>
              <w:pStyle w:val="50"/>
              <w:spacing w:line="360" w:lineRule="auto"/>
              <w:jc w:val="center"/>
              <w:rPr>
                <w:rFonts w:cs="宋体"/>
                <w:szCs w:val="24"/>
                <w:highlight w:val="none"/>
              </w:rPr>
            </w:pPr>
            <w:r>
              <w:rPr>
                <w:rFonts w:hint="eastAsia" w:cs="宋体"/>
                <w:szCs w:val="24"/>
                <w:highlight w:val="none"/>
              </w:rPr>
              <w:t>支持本国产品政策</w:t>
            </w:r>
          </w:p>
        </w:tc>
        <w:tc>
          <w:tcPr>
            <w:tcW w:w="6700" w:type="dxa"/>
            <w:vAlign w:val="center"/>
          </w:tcPr>
          <w:p w14:paraId="65DEB4B6">
            <w:pPr>
              <w:widowControl w:val="0"/>
              <w:spacing w:line="360" w:lineRule="auto"/>
              <w:jc w:val="both"/>
              <w:rPr>
                <w:rFonts w:ascii="Calibri" w:hAnsi="Calibri" w:cs="Times New Roman"/>
                <w:szCs w:val="24"/>
                <w:highlight w:val="none"/>
              </w:rPr>
            </w:pPr>
            <w:r>
              <w:rPr>
                <w:rFonts w:hint="eastAsia" w:ascii="Calibri" w:hAnsi="Calibri" w:cs="Times New Roman"/>
                <w:szCs w:val="24"/>
                <w:highlight w:val="none"/>
              </w:rPr>
              <w:t>1</w:t>
            </w:r>
            <w:r>
              <w:rPr>
                <w:rFonts w:ascii="Calibri" w:hAnsi="Calibri" w:cs="Times New Roman"/>
                <w:szCs w:val="24"/>
                <w:highlight w:val="none"/>
              </w:rPr>
              <w:t>.</w:t>
            </w:r>
            <w:r>
              <w:rPr>
                <w:rFonts w:hint="eastAsia" w:ascii="Calibri" w:hAnsi="Calibri" w:cs="Times New Roman"/>
                <w:szCs w:val="24"/>
                <w:highlight w:val="none"/>
              </w:rPr>
              <w:t>支持本国产品：</w:t>
            </w:r>
          </w:p>
          <w:p w14:paraId="2BC78EAC">
            <w:pPr>
              <w:widowControl w:val="0"/>
              <w:spacing w:line="360" w:lineRule="auto"/>
              <w:jc w:val="both"/>
              <w:rPr>
                <w:rFonts w:ascii="Calibri" w:hAnsi="Calibri" w:cs="Times New Roman"/>
                <w:szCs w:val="24"/>
                <w:highlight w:val="none"/>
              </w:rPr>
            </w:pPr>
            <w:r>
              <w:rPr>
                <w:rFonts w:hint="eastAsia" w:ascii="Calibri" w:hAnsi="Calibri" w:cs="Times New Roman"/>
                <w:szCs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1B92D2F">
            <w:pPr>
              <w:widowControl w:val="0"/>
              <w:spacing w:line="360" w:lineRule="auto"/>
              <w:jc w:val="both"/>
              <w:rPr>
                <w:rFonts w:ascii="Calibri" w:hAnsi="Calibri" w:cs="Times New Roman"/>
                <w:szCs w:val="24"/>
                <w:highlight w:val="none"/>
              </w:rPr>
            </w:pPr>
            <w:r>
              <w:rPr>
                <w:rFonts w:hint="eastAsia" w:cs="宋体"/>
                <w:szCs w:val="24"/>
                <w:highlight w:val="none"/>
              </w:rPr>
              <w:sym w:font="Wingdings" w:char="00FE"/>
            </w:r>
            <w:r>
              <w:rPr>
                <w:rFonts w:hint="eastAsia" w:ascii="Calibri" w:hAnsi="Calibri" w:cs="Times New Roman"/>
                <w:szCs w:val="24"/>
                <w:highlight w:val="none"/>
              </w:rPr>
              <w:t>不适用</w:t>
            </w:r>
          </w:p>
          <w:p w14:paraId="58072F9A">
            <w:pPr>
              <w:widowControl w:val="0"/>
              <w:spacing w:line="360" w:lineRule="auto"/>
              <w:jc w:val="both"/>
              <w:rPr>
                <w:highlight w:val="none"/>
              </w:rPr>
            </w:pPr>
            <w:r>
              <w:rPr>
                <w:rFonts w:hint="eastAsia" w:ascii="Calibri" w:hAnsi="Calibri" w:cs="Times New Roman"/>
                <w:szCs w:val="24"/>
                <w:highlight w:val="none"/>
              </w:rPr>
              <w:t>2</w:t>
            </w:r>
            <w:r>
              <w:rPr>
                <w:rFonts w:ascii="Calibri" w:hAnsi="Calibri" w:cs="Times New Roman"/>
                <w:szCs w:val="24"/>
                <w:highlight w:val="none"/>
              </w:rPr>
              <w:t>.</w:t>
            </w:r>
            <w:r>
              <w:rPr>
                <w:rFonts w:hint="eastAsia"/>
                <w:highlight w:val="none"/>
              </w:rPr>
              <w:t xml:space="preserve"> 政策使用情形：</w:t>
            </w:r>
          </w:p>
          <w:p w14:paraId="26BA0462">
            <w:pPr>
              <w:widowControl w:val="0"/>
              <w:spacing w:line="360" w:lineRule="auto"/>
              <w:jc w:val="both"/>
              <w:rPr>
                <w:szCs w:val="24"/>
                <w:highlight w:val="none"/>
              </w:rPr>
            </w:pPr>
            <w:r>
              <w:rPr>
                <w:rFonts w:hint="eastAsia" w:ascii="Calibri" w:hAnsi="Calibri" w:cs="Times New Roman"/>
                <w:szCs w:val="24"/>
                <w:highlight w:val="none"/>
              </w:rPr>
              <w:t>根据国务院办公厅关于在政府采购中实施本国产品标准及相关政策的通知（国办发〔</w:t>
            </w:r>
            <w:r>
              <w:rPr>
                <w:rFonts w:ascii="Calibri" w:hAnsi="Calibri" w:cs="Times New Roman"/>
                <w:szCs w:val="24"/>
                <w:highlight w:val="none"/>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szCs w:val="24"/>
                <w:highlight w:val="none"/>
              </w:rPr>
              <w:t>价格参与评审。供应商对其提供的产品出具《关于符合本国产品标准的声明函》（格式详见第七章</w:t>
            </w:r>
            <w:r>
              <w:rPr>
                <w:rFonts w:ascii="Calibri" w:hAnsi="Calibri" w:cs="Times New Roman"/>
                <w:szCs w:val="24"/>
                <w:highlight w:val="none"/>
              </w:rPr>
              <w:t xml:space="preserve"> 投标文件格式）或财政部会同有关部门规定的有关证明文件，《声明函》或有关证明文件符合要求的，该产品视为本国产品。</w:t>
            </w:r>
          </w:p>
        </w:tc>
      </w:tr>
      <w:tr w14:paraId="3CF173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409E6A71">
            <w:pPr>
              <w:pStyle w:val="50"/>
              <w:spacing w:line="360" w:lineRule="auto"/>
              <w:jc w:val="center"/>
              <w:rPr>
                <w:rFonts w:cs="宋体"/>
                <w:szCs w:val="24"/>
                <w:highlight w:val="none"/>
              </w:rPr>
            </w:pPr>
            <w:r>
              <w:rPr>
                <w:rFonts w:hint="eastAsia" w:cs="宋体"/>
                <w:szCs w:val="24"/>
                <w:highlight w:val="none"/>
              </w:rPr>
              <w:t>41.2</w:t>
            </w:r>
          </w:p>
        </w:tc>
        <w:tc>
          <w:tcPr>
            <w:tcW w:w="1738" w:type="dxa"/>
            <w:vAlign w:val="center"/>
          </w:tcPr>
          <w:p w14:paraId="18665143">
            <w:pPr>
              <w:pStyle w:val="50"/>
              <w:spacing w:line="360" w:lineRule="auto"/>
              <w:rPr>
                <w:rFonts w:cs="宋体"/>
                <w:szCs w:val="24"/>
                <w:highlight w:val="none"/>
              </w:rPr>
            </w:pPr>
            <w:r>
              <w:rPr>
                <w:rFonts w:hint="eastAsia" w:cs="宋体"/>
                <w:szCs w:val="24"/>
                <w:highlight w:val="none"/>
                <w:lang w:val="zh-CN"/>
              </w:rPr>
              <w:t>是否接受进口产品</w:t>
            </w:r>
          </w:p>
        </w:tc>
        <w:tc>
          <w:tcPr>
            <w:tcW w:w="6700" w:type="dxa"/>
            <w:vAlign w:val="center"/>
          </w:tcPr>
          <w:p w14:paraId="28483382">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不接受</w:t>
            </w:r>
          </w:p>
          <w:p w14:paraId="74ECD698">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lang w:val="zh-CN"/>
              </w:rPr>
              <w:t>接受</w:t>
            </w:r>
          </w:p>
        </w:tc>
      </w:tr>
      <w:tr w14:paraId="444D3F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15E0B148">
            <w:pPr>
              <w:pStyle w:val="50"/>
              <w:spacing w:line="360" w:lineRule="auto"/>
              <w:jc w:val="center"/>
              <w:rPr>
                <w:rFonts w:cs="宋体"/>
                <w:szCs w:val="24"/>
                <w:highlight w:val="none"/>
              </w:rPr>
            </w:pPr>
            <w:r>
              <w:rPr>
                <w:rFonts w:hint="eastAsia" w:cs="宋体"/>
                <w:szCs w:val="24"/>
                <w:highlight w:val="none"/>
              </w:rPr>
              <w:t>42</w:t>
            </w:r>
          </w:p>
        </w:tc>
        <w:tc>
          <w:tcPr>
            <w:tcW w:w="1738" w:type="dxa"/>
            <w:shd w:val="clear" w:color="auto" w:fill="auto"/>
            <w:vAlign w:val="center"/>
          </w:tcPr>
          <w:p w14:paraId="67FDD100">
            <w:pPr>
              <w:pStyle w:val="50"/>
              <w:spacing w:line="360" w:lineRule="auto"/>
              <w:rPr>
                <w:szCs w:val="24"/>
                <w:highlight w:val="none"/>
              </w:rPr>
            </w:pPr>
            <w:r>
              <w:rPr>
                <w:rFonts w:hint="eastAsia"/>
                <w:szCs w:val="24"/>
                <w:highlight w:val="none"/>
              </w:rPr>
              <w:t>支持中小企业政策</w:t>
            </w:r>
            <w:r>
              <w:rPr>
                <w:rStyle w:val="33"/>
                <w:rFonts w:hint="eastAsia" w:cs="宋体"/>
                <w:szCs w:val="24"/>
                <w:highlight w:val="none"/>
              </w:rPr>
              <w:t>（非专门面向中小企业采购项目适用）</w:t>
            </w:r>
          </w:p>
        </w:tc>
        <w:tc>
          <w:tcPr>
            <w:tcW w:w="6700" w:type="dxa"/>
            <w:shd w:val="clear" w:color="auto" w:fill="auto"/>
            <w:vAlign w:val="center"/>
          </w:tcPr>
          <w:p w14:paraId="0F47CF89">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1.小型和微型企业价格扣除：</w:t>
            </w:r>
            <w:r>
              <w:rPr>
                <w:rFonts w:hint="eastAsia"/>
                <w:b w:val="0"/>
                <w:sz w:val="24"/>
                <w:szCs w:val="24"/>
                <w:highlight w:val="none"/>
                <w:u w:val="single"/>
              </w:rPr>
              <w:t xml:space="preserve">  /    </w:t>
            </w:r>
            <w:r>
              <w:rPr>
                <w:rFonts w:hint="eastAsia"/>
                <w:b w:val="0"/>
                <w:sz w:val="24"/>
                <w:szCs w:val="24"/>
                <w:highlight w:val="none"/>
              </w:rPr>
              <w:t>。</w:t>
            </w:r>
          </w:p>
          <w:p w14:paraId="50F168C6">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2.监狱企业价格扣除：同小型和微型企业。</w:t>
            </w:r>
          </w:p>
          <w:p w14:paraId="584D6200">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3.残疾人福利性单位价格扣除：同小型和微型企业。</w:t>
            </w:r>
          </w:p>
          <w:p w14:paraId="2BB56D52">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4.符合条件的联合体价格扣除：</w:t>
            </w:r>
            <w:r>
              <w:rPr>
                <w:rFonts w:hint="eastAsia"/>
                <w:b w:val="0"/>
                <w:sz w:val="24"/>
                <w:szCs w:val="24"/>
                <w:highlight w:val="none"/>
                <w:u w:val="single"/>
              </w:rPr>
              <w:t xml:space="preserve">  /  </w:t>
            </w:r>
            <w:r>
              <w:rPr>
                <w:rFonts w:hint="eastAsia"/>
                <w:b w:val="0"/>
                <w:sz w:val="24"/>
                <w:szCs w:val="24"/>
                <w:highlight w:val="none"/>
              </w:rPr>
              <w:t xml:space="preserve"> 。</w:t>
            </w:r>
          </w:p>
          <w:p w14:paraId="6A2FBC07">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5.符合条件的向小微企业分包的大中型企业价格扣除：</w:t>
            </w:r>
            <w:r>
              <w:rPr>
                <w:rFonts w:hint="eastAsia"/>
                <w:b w:val="0"/>
                <w:sz w:val="24"/>
                <w:szCs w:val="24"/>
                <w:highlight w:val="none"/>
                <w:u w:val="single"/>
              </w:rPr>
              <w:t>/</w:t>
            </w:r>
            <w:r>
              <w:rPr>
                <w:rFonts w:hint="eastAsia"/>
                <w:b w:val="0"/>
                <w:sz w:val="24"/>
                <w:szCs w:val="24"/>
                <w:highlight w:val="none"/>
              </w:rPr>
              <w:t>。（允许大中型企业向小微企业分包的项目适用）</w:t>
            </w:r>
          </w:p>
        </w:tc>
      </w:tr>
      <w:tr w14:paraId="4EB596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627E3528">
            <w:pPr>
              <w:pStyle w:val="50"/>
              <w:spacing w:line="360" w:lineRule="auto"/>
              <w:jc w:val="center"/>
              <w:rPr>
                <w:rFonts w:cs="宋体"/>
                <w:szCs w:val="24"/>
                <w:highlight w:val="none"/>
              </w:rPr>
            </w:pPr>
            <w:r>
              <w:rPr>
                <w:rFonts w:hint="eastAsia" w:cs="宋体"/>
                <w:szCs w:val="24"/>
                <w:highlight w:val="none"/>
              </w:rPr>
              <w:t>42.5</w:t>
            </w:r>
          </w:p>
        </w:tc>
        <w:tc>
          <w:tcPr>
            <w:tcW w:w="1738" w:type="dxa"/>
            <w:shd w:val="clear" w:color="auto" w:fill="auto"/>
            <w:vAlign w:val="center"/>
          </w:tcPr>
          <w:p w14:paraId="1ECA3120">
            <w:pPr>
              <w:pStyle w:val="50"/>
              <w:spacing w:line="360" w:lineRule="auto"/>
              <w:rPr>
                <w:szCs w:val="24"/>
                <w:highlight w:val="none"/>
              </w:rPr>
            </w:pPr>
            <w:r>
              <w:rPr>
                <w:rFonts w:hint="eastAsia"/>
                <w:szCs w:val="24"/>
                <w:highlight w:val="none"/>
              </w:rPr>
              <w:t>标的所属行业</w:t>
            </w:r>
          </w:p>
          <w:p w14:paraId="4DCB5A30">
            <w:pPr>
              <w:pStyle w:val="50"/>
              <w:spacing w:line="360" w:lineRule="auto"/>
              <w:rPr>
                <w:szCs w:val="24"/>
                <w:highlight w:val="none"/>
              </w:rPr>
            </w:pPr>
            <w:r>
              <w:rPr>
                <w:rStyle w:val="33"/>
                <w:rFonts w:hint="eastAsia" w:cs="宋体"/>
                <w:szCs w:val="24"/>
                <w:highlight w:val="none"/>
              </w:rPr>
              <w:t>参照后附《工信部联企业〔2011〕300号》</w:t>
            </w:r>
          </w:p>
        </w:tc>
        <w:tc>
          <w:tcPr>
            <w:tcW w:w="6700" w:type="dxa"/>
            <w:shd w:val="clear" w:color="auto" w:fill="auto"/>
            <w:vAlign w:val="center"/>
          </w:tcPr>
          <w:p w14:paraId="0D4FBACF">
            <w:pPr>
              <w:spacing w:line="360" w:lineRule="auto"/>
              <w:rPr>
                <w:szCs w:val="24"/>
                <w:highlight w:val="none"/>
              </w:rPr>
            </w:pPr>
            <w:r>
              <w:rPr>
                <w:rFonts w:hint="eastAsia"/>
                <w:szCs w:val="24"/>
                <w:highlight w:val="none"/>
                <w:lang w:bidi="ar"/>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2D39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6BE42BC">
                  <w:pPr>
                    <w:spacing w:line="360" w:lineRule="auto"/>
                    <w:rPr>
                      <w:b/>
                      <w:szCs w:val="24"/>
                      <w:highlight w:val="none"/>
                      <w:lang w:bidi="ar"/>
                    </w:rPr>
                  </w:pPr>
                  <w:r>
                    <w:rPr>
                      <w:rFonts w:hint="eastAsia"/>
                      <w:b/>
                      <w:szCs w:val="24"/>
                      <w:highlight w:val="none"/>
                      <w:lang w:bidi="ar"/>
                    </w:rPr>
                    <w:t>包号</w:t>
                  </w:r>
                </w:p>
              </w:tc>
              <w:tc>
                <w:tcPr>
                  <w:tcW w:w="1824" w:type="dxa"/>
                  <w:vAlign w:val="center"/>
                </w:tcPr>
                <w:p w14:paraId="0C12EE3B">
                  <w:pPr>
                    <w:spacing w:line="360" w:lineRule="auto"/>
                    <w:jc w:val="center"/>
                    <w:rPr>
                      <w:b/>
                      <w:szCs w:val="24"/>
                      <w:highlight w:val="none"/>
                      <w:lang w:bidi="ar"/>
                    </w:rPr>
                  </w:pPr>
                  <w:r>
                    <w:rPr>
                      <w:rFonts w:hint="eastAsia"/>
                      <w:b/>
                      <w:szCs w:val="24"/>
                      <w:highlight w:val="none"/>
                      <w:lang w:bidi="ar"/>
                    </w:rPr>
                    <w:t>标的名称</w:t>
                  </w:r>
                </w:p>
              </w:tc>
              <w:tc>
                <w:tcPr>
                  <w:tcW w:w="3245" w:type="dxa"/>
                  <w:vAlign w:val="center"/>
                </w:tcPr>
                <w:p w14:paraId="4D4A0F4C">
                  <w:pPr>
                    <w:spacing w:line="360" w:lineRule="auto"/>
                    <w:rPr>
                      <w:b/>
                      <w:szCs w:val="24"/>
                      <w:highlight w:val="none"/>
                      <w:lang w:bidi="ar"/>
                    </w:rPr>
                  </w:pPr>
                  <w:r>
                    <w:rPr>
                      <w:rFonts w:hint="eastAsia"/>
                      <w:b/>
                      <w:szCs w:val="24"/>
                      <w:highlight w:val="none"/>
                      <w:lang w:bidi="ar"/>
                    </w:rPr>
                    <w:t>中小企业划分标准所属行业</w:t>
                  </w:r>
                </w:p>
              </w:tc>
            </w:tr>
            <w:tr w14:paraId="579A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1741B3D3">
                  <w:pPr>
                    <w:spacing w:line="360" w:lineRule="auto"/>
                    <w:rPr>
                      <w:b/>
                      <w:szCs w:val="24"/>
                      <w:highlight w:val="none"/>
                      <w:lang w:bidi="ar"/>
                    </w:rPr>
                  </w:pPr>
                  <w:r>
                    <w:rPr>
                      <w:rFonts w:hint="eastAsia"/>
                      <w:b/>
                      <w:szCs w:val="24"/>
                      <w:highlight w:val="none"/>
                      <w:lang w:bidi="ar"/>
                    </w:rPr>
                    <w:t>/</w:t>
                  </w:r>
                </w:p>
              </w:tc>
              <w:tc>
                <w:tcPr>
                  <w:tcW w:w="1824" w:type="dxa"/>
                  <w:vAlign w:val="center"/>
                </w:tcPr>
                <w:p w14:paraId="4E9C6F15">
                  <w:pPr>
                    <w:spacing w:line="360" w:lineRule="auto"/>
                    <w:jc w:val="center"/>
                    <w:rPr>
                      <w:b/>
                      <w:szCs w:val="24"/>
                      <w:highlight w:val="none"/>
                      <w:lang w:bidi="ar"/>
                    </w:rPr>
                  </w:pPr>
                  <w:r>
                    <w:rPr>
                      <w:rFonts w:hint="eastAsia"/>
                      <w:b/>
                      <w:szCs w:val="24"/>
                      <w:highlight w:val="none"/>
                      <w:lang w:bidi="ar"/>
                    </w:rPr>
                    <w:t>三去鱼类</w:t>
                  </w:r>
                </w:p>
              </w:tc>
              <w:tc>
                <w:tcPr>
                  <w:tcW w:w="3245" w:type="dxa"/>
                  <w:vAlign w:val="center"/>
                </w:tcPr>
                <w:p w14:paraId="625E52C4">
                  <w:pPr>
                    <w:spacing w:line="360" w:lineRule="auto"/>
                    <w:jc w:val="center"/>
                    <w:rPr>
                      <w:b/>
                      <w:szCs w:val="24"/>
                      <w:highlight w:val="none"/>
                      <w:lang w:bidi="ar"/>
                    </w:rPr>
                  </w:pPr>
                  <w:r>
                    <w:rPr>
                      <w:rFonts w:hint="eastAsia" w:cs="宋体"/>
                      <w:b/>
                      <w:highlight w:val="none"/>
                    </w:rPr>
                    <w:t>农、林、牧、渔业</w:t>
                  </w:r>
                </w:p>
              </w:tc>
            </w:tr>
            <w:tr w14:paraId="798B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6C16AB93">
                  <w:pPr>
                    <w:spacing w:line="360" w:lineRule="auto"/>
                    <w:rPr>
                      <w:b/>
                      <w:szCs w:val="24"/>
                      <w:highlight w:val="none"/>
                      <w:lang w:bidi="ar"/>
                    </w:rPr>
                  </w:pPr>
                  <w:r>
                    <w:rPr>
                      <w:rFonts w:hint="eastAsia"/>
                      <w:b/>
                      <w:szCs w:val="24"/>
                      <w:highlight w:val="none"/>
                      <w:lang w:bidi="ar"/>
                    </w:rPr>
                    <w:t>/</w:t>
                  </w:r>
                </w:p>
              </w:tc>
              <w:tc>
                <w:tcPr>
                  <w:tcW w:w="1824" w:type="dxa"/>
                  <w:vAlign w:val="center"/>
                </w:tcPr>
                <w:p w14:paraId="3CC1294D">
                  <w:pPr>
                    <w:spacing w:line="360" w:lineRule="auto"/>
                    <w:jc w:val="center"/>
                    <w:rPr>
                      <w:b/>
                      <w:szCs w:val="24"/>
                      <w:highlight w:val="none"/>
                      <w:lang w:bidi="ar"/>
                    </w:rPr>
                  </w:pPr>
                  <w:r>
                    <w:rPr>
                      <w:rFonts w:hint="eastAsia"/>
                      <w:b/>
                      <w:szCs w:val="24"/>
                      <w:highlight w:val="none"/>
                      <w:lang w:bidi="ar"/>
                    </w:rPr>
                    <w:t>两去鱼类</w:t>
                  </w:r>
                </w:p>
              </w:tc>
              <w:tc>
                <w:tcPr>
                  <w:tcW w:w="3245" w:type="dxa"/>
                  <w:vAlign w:val="center"/>
                </w:tcPr>
                <w:p w14:paraId="595A5566">
                  <w:pPr>
                    <w:spacing w:line="360" w:lineRule="auto"/>
                    <w:jc w:val="center"/>
                    <w:rPr>
                      <w:rFonts w:cs="宋体"/>
                      <w:b/>
                      <w:highlight w:val="none"/>
                    </w:rPr>
                  </w:pPr>
                  <w:r>
                    <w:rPr>
                      <w:rFonts w:hint="eastAsia" w:cs="宋体"/>
                      <w:b/>
                      <w:highlight w:val="none"/>
                    </w:rPr>
                    <w:t>农、林、牧、渔业</w:t>
                  </w:r>
                </w:p>
              </w:tc>
            </w:tr>
            <w:tr w14:paraId="2229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7D77407">
                  <w:pPr>
                    <w:spacing w:line="360" w:lineRule="auto"/>
                    <w:rPr>
                      <w:b/>
                      <w:szCs w:val="24"/>
                      <w:highlight w:val="none"/>
                      <w:lang w:bidi="ar"/>
                    </w:rPr>
                  </w:pPr>
                  <w:r>
                    <w:rPr>
                      <w:rFonts w:hint="eastAsia"/>
                      <w:b/>
                      <w:szCs w:val="24"/>
                      <w:highlight w:val="none"/>
                      <w:lang w:bidi="ar"/>
                    </w:rPr>
                    <w:t>/</w:t>
                  </w:r>
                </w:p>
              </w:tc>
              <w:tc>
                <w:tcPr>
                  <w:tcW w:w="1824" w:type="dxa"/>
                  <w:vAlign w:val="center"/>
                </w:tcPr>
                <w:p w14:paraId="1F8B27E8">
                  <w:pPr>
                    <w:spacing w:line="360" w:lineRule="auto"/>
                    <w:jc w:val="center"/>
                    <w:rPr>
                      <w:b/>
                      <w:szCs w:val="24"/>
                      <w:highlight w:val="none"/>
                      <w:lang w:bidi="ar"/>
                    </w:rPr>
                  </w:pPr>
                  <w:r>
                    <w:rPr>
                      <w:rFonts w:hint="eastAsia"/>
                      <w:b/>
                      <w:szCs w:val="24"/>
                      <w:highlight w:val="none"/>
                      <w:lang w:bidi="ar"/>
                    </w:rPr>
                    <w:t>其他水产</w:t>
                  </w:r>
                </w:p>
              </w:tc>
              <w:tc>
                <w:tcPr>
                  <w:tcW w:w="3245" w:type="dxa"/>
                  <w:vAlign w:val="center"/>
                </w:tcPr>
                <w:p w14:paraId="3886B065">
                  <w:pPr>
                    <w:spacing w:line="360" w:lineRule="auto"/>
                    <w:jc w:val="center"/>
                    <w:rPr>
                      <w:rFonts w:cs="宋体"/>
                      <w:b/>
                      <w:highlight w:val="none"/>
                    </w:rPr>
                  </w:pPr>
                  <w:r>
                    <w:rPr>
                      <w:rFonts w:hint="eastAsia" w:cs="宋体"/>
                      <w:b/>
                      <w:highlight w:val="none"/>
                    </w:rPr>
                    <w:t>农、林、牧、渔业</w:t>
                  </w:r>
                </w:p>
              </w:tc>
            </w:tr>
            <w:tr w14:paraId="698A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279DA4BE">
                  <w:pPr>
                    <w:spacing w:line="360" w:lineRule="auto"/>
                    <w:rPr>
                      <w:b/>
                      <w:szCs w:val="24"/>
                      <w:highlight w:val="none"/>
                      <w:lang w:bidi="ar"/>
                    </w:rPr>
                  </w:pPr>
                  <w:r>
                    <w:rPr>
                      <w:rFonts w:hint="eastAsia"/>
                      <w:b/>
                      <w:szCs w:val="24"/>
                      <w:highlight w:val="none"/>
                      <w:lang w:bidi="ar"/>
                    </w:rPr>
                    <w:t>/</w:t>
                  </w:r>
                </w:p>
              </w:tc>
              <w:tc>
                <w:tcPr>
                  <w:tcW w:w="1824" w:type="dxa"/>
                  <w:vAlign w:val="center"/>
                </w:tcPr>
                <w:p w14:paraId="65C5E6DC">
                  <w:pPr>
                    <w:spacing w:line="360" w:lineRule="auto"/>
                    <w:jc w:val="center"/>
                    <w:rPr>
                      <w:b/>
                      <w:szCs w:val="24"/>
                      <w:highlight w:val="none"/>
                      <w:lang w:bidi="ar"/>
                    </w:rPr>
                  </w:pPr>
                  <w:r>
                    <w:rPr>
                      <w:rFonts w:hint="eastAsia"/>
                      <w:b/>
                      <w:szCs w:val="24"/>
                      <w:highlight w:val="none"/>
                      <w:lang w:bidi="ar"/>
                    </w:rPr>
                    <w:t>白条鸡</w:t>
                  </w:r>
                </w:p>
              </w:tc>
              <w:tc>
                <w:tcPr>
                  <w:tcW w:w="3245" w:type="dxa"/>
                  <w:vAlign w:val="center"/>
                </w:tcPr>
                <w:p w14:paraId="74367DF4">
                  <w:pPr>
                    <w:spacing w:line="360" w:lineRule="auto"/>
                    <w:jc w:val="center"/>
                    <w:rPr>
                      <w:rFonts w:cs="宋体"/>
                      <w:b/>
                      <w:highlight w:val="none"/>
                    </w:rPr>
                  </w:pPr>
                  <w:r>
                    <w:rPr>
                      <w:rFonts w:hint="eastAsia" w:cs="宋体"/>
                      <w:b/>
                      <w:highlight w:val="none"/>
                    </w:rPr>
                    <w:t>农、林、牧、渔业</w:t>
                  </w:r>
                </w:p>
              </w:tc>
            </w:tr>
            <w:tr w14:paraId="03EF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1F43D48">
                  <w:pPr>
                    <w:spacing w:line="360" w:lineRule="auto"/>
                    <w:rPr>
                      <w:b/>
                      <w:szCs w:val="24"/>
                      <w:highlight w:val="none"/>
                      <w:lang w:bidi="ar"/>
                    </w:rPr>
                  </w:pPr>
                  <w:r>
                    <w:rPr>
                      <w:rFonts w:hint="eastAsia"/>
                      <w:b/>
                      <w:szCs w:val="24"/>
                      <w:highlight w:val="none"/>
                      <w:lang w:bidi="ar"/>
                    </w:rPr>
                    <w:t>/</w:t>
                  </w:r>
                </w:p>
              </w:tc>
              <w:tc>
                <w:tcPr>
                  <w:tcW w:w="1824" w:type="dxa"/>
                  <w:vAlign w:val="center"/>
                </w:tcPr>
                <w:p w14:paraId="41DFF4B5">
                  <w:pPr>
                    <w:spacing w:line="360" w:lineRule="auto"/>
                    <w:jc w:val="center"/>
                    <w:rPr>
                      <w:b/>
                      <w:szCs w:val="24"/>
                      <w:highlight w:val="none"/>
                      <w:lang w:bidi="ar"/>
                    </w:rPr>
                  </w:pPr>
                  <w:r>
                    <w:rPr>
                      <w:rFonts w:hint="eastAsia"/>
                      <w:b/>
                      <w:szCs w:val="24"/>
                      <w:highlight w:val="none"/>
                      <w:lang w:bidi="ar"/>
                    </w:rPr>
                    <w:t>鱿鱼</w:t>
                  </w:r>
                </w:p>
              </w:tc>
              <w:tc>
                <w:tcPr>
                  <w:tcW w:w="3245" w:type="dxa"/>
                  <w:vAlign w:val="center"/>
                </w:tcPr>
                <w:p w14:paraId="47BB9FD7">
                  <w:pPr>
                    <w:spacing w:line="360" w:lineRule="auto"/>
                    <w:jc w:val="center"/>
                    <w:rPr>
                      <w:rFonts w:cs="宋体"/>
                      <w:b/>
                      <w:highlight w:val="none"/>
                    </w:rPr>
                  </w:pPr>
                  <w:r>
                    <w:rPr>
                      <w:rFonts w:hint="eastAsia" w:cs="宋体"/>
                      <w:b/>
                      <w:highlight w:val="none"/>
                    </w:rPr>
                    <w:t>农、林、牧、渔业</w:t>
                  </w:r>
                </w:p>
              </w:tc>
            </w:tr>
          </w:tbl>
          <w:p w14:paraId="4D678CA8">
            <w:pPr>
              <w:autoSpaceDE w:val="0"/>
              <w:autoSpaceDN w:val="0"/>
              <w:adjustRightInd w:val="0"/>
              <w:spacing w:line="360" w:lineRule="auto"/>
              <w:textAlignment w:val="baseline"/>
              <w:rPr>
                <w:rFonts w:cs="Times New Roman"/>
                <w:kern w:val="0"/>
                <w:szCs w:val="24"/>
                <w:highlight w:val="none"/>
              </w:rPr>
            </w:pPr>
            <w:r>
              <w:rPr>
                <w:rFonts w:hint="eastAsia" w:cs="Times New Roman"/>
                <w:kern w:val="0"/>
                <w:szCs w:val="24"/>
                <w:highlight w:val="none"/>
              </w:rPr>
              <w:t>企业规模类型根据《中小企业划型标准规定》（工信部联企业[2011]300号）确定：</w:t>
            </w:r>
          </w:p>
          <w:p w14:paraId="6100CF6F">
            <w:pPr>
              <w:autoSpaceDE w:val="0"/>
              <w:autoSpaceDN w:val="0"/>
              <w:adjustRightInd w:val="0"/>
              <w:spacing w:line="360" w:lineRule="auto"/>
              <w:textAlignment w:val="baseline"/>
              <w:rPr>
                <w:highlight w:val="none"/>
              </w:rPr>
            </w:pPr>
            <w:r>
              <w:rPr>
                <w:rFonts w:hint="eastAsia"/>
                <w:highlight w:val="none"/>
              </w:rPr>
              <w:t>（一）农、林、牧、渔业。营业收入</w:t>
            </w:r>
            <w:r>
              <w:rPr>
                <w:highlight w:val="none"/>
              </w:rPr>
              <w:t>20000万元以下的为中小微型企业。其中，营业收</w:t>
            </w:r>
            <w:r>
              <w:rPr>
                <w:rFonts w:hint="eastAsia"/>
                <w:highlight w:val="none"/>
              </w:rPr>
              <w:t>入</w:t>
            </w:r>
            <w:r>
              <w:rPr>
                <w:highlight w:val="none"/>
              </w:rPr>
              <w:t xml:space="preserve"> 500 万元及以上的为中型企业，营业收入50万元及以上的为小型企业，营业收入 50 万元</w:t>
            </w:r>
            <w:r>
              <w:rPr>
                <w:rFonts w:hint="eastAsia"/>
                <w:highlight w:val="none"/>
              </w:rPr>
              <w:t>以下的为微型企业。</w:t>
            </w:r>
          </w:p>
          <w:p w14:paraId="48074824">
            <w:pPr>
              <w:spacing w:line="360" w:lineRule="auto"/>
              <w:rPr>
                <w:rFonts w:cs="Times New Roman"/>
                <w:szCs w:val="24"/>
                <w:highlight w:val="none"/>
              </w:rPr>
            </w:pPr>
            <w:r>
              <w:rPr>
                <w:rFonts w:hint="eastAsia" w:cs="Times New Roman"/>
                <w:szCs w:val="24"/>
                <w:highlight w:val="none"/>
              </w:rPr>
              <w:t>温馨提示：</w:t>
            </w:r>
          </w:p>
          <w:p w14:paraId="51819416">
            <w:pPr>
              <w:spacing w:line="360" w:lineRule="auto"/>
              <w:rPr>
                <w:rFonts w:cs="Times New Roman"/>
                <w:b/>
                <w:bCs/>
                <w:szCs w:val="24"/>
                <w:highlight w:val="none"/>
              </w:rPr>
            </w:pPr>
            <w:r>
              <w:rPr>
                <w:rFonts w:hint="eastAsia" w:cs="Times New Roman"/>
                <w:bCs/>
                <w:szCs w:val="24"/>
                <w:highlight w:val="none"/>
              </w:rPr>
              <w:t>1、为方便广大中小企业识别企业规模类型，</w:t>
            </w:r>
            <w:r>
              <w:rPr>
                <w:rFonts w:hint="eastAsia" w:cs="Times New Roman"/>
                <w:bCs/>
                <w:szCs w:val="24"/>
                <w:highlight w:val="none"/>
                <w:u w:val="single"/>
              </w:rPr>
              <w:t>工业和信息化部组织开发了中小企业规模类型自测小程序，在国务院客户端和工业和信息化部网站上均有链接，</w:t>
            </w:r>
            <w:r>
              <w:rPr>
                <w:rFonts w:hint="eastAsia" w:cs="Times New Roman"/>
                <w:bCs/>
                <w:szCs w:val="24"/>
                <w:highlight w:val="none"/>
              </w:rPr>
              <w:t>供应商填写所属的行业和指标数据可自动生成企业规模类型测试结果</w:t>
            </w:r>
            <w:r>
              <w:rPr>
                <w:rFonts w:hint="eastAsia" w:cs="Times New Roman"/>
                <w:b/>
                <w:bCs/>
                <w:szCs w:val="24"/>
                <w:highlight w:val="none"/>
              </w:rPr>
              <w:t>。</w:t>
            </w:r>
          </w:p>
          <w:p w14:paraId="5A6779B9">
            <w:pPr>
              <w:spacing w:line="360" w:lineRule="auto"/>
              <w:rPr>
                <w:highlight w:val="none"/>
              </w:rPr>
            </w:pPr>
            <w:r>
              <w:rPr>
                <w:rFonts w:hint="eastAsia" w:cs="Times New Roman"/>
                <w:b/>
                <w:bCs/>
                <w:szCs w:val="24"/>
                <w:highlight w:val="none"/>
              </w:rPr>
              <w:t>2、根据</w:t>
            </w:r>
            <w:r>
              <w:rPr>
                <w:rFonts w:hint="eastAsia"/>
                <w:b/>
                <w:bCs/>
                <w:highlight w:val="none"/>
                <w:u w:val="single"/>
              </w:rPr>
              <w:t>《政府采购促进中小企业发展管理办法》第二条的规定，农民</w:t>
            </w:r>
            <w:r>
              <w:rPr>
                <w:b/>
                <w:bCs/>
                <w:highlight w:val="none"/>
                <w:u w:val="single"/>
              </w:rPr>
              <w:t>专业合作社按照《</w:t>
            </w:r>
            <w:r>
              <w:rPr>
                <w:rFonts w:hint="eastAsia"/>
                <w:b/>
                <w:bCs/>
                <w:highlight w:val="none"/>
                <w:u w:val="single"/>
              </w:rPr>
              <w:t>中华人民共和国农民专业合作社法</w:t>
            </w:r>
            <w:r>
              <w:rPr>
                <w:b/>
                <w:bCs/>
                <w:highlight w:val="none"/>
                <w:u w:val="single"/>
              </w:rPr>
              <w:t>》第二条规定属于</w:t>
            </w:r>
            <w:r>
              <w:rPr>
                <w:rFonts w:hint="eastAsia"/>
                <w:b/>
                <w:bCs/>
                <w:highlight w:val="none"/>
                <w:u w:val="single"/>
              </w:rPr>
              <w:t>互助性经济组织，不属于 “企业”，不享受</w:t>
            </w:r>
            <w:r>
              <w:rPr>
                <w:rFonts w:hint="eastAsia"/>
                <w:b/>
                <w:highlight w:val="none"/>
                <w:u w:val="single"/>
              </w:rPr>
              <w:t>政府采购政策优惠</w:t>
            </w:r>
            <w:r>
              <w:rPr>
                <w:rFonts w:hint="eastAsia"/>
                <w:b/>
                <w:bCs/>
                <w:highlight w:val="none"/>
                <w:u w:val="single"/>
              </w:rPr>
              <w:t>。</w:t>
            </w:r>
          </w:p>
        </w:tc>
      </w:tr>
      <w:tr w14:paraId="19A86A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275EACF2">
            <w:pPr>
              <w:pStyle w:val="50"/>
              <w:spacing w:line="360" w:lineRule="auto"/>
              <w:jc w:val="center"/>
              <w:rPr>
                <w:rFonts w:cs="宋体"/>
                <w:szCs w:val="24"/>
                <w:highlight w:val="none"/>
              </w:rPr>
            </w:pPr>
            <w:r>
              <w:rPr>
                <w:rFonts w:hint="eastAsia" w:cs="宋体"/>
                <w:szCs w:val="24"/>
                <w:highlight w:val="none"/>
              </w:rPr>
              <w:t>43.5</w:t>
            </w:r>
          </w:p>
        </w:tc>
        <w:tc>
          <w:tcPr>
            <w:tcW w:w="1738" w:type="dxa"/>
            <w:shd w:val="clear" w:color="auto" w:fill="auto"/>
            <w:vAlign w:val="center"/>
          </w:tcPr>
          <w:p w14:paraId="761D7915">
            <w:pPr>
              <w:pStyle w:val="50"/>
              <w:spacing w:line="360" w:lineRule="auto"/>
              <w:rPr>
                <w:rFonts w:cs="宋体"/>
                <w:szCs w:val="24"/>
                <w:highlight w:val="none"/>
              </w:rPr>
            </w:pPr>
            <w:r>
              <w:rPr>
                <w:rFonts w:hint="eastAsia" w:cs="宋体"/>
                <w:szCs w:val="24"/>
                <w:highlight w:val="none"/>
              </w:rPr>
              <w:t>优先采购创新节能环保产品</w:t>
            </w:r>
          </w:p>
        </w:tc>
        <w:tc>
          <w:tcPr>
            <w:tcW w:w="6700" w:type="dxa"/>
            <w:shd w:val="clear" w:color="auto" w:fill="auto"/>
            <w:vAlign w:val="center"/>
          </w:tcPr>
          <w:p w14:paraId="63BB0B2B">
            <w:pPr>
              <w:pStyle w:val="50"/>
              <w:spacing w:line="360" w:lineRule="auto"/>
              <w:rPr>
                <w:rFonts w:cs="宋体"/>
                <w:szCs w:val="24"/>
                <w:highlight w:val="none"/>
              </w:rPr>
            </w:pPr>
            <w:r>
              <w:rPr>
                <w:rFonts w:hint="eastAsia" w:cs="宋体"/>
                <w:szCs w:val="24"/>
                <w:highlight w:val="none"/>
              </w:rPr>
              <w:t>所投产品纳入创新产品应用示范推荐目录内企业、所投产品获得节能产品或环境标志产品认证证书的供应商给予</w:t>
            </w:r>
            <w:r>
              <w:rPr>
                <w:rFonts w:hint="eastAsia" w:cs="宋体"/>
                <w:szCs w:val="24"/>
                <w:highlight w:val="none"/>
                <w:u w:val="single"/>
              </w:rPr>
              <w:t xml:space="preserve">  /  </w:t>
            </w:r>
            <w:r>
              <w:rPr>
                <w:rFonts w:hint="eastAsia" w:cs="宋体"/>
                <w:szCs w:val="24"/>
                <w:highlight w:val="none"/>
              </w:rPr>
              <w:t>评审优惠。</w:t>
            </w:r>
          </w:p>
        </w:tc>
      </w:tr>
      <w:tr w14:paraId="5D4FF1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6D002BB4">
            <w:pPr>
              <w:pStyle w:val="50"/>
              <w:spacing w:line="360" w:lineRule="auto"/>
              <w:jc w:val="center"/>
              <w:rPr>
                <w:rFonts w:cs="宋体"/>
                <w:szCs w:val="24"/>
                <w:highlight w:val="none"/>
              </w:rPr>
            </w:pPr>
            <w:r>
              <w:rPr>
                <w:rFonts w:hint="eastAsia" w:cs="宋体"/>
                <w:szCs w:val="24"/>
                <w:highlight w:val="none"/>
              </w:rPr>
              <w:t>47.1</w:t>
            </w:r>
          </w:p>
        </w:tc>
        <w:tc>
          <w:tcPr>
            <w:tcW w:w="1738" w:type="dxa"/>
            <w:tcBorders>
              <w:left w:val="single" w:color="auto" w:sz="4" w:space="0"/>
              <w:right w:val="single" w:color="auto" w:sz="4" w:space="0"/>
            </w:tcBorders>
            <w:vAlign w:val="center"/>
          </w:tcPr>
          <w:p w14:paraId="3A99832A">
            <w:pPr>
              <w:pStyle w:val="50"/>
              <w:spacing w:line="360" w:lineRule="auto"/>
              <w:rPr>
                <w:rFonts w:cs="宋体"/>
                <w:szCs w:val="24"/>
                <w:highlight w:val="none"/>
              </w:rPr>
            </w:pPr>
            <w:r>
              <w:rPr>
                <w:rFonts w:hint="eastAsia" w:cs="宋体"/>
                <w:szCs w:val="24"/>
                <w:highlight w:val="none"/>
              </w:rPr>
              <w:t>政府采购</w:t>
            </w:r>
          </w:p>
          <w:p w14:paraId="2E49B5F4">
            <w:pPr>
              <w:pStyle w:val="50"/>
              <w:spacing w:line="360" w:lineRule="auto"/>
              <w:rPr>
                <w:rFonts w:cs="宋体"/>
                <w:szCs w:val="24"/>
                <w:highlight w:val="none"/>
              </w:rPr>
            </w:pPr>
            <w:r>
              <w:rPr>
                <w:rFonts w:hint="eastAsia" w:cs="宋体"/>
                <w:szCs w:val="24"/>
                <w:highlight w:val="none"/>
              </w:rPr>
              <w:t>合同融资政策</w:t>
            </w:r>
          </w:p>
        </w:tc>
        <w:tc>
          <w:tcPr>
            <w:tcW w:w="6700" w:type="dxa"/>
            <w:tcBorders>
              <w:left w:val="single" w:color="auto" w:sz="4" w:space="0"/>
            </w:tcBorders>
            <w:vAlign w:val="center"/>
          </w:tcPr>
          <w:p w14:paraId="5CD6275B">
            <w:pPr>
              <w:pStyle w:val="50"/>
              <w:spacing w:line="360" w:lineRule="auto"/>
              <w:rPr>
                <w:rFonts w:cs="宋体"/>
                <w:szCs w:val="24"/>
                <w:highlight w:val="none"/>
              </w:rPr>
            </w:pPr>
            <w:r>
              <w:rPr>
                <w:rFonts w:hint="eastAsia" w:cs="宋体"/>
                <w:szCs w:val="24"/>
                <w:highlight w:val="none"/>
              </w:rPr>
              <w:t xml:space="preserve">  1.有融资需求的成交人在获得政府采购成交通知书后，即可向开展“政采贷”业务的金融机构提出申请，金融机构依据政府采购成交通知书和政府采购合同，为中小微企业提供融资服务。</w:t>
            </w:r>
          </w:p>
          <w:p w14:paraId="1EB0C679">
            <w:pPr>
              <w:pStyle w:val="50"/>
              <w:spacing w:line="360" w:lineRule="auto"/>
              <w:rPr>
                <w:rFonts w:cs="宋体"/>
                <w:szCs w:val="24"/>
                <w:highlight w:val="none"/>
              </w:rPr>
            </w:pPr>
            <w:r>
              <w:rPr>
                <w:rFonts w:hint="eastAsia" w:cs="宋体"/>
                <w:szCs w:val="24"/>
                <w:highlight w:val="none"/>
              </w:rPr>
              <w:t>渠道和方式：详见新疆政府采购网。</w:t>
            </w:r>
          </w:p>
          <w:p w14:paraId="7EBABF75">
            <w:pPr>
              <w:pStyle w:val="50"/>
              <w:spacing w:line="360" w:lineRule="auto"/>
              <w:ind w:firstLine="240" w:firstLineChars="100"/>
              <w:rPr>
                <w:rFonts w:cs="宋体"/>
                <w:szCs w:val="24"/>
                <w:highlight w:val="none"/>
              </w:rPr>
            </w:pPr>
            <w:r>
              <w:rPr>
                <w:rFonts w:hint="eastAsia" w:cs="宋体"/>
                <w:szCs w:val="24"/>
                <w:highlight w:val="none"/>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625ADC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restart"/>
            <w:tcBorders>
              <w:right w:val="single" w:color="auto" w:sz="4" w:space="0"/>
            </w:tcBorders>
            <w:vAlign w:val="center"/>
          </w:tcPr>
          <w:p w14:paraId="5EFE05E5">
            <w:pPr>
              <w:pStyle w:val="50"/>
              <w:spacing w:line="360" w:lineRule="auto"/>
              <w:jc w:val="center"/>
              <w:rPr>
                <w:rFonts w:cs="宋体"/>
                <w:szCs w:val="24"/>
                <w:highlight w:val="none"/>
              </w:rPr>
            </w:pPr>
            <w:r>
              <w:rPr>
                <w:rFonts w:hint="eastAsia" w:cs="宋体"/>
                <w:szCs w:val="24"/>
                <w:highlight w:val="none"/>
              </w:rPr>
              <w:t>48.1</w:t>
            </w:r>
          </w:p>
        </w:tc>
        <w:tc>
          <w:tcPr>
            <w:tcW w:w="1738" w:type="dxa"/>
            <w:vMerge w:val="restart"/>
            <w:tcBorders>
              <w:right w:val="single" w:color="auto" w:sz="4" w:space="0"/>
            </w:tcBorders>
            <w:vAlign w:val="center"/>
          </w:tcPr>
          <w:p w14:paraId="523509E4">
            <w:pPr>
              <w:pStyle w:val="50"/>
              <w:spacing w:line="360" w:lineRule="auto"/>
              <w:rPr>
                <w:rFonts w:cs="宋体"/>
                <w:szCs w:val="24"/>
                <w:highlight w:val="none"/>
              </w:rPr>
            </w:pPr>
            <w:r>
              <w:rPr>
                <w:rFonts w:hint="eastAsia" w:cs="宋体"/>
                <w:szCs w:val="24"/>
                <w:highlight w:val="none"/>
              </w:rPr>
              <w:t>需要补充的其他内容</w:t>
            </w:r>
          </w:p>
        </w:tc>
        <w:tc>
          <w:tcPr>
            <w:tcW w:w="6700" w:type="dxa"/>
            <w:tcBorders>
              <w:left w:val="single" w:color="auto" w:sz="4" w:space="0"/>
            </w:tcBorders>
            <w:vAlign w:val="center"/>
          </w:tcPr>
          <w:p w14:paraId="57C958A7">
            <w:pPr>
              <w:pStyle w:val="50"/>
              <w:spacing w:line="360" w:lineRule="auto"/>
              <w:rPr>
                <w:szCs w:val="24"/>
                <w:highlight w:val="none"/>
              </w:rPr>
            </w:pPr>
            <w:r>
              <w:rPr>
                <w:rFonts w:hint="eastAsia" w:cs="宋体"/>
                <w:szCs w:val="24"/>
                <w:highlight w:val="none"/>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431A46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52DA5D44">
            <w:pPr>
              <w:pStyle w:val="50"/>
              <w:spacing w:line="360" w:lineRule="auto"/>
              <w:jc w:val="center"/>
              <w:rPr>
                <w:rFonts w:cs="宋体"/>
                <w:szCs w:val="24"/>
                <w:highlight w:val="none"/>
              </w:rPr>
            </w:pPr>
          </w:p>
        </w:tc>
        <w:tc>
          <w:tcPr>
            <w:tcW w:w="1738" w:type="dxa"/>
            <w:vMerge w:val="continue"/>
            <w:tcBorders>
              <w:right w:val="single" w:color="auto" w:sz="4" w:space="0"/>
            </w:tcBorders>
            <w:vAlign w:val="center"/>
          </w:tcPr>
          <w:p w14:paraId="1E38EC7F">
            <w:pPr>
              <w:pStyle w:val="50"/>
              <w:spacing w:line="360" w:lineRule="auto"/>
              <w:rPr>
                <w:rFonts w:cs="宋体"/>
                <w:szCs w:val="24"/>
                <w:highlight w:val="none"/>
              </w:rPr>
            </w:pPr>
          </w:p>
        </w:tc>
        <w:tc>
          <w:tcPr>
            <w:tcW w:w="6700" w:type="dxa"/>
            <w:tcBorders>
              <w:left w:val="single" w:color="auto" w:sz="4" w:space="0"/>
            </w:tcBorders>
            <w:vAlign w:val="center"/>
          </w:tcPr>
          <w:p w14:paraId="08D5821B">
            <w:pPr>
              <w:pStyle w:val="50"/>
              <w:spacing w:line="360" w:lineRule="auto"/>
              <w:rPr>
                <w:rFonts w:cs="宋体"/>
                <w:szCs w:val="24"/>
                <w:highlight w:val="none"/>
              </w:rPr>
            </w:pPr>
            <w:r>
              <w:rPr>
                <w:rFonts w:hint="eastAsia" w:cs="宋体"/>
                <w:szCs w:val="24"/>
                <w:highlight w:val="none"/>
              </w:rPr>
              <w:t>2.异常低价情形认定</w:t>
            </w:r>
          </w:p>
          <w:p w14:paraId="01ED019B">
            <w:pPr>
              <w:pStyle w:val="50"/>
              <w:spacing w:line="360" w:lineRule="auto"/>
              <w:rPr>
                <w:rFonts w:cs="宋体"/>
                <w:szCs w:val="24"/>
                <w:highlight w:val="none"/>
              </w:rPr>
            </w:pPr>
            <w:r>
              <w:rPr>
                <w:rFonts w:hint="eastAsia" w:cs="宋体"/>
                <w:szCs w:val="24"/>
                <w:highlight w:val="none"/>
              </w:rPr>
              <w:t>政府采购评审中出现下列情形之一的，评审委员会应当启动异常低价投标（响应）审查程序：</w:t>
            </w:r>
          </w:p>
          <w:p w14:paraId="7C6348D5">
            <w:pPr>
              <w:pStyle w:val="50"/>
              <w:spacing w:line="360" w:lineRule="auto"/>
              <w:rPr>
                <w:rFonts w:cs="宋体"/>
                <w:szCs w:val="24"/>
                <w:highlight w:val="none"/>
              </w:rPr>
            </w:pPr>
            <w:r>
              <w:rPr>
                <w:rFonts w:hint="eastAsia" w:cs="宋体"/>
                <w:szCs w:val="24"/>
                <w:highlight w:val="none"/>
              </w:rPr>
              <w:t>（1）投标（响应）报价低于全部通过符合性审查供应商投标（响应）报价平均值50%的，即投标（响应）报价&lt;全部通过符合性审查供应商投标（响应）报价平均值×50%；</w:t>
            </w:r>
          </w:p>
          <w:p w14:paraId="07EE160F">
            <w:pPr>
              <w:pStyle w:val="50"/>
              <w:spacing w:line="360" w:lineRule="auto"/>
              <w:rPr>
                <w:rFonts w:cs="宋体"/>
                <w:szCs w:val="24"/>
                <w:highlight w:val="none"/>
              </w:rPr>
            </w:pPr>
            <w:r>
              <w:rPr>
                <w:rFonts w:hint="eastAsia" w:cs="宋体"/>
                <w:szCs w:val="24"/>
                <w:highlight w:val="none"/>
              </w:rPr>
              <w:t>（2）投标（响应）报价低于通过符合性审查的次低报价供应商投标（响应）报价50%的，即投标（响应）报价&lt;通过符合性审查的次低报价供应商投标（响应）报价×50%；</w:t>
            </w:r>
          </w:p>
          <w:p w14:paraId="53D0FF9C">
            <w:pPr>
              <w:pStyle w:val="50"/>
              <w:spacing w:line="360" w:lineRule="auto"/>
              <w:rPr>
                <w:rFonts w:cs="宋体"/>
                <w:szCs w:val="24"/>
                <w:highlight w:val="none"/>
              </w:rPr>
            </w:pPr>
            <w:r>
              <w:rPr>
                <w:rFonts w:hint="eastAsia" w:cs="宋体"/>
                <w:szCs w:val="24"/>
                <w:highlight w:val="none"/>
              </w:rPr>
              <w:t>（3）投标（响应）报价低于采购项目最高限价45%的，即投标（响应）报价&lt;采购项目最高限价×45%；</w:t>
            </w:r>
          </w:p>
          <w:p w14:paraId="13EAEC6D">
            <w:pPr>
              <w:pStyle w:val="50"/>
              <w:spacing w:line="360" w:lineRule="auto"/>
              <w:rPr>
                <w:rFonts w:cs="宋体"/>
                <w:szCs w:val="24"/>
                <w:highlight w:val="none"/>
              </w:rPr>
            </w:pPr>
            <w:r>
              <w:rPr>
                <w:rFonts w:hint="eastAsia" w:cs="宋体"/>
                <w:szCs w:val="24"/>
                <w:highlight w:val="none"/>
              </w:rPr>
              <w:t>（4）评审委员会基于专业判断，认为供应商报价过低，有可能影响产品质量或者不能诚信履约的其他情形。</w:t>
            </w:r>
          </w:p>
          <w:p w14:paraId="367CC287">
            <w:pPr>
              <w:pStyle w:val="50"/>
              <w:spacing w:line="360" w:lineRule="auto"/>
              <w:rPr>
                <w:rFonts w:cs="宋体"/>
                <w:szCs w:val="24"/>
                <w:highlight w:val="none"/>
              </w:rPr>
            </w:pPr>
            <w:r>
              <w:rPr>
                <w:rFonts w:hint="eastAsia" w:cs="宋体"/>
                <w:szCs w:val="24"/>
                <w:highlight w:val="none"/>
              </w:rPr>
              <w:t>3</w:t>
            </w:r>
            <w:r>
              <w:rPr>
                <w:rFonts w:cs="宋体"/>
                <w:szCs w:val="24"/>
                <w:highlight w:val="none"/>
              </w:rPr>
              <w:t>.</w:t>
            </w:r>
            <w:r>
              <w:rPr>
                <w:highlight w:val="none"/>
              </w:rPr>
              <w:t xml:space="preserve"> </w:t>
            </w:r>
            <w:r>
              <w:rPr>
                <w:rFonts w:cs="宋体"/>
                <w:szCs w:val="24"/>
                <w:highlight w:val="none"/>
              </w:rPr>
              <w:t>审查要求及处理</w:t>
            </w:r>
          </w:p>
          <w:p w14:paraId="6B3F7FF8">
            <w:pPr>
              <w:pStyle w:val="50"/>
              <w:spacing w:line="360" w:lineRule="auto"/>
              <w:rPr>
                <w:rFonts w:cs="宋体"/>
                <w:szCs w:val="24"/>
                <w:highlight w:val="none"/>
              </w:rPr>
            </w:pPr>
            <w:r>
              <w:rPr>
                <w:rFonts w:hint="eastAsia" w:cs="宋体"/>
                <w:szCs w:val="24"/>
                <w:highlight w:val="none"/>
              </w:rPr>
              <w:t>被启动审查的供应商，须在合理时间内（不少于</w:t>
            </w:r>
            <w:r>
              <w:rPr>
                <w:rFonts w:cs="宋体"/>
                <w:szCs w:val="24"/>
                <w:highlight w:val="none"/>
              </w:rPr>
              <w:t xml:space="preserve"> 30 分钟），就报价合理性提交书面说明，并提供项目成本测算明细、原材料采购意向协议、人工成本核算依据等可核验的证明材料。</w:t>
            </w:r>
          </w:p>
          <w:p w14:paraId="7E1D3F81">
            <w:pPr>
              <w:pStyle w:val="50"/>
              <w:spacing w:line="360" w:lineRule="auto"/>
              <w:rPr>
                <w:rFonts w:cs="宋体"/>
                <w:szCs w:val="24"/>
                <w:highlight w:val="none"/>
              </w:rPr>
            </w:pPr>
            <w:r>
              <w:rPr>
                <w:rFonts w:hint="eastAsia" w:cs="宋体"/>
                <w:szCs w:val="24"/>
                <w:highlight w:val="none"/>
              </w:rPr>
              <w:t>供应商未按要求提交说明及证明材料，或提交的材料无法有效证明报价合理性的，评审委员会将其投标（响应）作无效处理。</w:t>
            </w:r>
          </w:p>
        </w:tc>
      </w:tr>
      <w:tr w14:paraId="5F68B1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62021D9C">
            <w:pPr>
              <w:pStyle w:val="50"/>
              <w:spacing w:line="360" w:lineRule="auto"/>
              <w:jc w:val="center"/>
              <w:rPr>
                <w:rFonts w:cs="宋体"/>
                <w:szCs w:val="24"/>
                <w:highlight w:val="none"/>
              </w:rPr>
            </w:pPr>
          </w:p>
        </w:tc>
        <w:tc>
          <w:tcPr>
            <w:tcW w:w="1738" w:type="dxa"/>
            <w:vMerge w:val="continue"/>
            <w:tcBorders>
              <w:right w:val="single" w:color="auto" w:sz="4" w:space="0"/>
            </w:tcBorders>
            <w:vAlign w:val="center"/>
          </w:tcPr>
          <w:p w14:paraId="0636C28A">
            <w:pPr>
              <w:pStyle w:val="50"/>
              <w:spacing w:line="360" w:lineRule="auto"/>
              <w:rPr>
                <w:rFonts w:cs="宋体"/>
                <w:szCs w:val="24"/>
                <w:highlight w:val="none"/>
              </w:rPr>
            </w:pPr>
          </w:p>
        </w:tc>
        <w:tc>
          <w:tcPr>
            <w:tcW w:w="6700" w:type="dxa"/>
            <w:tcBorders>
              <w:left w:val="single" w:color="auto" w:sz="4" w:space="0"/>
            </w:tcBorders>
            <w:shd w:val="clear" w:color="auto" w:fill="auto"/>
            <w:vAlign w:val="center"/>
          </w:tcPr>
          <w:p w14:paraId="7DD1EBF1">
            <w:pPr>
              <w:pStyle w:val="75"/>
              <w:spacing w:line="360" w:lineRule="auto"/>
              <w:rPr>
                <w:rFonts w:ascii="宋体" w:hAnsi="宋体"/>
                <w:sz w:val="24"/>
                <w:szCs w:val="24"/>
                <w:highlight w:val="none"/>
              </w:rPr>
            </w:pPr>
            <w:r>
              <w:rPr>
                <w:rFonts w:ascii="宋体" w:hAnsi="宋体"/>
                <w:sz w:val="24"/>
                <w:szCs w:val="24"/>
                <w:highlight w:val="none"/>
              </w:rPr>
              <w:t>4</w:t>
            </w:r>
            <w:r>
              <w:rPr>
                <w:rFonts w:hint="eastAsia" w:ascii="宋体" w:hAnsi="宋体"/>
                <w:sz w:val="24"/>
                <w:szCs w:val="24"/>
                <w:highlight w:val="none"/>
              </w:rPr>
              <w:t>.注意事项：</w:t>
            </w:r>
          </w:p>
          <w:p w14:paraId="79556526">
            <w:pPr>
              <w:pStyle w:val="75"/>
              <w:spacing w:line="360" w:lineRule="auto"/>
              <w:rPr>
                <w:rFonts w:ascii="宋体" w:hAnsi="宋体"/>
                <w:sz w:val="24"/>
                <w:szCs w:val="24"/>
                <w:highlight w:val="none"/>
              </w:rPr>
            </w:pPr>
            <w:r>
              <w:rPr>
                <w:rFonts w:hint="eastAsia" w:ascii="宋体" w:hAnsi="宋体"/>
                <w:sz w:val="24"/>
                <w:szCs w:val="24"/>
                <w:highlight w:val="none"/>
              </w:rPr>
              <w:t>电子标书加盖印章的两种方式:一种为电子章；另一种为纸质版盖章后扫描，两种方式的任意一种在评审时均予认可。</w:t>
            </w:r>
          </w:p>
          <w:p w14:paraId="5C165285">
            <w:pPr>
              <w:pStyle w:val="50"/>
              <w:spacing w:line="360" w:lineRule="auto"/>
              <w:rPr>
                <w:rFonts w:cs="宋体"/>
                <w:b/>
                <w:bCs/>
                <w:szCs w:val="24"/>
                <w:highlight w:val="none"/>
              </w:rPr>
            </w:pPr>
            <w:r>
              <w:rPr>
                <w:rFonts w:hint="eastAsia" w:cs="宋体"/>
                <w:bCs/>
                <w:szCs w:val="24"/>
                <w:highlight w:val="none"/>
              </w:rPr>
              <w:t>供应商在上传电子响应文件时，需在“商务技术响应文件”中按响应文件格式要求上传完整的响应文件（从封面开始至最后一页）。</w:t>
            </w:r>
          </w:p>
        </w:tc>
      </w:tr>
      <w:tr w14:paraId="2AE66D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4E7EA35E">
            <w:pPr>
              <w:pStyle w:val="50"/>
              <w:spacing w:line="360" w:lineRule="auto"/>
              <w:rPr>
                <w:rFonts w:cs="宋体"/>
                <w:szCs w:val="24"/>
                <w:highlight w:val="none"/>
              </w:rPr>
            </w:pPr>
            <w:r>
              <w:rPr>
                <w:rFonts w:hint="eastAsia" w:cs="宋体"/>
                <w:szCs w:val="24"/>
                <w:highlight w:val="none"/>
              </w:rPr>
              <w:t>备注：</w:t>
            </w:r>
          </w:p>
          <w:p w14:paraId="6B4E37EB">
            <w:pPr>
              <w:pStyle w:val="50"/>
              <w:spacing w:line="360" w:lineRule="auto"/>
              <w:rPr>
                <w:rFonts w:cs="宋体"/>
                <w:szCs w:val="24"/>
                <w:highlight w:val="none"/>
              </w:rPr>
            </w:pPr>
            <w:r>
              <w:rPr>
                <w:rFonts w:hint="eastAsia" w:cs="宋体"/>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32C42C5B">
            <w:pPr>
              <w:pStyle w:val="50"/>
              <w:spacing w:line="360" w:lineRule="auto"/>
              <w:rPr>
                <w:rFonts w:cs="宋体"/>
                <w:szCs w:val="24"/>
                <w:highlight w:val="none"/>
              </w:rPr>
            </w:pPr>
            <w:r>
              <w:rPr>
                <w:rFonts w:hint="eastAsia" w:cs="宋体"/>
                <w:szCs w:val="24"/>
                <w:highlight w:val="none"/>
              </w:rPr>
              <w:t>2. 本招标文件所称的“以上”、“以下”、“内”、“以内”，包括本数；所称的“不足”，不包括本数。</w:t>
            </w:r>
          </w:p>
        </w:tc>
      </w:tr>
    </w:tbl>
    <w:p w14:paraId="650F745D">
      <w:pPr>
        <w:spacing w:line="360" w:lineRule="auto"/>
        <w:rPr>
          <w:highlight w:val="none"/>
        </w:rPr>
      </w:pPr>
      <w:r>
        <w:rPr>
          <w:highlight w:val="none"/>
        </w:rPr>
        <w:br w:type="page"/>
      </w:r>
    </w:p>
    <w:p w14:paraId="1CF00FA5">
      <w:pPr>
        <w:pStyle w:val="3"/>
        <w:spacing w:line="360" w:lineRule="auto"/>
        <w:rPr>
          <w:highlight w:val="none"/>
        </w:rPr>
      </w:pPr>
      <w:bookmarkStart w:id="134" w:name="_Toc229390283"/>
      <w:bookmarkStart w:id="135" w:name="_Toc155185869"/>
      <w:bookmarkStart w:id="136" w:name="_Toc163492821"/>
      <w:r>
        <w:rPr>
          <w:rFonts w:hint="eastAsia"/>
          <w:highlight w:val="none"/>
        </w:rPr>
        <w:t>二、投标人须知</w:t>
      </w:r>
      <w:bookmarkEnd w:id="134"/>
      <w:bookmarkEnd w:id="135"/>
      <w:bookmarkEnd w:id="136"/>
    </w:p>
    <w:p w14:paraId="4094EA15">
      <w:pPr>
        <w:pStyle w:val="4"/>
        <w:spacing w:line="360" w:lineRule="auto"/>
        <w:rPr>
          <w:highlight w:val="none"/>
        </w:rPr>
      </w:pPr>
      <w:bookmarkStart w:id="137" w:name="_Toc163492822"/>
      <w:bookmarkStart w:id="138" w:name="_Toc155185870"/>
      <w:r>
        <w:rPr>
          <w:rFonts w:hint="eastAsia"/>
          <w:highlight w:val="none"/>
        </w:rPr>
        <w:t>（一）总则</w:t>
      </w:r>
      <w:bookmarkEnd w:id="137"/>
      <w:bookmarkEnd w:id="138"/>
    </w:p>
    <w:p w14:paraId="2BE509DD">
      <w:pPr>
        <w:pStyle w:val="5"/>
        <w:spacing w:line="360" w:lineRule="auto"/>
        <w:rPr>
          <w:highlight w:val="none"/>
        </w:rPr>
      </w:pPr>
      <w:bookmarkStart w:id="139" w:name="_Toc155095689"/>
      <w:bookmarkStart w:id="140" w:name="_Toc109900050"/>
      <w:bookmarkStart w:id="141" w:name="_Toc163492823"/>
      <w:bookmarkStart w:id="142" w:name="_Toc109897532"/>
      <w:bookmarkStart w:id="143" w:name="_Toc109900469"/>
      <w:bookmarkStart w:id="144" w:name="_Toc109899631"/>
      <w:bookmarkStart w:id="145" w:name="_Toc31233"/>
      <w:r>
        <w:rPr>
          <w:rFonts w:hint="eastAsia"/>
          <w:highlight w:val="none"/>
        </w:rPr>
        <w:t>1.适用范围</w:t>
      </w:r>
      <w:bookmarkEnd w:id="139"/>
      <w:bookmarkEnd w:id="140"/>
      <w:bookmarkEnd w:id="141"/>
      <w:bookmarkEnd w:id="142"/>
      <w:bookmarkEnd w:id="143"/>
      <w:bookmarkEnd w:id="144"/>
      <w:bookmarkEnd w:id="145"/>
    </w:p>
    <w:p w14:paraId="0CB81BC9">
      <w:pPr>
        <w:pStyle w:val="38"/>
        <w:spacing w:line="360" w:lineRule="auto"/>
        <w:rPr>
          <w:snapToGrid w:val="0"/>
          <w:highlight w:val="none"/>
        </w:rPr>
      </w:pPr>
      <w:r>
        <w:rPr>
          <w:rFonts w:hint="eastAsia"/>
          <w:snapToGrid w:val="0"/>
          <w:highlight w:val="none"/>
        </w:rPr>
        <w:t>1.1本招标文件仅适用于本项目的采购活动。</w:t>
      </w:r>
    </w:p>
    <w:p w14:paraId="0E0E9FDA">
      <w:pPr>
        <w:pStyle w:val="5"/>
        <w:spacing w:line="360" w:lineRule="auto"/>
        <w:rPr>
          <w:highlight w:val="none"/>
        </w:rPr>
      </w:pPr>
      <w:bookmarkStart w:id="146" w:name="_Toc163492824"/>
      <w:r>
        <w:rPr>
          <w:rFonts w:hint="eastAsia"/>
          <w:highlight w:val="none"/>
        </w:rPr>
        <w:t>2.基本定义</w:t>
      </w:r>
      <w:bookmarkEnd w:id="146"/>
    </w:p>
    <w:p w14:paraId="621719A7">
      <w:pPr>
        <w:pStyle w:val="38"/>
        <w:spacing w:line="360" w:lineRule="auto"/>
        <w:rPr>
          <w:highlight w:val="none"/>
        </w:rPr>
      </w:pPr>
      <w:r>
        <w:rPr>
          <w:rFonts w:hint="eastAsia"/>
          <w:highlight w:val="none"/>
        </w:rPr>
        <w:t>根据《中华人民共和国政府采购法》及其实施条例等有关法律、法规和规章的规定，制定本招标文件。</w:t>
      </w:r>
    </w:p>
    <w:p w14:paraId="2B4002FF">
      <w:pPr>
        <w:pStyle w:val="38"/>
        <w:spacing w:line="360" w:lineRule="auto"/>
        <w:rPr>
          <w:highlight w:val="none"/>
        </w:rPr>
      </w:pPr>
      <w:r>
        <w:rPr>
          <w:rFonts w:hint="eastAsia"/>
          <w:highlight w:val="none"/>
        </w:rPr>
        <w:t>2.1项目名称及编号：</w:t>
      </w:r>
      <w:r>
        <w:rPr>
          <w:rFonts w:hint="eastAsia"/>
          <w:highlight w:val="none"/>
          <w:lang w:val="en-US"/>
        </w:rPr>
        <w:t>见</w:t>
      </w:r>
      <w:r>
        <w:rPr>
          <w:rFonts w:hint="eastAsia"/>
          <w:highlight w:val="none"/>
        </w:rPr>
        <w:t>“投标人须知前附表”</w:t>
      </w:r>
      <w:r>
        <w:rPr>
          <w:rFonts w:hint="eastAsia"/>
          <w:highlight w:val="none"/>
          <w:lang w:val="en-US"/>
        </w:rPr>
        <w:t>。</w:t>
      </w:r>
    </w:p>
    <w:p w14:paraId="51BFB69E">
      <w:pPr>
        <w:spacing w:line="360" w:lineRule="auto"/>
        <w:rPr>
          <w:highlight w:val="none"/>
        </w:rPr>
      </w:pPr>
      <w:r>
        <w:rPr>
          <w:rFonts w:hint="eastAsia"/>
          <w:highlight w:val="none"/>
        </w:rPr>
        <w:t>2.2采购人：</w:t>
      </w:r>
      <w:r>
        <w:rPr>
          <w:rFonts w:hint="eastAsia"/>
          <w:highlight w:val="none"/>
          <w:lang w:bidi="ar"/>
        </w:rPr>
        <w:t>指依法进行政府采购的国家机关、事业单位、团体组织</w:t>
      </w:r>
      <w:r>
        <w:rPr>
          <w:rFonts w:hint="eastAsia"/>
          <w:highlight w:val="none"/>
        </w:rPr>
        <w:t>。</w:t>
      </w:r>
    </w:p>
    <w:p w14:paraId="42CDBE43">
      <w:pPr>
        <w:spacing w:line="360" w:lineRule="auto"/>
        <w:rPr>
          <w:highlight w:val="none"/>
        </w:rPr>
      </w:pPr>
      <w:r>
        <w:rPr>
          <w:rFonts w:hint="eastAsia"/>
          <w:highlight w:val="none"/>
        </w:rPr>
        <w:t>2.3采购代理机构：</w:t>
      </w:r>
      <w:r>
        <w:rPr>
          <w:rFonts w:hint="eastAsia"/>
          <w:highlight w:val="none"/>
          <w:lang w:bidi="ar"/>
        </w:rPr>
        <w:t>指依法进行政府采购的国家机关、事业单位、团体组织</w:t>
      </w:r>
      <w:r>
        <w:rPr>
          <w:rFonts w:hint="eastAsia"/>
          <w:highlight w:val="none"/>
        </w:rPr>
        <w:t>委托的采购代理机构。</w:t>
      </w:r>
    </w:p>
    <w:p w14:paraId="6A08FBA3">
      <w:pPr>
        <w:pStyle w:val="38"/>
        <w:spacing w:line="360" w:lineRule="auto"/>
        <w:rPr>
          <w:highlight w:val="none"/>
        </w:rPr>
      </w:pPr>
      <w:r>
        <w:rPr>
          <w:rFonts w:hint="eastAsia"/>
          <w:highlight w:val="none"/>
        </w:rPr>
        <w:t>2.4</w:t>
      </w:r>
      <w:r>
        <w:rPr>
          <w:highlight w:val="none"/>
          <w:lang w:val="en-US"/>
        </w:rPr>
        <w:t>项目概况：</w:t>
      </w:r>
      <w:r>
        <w:rPr>
          <w:rFonts w:hint="eastAsia"/>
          <w:highlight w:val="none"/>
          <w:lang w:val="en-US"/>
        </w:rPr>
        <w:t>见</w:t>
      </w:r>
      <w:r>
        <w:rPr>
          <w:rFonts w:hint="eastAsia"/>
          <w:highlight w:val="none"/>
        </w:rPr>
        <w:t>“投标人须知前附表”</w:t>
      </w:r>
    </w:p>
    <w:p w14:paraId="75AA7A3F">
      <w:pPr>
        <w:pStyle w:val="38"/>
        <w:spacing w:line="360" w:lineRule="auto"/>
        <w:rPr>
          <w:highlight w:val="none"/>
          <w:lang w:val="en-US"/>
        </w:rPr>
      </w:pPr>
      <w:r>
        <w:rPr>
          <w:rFonts w:hint="eastAsia"/>
          <w:highlight w:val="none"/>
          <w:lang w:val="en-US"/>
        </w:rPr>
        <w:t>2.5</w:t>
      </w:r>
      <w:r>
        <w:rPr>
          <w:rFonts w:hint="eastAsia"/>
          <w:highlight w:val="none"/>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2820C184">
      <w:pPr>
        <w:pStyle w:val="38"/>
        <w:spacing w:line="360" w:lineRule="auto"/>
        <w:rPr>
          <w:highlight w:val="none"/>
        </w:rPr>
      </w:pPr>
      <w:r>
        <w:rPr>
          <w:rFonts w:hint="eastAsia"/>
          <w:highlight w:val="none"/>
        </w:rPr>
        <w:t>2.6核心产品见“投标人须知前附表”。</w:t>
      </w:r>
    </w:p>
    <w:p w14:paraId="0BACBDE6">
      <w:pPr>
        <w:pStyle w:val="38"/>
        <w:spacing w:line="360" w:lineRule="auto"/>
        <w:rPr>
          <w:highlight w:val="none"/>
        </w:rPr>
      </w:pPr>
      <w:r>
        <w:rPr>
          <w:rFonts w:hint="eastAsia"/>
          <w:highlight w:val="none"/>
        </w:rPr>
        <w:t>2</w:t>
      </w:r>
      <w:r>
        <w:rPr>
          <w:highlight w:val="none"/>
        </w:rPr>
        <w:t>.7</w:t>
      </w:r>
      <w:r>
        <w:rPr>
          <w:rFonts w:hint="eastAsia"/>
          <w:highlight w:val="none"/>
        </w:rPr>
        <w:t>是否属于</w:t>
      </w:r>
      <w:r>
        <w:rPr>
          <w:rFonts w:ascii="FZShuSong-Z01" w:hAnsi="FZShuSong-Z01" w:cs="FZShuSong-Z01"/>
          <w:kern w:val="0"/>
          <w:szCs w:val="24"/>
          <w:highlight w:val="none"/>
          <w:lang w:bidi="ar"/>
        </w:rPr>
        <w:t>科研仪器设备</w:t>
      </w:r>
      <w:r>
        <w:rPr>
          <w:rFonts w:hint="eastAsia" w:ascii="FZShuSong-Z01" w:hAnsi="FZShuSong-Z01" w:cs="FZShuSong-Z01"/>
          <w:kern w:val="0"/>
          <w:szCs w:val="24"/>
          <w:highlight w:val="none"/>
          <w:lang w:bidi="ar"/>
        </w:rPr>
        <w:t>采购</w:t>
      </w:r>
      <w:r>
        <w:rPr>
          <w:rFonts w:hint="eastAsia"/>
          <w:highlight w:val="none"/>
        </w:rPr>
        <w:t>见“投标人须知前附表”。</w:t>
      </w:r>
    </w:p>
    <w:p w14:paraId="7CFDC4F7">
      <w:pPr>
        <w:pStyle w:val="38"/>
        <w:spacing w:line="360" w:lineRule="auto"/>
        <w:rPr>
          <w:highlight w:val="none"/>
        </w:rPr>
      </w:pPr>
      <w:r>
        <w:rPr>
          <w:rFonts w:hint="eastAsia"/>
          <w:iCs w:val="0"/>
          <w:highlight w:val="none"/>
        </w:rPr>
        <w:t>2.</w:t>
      </w:r>
      <w:r>
        <w:rPr>
          <w:iCs w:val="0"/>
          <w:highlight w:val="none"/>
        </w:rPr>
        <w:t>8</w:t>
      </w:r>
      <w:r>
        <w:rPr>
          <w:rFonts w:hint="eastAsia"/>
          <w:highlight w:val="none"/>
        </w:rPr>
        <w:t>投标人</w:t>
      </w:r>
      <w:r>
        <w:rPr>
          <w:rFonts w:hint="eastAsia"/>
          <w:iCs w:val="0"/>
          <w:highlight w:val="none"/>
        </w:rPr>
        <w:t>（也称“供应商”、“申请人”）：指向采购人提供货物、工程或者服务的法人、其他组织或者自然人。</w:t>
      </w:r>
      <w:r>
        <w:rPr>
          <w:rFonts w:hint="eastAsia"/>
          <w:highlight w:val="none"/>
        </w:rPr>
        <w:t>分支机构不得参加政府采购活动，但银行、保险、石油石化、电力、电信等有行业特殊情况的除外。</w:t>
      </w:r>
      <w:r>
        <w:rPr>
          <w:highlight w:val="none"/>
        </w:rPr>
        <w:t>本项目的投标人须满足以下条件：</w:t>
      </w:r>
    </w:p>
    <w:p w14:paraId="2E7A4293">
      <w:pPr>
        <w:pStyle w:val="38"/>
        <w:spacing w:line="360" w:lineRule="auto"/>
        <w:rPr>
          <w:highlight w:val="none"/>
        </w:rPr>
      </w:pPr>
      <w:r>
        <w:rPr>
          <w:rFonts w:hint="eastAsia"/>
          <w:highlight w:val="none"/>
        </w:rPr>
        <w:t>2.</w:t>
      </w:r>
      <w:r>
        <w:rPr>
          <w:highlight w:val="none"/>
        </w:rPr>
        <w:t>8.</w:t>
      </w:r>
      <w:r>
        <w:rPr>
          <w:rFonts w:hint="eastAsia"/>
          <w:highlight w:val="none"/>
        </w:rPr>
        <w:t>1</w:t>
      </w:r>
      <w:r>
        <w:rPr>
          <w:highlight w:val="none"/>
        </w:rPr>
        <w:t>具备《中华人民共和国政府采购法》第二十二条规定的</w:t>
      </w:r>
      <w:r>
        <w:rPr>
          <w:rFonts w:hint="eastAsia"/>
          <w:highlight w:val="none"/>
        </w:rPr>
        <w:t>条件</w:t>
      </w:r>
      <w:r>
        <w:rPr>
          <w:highlight w:val="none"/>
        </w:rPr>
        <w:t>，遵守本项目采购人本级和上级财政部门政府采购的有关规定。</w:t>
      </w:r>
    </w:p>
    <w:p w14:paraId="2358CB35">
      <w:pPr>
        <w:pStyle w:val="38"/>
        <w:spacing w:line="360" w:lineRule="auto"/>
        <w:rPr>
          <w:highlight w:val="none"/>
        </w:rPr>
      </w:pPr>
      <w:r>
        <w:rPr>
          <w:rFonts w:hint="eastAsia"/>
          <w:highlight w:val="none"/>
        </w:rPr>
        <w:t>2.</w:t>
      </w:r>
      <w:r>
        <w:rPr>
          <w:highlight w:val="none"/>
        </w:rPr>
        <w:t>8</w:t>
      </w:r>
      <w:r>
        <w:rPr>
          <w:rFonts w:hint="eastAsia"/>
          <w:highlight w:val="none"/>
        </w:rPr>
        <w:t>.2以招标公告中发布的方式依法获得了本项目的招标文件。</w:t>
      </w:r>
    </w:p>
    <w:p w14:paraId="207886E0">
      <w:pPr>
        <w:pStyle w:val="38"/>
        <w:spacing w:line="360" w:lineRule="auto"/>
        <w:rPr>
          <w:highlight w:val="none"/>
        </w:rPr>
      </w:pPr>
      <w:r>
        <w:rPr>
          <w:rFonts w:hint="eastAsia"/>
          <w:highlight w:val="none"/>
        </w:rPr>
        <w:t>2.</w:t>
      </w:r>
      <w:r>
        <w:rPr>
          <w:highlight w:val="none"/>
        </w:rPr>
        <w:t>8</w:t>
      </w:r>
      <w:r>
        <w:rPr>
          <w:rFonts w:hint="eastAsia"/>
          <w:highlight w:val="none"/>
        </w:rPr>
        <w:t>.3符合本招标文件规定并参加投标的供应商。</w:t>
      </w:r>
    </w:p>
    <w:p w14:paraId="4ADAF1F4">
      <w:pPr>
        <w:pStyle w:val="38"/>
        <w:spacing w:line="360" w:lineRule="auto"/>
        <w:rPr>
          <w:highlight w:val="none"/>
        </w:rPr>
      </w:pPr>
      <w:r>
        <w:rPr>
          <w:rFonts w:hint="eastAsia"/>
          <w:highlight w:val="none"/>
        </w:rPr>
        <w:t>2.</w:t>
      </w:r>
      <w:r>
        <w:rPr>
          <w:highlight w:val="none"/>
        </w:rPr>
        <w:t>9</w:t>
      </w:r>
      <w:r>
        <w:rPr>
          <w:rFonts w:hint="eastAsia"/>
          <w:iCs w:val="0"/>
          <w:highlight w:val="none"/>
        </w:rPr>
        <w:t>潜在</w:t>
      </w:r>
      <w:r>
        <w:rPr>
          <w:rFonts w:hint="eastAsia"/>
          <w:highlight w:val="none"/>
        </w:rPr>
        <w:t>投标人</w:t>
      </w:r>
      <w:r>
        <w:rPr>
          <w:rFonts w:hint="eastAsia"/>
          <w:iCs w:val="0"/>
          <w:highlight w:val="none"/>
        </w:rPr>
        <w:t>、潜在供应商：指</w:t>
      </w:r>
      <w:r>
        <w:rPr>
          <w:rFonts w:hint="eastAsia"/>
          <w:highlight w:val="none"/>
        </w:rPr>
        <w:t>符合本招标文件规定的供应商。</w:t>
      </w:r>
    </w:p>
    <w:p w14:paraId="4C80E86B">
      <w:pPr>
        <w:pStyle w:val="5"/>
        <w:spacing w:line="360" w:lineRule="auto"/>
        <w:rPr>
          <w:highlight w:val="none"/>
        </w:rPr>
      </w:pPr>
      <w:bookmarkStart w:id="147" w:name="_Toc163492825"/>
      <w:bookmarkStart w:id="148" w:name="_Toc140132758"/>
      <w:r>
        <w:rPr>
          <w:rFonts w:hint="eastAsia"/>
          <w:highlight w:val="none"/>
        </w:rPr>
        <w:t>3.资金来源</w:t>
      </w:r>
      <w:bookmarkEnd w:id="147"/>
      <w:bookmarkEnd w:id="148"/>
    </w:p>
    <w:p w14:paraId="0861355B">
      <w:pPr>
        <w:pStyle w:val="38"/>
        <w:spacing w:line="360" w:lineRule="auto"/>
        <w:rPr>
          <w:highlight w:val="none"/>
        </w:rPr>
      </w:pPr>
      <w:r>
        <w:rPr>
          <w:rFonts w:hint="eastAsia"/>
          <w:highlight w:val="none"/>
        </w:rPr>
        <w:t>3.1资金来源：</w:t>
      </w:r>
      <w:r>
        <w:rPr>
          <w:rFonts w:hint="eastAsia"/>
          <w:highlight w:val="none"/>
          <w:lang w:val="en-US"/>
        </w:rPr>
        <w:t>为财政性资金即</w:t>
      </w:r>
      <w:r>
        <w:rPr>
          <w:rFonts w:hint="eastAsia"/>
          <w:highlight w:val="none"/>
        </w:rPr>
        <w:t>纳入预算管理的资金。以财政性资金作为还款来源的借贷资金，视同财政性资金。财政性资金与非财政性资金无法分割采购的，统一适用《中华人民共和国政府采购法》及其实施条例。</w:t>
      </w:r>
    </w:p>
    <w:p w14:paraId="1448876E">
      <w:pPr>
        <w:pStyle w:val="5"/>
        <w:spacing w:line="360" w:lineRule="auto"/>
        <w:rPr>
          <w:highlight w:val="none"/>
        </w:rPr>
      </w:pPr>
      <w:bookmarkStart w:id="149" w:name="_Toc163492826"/>
      <w:bookmarkStart w:id="150" w:name="_Toc140132760"/>
      <w:r>
        <w:rPr>
          <w:rFonts w:hint="eastAsia"/>
          <w:highlight w:val="none"/>
        </w:rPr>
        <w:t>4.投标人资格要求</w:t>
      </w:r>
      <w:bookmarkEnd w:id="149"/>
      <w:bookmarkEnd w:id="150"/>
    </w:p>
    <w:p w14:paraId="3D80303F">
      <w:pPr>
        <w:pStyle w:val="38"/>
        <w:spacing w:line="360" w:lineRule="auto"/>
        <w:rPr>
          <w:highlight w:val="none"/>
        </w:rPr>
      </w:pPr>
      <w:r>
        <w:rPr>
          <w:rFonts w:hint="eastAsia"/>
          <w:highlight w:val="none"/>
        </w:rPr>
        <w:t>4.1投标人资格要求：见“</w:t>
      </w:r>
      <w:r>
        <w:rPr>
          <w:rFonts w:hint="eastAsia"/>
          <w:highlight w:val="none"/>
          <w:lang w:val="en-US"/>
        </w:rPr>
        <w:t>第一章 招标公告</w:t>
      </w:r>
      <w:r>
        <w:rPr>
          <w:rFonts w:hint="eastAsia"/>
          <w:highlight w:val="none"/>
        </w:rPr>
        <w:t>”；</w:t>
      </w:r>
    </w:p>
    <w:p w14:paraId="79C7BDF2">
      <w:pPr>
        <w:pStyle w:val="38"/>
        <w:spacing w:line="360" w:lineRule="auto"/>
        <w:rPr>
          <w:highlight w:val="none"/>
        </w:rPr>
      </w:pPr>
      <w:r>
        <w:rPr>
          <w:rFonts w:hint="eastAsia"/>
          <w:highlight w:val="none"/>
          <w:lang w:val="en-US"/>
        </w:rPr>
        <w:t>4</w:t>
      </w:r>
      <w:r>
        <w:rPr>
          <w:rFonts w:hint="eastAsia"/>
          <w:highlight w:val="none"/>
        </w:rPr>
        <w:t>.</w:t>
      </w:r>
      <w:r>
        <w:rPr>
          <w:rFonts w:hint="eastAsia"/>
          <w:highlight w:val="none"/>
          <w:lang w:val="en-US"/>
        </w:rPr>
        <w:t>2</w:t>
      </w:r>
      <w:r>
        <w:rPr>
          <w:rFonts w:hint="eastAsia"/>
          <w:highlight w:val="none"/>
        </w:rPr>
        <w:t>“</w:t>
      </w:r>
      <w:r>
        <w:rPr>
          <w:rFonts w:hint="eastAsia"/>
          <w:highlight w:val="none"/>
          <w:lang w:val="en-US"/>
        </w:rPr>
        <w:t>第一章 招标公告</w:t>
      </w:r>
      <w:r>
        <w:rPr>
          <w:rFonts w:hint="eastAsia"/>
          <w:highlight w:val="none"/>
        </w:rPr>
        <w:t>”规定接受联合体投标的，还应遵守以下规定：</w:t>
      </w:r>
    </w:p>
    <w:p w14:paraId="7ECEDDAD">
      <w:pPr>
        <w:pStyle w:val="38"/>
        <w:spacing w:line="360" w:lineRule="auto"/>
        <w:rPr>
          <w:highlight w:val="none"/>
        </w:rPr>
      </w:pPr>
      <w:r>
        <w:rPr>
          <w:rFonts w:hint="eastAsia"/>
          <w:highlight w:val="none"/>
          <w:lang w:val="en-US"/>
        </w:rPr>
        <w:t>4</w:t>
      </w:r>
      <w:r>
        <w:rPr>
          <w:rFonts w:hint="eastAsia"/>
          <w:highlight w:val="none"/>
        </w:rPr>
        <w:t>.</w:t>
      </w:r>
      <w:r>
        <w:rPr>
          <w:rFonts w:hint="eastAsia"/>
          <w:highlight w:val="none"/>
          <w:lang w:val="en-US"/>
        </w:rPr>
        <w:t>2.</w:t>
      </w:r>
      <w:r>
        <w:rPr>
          <w:rFonts w:hint="eastAsia"/>
          <w:highlight w:val="none"/>
        </w:rPr>
        <w:t>1两个以上的自然人、法人或者其他组织可以组成一个联合体，以一个</w:t>
      </w:r>
      <w:r>
        <w:rPr>
          <w:rFonts w:hint="eastAsia"/>
          <w:highlight w:val="none"/>
          <w:lang w:val="en-US"/>
        </w:rPr>
        <w:t>投标人</w:t>
      </w:r>
      <w:r>
        <w:rPr>
          <w:rFonts w:hint="eastAsia"/>
          <w:highlight w:val="none"/>
        </w:rPr>
        <w:t>的身份共同参加政府采购。以联合体形式进行政府采购的，参加联合体的供应商均应当具备《中华人民共和国政府采购法》第二十二条规定的条件。</w:t>
      </w:r>
    </w:p>
    <w:p w14:paraId="611B4449">
      <w:pPr>
        <w:pStyle w:val="38"/>
        <w:spacing w:line="360" w:lineRule="auto"/>
        <w:rPr>
          <w:highlight w:val="none"/>
        </w:rPr>
      </w:pPr>
      <w:r>
        <w:rPr>
          <w:rFonts w:hint="eastAsia"/>
          <w:highlight w:val="none"/>
          <w:lang w:val="en-US"/>
        </w:rPr>
        <w:t>4</w:t>
      </w:r>
      <w:r>
        <w:rPr>
          <w:rFonts w:hint="eastAsia"/>
          <w:highlight w:val="none"/>
        </w:rPr>
        <w:t>.</w:t>
      </w:r>
      <w:r>
        <w:rPr>
          <w:rFonts w:hint="eastAsia"/>
          <w:highlight w:val="none"/>
          <w:lang w:val="en-US"/>
        </w:rPr>
        <w:t>2.2</w:t>
      </w:r>
      <w:r>
        <w:rPr>
          <w:rFonts w:hint="eastAsia"/>
          <w:highlight w:val="none"/>
        </w:rPr>
        <w:t>联合体各方应按招标文件提供的格式签订联合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，明确约定联合体各方承担的工作和相应的责任，并将联合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作为投标文件的一部分提交，该协议书对联合</w:t>
      </w:r>
      <w:r>
        <w:rPr>
          <w:rFonts w:hint="eastAsia"/>
          <w:highlight w:val="none"/>
          <w:lang w:val="en-US"/>
        </w:rPr>
        <w:t>体所有成员</w:t>
      </w:r>
      <w:r>
        <w:rPr>
          <w:rFonts w:hint="eastAsia"/>
          <w:highlight w:val="none"/>
        </w:rPr>
        <w:t>均具有法律约束力。</w:t>
      </w:r>
    </w:p>
    <w:p w14:paraId="6E1789E5">
      <w:pPr>
        <w:pStyle w:val="38"/>
        <w:spacing w:line="360" w:lineRule="auto"/>
        <w:rPr>
          <w:highlight w:val="none"/>
        </w:rPr>
      </w:pPr>
      <w:r>
        <w:rPr>
          <w:rFonts w:hint="eastAsia"/>
          <w:highlight w:val="none"/>
          <w:lang w:val="en-US"/>
        </w:rPr>
        <w:t>4.2.3</w:t>
      </w:r>
      <w:r>
        <w:rPr>
          <w:rFonts w:hint="eastAsia"/>
          <w:highlight w:val="none"/>
        </w:rPr>
        <w:t>联合体中有同类资质的供应商按照联合体分工承担相同工作的，应当按照资质等级较低的供应商确定资质等级。</w:t>
      </w:r>
    </w:p>
    <w:p w14:paraId="18120D2E">
      <w:pPr>
        <w:pStyle w:val="38"/>
        <w:spacing w:line="360" w:lineRule="auto"/>
        <w:rPr>
          <w:highlight w:val="none"/>
        </w:rPr>
      </w:pPr>
      <w:r>
        <w:rPr>
          <w:rFonts w:hint="eastAsia"/>
          <w:highlight w:val="none"/>
          <w:lang w:val="en-US"/>
        </w:rPr>
        <w:t>4.2</w:t>
      </w:r>
      <w:r>
        <w:rPr>
          <w:rFonts w:hint="eastAsia"/>
          <w:highlight w:val="none"/>
        </w:rPr>
        <w:t>.</w:t>
      </w:r>
      <w:r>
        <w:rPr>
          <w:rFonts w:hint="eastAsia"/>
          <w:highlight w:val="none"/>
          <w:lang w:val="en-US"/>
        </w:rPr>
        <w:t>4</w:t>
      </w:r>
      <w:r>
        <w:rPr>
          <w:rFonts w:hint="eastAsia"/>
          <w:highlight w:val="none"/>
        </w:rPr>
        <w:t>以联合体形式参加政府采购活动的，联合体各方不得再单独参加或者与其他供应商另外组成联合体参加</w:t>
      </w:r>
      <w:r>
        <w:rPr>
          <w:rFonts w:hint="eastAsia"/>
          <w:highlight w:val="none"/>
          <w:lang w:val="en-US"/>
        </w:rPr>
        <w:t>同一合同项下的</w:t>
      </w:r>
      <w:r>
        <w:rPr>
          <w:rFonts w:hint="eastAsia"/>
          <w:highlight w:val="none"/>
        </w:rPr>
        <w:t>投标，否则相关投标将被认定为</w:t>
      </w:r>
      <w:r>
        <w:rPr>
          <w:rFonts w:hint="eastAsia"/>
          <w:b/>
          <w:bCs/>
          <w:highlight w:val="none"/>
        </w:rPr>
        <w:t>投标无效</w:t>
      </w:r>
      <w:r>
        <w:rPr>
          <w:rFonts w:hint="eastAsia"/>
          <w:highlight w:val="none"/>
        </w:rPr>
        <w:t>。</w:t>
      </w:r>
    </w:p>
    <w:p w14:paraId="07906246">
      <w:pPr>
        <w:pStyle w:val="38"/>
        <w:spacing w:line="360" w:lineRule="auto"/>
        <w:rPr>
          <w:highlight w:val="none"/>
        </w:rPr>
      </w:pPr>
      <w:r>
        <w:rPr>
          <w:rFonts w:hint="eastAsia"/>
          <w:highlight w:val="none"/>
          <w:lang w:val="en-US"/>
        </w:rPr>
        <w:t>4.2</w:t>
      </w:r>
      <w:r>
        <w:rPr>
          <w:rFonts w:hint="eastAsia"/>
          <w:highlight w:val="none"/>
        </w:rPr>
        <w:t>.5大中型企业、其他自然人、法人或者非法人组织与小型、微型企业组成联合体共同参加投标</w:t>
      </w:r>
      <w:r>
        <w:rPr>
          <w:rFonts w:hint="eastAsia"/>
          <w:highlight w:val="none"/>
          <w:lang w:val="en-US"/>
        </w:rPr>
        <w:t>的</w:t>
      </w:r>
      <w:r>
        <w:rPr>
          <w:rFonts w:hint="eastAsia"/>
          <w:highlight w:val="none"/>
        </w:rPr>
        <w:t>，联合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中应写明小型、微型企业的合同金额占到联合</w:t>
      </w:r>
      <w:r>
        <w:rPr>
          <w:rFonts w:hint="eastAsia"/>
          <w:highlight w:val="none"/>
          <w:lang w:val="en-US"/>
        </w:rPr>
        <w:t>体</w:t>
      </w:r>
      <w:r>
        <w:rPr>
          <w:rFonts w:hint="eastAsia"/>
          <w:highlight w:val="none"/>
        </w:rPr>
        <w:t>投标</w:t>
      </w:r>
      <w:r>
        <w:rPr>
          <w:rFonts w:hint="eastAsia"/>
          <w:highlight w:val="none"/>
          <w:lang w:val="en-US"/>
        </w:rPr>
        <w:t>合同</w:t>
      </w:r>
      <w:r>
        <w:rPr>
          <w:rFonts w:hint="eastAsia"/>
          <w:highlight w:val="none"/>
        </w:rPr>
        <w:t>总金额的比例。</w:t>
      </w:r>
    </w:p>
    <w:p w14:paraId="4916D29F">
      <w:pPr>
        <w:pStyle w:val="38"/>
        <w:spacing w:line="360" w:lineRule="auto"/>
        <w:rPr>
          <w:highlight w:val="none"/>
        </w:rPr>
      </w:pPr>
      <w:r>
        <w:rPr>
          <w:rFonts w:hint="eastAsia"/>
          <w:highlight w:val="none"/>
        </w:rPr>
        <w:t>4.2</w:t>
      </w:r>
      <w:r>
        <w:rPr>
          <w:rFonts w:hint="eastAsia"/>
          <w:highlight w:val="none"/>
          <w:lang w:val="en-US"/>
        </w:rPr>
        <w:t>.6</w:t>
      </w:r>
      <w:r>
        <w:rPr>
          <w:rFonts w:hint="eastAsia"/>
          <w:highlight w:val="none"/>
        </w:rPr>
        <w:t>联合体中标</w:t>
      </w:r>
      <w:r>
        <w:rPr>
          <w:rFonts w:hint="eastAsia"/>
          <w:highlight w:val="none"/>
          <w:lang w:val="en-US"/>
        </w:rPr>
        <w:t>的</w:t>
      </w:r>
      <w:r>
        <w:rPr>
          <w:rFonts w:hint="eastAsia"/>
          <w:highlight w:val="none"/>
        </w:rPr>
        <w:t>，</w:t>
      </w:r>
      <w:r>
        <w:rPr>
          <w:rFonts w:hint="eastAsia"/>
          <w:highlight w:val="none"/>
          <w:lang w:val="en-US"/>
        </w:rPr>
        <w:t>采购</w:t>
      </w:r>
      <w:r>
        <w:rPr>
          <w:rFonts w:hint="eastAsia"/>
          <w:highlight w:val="none"/>
        </w:rPr>
        <w:t>合同应由</w:t>
      </w:r>
      <w:r>
        <w:rPr>
          <w:rFonts w:hint="eastAsia"/>
          <w:highlight w:val="none"/>
          <w:lang w:val="en-US"/>
        </w:rPr>
        <w:t>联合体</w:t>
      </w:r>
      <w:r>
        <w:rPr>
          <w:rFonts w:hint="eastAsia"/>
          <w:highlight w:val="none"/>
        </w:rPr>
        <w:t>各成员的合法授权代表签字</w:t>
      </w:r>
      <w:r>
        <w:rPr>
          <w:rFonts w:hint="eastAsia"/>
          <w:highlight w:val="none"/>
          <w:lang w:val="en-US"/>
        </w:rPr>
        <w:t>及</w:t>
      </w:r>
      <w:r>
        <w:rPr>
          <w:rFonts w:hint="eastAsia"/>
          <w:highlight w:val="none"/>
        </w:rPr>
        <w:t>加盖</w:t>
      </w:r>
      <w:r>
        <w:rPr>
          <w:rFonts w:hint="eastAsia"/>
          <w:highlight w:val="none"/>
          <w:lang w:val="en-US"/>
        </w:rPr>
        <w:t>联合体</w:t>
      </w:r>
      <w:r>
        <w:rPr>
          <w:rFonts w:hint="eastAsia"/>
          <w:highlight w:val="none"/>
        </w:rPr>
        <w:t>各成员公章，</w:t>
      </w:r>
      <w:r>
        <w:rPr>
          <w:rFonts w:hint="eastAsia"/>
          <w:highlight w:val="none"/>
          <w:lang w:val="en-US"/>
        </w:rPr>
        <w:t>并</w:t>
      </w:r>
      <w:r>
        <w:rPr>
          <w:rFonts w:hint="eastAsia"/>
          <w:highlight w:val="none"/>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0B9B0AA3">
      <w:pPr>
        <w:pStyle w:val="38"/>
        <w:spacing w:line="360" w:lineRule="auto"/>
        <w:rPr>
          <w:highlight w:val="none"/>
        </w:rPr>
      </w:pPr>
      <w:r>
        <w:rPr>
          <w:rFonts w:hint="eastAsia"/>
          <w:highlight w:val="none"/>
        </w:rPr>
        <w:t>4.2</w:t>
      </w:r>
      <w:r>
        <w:rPr>
          <w:rFonts w:hint="eastAsia"/>
          <w:highlight w:val="none"/>
          <w:lang w:val="en-US"/>
        </w:rPr>
        <w:t>.7</w:t>
      </w:r>
      <w:r>
        <w:rPr>
          <w:rFonts w:hint="eastAsia"/>
          <w:highlight w:val="none"/>
        </w:rPr>
        <w:t>联合体或其成员不得将其在合同项下的权利或义务全部或部分转让给第三人，有关分包事项须事先取得采购</w:t>
      </w:r>
      <w:r>
        <w:rPr>
          <w:rFonts w:hint="eastAsia"/>
          <w:highlight w:val="none"/>
          <w:lang w:val="en-US"/>
        </w:rPr>
        <w:t>人</w:t>
      </w:r>
      <w:r>
        <w:rPr>
          <w:rFonts w:hint="eastAsia"/>
          <w:highlight w:val="none"/>
        </w:rPr>
        <w:t>书面同意并且须遵守相关法律、法规、本次招标的全部相关规定。</w:t>
      </w:r>
    </w:p>
    <w:p w14:paraId="55F3BFC4">
      <w:pPr>
        <w:pStyle w:val="38"/>
        <w:spacing w:line="360" w:lineRule="auto"/>
        <w:rPr>
          <w:highlight w:val="none"/>
        </w:rPr>
      </w:pPr>
      <w:r>
        <w:rPr>
          <w:rFonts w:hint="eastAsia"/>
          <w:highlight w:val="none"/>
        </w:rPr>
        <w:t>4.2.8对联合体投标的其他资格要求见“第一章 招标公告”中的“二、申请人的资格要求”。</w:t>
      </w:r>
    </w:p>
    <w:p w14:paraId="0310B705">
      <w:pPr>
        <w:pStyle w:val="5"/>
        <w:spacing w:line="360" w:lineRule="auto"/>
        <w:rPr>
          <w:highlight w:val="none"/>
        </w:rPr>
      </w:pPr>
      <w:bookmarkStart w:id="151" w:name="_Toc163492827"/>
      <w:r>
        <w:rPr>
          <w:rFonts w:hint="eastAsia"/>
          <w:highlight w:val="none"/>
        </w:rPr>
        <w:t>5.费用承担</w:t>
      </w:r>
      <w:bookmarkEnd w:id="151"/>
    </w:p>
    <w:p w14:paraId="3349F51D">
      <w:pPr>
        <w:pStyle w:val="38"/>
        <w:spacing w:line="360" w:lineRule="auto"/>
        <w:rPr>
          <w:highlight w:val="none"/>
        </w:rPr>
      </w:pPr>
      <w:r>
        <w:rPr>
          <w:rFonts w:hint="eastAsia"/>
          <w:highlight w:val="none"/>
        </w:rPr>
        <w:t>5.1不论投标的结果如何，投标人应承担所有与准备和参加投标有关的费用。</w:t>
      </w:r>
    </w:p>
    <w:p w14:paraId="374D1927">
      <w:pPr>
        <w:pStyle w:val="5"/>
        <w:spacing w:line="360" w:lineRule="auto"/>
        <w:rPr>
          <w:highlight w:val="none"/>
        </w:rPr>
      </w:pPr>
      <w:bookmarkStart w:id="152" w:name="_Toc163492828"/>
      <w:bookmarkStart w:id="153" w:name="_Toc140132761"/>
      <w:r>
        <w:rPr>
          <w:rFonts w:hint="eastAsia"/>
          <w:highlight w:val="none"/>
        </w:rPr>
        <w:t>6.保密</w:t>
      </w:r>
      <w:bookmarkEnd w:id="152"/>
      <w:bookmarkEnd w:id="153"/>
    </w:p>
    <w:p w14:paraId="23CABFD1">
      <w:pPr>
        <w:pStyle w:val="38"/>
        <w:spacing w:line="360" w:lineRule="auto"/>
        <w:rPr>
          <w:highlight w:val="none"/>
        </w:rPr>
      </w:pPr>
      <w:r>
        <w:rPr>
          <w:rFonts w:hint="eastAsia"/>
          <w:highlight w:val="none"/>
        </w:rPr>
        <w:t>6.1</w:t>
      </w:r>
      <w:r>
        <w:rPr>
          <w:rFonts w:hint="eastAsia"/>
          <w:highlight w:val="none"/>
          <w:lang w:val="en-US"/>
        </w:rPr>
        <w:t xml:space="preserve"> </w:t>
      </w:r>
      <w:r>
        <w:rPr>
          <w:rFonts w:hint="eastAsia"/>
          <w:highlight w:val="none"/>
        </w:rPr>
        <w:t>参与招标投标活动的各方应对招标文件和投标文件中的商业和技术等秘密保密，否则应承担相应的法律责任。</w:t>
      </w:r>
    </w:p>
    <w:p w14:paraId="342D75D1">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4F0D91F1">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6.3 采购代理机构有权将投标人提供的所有资料向有关政府部门或评审投标文件的有关人员披露。</w:t>
      </w:r>
    </w:p>
    <w:p w14:paraId="56A49B2C">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6.4 各级人民政府财政部门对政府采购活动进行监督检查，有权查阅、复制有关文件、资料，相关单位和人员应当予以配合。</w:t>
      </w:r>
    </w:p>
    <w:p w14:paraId="03E1D1E9">
      <w:pPr>
        <w:pStyle w:val="5"/>
        <w:spacing w:line="360" w:lineRule="auto"/>
        <w:rPr>
          <w:highlight w:val="none"/>
        </w:rPr>
      </w:pPr>
      <w:bookmarkStart w:id="154" w:name="_Toc163492829"/>
      <w:bookmarkStart w:id="155" w:name="_Toc140132762"/>
      <w:r>
        <w:rPr>
          <w:rFonts w:hint="eastAsia"/>
          <w:highlight w:val="none"/>
        </w:rPr>
        <w:t>7.语言文字</w:t>
      </w:r>
      <w:bookmarkEnd w:id="154"/>
      <w:bookmarkEnd w:id="155"/>
    </w:p>
    <w:p w14:paraId="093E92D7">
      <w:pPr>
        <w:pStyle w:val="38"/>
        <w:spacing w:line="360" w:lineRule="auto"/>
        <w:rPr>
          <w:highlight w:val="none"/>
        </w:rPr>
      </w:pPr>
      <w:r>
        <w:rPr>
          <w:rFonts w:hint="eastAsia"/>
          <w:highlight w:val="none"/>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094089D">
      <w:pPr>
        <w:pStyle w:val="5"/>
        <w:spacing w:line="360" w:lineRule="auto"/>
        <w:rPr>
          <w:highlight w:val="none"/>
        </w:rPr>
      </w:pPr>
      <w:bookmarkStart w:id="156" w:name="_Toc140132763"/>
      <w:bookmarkStart w:id="157" w:name="_Toc163492830"/>
      <w:r>
        <w:rPr>
          <w:rFonts w:hint="eastAsia"/>
          <w:highlight w:val="none"/>
        </w:rPr>
        <w:t>8.计量单位</w:t>
      </w:r>
      <w:bookmarkEnd w:id="156"/>
      <w:bookmarkEnd w:id="157"/>
    </w:p>
    <w:p w14:paraId="0A1B45F5">
      <w:pPr>
        <w:pStyle w:val="38"/>
        <w:spacing w:line="360" w:lineRule="auto"/>
        <w:rPr>
          <w:highlight w:val="none"/>
        </w:rPr>
      </w:pPr>
      <w:r>
        <w:rPr>
          <w:rFonts w:hint="eastAsia"/>
          <w:highlight w:val="none"/>
        </w:rPr>
        <w:t>8.1所有计量均采用中华人民共和国法定计量单位。</w:t>
      </w:r>
    </w:p>
    <w:p w14:paraId="53577017">
      <w:pPr>
        <w:pStyle w:val="5"/>
        <w:spacing w:line="360" w:lineRule="auto"/>
        <w:rPr>
          <w:highlight w:val="none"/>
        </w:rPr>
      </w:pPr>
      <w:bookmarkStart w:id="158" w:name="_Toc163492831"/>
      <w:bookmarkStart w:id="159" w:name="_Toc140132764"/>
      <w:r>
        <w:rPr>
          <w:rFonts w:hint="eastAsia"/>
          <w:highlight w:val="none"/>
        </w:rPr>
        <w:t>9.现场考察和答疑会</w:t>
      </w:r>
      <w:bookmarkEnd w:id="158"/>
      <w:bookmarkEnd w:id="159"/>
    </w:p>
    <w:p w14:paraId="5C740303">
      <w:pPr>
        <w:pStyle w:val="38"/>
        <w:spacing w:line="360" w:lineRule="auto"/>
        <w:rPr>
          <w:highlight w:val="none"/>
        </w:rPr>
      </w:pPr>
      <w:bookmarkStart w:id="160" w:name="_Hlk143529198"/>
      <w:r>
        <w:rPr>
          <w:rFonts w:hint="eastAsia"/>
          <w:highlight w:val="none"/>
        </w:rPr>
        <w:t xml:space="preserve">9.1 “投标人须知前附表”规定组织现场考察的，采购代理机构按“投标人须知前附表”规定的时间、地点组织投标人项目现场考察。 </w:t>
      </w:r>
    </w:p>
    <w:p w14:paraId="69A47011">
      <w:pPr>
        <w:pStyle w:val="38"/>
        <w:spacing w:line="360" w:lineRule="auto"/>
        <w:rPr>
          <w:highlight w:val="none"/>
        </w:rPr>
      </w:pPr>
      <w:r>
        <w:rPr>
          <w:rFonts w:hint="eastAsia"/>
          <w:highlight w:val="none"/>
        </w:rPr>
        <w:t>9.2 投标人现场考察发生的费用自理。</w:t>
      </w:r>
    </w:p>
    <w:p w14:paraId="646C1E2E">
      <w:pPr>
        <w:pStyle w:val="38"/>
        <w:spacing w:line="360" w:lineRule="auto"/>
        <w:rPr>
          <w:highlight w:val="none"/>
        </w:rPr>
      </w:pPr>
      <w:r>
        <w:rPr>
          <w:rFonts w:hint="eastAsia"/>
          <w:highlight w:val="none"/>
        </w:rPr>
        <w:t>9.3 在现场考察中，因投标人自身原因发生的人员伤亡和财产损失，由投标人自行负责。</w:t>
      </w:r>
    </w:p>
    <w:p w14:paraId="22CEBB08">
      <w:pPr>
        <w:pStyle w:val="38"/>
        <w:spacing w:line="360" w:lineRule="auto"/>
        <w:rPr>
          <w:highlight w:val="none"/>
        </w:rPr>
      </w:pPr>
      <w:r>
        <w:rPr>
          <w:rFonts w:hint="eastAsia"/>
          <w:highlight w:val="none"/>
        </w:rPr>
        <w:t>9.4 采购人在现场考察中介绍的项目场地和相关的周边环境情况，仅供投标人在编制投标文件时参考，采购人和采购代理机构不对投标人据此作出的判断和决策负责。</w:t>
      </w:r>
    </w:p>
    <w:p w14:paraId="6FE9E018">
      <w:pPr>
        <w:pStyle w:val="38"/>
        <w:spacing w:line="360" w:lineRule="auto"/>
        <w:rPr>
          <w:highlight w:val="none"/>
        </w:rPr>
      </w:pPr>
      <w:r>
        <w:rPr>
          <w:rFonts w:hint="eastAsia"/>
          <w:highlight w:val="none"/>
        </w:rPr>
        <w:t>9.5 “投标人须知前附表”规定召开答疑会的，采购代理机构按“投标人须知前附表”规定的时间和地点召开答疑会，澄清投标人提出的问题。</w:t>
      </w:r>
    </w:p>
    <w:p w14:paraId="7A46EFC7">
      <w:pPr>
        <w:pStyle w:val="38"/>
        <w:spacing w:line="360" w:lineRule="auto"/>
        <w:rPr>
          <w:highlight w:val="none"/>
        </w:rPr>
      </w:pPr>
      <w:r>
        <w:rPr>
          <w:rFonts w:hint="eastAsia"/>
          <w:highlight w:val="none"/>
        </w:rPr>
        <w:t>9.6 由于未参加现场考察或未参加标前答疑会而导致对项目实际情况不了解，影响投标文件编制、投标报价准确性、综合因素响应不全面等问题的，由投标人自行承担不利评审后果。</w:t>
      </w:r>
    </w:p>
    <w:bookmarkEnd w:id="160"/>
    <w:p w14:paraId="0E699743">
      <w:pPr>
        <w:pStyle w:val="5"/>
        <w:spacing w:line="360" w:lineRule="auto"/>
        <w:rPr>
          <w:highlight w:val="none"/>
        </w:rPr>
      </w:pPr>
      <w:bookmarkStart w:id="161" w:name="_Toc155185858"/>
      <w:bookmarkStart w:id="162" w:name="_Toc163492833"/>
      <w:bookmarkStart w:id="163" w:name="_Toc155185871"/>
      <w:r>
        <w:rPr>
          <w:rFonts w:hint="eastAsia"/>
          <w:highlight w:val="none"/>
        </w:rPr>
        <w:t>10.电子投标说明</w:t>
      </w:r>
      <w:bookmarkEnd w:id="161"/>
      <w:bookmarkEnd w:id="162"/>
      <w:r>
        <w:rPr>
          <w:rFonts w:hint="eastAsia"/>
          <w:highlight w:val="none"/>
        </w:rPr>
        <w:t xml:space="preserve">   </w:t>
      </w:r>
    </w:p>
    <w:p w14:paraId="03DCA376">
      <w:pPr>
        <w:pStyle w:val="38"/>
        <w:spacing w:line="360" w:lineRule="auto"/>
        <w:rPr>
          <w:highlight w:val="none"/>
          <w:lang w:val="en-US"/>
        </w:rPr>
      </w:pPr>
      <w:r>
        <w:rPr>
          <w:rFonts w:hint="eastAsia"/>
          <w:highlight w:val="none"/>
          <w:lang w:val="en-US"/>
        </w:rPr>
        <w:t xml:space="preserve">10.1 </w:t>
      </w:r>
      <w:r>
        <w:rPr>
          <w:rFonts w:hint="eastAsia"/>
          <w:highlight w:val="none"/>
        </w:rPr>
        <w:t>本次采购采用电子交易方式</w:t>
      </w:r>
      <w:r>
        <w:rPr>
          <w:rFonts w:hint="eastAsia"/>
          <w:highlight w:val="none"/>
          <w:lang w:val="en-US"/>
        </w:rPr>
        <w:t>，</w:t>
      </w:r>
      <w:r>
        <w:rPr>
          <w:rFonts w:hint="eastAsia"/>
          <w:highlight w:val="none"/>
        </w:rPr>
        <w:t>电子交易平台为</w:t>
      </w:r>
      <w:r>
        <w:rPr>
          <w:rFonts w:hint="eastAsia"/>
          <w:highlight w:val="none"/>
          <w:lang w:val="en-US"/>
        </w:rPr>
        <w:t>新疆政府采购电子交易云</w:t>
      </w:r>
      <w:r>
        <w:rPr>
          <w:rFonts w:hint="eastAsia"/>
          <w:highlight w:val="none"/>
        </w:rPr>
        <w:t>平台</w:t>
      </w:r>
      <w:r>
        <w:rPr>
          <w:rFonts w:hint="eastAsia"/>
          <w:highlight w:val="none"/>
          <w:lang w:val="hr-HR"/>
        </w:rPr>
        <w:t>（</w:t>
      </w:r>
      <w:r>
        <w:rPr>
          <w:rFonts w:hint="eastAsia"/>
          <w:highlight w:val="none"/>
        </w:rPr>
        <w:t>网址</w:t>
      </w:r>
      <w:r>
        <w:rPr>
          <w:rFonts w:hint="eastAsia"/>
          <w:highlight w:val="none"/>
          <w:lang w:val="hr-HR"/>
        </w:rPr>
        <w:t>：https://www.zcygov.cn/）</w:t>
      </w:r>
      <w:r>
        <w:rPr>
          <w:rFonts w:hint="eastAsia"/>
          <w:highlight w:val="none"/>
        </w:rPr>
        <w:t>。投标人参与本项目电子交易活动前，应</w:t>
      </w:r>
      <w:r>
        <w:rPr>
          <w:rFonts w:hint="eastAsia"/>
          <w:highlight w:val="none"/>
          <w:lang w:val="en-US"/>
        </w:rPr>
        <w:t>在</w:t>
      </w:r>
      <w:r>
        <w:rPr>
          <w:rFonts w:hint="eastAsia"/>
          <w:highlight w:val="none"/>
        </w:rPr>
        <w:t>政</w:t>
      </w:r>
      <w:r>
        <w:rPr>
          <w:rFonts w:hint="eastAsia"/>
          <w:highlight w:val="none"/>
          <w:lang w:val="en-US"/>
        </w:rPr>
        <w:t>采云</w:t>
      </w:r>
      <w:r>
        <w:rPr>
          <w:rFonts w:hint="eastAsia"/>
          <w:highlight w:val="none"/>
        </w:rPr>
        <w:t>平台</w:t>
      </w:r>
      <w:r>
        <w:rPr>
          <w:rFonts w:hint="eastAsia"/>
          <w:highlight w:val="none"/>
          <w:lang w:val="en-US"/>
        </w:rPr>
        <w:t>上</w:t>
      </w:r>
      <w:r>
        <w:rPr>
          <w:rFonts w:hint="eastAsia"/>
          <w:highlight w:val="none"/>
        </w:rPr>
        <w:t>注册</w:t>
      </w:r>
      <w:r>
        <w:rPr>
          <w:rFonts w:hint="eastAsia"/>
          <w:highlight w:val="none"/>
          <w:lang w:val="en-US"/>
        </w:rPr>
        <w:t>供应商账号</w:t>
      </w:r>
      <w:r>
        <w:rPr>
          <w:rFonts w:hint="eastAsia"/>
          <w:highlight w:val="none"/>
        </w:rPr>
        <w:t>。编制电子</w:t>
      </w:r>
      <w:r>
        <w:rPr>
          <w:rFonts w:hint="eastAsia"/>
          <w:highlight w:val="none"/>
          <w:lang w:val="en-US"/>
        </w:rPr>
        <w:t>投标</w:t>
      </w:r>
      <w:r>
        <w:rPr>
          <w:rFonts w:hint="eastAsia"/>
          <w:highlight w:val="none"/>
        </w:rPr>
        <w:t>文件前还需</w:t>
      </w:r>
      <w:r>
        <w:rPr>
          <w:rFonts w:hint="eastAsia"/>
          <w:highlight w:val="none"/>
          <w:lang w:val="en-US"/>
        </w:rPr>
        <w:t>申领CA证书并绑定账号。投标人应充分考虑完成平台注册、申领CA证书等所需的时间。</w:t>
      </w:r>
      <w:r>
        <w:rPr>
          <w:rFonts w:hint="eastAsia"/>
          <w:highlight w:val="none"/>
        </w:rPr>
        <w:t>潜在投标人领取文件须提前完成注册、CA证书和电子签章申领和绑定、下载“投标客户端”。因未办理CA数字证书、CA证书故障、操作不当等原因造成无法投标或投标失败等后果由投标人自行承担。</w:t>
      </w:r>
      <w:r>
        <w:rPr>
          <w:rFonts w:hint="eastAsia"/>
          <w:highlight w:val="none"/>
          <w:lang w:val="en-US"/>
        </w:rPr>
        <w:t>投标人</w:t>
      </w:r>
      <w:r>
        <w:rPr>
          <w:rFonts w:hint="eastAsia"/>
          <w:highlight w:val="none"/>
        </w:rPr>
        <w:t>登录新疆政府采购网“供应商注册”—“新疆生产建设新疆政府采购供应商入驻登记”—“立即登记”进行自助注册绑定。</w:t>
      </w:r>
    </w:p>
    <w:p w14:paraId="4277893C">
      <w:pPr>
        <w:pStyle w:val="38"/>
        <w:spacing w:line="360" w:lineRule="auto"/>
        <w:rPr>
          <w:highlight w:val="none"/>
        </w:rPr>
      </w:pPr>
      <w:r>
        <w:rPr>
          <w:rFonts w:hint="eastAsia"/>
          <w:highlight w:val="none"/>
          <w:lang w:val="en-US"/>
        </w:rPr>
        <w:t>10.</w:t>
      </w:r>
      <w:r>
        <w:rPr>
          <w:rFonts w:hint="eastAsia"/>
          <w:highlight w:val="none"/>
        </w:rPr>
        <w:t>2</w:t>
      </w:r>
      <w:r>
        <w:rPr>
          <w:rFonts w:hint="eastAsia"/>
          <w:highlight w:val="none"/>
          <w:lang w:val="en-US"/>
        </w:rPr>
        <w:t xml:space="preserve"> </w:t>
      </w:r>
      <w:r>
        <w:rPr>
          <w:rFonts w:hint="eastAsia"/>
          <w:highlight w:val="none"/>
        </w:rPr>
        <w:t>投标人将</w:t>
      </w:r>
      <w:r>
        <w:rPr>
          <w:rFonts w:hint="eastAsia"/>
          <w:highlight w:val="none"/>
          <w:lang w:val="en-US"/>
        </w:rPr>
        <w:t>新疆政府采购电子交易云</w:t>
      </w:r>
      <w:r>
        <w:rPr>
          <w:rFonts w:hint="eastAsia"/>
          <w:highlight w:val="none"/>
        </w:rPr>
        <w:t>平台电子交易客户端下载、安装完成后，可通过账号密码或CA登录客户端进行投标文件制作。在使用政采云“投标客户端”时，建议使用WIN7及以上操作系统。</w:t>
      </w:r>
      <w:r>
        <w:rPr>
          <w:rFonts w:hint="eastAsia"/>
          <w:highlight w:val="none"/>
          <w:lang w:val="en-US"/>
        </w:rPr>
        <w:t>投标人</w:t>
      </w:r>
      <w:r>
        <w:rPr>
          <w:rFonts w:hint="eastAsia"/>
          <w:highlight w:val="none"/>
        </w:rPr>
        <w:t>登录新疆政府采购网“下载专区”—“电子招投标客户端下载”下载相关客户端，如有问题可拨打政采云客户服务热线95763进行咨询。</w:t>
      </w:r>
    </w:p>
    <w:p w14:paraId="7ED89271">
      <w:pPr>
        <w:pStyle w:val="38"/>
        <w:spacing w:line="360" w:lineRule="auto"/>
        <w:rPr>
          <w:highlight w:val="none"/>
        </w:rPr>
      </w:pPr>
      <w:r>
        <w:rPr>
          <w:rFonts w:hint="eastAsia"/>
          <w:highlight w:val="none"/>
          <w:lang w:val="en-US"/>
        </w:rPr>
        <w:t>10.</w:t>
      </w:r>
      <w:r>
        <w:rPr>
          <w:rFonts w:hint="eastAsia"/>
          <w:highlight w:val="none"/>
        </w:rPr>
        <w:t>3</w:t>
      </w:r>
      <w:r>
        <w:rPr>
          <w:rFonts w:hint="eastAsia"/>
          <w:highlight w:val="none"/>
          <w:lang w:val="en-US"/>
        </w:rPr>
        <w:t xml:space="preserve"> </w:t>
      </w:r>
      <w:r>
        <w:rPr>
          <w:rFonts w:hint="eastAsia"/>
          <w:highlight w:val="none"/>
        </w:rPr>
        <w:t>加密的电子投标文件应在投标文件递交截止时间前通过政采云平台上传完成。逾期上传或者未上传指定地点的投标文件，不予受理。</w:t>
      </w:r>
    </w:p>
    <w:p w14:paraId="5576FC79">
      <w:pPr>
        <w:pStyle w:val="38"/>
        <w:spacing w:line="360" w:lineRule="auto"/>
        <w:rPr>
          <w:highlight w:val="none"/>
        </w:rPr>
      </w:pPr>
      <w:r>
        <w:rPr>
          <w:rFonts w:hint="eastAsia"/>
          <w:highlight w:val="none"/>
          <w:lang w:val="en-US"/>
        </w:rPr>
        <w:t>10.</w:t>
      </w:r>
      <w:r>
        <w:rPr>
          <w:rFonts w:hint="eastAsia"/>
          <w:highlight w:val="none"/>
        </w:rPr>
        <w:t>4</w:t>
      </w:r>
      <w:r>
        <w:rPr>
          <w:rFonts w:hint="eastAsia"/>
          <w:highlight w:val="none"/>
          <w:lang w:val="en-US"/>
        </w:rPr>
        <w:t xml:space="preserve"> </w:t>
      </w:r>
      <w:r>
        <w:rPr>
          <w:rFonts w:hint="eastAsia"/>
          <w:highlight w:val="none"/>
        </w:rPr>
        <w:t>投标人在开标前须提前配置好电脑</w:t>
      </w:r>
      <w:r>
        <w:rPr>
          <w:rFonts w:hint="eastAsia"/>
          <w:highlight w:val="none"/>
          <w:lang w:val="en-US"/>
        </w:rPr>
        <w:t>及</w:t>
      </w:r>
      <w:r>
        <w:rPr>
          <w:rFonts w:hint="eastAsia"/>
          <w:highlight w:val="none"/>
        </w:rPr>
        <w:t>浏览器，开标时请使用制作加密电子投标文件的CA锁进行解密及报价确认。本项目投标文件解密时间</w:t>
      </w:r>
      <w:r>
        <w:rPr>
          <w:rFonts w:hint="eastAsia"/>
          <w:highlight w:val="none"/>
          <w:lang w:val="en-US"/>
        </w:rPr>
        <w:t>详见“投标人须知前附表”</w:t>
      </w:r>
      <w:r>
        <w:rPr>
          <w:rFonts w:hint="eastAsia"/>
          <w:highlight w:val="none"/>
        </w:rPr>
        <w:t>，如因自身原因导致无法正常解密，后果由投标人自行承担。</w:t>
      </w:r>
    </w:p>
    <w:p w14:paraId="50C09EE0">
      <w:pPr>
        <w:pStyle w:val="38"/>
        <w:spacing w:line="360" w:lineRule="auto"/>
        <w:rPr>
          <w:highlight w:val="none"/>
        </w:rPr>
      </w:pPr>
      <w:r>
        <w:rPr>
          <w:rFonts w:hint="eastAsia"/>
          <w:highlight w:val="none"/>
          <w:lang w:val="en-US"/>
        </w:rPr>
        <w:t>10.</w:t>
      </w:r>
      <w:r>
        <w:rPr>
          <w:rFonts w:hint="eastAsia"/>
          <w:highlight w:val="none"/>
        </w:rPr>
        <w:t>5</w:t>
      </w:r>
      <w:r>
        <w:rPr>
          <w:rFonts w:hint="eastAsia"/>
          <w:highlight w:val="none"/>
          <w:lang w:val="en-US"/>
        </w:rPr>
        <w:t xml:space="preserve"> </w:t>
      </w:r>
      <w:r>
        <w:rPr>
          <w:rFonts w:hint="eastAsia"/>
          <w:highlight w:val="none"/>
        </w:rPr>
        <w:t>如遇“</w:t>
      </w:r>
      <w:r>
        <w:rPr>
          <w:rFonts w:hint="eastAsia"/>
          <w:highlight w:val="none"/>
          <w:lang w:val="en-US"/>
        </w:rPr>
        <w:t>新疆政府采购电子交易云</w:t>
      </w:r>
      <w:r>
        <w:rPr>
          <w:rFonts w:hint="eastAsia"/>
          <w:highlight w:val="none"/>
        </w:rPr>
        <w:t>平台</w:t>
      </w:r>
      <w:r>
        <w:rPr>
          <w:rFonts w:hint="eastAsia"/>
          <w:highlight w:val="none"/>
          <w:lang w:val="hr-HR"/>
        </w:rPr>
        <w:t>（</w:t>
      </w:r>
      <w:r>
        <w:rPr>
          <w:rFonts w:hint="eastAsia"/>
          <w:highlight w:val="none"/>
        </w:rPr>
        <w:t>网址</w:t>
      </w:r>
      <w:r>
        <w:rPr>
          <w:rFonts w:hint="eastAsia"/>
          <w:highlight w:val="none"/>
          <w:lang w:val="hr-HR"/>
        </w:rPr>
        <w:t>：https://www.zcygov.cn/）</w:t>
      </w:r>
      <w:r>
        <w:rPr>
          <w:rFonts w:hint="eastAsia"/>
          <w:highlight w:val="none"/>
        </w:rPr>
        <w:t>”电子交易规则调整，以最新要求为准。</w:t>
      </w:r>
    </w:p>
    <w:p w14:paraId="089BC6F4">
      <w:pPr>
        <w:pStyle w:val="38"/>
        <w:spacing w:line="360" w:lineRule="auto"/>
        <w:rPr>
          <w:highlight w:val="none"/>
        </w:rPr>
      </w:pPr>
      <w:r>
        <w:rPr>
          <w:rFonts w:hint="eastAsia"/>
          <w:highlight w:val="none"/>
        </w:rPr>
        <w:t>10.6 电子交易系统咨询：投标人应当充分考虑到电子投标可能会发生的各种问题和风险，特别是投标文件签署、提交等问题，可按照“第一章 招标公告”的联系方式咨询相关人员。</w:t>
      </w:r>
    </w:p>
    <w:p w14:paraId="5B2C2E5E">
      <w:pPr>
        <w:pStyle w:val="38"/>
        <w:spacing w:line="360" w:lineRule="auto"/>
        <w:rPr>
          <w:highlight w:val="none"/>
        </w:rPr>
      </w:pPr>
      <w:r>
        <w:rPr>
          <w:rFonts w:hint="eastAsia"/>
          <w:highlight w:val="none"/>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48FBC109">
      <w:pPr>
        <w:pStyle w:val="4"/>
        <w:spacing w:line="360" w:lineRule="auto"/>
        <w:rPr>
          <w:highlight w:val="none"/>
        </w:rPr>
      </w:pPr>
      <w:bookmarkStart w:id="164" w:name="_Toc163492834"/>
      <w:r>
        <w:rPr>
          <w:rFonts w:hint="eastAsia"/>
          <w:highlight w:val="none"/>
        </w:rPr>
        <w:t>（二）招标文件</w:t>
      </w:r>
      <w:bookmarkEnd w:id="163"/>
      <w:bookmarkEnd w:id="164"/>
    </w:p>
    <w:p w14:paraId="7D295DE4">
      <w:pPr>
        <w:pStyle w:val="5"/>
        <w:spacing w:line="360" w:lineRule="auto"/>
        <w:rPr>
          <w:highlight w:val="none"/>
        </w:rPr>
      </w:pPr>
      <w:bookmarkStart w:id="165" w:name="_Toc140132768"/>
      <w:bookmarkStart w:id="166" w:name="_Toc163492835"/>
      <w:r>
        <w:rPr>
          <w:rFonts w:hint="eastAsia"/>
          <w:highlight w:val="none"/>
        </w:rPr>
        <w:t>11.招标文件的组成</w:t>
      </w:r>
      <w:bookmarkEnd w:id="165"/>
      <w:bookmarkEnd w:id="166"/>
    </w:p>
    <w:p w14:paraId="3703FC0C">
      <w:pPr>
        <w:pStyle w:val="38"/>
        <w:spacing w:line="360" w:lineRule="auto"/>
        <w:rPr>
          <w:highlight w:val="none"/>
        </w:rPr>
      </w:pPr>
      <w:r>
        <w:rPr>
          <w:highlight w:val="none"/>
        </w:rPr>
        <w:t>1</w:t>
      </w:r>
      <w:r>
        <w:rPr>
          <w:rFonts w:hint="eastAsia"/>
          <w:highlight w:val="none"/>
        </w:rPr>
        <w:t>1.1本招标文件包括下列文件及根据本章第9款、第</w:t>
      </w:r>
      <w:r>
        <w:rPr>
          <w:highlight w:val="none"/>
        </w:rPr>
        <w:t>1</w:t>
      </w:r>
      <w:r>
        <w:rPr>
          <w:rFonts w:hint="eastAsia"/>
          <w:highlight w:val="none"/>
        </w:rPr>
        <w:t>2款对招标文件所作的澄清或者修改。</w:t>
      </w:r>
    </w:p>
    <w:p w14:paraId="2EE93AE4">
      <w:pPr>
        <w:spacing w:line="360" w:lineRule="auto"/>
        <w:rPr>
          <w:highlight w:val="none"/>
        </w:rPr>
      </w:pPr>
      <w:r>
        <w:rPr>
          <w:rFonts w:hint="eastAsia"/>
          <w:highlight w:val="none"/>
        </w:rPr>
        <w:t>第一章 招标公告</w:t>
      </w:r>
    </w:p>
    <w:p w14:paraId="44851133">
      <w:pPr>
        <w:spacing w:line="360" w:lineRule="auto"/>
        <w:rPr>
          <w:highlight w:val="none"/>
        </w:rPr>
      </w:pPr>
      <w:r>
        <w:rPr>
          <w:rFonts w:hint="eastAsia"/>
          <w:highlight w:val="none"/>
        </w:rPr>
        <w:t>第二章 投标人须知</w:t>
      </w:r>
    </w:p>
    <w:p w14:paraId="3FF1993C">
      <w:pPr>
        <w:spacing w:line="360" w:lineRule="auto"/>
        <w:rPr>
          <w:highlight w:val="none"/>
        </w:rPr>
      </w:pPr>
      <w:r>
        <w:rPr>
          <w:rFonts w:hint="eastAsia"/>
          <w:highlight w:val="none"/>
        </w:rPr>
        <w:t>第三章 采购需求</w:t>
      </w:r>
    </w:p>
    <w:p w14:paraId="3290661E">
      <w:pPr>
        <w:spacing w:line="360" w:lineRule="auto"/>
        <w:rPr>
          <w:highlight w:val="none"/>
        </w:rPr>
      </w:pPr>
      <w:r>
        <w:rPr>
          <w:rFonts w:hint="eastAsia"/>
          <w:highlight w:val="none"/>
        </w:rPr>
        <w:t>第四章 资格审查</w:t>
      </w:r>
    </w:p>
    <w:p w14:paraId="68AA6623">
      <w:pPr>
        <w:spacing w:line="360" w:lineRule="auto"/>
        <w:rPr>
          <w:highlight w:val="none"/>
        </w:rPr>
      </w:pPr>
      <w:r>
        <w:rPr>
          <w:rFonts w:hint="eastAsia"/>
          <w:highlight w:val="none"/>
        </w:rPr>
        <w:t>第五章 评标方法及标准</w:t>
      </w:r>
    </w:p>
    <w:p w14:paraId="6C1D335D">
      <w:pPr>
        <w:spacing w:line="360" w:lineRule="auto"/>
        <w:rPr>
          <w:highlight w:val="none"/>
        </w:rPr>
      </w:pPr>
      <w:r>
        <w:rPr>
          <w:rFonts w:hint="eastAsia"/>
          <w:highlight w:val="none"/>
        </w:rPr>
        <w:t>第六章 合同草案</w:t>
      </w:r>
    </w:p>
    <w:p w14:paraId="37487125">
      <w:pPr>
        <w:spacing w:line="360" w:lineRule="auto"/>
        <w:rPr>
          <w:highlight w:val="none"/>
        </w:rPr>
      </w:pPr>
      <w:r>
        <w:rPr>
          <w:rFonts w:hint="eastAsia"/>
          <w:highlight w:val="none"/>
        </w:rPr>
        <w:t>第七章 投标文件的格式</w:t>
      </w:r>
    </w:p>
    <w:p w14:paraId="712963BE">
      <w:pPr>
        <w:pStyle w:val="5"/>
        <w:spacing w:line="360" w:lineRule="auto"/>
        <w:rPr>
          <w:highlight w:val="none"/>
        </w:rPr>
      </w:pPr>
      <w:bookmarkStart w:id="167" w:name="_Toc140132769"/>
      <w:bookmarkStart w:id="168" w:name="_Toc163492836"/>
      <w:r>
        <w:rPr>
          <w:rFonts w:hint="eastAsia"/>
          <w:highlight w:val="none"/>
        </w:rPr>
        <w:t>12.招标文件的询问、澄清或者修改</w:t>
      </w:r>
      <w:bookmarkEnd w:id="167"/>
      <w:bookmarkEnd w:id="168"/>
    </w:p>
    <w:p w14:paraId="5BE45EEA">
      <w:pPr>
        <w:pStyle w:val="38"/>
        <w:spacing w:line="360" w:lineRule="auto"/>
        <w:rPr>
          <w:highlight w:val="none"/>
        </w:rPr>
      </w:pPr>
      <w:r>
        <w:rPr>
          <w:rFonts w:hint="eastAsia"/>
          <w:highlight w:val="none"/>
        </w:rPr>
        <w:t>12</w:t>
      </w:r>
      <w:r>
        <w:rPr>
          <w:highlight w:val="none"/>
        </w:rPr>
        <w:t>.</w:t>
      </w:r>
      <w:r>
        <w:rPr>
          <w:rFonts w:hint="eastAsia"/>
          <w:highlight w:val="none"/>
        </w:rPr>
        <w:t>1</w:t>
      </w:r>
      <w:r>
        <w:rPr>
          <w:highlight w:val="none"/>
        </w:rPr>
        <w:t>投标人如对招标文件内容有疑问，须在</w:t>
      </w:r>
      <w:r>
        <w:rPr>
          <w:rFonts w:hint="eastAsia"/>
          <w:highlight w:val="none"/>
        </w:rPr>
        <w:t>“</w:t>
      </w:r>
      <w:r>
        <w:rPr>
          <w:highlight w:val="none"/>
        </w:rPr>
        <w:t>投标人须知前附表</w:t>
      </w:r>
      <w:r>
        <w:rPr>
          <w:rFonts w:hint="eastAsia"/>
          <w:highlight w:val="none"/>
        </w:rPr>
        <w:t>”</w:t>
      </w:r>
      <w:r>
        <w:rPr>
          <w:highlight w:val="none"/>
        </w:rPr>
        <w:t>规定的</w:t>
      </w:r>
      <w:r>
        <w:rPr>
          <w:rFonts w:hint="eastAsia"/>
          <w:highlight w:val="none"/>
        </w:rPr>
        <w:t>询问方式和</w:t>
      </w:r>
      <w:r>
        <w:rPr>
          <w:highlight w:val="none"/>
        </w:rPr>
        <w:t>时间提交给</w:t>
      </w:r>
      <w:r>
        <w:rPr>
          <w:rFonts w:hint="eastAsia"/>
          <w:highlight w:val="none"/>
        </w:rPr>
        <w:t>采购人或</w:t>
      </w:r>
      <w:r>
        <w:rPr>
          <w:highlight w:val="none"/>
        </w:rPr>
        <w:t>采购代理机构。</w:t>
      </w:r>
    </w:p>
    <w:p w14:paraId="631A309D">
      <w:pPr>
        <w:pStyle w:val="38"/>
        <w:spacing w:line="360" w:lineRule="auto"/>
        <w:rPr>
          <w:highlight w:val="none"/>
        </w:rPr>
      </w:pPr>
      <w:r>
        <w:rPr>
          <w:rFonts w:hint="eastAsia"/>
          <w:highlight w:val="none"/>
        </w:rPr>
        <w:t>12</w:t>
      </w:r>
      <w:r>
        <w:rPr>
          <w:highlight w:val="none"/>
        </w:rPr>
        <w:t>.</w:t>
      </w:r>
      <w:r>
        <w:rPr>
          <w:rFonts w:hint="eastAsia"/>
          <w:highlight w:val="none"/>
        </w:rPr>
        <w:t>2采购人可主动地或在答复投标人提出的询问时对招标文件进行澄清与修改。</w:t>
      </w:r>
      <w:r>
        <w:rPr>
          <w:highlight w:val="none"/>
        </w:rPr>
        <w:t>采购代理机构将</w:t>
      </w:r>
      <w:r>
        <w:rPr>
          <w:rFonts w:hint="eastAsia"/>
          <w:highlight w:val="none"/>
        </w:rPr>
        <w:t>在新疆政府采购云平台以发布更正公告的方式澄清或修改招标文件，更正公告的</w:t>
      </w:r>
      <w:r>
        <w:rPr>
          <w:highlight w:val="none"/>
        </w:rPr>
        <w:t>内容</w:t>
      </w:r>
      <w:r>
        <w:rPr>
          <w:rFonts w:hint="eastAsia"/>
          <w:highlight w:val="none"/>
        </w:rPr>
        <w:t>作</w:t>
      </w:r>
      <w:r>
        <w:rPr>
          <w:highlight w:val="none"/>
        </w:rPr>
        <w:t>为招标文件</w:t>
      </w:r>
      <w:r>
        <w:rPr>
          <w:rFonts w:hint="eastAsia"/>
          <w:highlight w:val="none"/>
        </w:rPr>
        <w:t>的</w:t>
      </w:r>
      <w:r>
        <w:rPr>
          <w:highlight w:val="none"/>
        </w:rPr>
        <w:t>组成部分，对投标人起约束作用</w:t>
      </w:r>
      <w:r>
        <w:rPr>
          <w:rFonts w:hint="eastAsia"/>
          <w:highlight w:val="none"/>
        </w:rPr>
        <w:t>。投标人应主动上网查询。采购代理机构不承担投标人未及时关注相关信息引发的相关责任。</w:t>
      </w:r>
    </w:p>
    <w:p w14:paraId="7EC7EFAB">
      <w:pPr>
        <w:pStyle w:val="38"/>
        <w:spacing w:line="360" w:lineRule="auto"/>
        <w:rPr>
          <w:highlight w:val="none"/>
        </w:rPr>
      </w:pPr>
      <w:r>
        <w:rPr>
          <w:highlight w:val="none"/>
        </w:rPr>
        <w:t>1</w:t>
      </w:r>
      <w:r>
        <w:rPr>
          <w:rFonts w:hint="eastAsia"/>
          <w:highlight w:val="none"/>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7425DE5">
      <w:pPr>
        <w:pStyle w:val="38"/>
        <w:spacing w:line="360" w:lineRule="auto"/>
        <w:rPr>
          <w:highlight w:val="none"/>
        </w:rPr>
      </w:pPr>
      <w:r>
        <w:rPr>
          <w:rFonts w:hint="eastAsia"/>
          <w:highlight w:val="none"/>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2818EDE3">
      <w:pPr>
        <w:pStyle w:val="38"/>
        <w:spacing w:line="360" w:lineRule="auto"/>
        <w:rPr>
          <w:highlight w:val="none"/>
        </w:rPr>
      </w:pPr>
      <w:r>
        <w:rPr>
          <w:rFonts w:hint="eastAsia"/>
          <w:highlight w:val="none"/>
        </w:rPr>
        <w:t>12.5</w:t>
      </w:r>
      <w:r>
        <w:rPr>
          <w:highlight w:val="none"/>
        </w:rPr>
        <w:t>对于没有提出</w:t>
      </w:r>
      <w:r>
        <w:rPr>
          <w:rFonts w:hint="eastAsia"/>
          <w:highlight w:val="none"/>
        </w:rPr>
        <w:t>疑问</w:t>
      </w:r>
      <w:r>
        <w:rPr>
          <w:highlight w:val="none"/>
        </w:rPr>
        <w:t>又参与了</w:t>
      </w:r>
      <w:r>
        <w:rPr>
          <w:rFonts w:hint="eastAsia"/>
          <w:highlight w:val="none"/>
        </w:rPr>
        <w:t>本</w:t>
      </w:r>
      <w:r>
        <w:rPr>
          <w:highlight w:val="none"/>
        </w:rPr>
        <w:t>项目投标的</w:t>
      </w:r>
      <w:r>
        <w:rPr>
          <w:rFonts w:hint="eastAsia"/>
          <w:highlight w:val="none"/>
        </w:rPr>
        <w:t>投标人</w:t>
      </w:r>
      <w:r>
        <w:rPr>
          <w:highlight w:val="none"/>
        </w:rPr>
        <w:t>将被视为完全认同</w:t>
      </w:r>
      <w:r>
        <w:rPr>
          <w:rFonts w:hint="eastAsia"/>
          <w:highlight w:val="none"/>
        </w:rPr>
        <w:t>本</w:t>
      </w:r>
      <w:r>
        <w:rPr>
          <w:highlight w:val="none"/>
        </w:rPr>
        <w:t>招标文件（含</w:t>
      </w:r>
      <w:r>
        <w:rPr>
          <w:rFonts w:hint="eastAsia"/>
          <w:highlight w:val="none"/>
        </w:rPr>
        <w:t>更正公告的</w:t>
      </w:r>
      <w:r>
        <w:rPr>
          <w:highlight w:val="none"/>
        </w:rPr>
        <w:t>内容）</w:t>
      </w:r>
      <w:r>
        <w:rPr>
          <w:rFonts w:hint="eastAsia"/>
          <w:highlight w:val="none"/>
        </w:rPr>
        <w:t>。</w:t>
      </w:r>
    </w:p>
    <w:p w14:paraId="5F6AF32E">
      <w:pPr>
        <w:pStyle w:val="38"/>
        <w:spacing w:line="360" w:lineRule="auto"/>
        <w:rPr>
          <w:highlight w:val="none"/>
        </w:rPr>
      </w:pPr>
      <w:r>
        <w:rPr>
          <w:highlight w:val="none"/>
        </w:rPr>
        <w:t>1</w:t>
      </w:r>
      <w:r>
        <w:rPr>
          <w:rFonts w:hint="eastAsia"/>
          <w:highlight w:val="none"/>
          <w:lang w:val="en-US"/>
        </w:rPr>
        <w:t>2</w:t>
      </w:r>
      <w:r>
        <w:rPr>
          <w:highlight w:val="none"/>
        </w:rPr>
        <w:t>.</w:t>
      </w:r>
      <w:r>
        <w:rPr>
          <w:rFonts w:hint="eastAsia"/>
          <w:highlight w:val="none"/>
          <w:lang w:val="en-US"/>
        </w:rPr>
        <w:t>6</w:t>
      </w:r>
      <w:r>
        <w:rPr>
          <w:rFonts w:hint="eastAsia"/>
          <w:highlight w:val="none"/>
        </w:rPr>
        <w:t xml:space="preserve"> </w:t>
      </w:r>
      <w:r>
        <w:rPr>
          <w:rFonts w:hint="eastAsia" w:cs="仿宋_GB2312"/>
          <w:szCs w:val="24"/>
          <w:highlight w:val="none"/>
          <w:lang w:val="en-US"/>
        </w:rPr>
        <w:t>“</w:t>
      </w:r>
      <w:r>
        <w:rPr>
          <w:rFonts w:hint="eastAsia" w:cs="仿宋_GB2312"/>
          <w:szCs w:val="24"/>
          <w:highlight w:val="none"/>
        </w:rPr>
        <w:t>投标人须知”所称“</w:t>
      </w:r>
      <w:r>
        <w:rPr>
          <w:rFonts w:hint="eastAsia"/>
          <w:highlight w:val="none"/>
        </w:rPr>
        <w:t>书面形式</w:t>
      </w:r>
      <w:r>
        <w:rPr>
          <w:rFonts w:hint="eastAsia" w:cs="仿宋_GB2312"/>
          <w:szCs w:val="24"/>
          <w:highlight w:val="none"/>
        </w:rPr>
        <w:t>”</w:t>
      </w:r>
      <w:r>
        <w:rPr>
          <w:rFonts w:hint="eastAsia"/>
          <w:highlight w:val="none"/>
        </w:rPr>
        <w:t>包括系统消息、政府采购</w:t>
      </w:r>
      <w:r>
        <w:rPr>
          <w:rFonts w:hint="eastAsia"/>
          <w:highlight w:val="none"/>
          <w:lang w:val="en-US"/>
        </w:rPr>
        <w:t>云平台</w:t>
      </w:r>
      <w:r>
        <w:rPr>
          <w:rFonts w:hint="eastAsia"/>
          <w:highlight w:val="none"/>
        </w:rPr>
        <w:t>发布的公告。</w:t>
      </w:r>
    </w:p>
    <w:p w14:paraId="2500241F">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12.7当招标文件的澄清、修改及其他答复等就同一内容的表述不一致时，以最后发布的内容为准。</w:t>
      </w:r>
    </w:p>
    <w:p w14:paraId="11768F22">
      <w:pPr>
        <w:pStyle w:val="4"/>
        <w:spacing w:line="360" w:lineRule="auto"/>
        <w:rPr>
          <w:highlight w:val="none"/>
        </w:rPr>
      </w:pPr>
      <w:bookmarkStart w:id="169" w:name="_Toc163492837"/>
      <w:bookmarkStart w:id="170" w:name="_Toc155185872"/>
      <w:r>
        <w:rPr>
          <w:rFonts w:hint="eastAsia"/>
          <w:highlight w:val="none"/>
        </w:rPr>
        <w:t>（三）投标文件</w:t>
      </w:r>
      <w:bookmarkEnd w:id="169"/>
      <w:bookmarkEnd w:id="170"/>
    </w:p>
    <w:p w14:paraId="0C5DC4FA">
      <w:pPr>
        <w:pStyle w:val="5"/>
        <w:spacing w:line="360" w:lineRule="auto"/>
        <w:rPr>
          <w:highlight w:val="none"/>
        </w:rPr>
      </w:pPr>
      <w:bookmarkStart w:id="171" w:name="_Toc163492838"/>
      <w:r>
        <w:rPr>
          <w:rFonts w:hint="eastAsia"/>
          <w:highlight w:val="none"/>
        </w:rPr>
        <w:t>13.投标文件的组成</w:t>
      </w:r>
      <w:bookmarkEnd w:id="171"/>
    </w:p>
    <w:p w14:paraId="045A5216">
      <w:pPr>
        <w:pStyle w:val="55"/>
        <w:spacing w:line="360" w:lineRule="auto"/>
        <w:ind w:firstLine="480" w:firstLineChars="200"/>
        <w:rPr>
          <w:rFonts w:ascii="宋体" w:hAnsi="宋体" w:eastAsia="宋体" w:cs="宋体"/>
          <w:kern w:val="2"/>
          <w:sz w:val="24"/>
          <w:szCs w:val="22"/>
          <w:highlight w:val="none"/>
        </w:rPr>
      </w:pPr>
      <w:bookmarkStart w:id="172" w:name="_Toc163492839"/>
      <w:bookmarkStart w:id="173" w:name="_Toc140132772"/>
      <w:r>
        <w:rPr>
          <w:rFonts w:hint="eastAsia" w:ascii="宋体" w:hAnsi="宋体" w:eastAsia="宋体" w:cs="宋体"/>
          <w:kern w:val="2"/>
          <w:sz w:val="24"/>
          <w:szCs w:val="22"/>
          <w:highlight w:val="none"/>
        </w:rPr>
        <w:t>13.1投标人应完整地按招标文件提供的投标文件格式及要求编写投标文件，具体内容详见“第七章 投标文件格式”的相关内容。</w:t>
      </w:r>
    </w:p>
    <w:p w14:paraId="180BD05D">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kern w:val="2"/>
          <w:sz w:val="24"/>
          <w:szCs w:val="22"/>
          <w:highlight w:val="none"/>
        </w:rPr>
        <w:t>等。</w:t>
      </w:r>
    </w:p>
    <w:bookmarkEnd w:id="174"/>
    <w:p w14:paraId="1845465F">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13.3为保证公平公正，除非本招标文件另有规定或说明，投标人对同一项目投标时，不得同时提供备选投标方案。</w:t>
      </w:r>
    </w:p>
    <w:p w14:paraId="34A96209">
      <w:pPr>
        <w:pStyle w:val="5"/>
        <w:spacing w:line="360" w:lineRule="auto"/>
        <w:rPr>
          <w:highlight w:val="none"/>
        </w:rPr>
      </w:pPr>
      <w:r>
        <w:rPr>
          <w:rFonts w:hint="eastAsia"/>
          <w:highlight w:val="none"/>
        </w:rPr>
        <w:t>14.投标报价</w:t>
      </w:r>
      <w:bookmarkEnd w:id="172"/>
      <w:bookmarkEnd w:id="173"/>
    </w:p>
    <w:p w14:paraId="6122BD99">
      <w:pPr>
        <w:pStyle w:val="38"/>
        <w:spacing w:line="360" w:lineRule="auto"/>
        <w:rPr>
          <w:snapToGrid w:val="0"/>
          <w:highlight w:val="none"/>
        </w:rPr>
      </w:pPr>
      <w:r>
        <w:rPr>
          <w:snapToGrid w:val="0"/>
          <w:highlight w:val="none"/>
        </w:rPr>
        <w:t>1</w:t>
      </w:r>
      <w:r>
        <w:rPr>
          <w:rFonts w:hint="eastAsia"/>
          <w:snapToGrid w:val="0"/>
          <w:highlight w:val="none"/>
        </w:rPr>
        <w:t>4.1 投标人的报价均应以人民币进行报价。</w:t>
      </w:r>
    </w:p>
    <w:p w14:paraId="0CD0779E">
      <w:pPr>
        <w:pStyle w:val="38"/>
        <w:spacing w:line="360" w:lineRule="auto"/>
        <w:rPr>
          <w:snapToGrid w:val="0"/>
          <w:highlight w:val="none"/>
        </w:rPr>
      </w:pPr>
      <w:r>
        <w:rPr>
          <w:snapToGrid w:val="0"/>
          <w:highlight w:val="none"/>
        </w:rPr>
        <w:t>1</w:t>
      </w:r>
      <w:r>
        <w:rPr>
          <w:rFonts w:hint="eastAsia"/>
          <w:snapToGrid w:val="0"/>
          <w:highlight w:val="none"/>
        </w:rPr>
        <w:t>4.2 投标人应按照本招标文件规定的报价方式进行报价，投标报价中不得包含招标文件要求以外的内容，也不得缺漏招标文件所要求的内容，否则其</w:t>
      </w:r>
      <w:r>
        <w:rPr>
          <w:rFonts w:hint="eastAsia"/>
          <w:b/>
          <w:bCs/>
          <w:snapToGrid w:val="0"/>
          <w:highlight w:val="none"/>
        </w:rPr>
        <w:t>投标无效</w:t>
      </w:r>
      <w:r>
        <w:rPr>
          <w:rFonts w:hint="eastAsia"/>
          <w:snapToGrid w:val="0"/>
          <w:highlight w:val="none"/>
        </w:rPr>
        <w:t>。</w:t>
      </w:r>
    </w:p>
    <w:p w14:paraId="3489A47E">
      <w:pPr>
        <w:pStyle w:val="38"/>
        <w:spacing w:line="360" w:lineRule="auto"/>
        <w:rPr>
          <w:highlight w:val="none"/>
        </w:rPr>
      </w:pPr>
      <w:r>
        <w:rPr>
          <w:rFonts w:hint="eastAsia"/>
          <w:highlight w:val="none"/>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1F78432D">
      <w:pPr>
        <w:pStyle w:val="10"/>
        <w:spacing w:line="360" w:lineRule="auto"/>
        <w:ind w:firstLine="480"/>
        <w:rPr>
          <w:highlight w:val="none"/>
        </w:rPr>
      </w:pPr>
      <w:r>
        <w:rPr>
          <w:rFonts w:hint="eastAsia"/>
          <w:highlight w:val="none"/>
        </w:rPr>
        <w:t xml:space="preserve">投标人的报价应包括但不限于下列内容： </w:t>
      </w:r>
    </w:p>
    <w:p w14:paraId="63B5E12C">
      <w:pPr>
        <w:pStyle w:val="10"/>
        <w:spacing w:line="360" w:lineRule="auto"/>
        <w:ind w:firstLine="480"/>
        <w:rPr>
          <w:highlight w:val="none"/>
        </w:rPr>
      </w:pPr>
      <w:r>
        <w:rPr>
          <w:rFonts w:hint="eastAsia" w:ascii="宋体" w:hAnsi="宋体"/>
          <w:snapToGrid w:val="0"/>
          <w:szCs w:val="24"/>
          <w:highlight w:val="none"/>
        </w:rPr>
        <w:t>14.2.1 投标货物及标准附件、备品备件、专用工具等的出厂价（包括已在中</w:t>
      </w:r>
      <w:r>
        <w:rPr>
          <w:rFonts w:hint="eastAsia"/>
          <w:highlight w:val="none"/>
        </w:rPr>
        <w:t xml:space="preserve">国国内的进口货物完税后的仓库交货价、展室交货价或货架交货价）和运至最终目的地的运输费和保险费，安装调试、检验、技术服务、培训、质量保证、售后服务、税费等； </w:t>
      </w:r>
    </w:p>
    <w:p w14:paraId="538C4E4B">
      <w:pPr>
        <w:pStyle w:val="10"/>
        <w:spacing w:line="360" w:lineRule="auto"/>
        <w:ind w:firstLine="480"/>
        <w:rPr>
          <w:snapToGrid w:val="0"/>
          <w:highlight w:val="none"/>
        </w:rPr>
      </w:pPr>
      <w:r>
        <w:rPr>
          <w:rFonts w:hint="eastAsia"/>
          <w:snapToGrid w:val="0"/>
          <w:highlight w:val="none"/>
        </w:rPr>
        <w:t>14.2.2 按照招标文件要求完成本项目的全部相关费用。</w:t>
      </w:r>
    </w:p>
    <w:p w14:paraId="48A47002">
      <w:pPr>
        <w:spacing w:line="360" w:lineRule="auto"/>
        <w:rPr>
          <w:snapToGrid w:val="0"/>
          <w:highlight w:val="none"/>
          <w:lang w:val="zh-CN"/>
        </w:rPr>
      </w:pPr>
      <w:r>
        <w:rPr>
          <w:snapToGrid w:val="0"/>
          <w:highlight w:val="none"/>
        </w:rPr>
        <w:t>1</w:t>
      </w:r>
      <w:r>
        <w:rPr>
          <w:rFonts w:hint="eastAsia"/>
          <w:snapToGrid w:val="0"/>
          <w:highlight w:val="none"/>
        </w:rPr>
        <w:t xml:space="preserve">4.3 </w:t>
      </w:r>
      <w:r>
        <w:rPr>
          <w:rFonts w:hint="eastAsia"/>
          <w:highlight w:val="none"/>
        </w:rPr>
        <w:t>投标人须严格按照分项报价表规定的内容填写货物单价以及其他事项。</w:t>
      </w:r>
      <w:r>
        <w:rPr>
          <w:rFonts w:hint="eastAsia"/>
          <w:snapToGrid w:val="0"/>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highlight w:val="none"/>
        </w:rPr>
        <w:t>缴</w:t>
      </w:r>
      <w:r>
        <w:rPr>
          <w:rFonts w:hint="eastAsia"/>
          <w:snapToGrid w:val="0"/>
          <w:highlight w:val="none"/>
          <w:lang w:val="zh-CN"/>
        </w:rPr>
        <w:t>纳的费用都应包括在投标人提交的投标报价中。</w:t>
      </w:r>
    </w:p>
    <w:p w14:paraId="6769D19E">
      <w:pPr>
        <w:spacing w:line="360" w:lineRule="auto"/>
        <w:rPr>
          <w:snapToGrid w:val="0"/>
          <w:highlight w:val="none"/>
        </w:rPr>
      </w:pPr>
      <w:r>
        <w:rPr>
          <w:snapToGrid w:val="0"/>
          <w:highlight w:val="none"/>
        </w:rPr>
        <w:t>1</w:t>
      </w:r>
      <w:r>
        <w:rPr>
          <w:rFonts w:hint="eastAsia"/>
          <w:snapToGrid w:val="0"/>
          <w:highlight w:val="none"/>
        </w:rPr>
        <w:t>4.4 投标人在投标文件中注明免费的项目将视为包含在投标报价中。</w:t>
      </w:r>
    </w:p>
    <w:p w14:paraId="619B92E2">
      <w:pPr>
        <w:pStyle w:val="10"/>
        <w:spacing w:line="360" w:lineRule="auto"/>
        <w:ind w:firstLine="480"/>
        <w:rPr>
          <w:highlight w:val="none"/>
        </w:rPr>
      </w:pPr>
      <w:r>
        <w:rPr>
          <w:snapToGrid w:val="0"/>
          <w:szCs w:val="24"/>
          <w:highlight w:val="none"/>
        </w:rPr>
        <w:t>1</w:t>
      </w:r>
      <w:r>
        <w:rPr>
          <w:rFonts w:hint="eastAsia"/>
          <w:snapToGrid w:val="0"/>
          <w:szCs w:val="24"/>
          <w:highlight w:val="none"/>
        </w:rPr>
        <w:t>4.5 每一种采购内容只允许有一个报价，否则其</w:t>
      </w:r>
      <w:r>
        <w:rPr>
          <w:rFonts w:hint="eastAsia"/>
          <w:b/>
          <w:bCs/>
          <w:snapToGrid w:val="0"/>
          <w:szCs w:val="24"/>
          <w:highlight w:val="none"/>
        </w:rPr>
        <w:t>投标无效</w:t>
      </w:r>
      <w:r>
        <w:rPr>
          <w:rFonts w:hint="eastAsia"/>
          <w:snapToGrid w:val="0"/>
          <w:szCs w:val="24"/>
          <w:highlight w:val="none"/>
        </w:rPr>
        <w:t>。</w:t>
      </w:r>
      <w:r>
        <w:rPr>
          <w:rFonts w:hint="eastAsia"/>
          <w:highlight w:val="none"/>
        </w:rPr>
        <w:t>除非招标文件另有规定，不接受可选择或可调整的投标方案和报价，任何有选择的或可调整的投标方案和报价将被视为非实质性响应招标文件，其</w:t>
      </w:r>
      <w:r>
        <w:rPr>
          <w:rFonts w:hint="eastAsia"/>
          <w:b/>
          <w:bCs/>
          <w:snapToGrid w:val="0"/>
          <w:szCs w:val="24"/>
          <w:highlight w:val="none"/>
        </w:rPr>
        <w:t>投标无效</w:t>
      </w:r>
      <w:r>
        <w:rPr>
          <w:rFonts w:hint="eastAsia"/>
          <w:highlight w:val="none"/>
        </w:rPr>
        <w:t>。</w:t>
      </w:r>
    </w:p>
    <w:p w14:paraId="285EC4F1">
      <w:pPr>
        <w:pStyle w:val="38"/>
        <w:spacing w:line="360" w:lineRule="auto"/>
        <w:rPr>
          <w:highlight w:val="none"/>
        </w:rPr>
      </w:pPr>
      <w:r>
        <w:rPr>
          <w:highlight w:val="none"/>
        </w:rPr>
        <w:t>1</w:t>
      </w:r>
      <w:r>
        <w:rPr>
          <w:rFonts w:hint="eastAsia"/>
          <w:highlight w:val="none"/>
        </w:rPr>
        <w:t>4</w:t>
      </w:r>
      <w:r>
        <w:rPr>
          <w:highlight w:val="none"/>
        </w:rPr>
        <w:t>.</w:t>
      </w:r>
      <w:r>
        <w:rPr>
          <w:rFonts w:hint="eastAsia"/>
          <w:highlight w:val="none"/>
        </w:rPr>
        <w:t>6 投标报价不得超过“第一章 招标公告”中规定的最高投标限价或者预算金额，否则</w:t>
      </w:r>
      <w:r>
        <w:rPr>
          <w:highlight w:val="none"/>
        </w:rPr>
        <w:t>评标委员会将</w:t>
      </w:r>
      <w:r>
        <w:rPr>
          <w:rFonts w:hint="eastAsia"/>
          <w:highlight w:val="none"/>
        </w:rPr>
        <w:t>对</w:t>
      </w:r>
      <w:r>
        <w:rPr>
          <w:highlight w:val="none"/>
        </w:rPr>
        <w:t>其</w:t>
      </w:r>
      <w:r>
        <w:rPr>
          <w:rFonts w:hint="eastAsia"/>
          <w:highlight w:val="none"/>
        </w:rPr>
        <w:t>作</w:t>
      </w:r>
      <w:r>
        <w:rPr>
          <w:rFonts w:hint="eastAsia"/>
          <w:b/>
          <w:bCs/>
          <w:highlight w:val="none"/>
        </w:rPr>
        <w:t>无效</w:t>
      </w:r>
      <w:r>
        <w:rPr>
          <w:b/>
          <w:bCs/>
          <w:highlight w:val="none"/>
        </w:rPr>
        <w:t>投标</w:t>
      </w:r>
      <w:r>
        <w:rPr>
          <w:rFonts w:hint="eastAsia"/>
          <w:b/>
          <w:bCs/>
          <w:highlight w:val="none"/>
        </w:rPr>
        <w:t>处理</w:t>
      </w:r>
      <w:r>
        <w:rPr>
          <w:highlight w:val="none"/>
        </w:rPr>
        <w:t>。</w:t>
      </w:r>
    </w:p>
    <w:p w14:paraId="56B6070C">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14.7 投标人对投标报价若有说明应在投标文件中显著处注明。</w:t>
      </w:r>
    </w:p>
    <w:p w14:paraId="20394BBA">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除政策性文件规定以外，投标人所报价格在合同实施期间不因市场变化因素而变动。</w:t>
      </w:r>
    </w:p>
    <w:p w14:paraId="511AD56B">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0D7A4237">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14.9 最低报价不能作为中标的保证。</w:t>
      </w:r>
    </w:p>
    <w:p w14:paraId="264AF161">
      <w:pPr>
        <w:pStyle w:val="38"/>
        <w:spacing w:line="360" w:lineRule="auto"/>
        <w:rPr>
          <w:highlight w:val="none"/>
        </w:rPr>
      </w:pPr>
      <w:r>
        <w:rPr>
          <w:rFonts w:hint="eastAsia"/>
          <w:highlight w:val="none"/>
        </w:rPr>
        <w:t>14.10</w:t>
      </w:r>
      <w:r>
        <w:rPr>
          <w:rFonts w:hint="eastAsia"/>
          <w:highlight w:val="none"/>
          <w:lang w:bidi="ar"/>
        </w:rPr>
        <w:t>采购人</w:t>
      </w:r>
      <w:r>
        <w:rPr>
          <w:rFonts w:hint="eastAsia"/>
          <w:highlight w:val="none"/>
        </w:rPr>
        <w:t>不得</w:t>
      </w:r>
      <w:r>
        <w:rPr>
          <w:rFonts w:hint="eastAsia"/>
          <w:highlight w:val="none"/>
          <w:lang w:bidi="ar"/>
        </w:rPr>
        <w:t>向投标人索要或者接受其给予的赠品、回扣或者与采购无关的其他商品、服务。</w:t>
      </w:r>
    </w:p>
    <w:p w14:paraId="241ACEF6">
      <w:pPr>
        <w:pStyle w:val="5"/>
        <w:spacing w:line="360" w:lineRule="auto"/>
        <w:rPr>
          <w:highlight w:val="none"/>
        </w:rPr>
      </w:pPr>
      <w:bookmarkStart w:id="175" w:name="_Toc140132773"/>
      <w:bookmarkStart w:id="176" w:name="_Toc163492840"/>
      <w:r>
        <w:rPr>
          <w:rFonts w:hint="eastAsia"/>
          <w:highlight w:val="none"/>
        </w:rPr>
        <w:t>15.投标有效期</w:t>
      </w:r>
      <w:bookmarkEnd w:id="175"/>
      <w:bookmarkEnd w:id="176"/>
    </w:p>
    <w:p w14:paraId="33827A1A">
      <w:pPr>
        <w:pStyle w:val="38"/>
        <w:spacing w:line="360" w:lineRule="auto"/>
        <w:rPr>
          <w:highlight w:val="none"/>
        </w:rPr>
      </w:pPr>
      <w:r>
        <w:rPr>
          <w:highlight w:val="none"/>
        </w:rPr>
        <w:t>1</w:t>
      </w:r>
      <w:r>
        <w:rPr>
          <w:rFonts w:hint="eastAsia"/>
          <w:highlight w:val="none"/>
        </w:rPr>
        <w:t xml:space="preserve">5.1 </w:t>
      </w:r>
      <w:r>
        <w:rPr>
          <w:rFonts w:ascii="Arial" w:hAnsi="Arial" w:cs="Arial"/>
          <w:kern w:val="0"/>
          <w:szCs w:val="21"/>
          <w:highlight w:val="none"/>
          <w:lang w:val="en"/>
        </w:rPr>
        <w:t>投标有</w:t>
      </w:r>
      <w:r>
        <w:rPr>
          <w:highlight w:val="none"/>
        </w:rPr>
        <w:t>效期</w:t>
      </w:r>
      <w:r>
        <w:rPr>
          <w:rFonts w:hint="eastAsia"/>
          <w:highlight w:val="none"/>
        </w:rPr>
        <w:t xml:space="preserve">见“第二章 </w:t>
      </w:r>
      <w:r>
        <w:rPr>
          <w:highlight w:val="none"/>
        </w:rPr>
        <w:t>投标人须知前附表</w:t>
      </w:r>
      <w:r>
        <w:rPr>
          <w:rFonts w:hint="eastAsia"/>
          <w:highlight w:val="none"/>
        </w:rPr>
        <w:t>”，投标人承诺的投标有效期少于招标文件规定期限的，其投标无效。</w:t>
      </w:r>
    </w:p>
    <w:p w14:paraId="2F92FCE8">
      <w:pPr>
        <w:pStyle w:val="38"/>
        <w:spacing w:line="360" w:lineRule="auto"/>
        <w:rPr>
          <w:highlight w:val="none"/>
        </w:rPr>
      </w:pPr>
      <w:r>
        <w:rPr>
          <w:rFonts w:hint="eastAsia"/>
          <w:highlight w:val="none"/>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34FD125E">
      <w:pPr>
        <w:pStyle w:val="38"/>
        <w:spacing w:line="360" w:lineRule="auto"/>
        <w:rPr>
          <w:highlight w:val="none"/>
        </w:rPr>
      </w:pPr>
      <w:r>
        <w:rPr>
          <w:highlight w:val="none"/>
        </w:rPr>
        <w:t>1</w:t>
      </w:r>
      <w:r>
        <w:rPr>
          <w:rFonts w:hint="eastAsia"/>
          <w:highlight w:val="none"/>
        </w:rPr>
        <w:t>5</w:t>
      </w:r>
      <w:r>
        <w:rPr>
          <w:highlight w:val="none"/>
        </w:rPr>
        <w:t>.</w:t>
      </w:r>
      <w:r>
        <w:rPr>
          <w:rFonts w:hint="eastAsia"/>
          <w:highlight w:val="none"/>
        </w:rPr>
        <w:t>3</w:t>
      </w:r>
      <w:r>
        <w:rPr>
          <w:highlight w:val="none"/>
        </w:rPr>
        <w:t>特殊情况下，在原</w:t>
      </w:r>
      <w:r>
        <w:rPr>
          <w:rFonts w:hint="eastAsia"/>
          <w:highlight w:val="none"/>
        </w:rPr>
        <w:t>投标文件</w:t>
      </w:r>
      <w:r>
        <w:rPr>
          <w:highlight w:val="none"/>
        </w:rPr>
        <w:t>有效期截止之前，采购代理机构或采购人可要求</w:t>
      </w:r>
      <w:r>
        <w:rPr>
          <w:rFonts w:hint="eastAsia"/>
          <w:highlight w:val="none"/>
        </w:rPr>
        <w:t>投标人</w:t>
      </w:r>
      <w:r>
        <w:rPr>
          <w:highlight w:val="none"/>
        </w:rPr>
        <w:t>延长</w:t>
      </w:r>
      <w:r>
        <w:rPr>
          <w:rFonts w:hint="eastAsia"/>
          <w:highlight w:val="none"/>
        </w:rPr>
        <w:t>投标</w:t>
      </w:r>
      <w:r>
        <w:rPr>
          <w:highlight w:val="none"/>
        </w:rPr>
        <w:t>有效期。需要延长</w:t>
      </w:r>
      <w:r>
        <w:rPr>
          <w:rFonts w:hint="eastAsia"/>
          <w:highlight w:val="none"/>
        </w:rPr>
        <w:t>投标</w:t>
      </w:r>
      <w:r>
        <w:rPr>
          <w:highlight w:val="none"/>
        </w:rPr>
        <w:t>有效期时，采购代理机构或采购人将以书面形式通知所有</w:t>
      </w:r>
      <w:r>
        <w:rPr>
          <w:rFonts w:hint="eastAsia"/>
          <w:highlight w:val="none"/>
        </w:rPr>
        <w:t>投标人</w:t>
      </w:r>
      <w:r>
        <w:rPr>
          <w:highlight w:val="none"/>
        </w:rPr>
        <w:t>，</w:t>
      </w:r>
      <w:r>
        <w:rPr>
          <w:rFonts w:hint="eastAsia"/>
          <w:highlight w:val="none"/>
        </w:rPr>
        <w:t>投标人</w:t>
      </w:r>
      <w:r>
        <w:rPr>
          <w:highlight w:val="none"/>
        </w:rPr>
        <w:t>应以书面形式答复是否同意延长</w:t>
      </w:r>
      <w:r>
        <w:rPr>
          <w:rFonts w:hint="eastAsia"/>
          <w:highlight w:val="none"/>
        </w:rPr>
        <w:t>投标</w:t>
      </w:r>
      <w:r>
        <w:rPr>
          <w:highlight w:val="none"/>
        </w:rPr>
        <w:t>有效期。</w:t>
      </w:r>
    </w:p>
    <w:p w14:paraId="6BB681ED">
      <w:pPr>
        <w:pStyle w:val="38"/>
        <w:spacing w:line="360" w:lineRule="auto"/>
        <w:rPr>
          <w:highlight w:val="none"/>
        </w:rPr>
      </w:pPr>
      <w:r>
        <w:rPr>
          <w:highlight w:val="none"/>
        </w:rPr>
        <w:t>1</w:t>
      </w:r>
      <w:r>
        <w:rPr>
          <w:rFonts w:hint="eastAsia"/>
          <w:highlight w:val="none"/>
        </w:rPr>
        <w:t>5</w:t>
      </w:r>
      <w:r>
        <w:rPr>
          <w:highlight w:val="none"/>
        </w:rPr>
        <w:t>.</w:t>
      </w:r>
      <w:r>
        <w:rPr>
          <w:rFonts w:hint="eastAsia"/>
          <w:highlight w:val="none"/>
        </w:rPr>
        <w:t>4投标人</w:t>
      </w:r>
      <w:r>
        <w:rPr>
          <w:highlight w:val="none"/>
        </w:rPr>
        <w:t>同意延长的，</w:t>
      </w:r>
      <w:r>
        <w:rPr>
          <w:rFonts w:hint="eastAsia"/>
          <w:highlight w:val="none"/>
        </w:rPr>
        <w:t>其投标保证金的有效期也相应延长，但</w:t>
      </w:r>
      <w:r>
        <w:rPr>
          <w:highlight w:val="none"/>
        </w:rPr>
        <w:t>不得要求或被允许修改或撤销其</w:t>
      </w:r>
      <w:r>
        <w:rPr>
          <w:rFonts w:hint="eastAsia"/>
          <w:highlight w:val="none"/>
        </w:rPr>
        <w:t>投标文件</w:t>
      </w:r>
      <w:r>
        <w:rPr>
          <w:highlight w:val="none"/>
        </w:rPr>
        <w:t>；</w:t>
      </w:r>
      <w:r>
        <w:rPr>
          <w:rFonts w:hint="eastAsia"/>
          <w:highlight w:val="none"/>
        </w:rPr>
        <w:t>投标人</w:t>
      </w:r>
      <w:r>
        <w:rPr>
          <w:highlight w:val="none"/>
        </w:rPr>
        <w:t>拒绝延长的，其</w:t>
      </w:r>
      <w:r>
        <w:rPr>
          <w:rFonts w:hint="eastAsia"/>
          <w:highlight w:val="none"/>
        </w:rPr>
        <w:t>投标文件</w:t>
      </w:r>
      <w:r>
        <w:rPr>
          <w:highlight w:val="none"/>
        </w:rPr>
        <w:t>在原</w:t>
      </w:r>
      <w:r>
        <w:rPr>
          <w:rFonts w:hint="eastAsia"/>
          <w:highlight w:val="none"/>
        </w:rPr>
        <w:t>投标</w:t>
      </w:r>
      <w:r>
        <w:rPr>
          <w:highlight w:val="none"/>
        </w:rPr>
        <w:t>有效期满后将不再有效</w:t>
      </w:r>
      <w:r>
        <w:rPr>
          <w:rFonts w:hint="eastAsia"/>
          <w:highlight w:val="none"/>
        </w:rPr>
        <w:t>，但其提交的投标保证金可予以退还</w:t>
      </w:r>
      <w:r>
        <w:rPr>
          <w:highlight w:val="none"/>
        </w:rPr>
        <w:t>。</w:t>
      </w:r>
    </w:p>
    <w:p w14:paraId="53A362DF">
      <w:pPr>
        <w:pStyle w:val="5"/>
        <w:spacing w:line="360" w:lineRule="auto"/>
        <w:rPr>
          <w:highlight w:val="none"/>
        </w:rPr>
      </w:pPr>
      <w:bookmarkStart w:id="177" w:name="_Toc140132774"/>
      <w:bookmarkStart w:id="178" w:name="_Toc163492841"/>
      <w:r>
        <w:rPr>
          <w:rFonts w:hint="eastAsia"/>
          <w:highlight w:val="none"/>
        </w:rPr>
        <w:t>16.投标文件的编制</w:t>
      </w:r>
      <w:bookmarkEnd w:id="177"/>
      <w:bookmarkEnd w:id="178"/>
    </w:p>
    <w:p w14:paraId="3E14F5EE">
      <w:pPr>
        <w:pStyle w:val="38"/>
        <w:spacing w:line="360" w:lineRule="auto"/>
        <w:rPr>
          <w:highlight w:val="none"/>
        </w:rPr>
      </w:pPr>
      <w:r>
        <w:rPr>
          <w:highlight w:val="none"/>
        </w:rPr>
        <w:t>1</w:t>
      </w:r>
      <w:r>
        <w:rPr>
          <w:rFonts w:hint="eastAsia"/>
          <w:highlight w:val="none"/>
        </w:rPr>
        <w:t>6.1投标文件应在</w:t>
      </w:r>
      <w:r>
        <w:rPr>
          <w:rFonts w:hint="eastAsia" w:cs="宋体"/>
          <w:highlight w:val="none"/>
        </w:rPr>
        <w:t>“</w:t>
      </w:r>
      <w:r>
        <w:rPr>
          <w:rFonts w:hint="eastAsia"/>
          <w:highlight w:val="none"/>
        </w:rPr>
        <w:t>投标客户端”中进行编制，在投标文件中要求加盖印章的，除有特殊说明之外，可使用电子签章签署。</w:t>
      </w:r>
    </w:p>
    <w:p w14:paraId="452B7B09">
      <w:pPr>
        <w:pStyle w:val="38"/>
        <w:spacing w:line="360" w:lineRule="auto"/>
        <w:rPr>
          <w:highlight w:val="none"/>
        </w:rPr>
      </w:pPr>
      <w:r>
        <w:rPr>
          <w:highlight w:val="none"/>
        </w:rPr>
        <w:t>1</w:t>
      </w:r>
      <w:r>
        <w:rPr>
          <w:rFonts w:hint="eastAsia"/>
          <w:highlight w:val="none"/>
          <w:lang w:val="en-US"/>
        </w:rPr>
        <w:t>6</w:t>
      </w:r>
      <w:r>
        <w:rPr>
          <w:rFonts w:hint="eastAsia"/>
          <w:highlight w:val="none"/>
        </w:rPr>
        <w:t>.</w:t>
      </w:r>
      <w:bookmarkStart w:id="179" w:name="_Hlk143528557"/>
      <w:r>
        <w:rPr>
          <w:highlight w:val="none"/>
        </w:rPr>
        <w:t>2</w:t>
      </w:r>
      <w:r>
        <w:rPr>
          <w:rFonts w:hint="eastAsia"/>
          <w:highlight w:val="none"/>
        </w:rPr>
        <w:t>投标人在</w:t>
      </w:r>
      <w:r>
        <w:rPr>
          <w:rFonts w:hint="eastAsia" w:cs="宋体"/>
          <w:szCs w:val="24"/>
          <w:highlight w:val="none"/>
        </w:rPr>
        <w:t>“</w:t>
      </w:r>
      <w:r>
        <w:rPr>
          <w:rFonts w:hint="eastAsia" w:cs="仿宋_GB2312"/>
          <w:szCs w:val="24"/>
          <w:highlight w:val="none"/>
          <w:lang w:val="en-US"/>
        </w:rPr>
        <w:t>投标</w:t>
      </w:r>
      <w:r>
        <w:rPr>
          <w:rFonts w:hint="eastAsia" w:cs="仿宋_GB2312"/>
          <w:szCs w:val="24"/>
          <w:highlight w:val="none"/>
        </w:rPr>
        <w:t>客户端”</w:t>
      </w:r>
      <w:r>
        <w:rPr>
          <w:rFonts w:hint="eastAsia"/>
          <w:highlight w:val="none"/>
        </w:rPr>
        <w:t>中按照</w:t>
      </w:r>
      <w:r>
        <w:rPr>
          <w:rFonts w:hint="eastAsia" w:cs="宋体"/>
          <w:szCs w:val="24"/>
          <w:highlight w:val="none"/>
        </w:rPr>
        <w:t>“</w:t>
      </w:r>
      <w:r>
        <w:rPr>
          <w:rFonts w:hint="eastAsia" w:cs="仿宋_GB2312"/>
          <w:szCs w:val="24"/>
          <w:highlight w:val="none"/>
          <w:lang w:val="en-US"/>
        </w:rPr>
        <w:t>投标</w:t>
      </w:r>
      <w:r>
        <w:rPr>
          <w:rFonts w:hint="eastAsia" w:cs="仿宋_GB2312"/>
          <w:szCs w:val="24"/>
          <w:highlight w:val="none"/>
        </w:rPr>
        <w:t>客户端”</w:t>
      </w:r>
      <w:r>
        <w:rPr>
          <w:rFonts w:hint="eastAsia"/>
          <w:highlight w:val="none"/>
        </w:rPr>
        <w:t>中的格式要求填写响应内容后，生成投标文件。投标人须按照招标文件的要求使用电子签章对要求加盖印章的部分逐一进行签章。</w:t>
      </w:r>
      <w:bookmarkEnd w:id="179"/>
    </w:p>
    <w:p w14:paraId="301BDE5D">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3</w:t>
      </w:r>
      <w:r>
        <w:rPr>
          <w:rFonts w:hint="eastAsia"/>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highlight w:val="none"/>
        </w:rPr>
        <w:t>导致</w:t>
      </w:r>
      <w:r>
        <w:rPr>
          <w:rFonts w:hint="eastAsia"/>
          <w:b/>
          <w:bCs/>
          <w:highlight w:val="none"/>
          <w:lang w:val="en-US"/>
        </w:rPr>
        <w:t>其</w:t>
      </w:r>
      <w:r>
        <w:rPr>
          <w:rFonts w:hint="eastAsia"/>
          <w:b/>
          <w:bCs/>
          <w:highlight w:val="none"/>
        </w:rPr>
        <w:t>投标</w:t>
      </w:r>
      <w:r>
        <w:rPr>
          <w:rFonts w:hint="eastAsia"/>
          <w:b/>
          <w:bCs/>
          <w:highlight w:val="none"/>
          <w:lang w:val="en-US"/>
        </w:rPr>
        <w:t>无效</w:t>
      </w:r>
      <w:r>
        <w:rPr>
          <w:rFonts w:hint="eastAsia"/>
          <w:highlight w:val="none"/>
        </w:rPr>
        <w:t>。</w:t>
      </w:r>
    </w:p>
    <w:p w14:paraId="382E6450">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4</w:t>
      </w:r>
      <w:r>
        <w:rPr>
          <w:rFonts w:hint="eastAsia"/>
          <w:highlight w:val="none"/>
        </w:rPr>
        <w:t>投标文件须严格按照</w:t>
      </w:r>
      <w:r>
        <w:rPr>
          <w:rFonts w:hint="eastAsia"/>
          <w:highlight w:val="none"/>
          <w:lang w:val="en-US"/>
        </w:rPr>
        <w:t>本</w:t>
      </w:r>
      <w:r>
        <w:rPr>
          <w:rFonts w:hint="eastAsia"/>
          <w:highlight w:val="none"/>
        </w:rPr>
        <w:t>招标文件第</w:t>
      </w:r>
      <w:r>
        <w:rPr>
          <w:rFonts w:hint="eastAsia"/>
          <w:highlight w:val="none"/>
          <w:lang w:val="en-US"/>
        </w:rPr>
        <w:t>七章</w:t>
      </w:r>
      <w:r>
        <w:rPr>
          <w:rFonts w:hint="eastAsia"/>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66CB1253">
      <w:pPr>
        <w:pStyle w:val="38"/>
        <w:spacing w:line="360" w:lineRule="auto"/>
        <w:rPr>
          <w:highlight w:val="none"/>
        </w:rPr>
      </w:pPr>
      <w:r>
        <w:rPr>
          <w:rFonts w:hint="eastAsia"/>
          <w:highlight w:val="none"/>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highlight w:val="none"/>
        </w:rPr>
        <w:t>视为未响应</w:t>
      </w:r>
      <w:r>
        <w:rPr>
          <w:rFonts w:hint="eastAsia"/>
          <w:highlight w:val="none"/>
        </w:rPr>
        <w:t>。</w:t>
      </w:r>
    </w:p>
    <w:p w14:paraId="178ADC03">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6</w:t>
      </w:r>
      <w:r>
        <w:rPr>
          <w:rFonts w:hint="eastAsia"/>
          <w:highlight w:val="none"/>
        </w:rPr>
        <w:t>开标一览表为在开标</w:t>
      </w:r>
      <w:r>
        <w:rPr>
          <w:rFonts w:hint="eastAsia"/>
          <w:highlight w:val="none"/>
          <w:lang w:val="en-US"/>
        </w:rPr>
        <w:t>时</w:t>
      </w:r>
      <w:r>
        <w:rPr>
          <w:rFonts w:hint="eastAsia"/>
          <w:highlight w:val="none"/>
        </w:rPr>
        <w:t>唱标的内容，要求按格式统一填写，不得自行增减内容。</w:t>
      </w:r>
    </w:p>
    <w:p w14:paraId="45271B1B">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7</w:t>
      </w:r>
      <w:r>
        <w:rPr>
          <w:rFonts w:hint="eastAsia"/>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highlight w:val="none"/>
          <w:lang w:val="en-US"/>
        </w:rPr>
        <w:t>按</w:t>
      </w:r>
      <w:r>
        <w:rPr>
          <w:rFonts w:hint="eastAsia"/>
          <w:b/>
          <w:bCs/>
          <w:highlight w:val="none"/>
          <w:lang w:val="en-US"/>
        </w:rPr>
        <w:t>无效投标</w:t>
      </w:r>
      <w:r>
        <w:rPr>
          <w:rFonts w:hint="eastAsia"/>
          <w:highlight w:val="none"/>
        </w:rPr>
        <w:t>处理。</w:t>
      </w:r>
    </w:p>
    <w:p w14:paraId="0847C79C">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8</w:t>
      </w:r>
      <w:r>
        <w:rPr>
          <w:rFonts w:hint="eastAsia"/>
          <w:highlight w:val="none"/>
        </w:rPr>
        <w:t>投标人必须保证投标文件所提供的全部资料真实可靠，并接受采购</w:t>
      </w:r>
      <w:r>
        <w:rPr>
          <w:rFonts w:hint="eastAsia"/>
          <w:highlight w:val="none"/>
          <w:lang w:val="en-US"/>
        </w:rPr>
        <w:t>人、采购</w:t>
      </w:r>
      <w:r>
        <w:rPr>
          <w:rFonts w:hint="eastAsia"/>
          <w:highlight w:val="none"/>
        </w:rPr>
        <w:t>代理机构或评标委员会对其中任何资料进一步审查的要求。</w:t>
      </w:r>
    </w:p>
    <w:p w14:paraId="44C15542">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9</w:t>
      </w:r>
      <w:r>
        <w:rPr>
          <w:rFonts w:hint="eastAsia"/>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highlight w:val="none"/>
        </w:rPr>
        <w:t>无效投标</w:t>
      </w:r>
      <w:r>
        <w:rPr>
          <w:rFonts w:hint="eastAsia"/>
          <w:highlight w:val="none"/>
        </w:rPr>
        <w:t>处理。</w:t>
      </w:r>
    </w:p>
    <w:p w14:paraId="47F0978C">
      <w:pPr>
        <w:pStyle w:val="38"/>
        <w:spacing w:line="360" w:lineRule="auto"/>
        <w:rPr>
          <w:iCs w:val="0"/>
          <w:highlight w:val="none"/>
        </w:rPr>
      </w:pPr>
      <w:r>
        <w:rPr>
          <w:rFonts w:hint="eastAsia"/>
          <w:iCs w:val="0"/>
          <w:highlight w:val="none"/>
        </w:rPr>
        <w:t>16.10电子投标文件的编制</w:t>
      </w:r>
    </w:p>
    <w:p w14:paraId="73F2B624">
      <w:pPr>
        <w:pStyle w:val="38"/>
        <w:spacing w:line="360" w:lineRule="auto"/>
        <w:rPr>
          <w:iCs w:val="0"/>
          <w:highlight w:val="none"/>
        </w:rPr>
      </w:pPr>
      <w:r>
        <w:rPr>
          <w:rFonts w:hint="eastAsia"/>
          <w:iCs w:val="0"/>
          <w:highlight w:val="none"/>
        </w:rPr>
        <w:t>16.10.1</w:t>
      </w:r>
      <w:r>
        <w:rPr>
          <w:rFonts w:hint="eastAsia"/>
          <w:highlight w:val="none"/>
        </w:rPr>
        <w:t>电子</w:t>
      </w:r>
      <w:r>
        <w:rPr>
          <w:rFonts w:hint="eastAsia"/>
          <w:iCs w:val="0"/>
          <w:highlight w:val="none"/>
        </w:rPr>
        <w:t xml:space="preserve">投标文件需按招标文件要求进行制作编制。投标文件制作时，不同内容按标签提示制作导入，按照招标文件中明确的投标文件目录和格式进行编制，保证目录清晰、内容完整；           </w:t>
      </w:r>
    </w:p>
    <w:p w14:paraId="41426C94">
      <w:pPr>
        <w:pStyle w:val="38"/>
        <w:spacing w:line="360" w:lineRule="auto"/>
        <w:rPr>
          <w:iCs w:val="0"/>
          <w:highlight w:val="none"/>
        </w:rPr>
      </w:pPr>
      <w:r>
        <w:rPr>
          <w:rFonts w:hint="eastAsia"/>
          <w:iCs w:val="0"/>
          <w:highlight w:val="none"/>
        </w:rPr>
        <w:t>16.10.2</w:t>
      </w:r>
      <w:r>
        <w:rPr>
          <w:rFonts w:hint="eastAsia"/>
          <w:highlight w:val="none"/>
        </w:rPr>
        <w:t>电子</w:t>
      </w:r>
      <w:r>
        <w:rPr>
          <w:rFonts w:hint="eastAsia"/>
          <w:iCs w:val="0"/>
          <w:highlight w:val="none"/>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highlight w:val="none"/>
        </w:rPr>
        <w:t>其投标无效</w:t>
      </w:r>
      <w:r>
        <w:rPr>
          <w:rFonts w:hint="eastAsia"/>
          <w:iCs w:val="0"/>
          <w:highlight w:val="none"/>
        </w:rPr>
        <w:t xml:space="preserve">。 </w:t>
      </w:r>
    </w:p>
    <w:p w14:paraId="2C4C3A04">
      <w:pPr>
        <w:pStyle w:val="4"/>
        <w:spacing w:line="360" w:lineRule="auto"/>
        <w:rPr>
          <w:highlight w:val="none"/>
        </w:rPr>
      </w:pPr>
      <w:bookmarkStart w:id="180" w:name="_Toc163492842"/>
      <w:bookmarkStart w:id="181" w:name="_Toc155185873"/>
      <w:r>
        <w:rPr>
          <w:rFonts w:hint="eastAsia"/>
          <w:highlight w:val="none"/>
        </w:rPr>
        <w:t>（四）投标</w:t>
      </w:r>
      <w:bookmarkEnd w:id="180"/>
      <w:bookmarkEnd w:id="181"/>
    </w:p>
    <w:p w14:paraId="035A738A">
      <w:pPr>
        <w:pStyle w:val="5"/>
        <w:spacing w:line="360" w:lineRule="auto"/>
        <w:rPr>
          <w:highlight w:val="none"/>
        </w:rPr>
      </w:pPr>
      <w:bookmarkStart w:id="182" w:name="_Toc163492843"/>
      <w:r>
        <w:rPr>
          <w:rFonts w:hint="eastAsia"/>
          <w:highlight w:val="none"/>
        </w:rPr>
        <w:t>17.投标保证金</w:t>
      </w:r>
    </w:p>
    <w:p w14:paraId="400F1E92">
      <w:pPr>
        <w:pStyle w:val="38"/>
        <w:spacing w:line="360" w:lineRule="auto"/>
        <w:rPr>
          <w:iCs w:val="0"/>
          <w:highlight w:val="none"/>
        </w:rPr>
      </w:pPr>
      <w:r>
        <w:rPr>
          <w:rFonts w:hint="eastAsia"/>
          <w:iCs w:val="0"/>
          <w:highlight w:val="none"/>
        </w:rPr>
        <w:t>17.1投标人应按照招标文件“第二章 投标人须知前附表”规定的金额及要求提交投标保证金。投标人自愿超额缴纳投标保证金的，投标文件不作无效处理。</w:t>
      </w:r>
    </w:p>
    <w:p w14:paraId="1F148BAD">
      <w:pPr>
        <w:pStyle w:val="38"/>
        <w:spacing w:line="360" w:lineRule="auto"/>
        <w:rPr>
          <w:rFonts w:cs="宋体"/>
          <w:highlight w:val="none"/>
        </w:rPr>
      </w:pPr>
      <w:r>
        <w:rPr>
          <w:rFonts w:hint="eastAsia"/>
          <w:highlight w:val="none"/>
        </w:rPr>
        <w:t>17.2提交投标保证金可采用的形式：政府采购法律法规接受的支票、汇票、本票、网上银行支付或者金融机构、担保机构出具的保函等非现金形式。</w:t>
      </w:r>
      <w:r>
        <w:rPr>
          <w:rFonts w:hint="eastAsia" w:cs="宋体"/>
          <w:highlight w:val="none"/>
        </w:rPr>
        <w:t>投标人未按照招标文件要求提交投标保证金的，其</w:t>
      </w:r>
      <w:r>
        <w:rPr>
          <w:rFonts w:hint="eastAsia" w:cs="宋体"/>
          <w:b/>
          <w:bCs/>
          <w:highlight w:val="none"/>
        </w:rPr>
        <w:t>投标无效</w:t>
      </w:r>
      <w:r>
        <w:rPr>
          <w:rFonts w:hint="eastAsia" w:cs="宋体"/>
          <w:highlight w:val="none"/>
        </w:rPr>
        <w:t>。</w:t>
      </w:r>
      <w:r>
        <w:rPr>
          <w:rFonts w:hint="eastAsia"/>
          <w:highlight w:val="none"/>
        </w:rPr>
        <w:t>投标保证金有效期同投标有效期。</w:t>
      </w:r>
    </w:p>
    <w:p w14:paraId="723F2E02">
      <w:pPr>
        <w:pStyle w:val="38"/>
        <w:spacing w:line="360" w:lineRule="auto"/>
        <w:rPr>
          <w:highlight w:val="none"/>
        </w:rPr>
      </w:pPr>
      <w:r>
        <w:rPr>
          <w:rFonts w:hint="eastAsia"/>
          <w:highlight w:val="none"/>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highlight w:val="none"/>
        </w:rPr>
        <w:t>投标无效</w:t>
      </w:r>
      <w:r>
        <w:rPr>
          <w:rFonts w:hint="eastAsia"/>
          <w:highlight w:val="none"/>
        </w:rPr>
        <w:t>。</w:t>
      </w:r>
    </w:p>
    <w:p w14:paraId="7CD4EB79">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4</w:t>
      </w:r>
      <w:r>
        <w:rPr>
          <w:iCs w:val="0"/>
          <w:highlight w:val="none"/>
        </w:rPr>
        <w:t xml:space="preserve"> </w:t>
      </w:r>
      <w:r>
        <w:rPr>
          <w:highlight w:val="none"/>
        </w:rPr>
        <w:t>投标人</w:t>
      </w:r>
      <w:r>
        <w:rPr>
          <w:iCs w:val="0"/>
          <w:highlight w:val="none"/>
        </w:rPr>
        <w:t>为联合体的，可以由联合体中的一方或者多方共同</w:t>
      </w:r>
      <w:r>
        <w:rPr>
          <w:rFonts w:hint="eastAsia"/>
          <w:iCs w:val="0"/>
          <w:highlight w:val="none"/>
        </w:rPr>
        <w:t>提交</w:t>
      </w:r>
      <w:r>
        <w:rPr>
          <w:iCs w:val="0"/>
          <w:highlight w:val="none"/>
        </w:rPr>
        <w:t>投标保证金，其</w:t>
      </w:r>
      <w:r>
        <w:rPr>
          <w:rFonts w:hint="eastAsia"/>
          <w:iCs w:val="0"/>
          <w:highlight w:val="none"/>
        </w:rPr>
        <w:t>提交</w:t>
      </w:r>
      <w:r>
        <w:rPr>
          <w:iCs w:val="0"/>
          <w:highlight w:val="none"/>
        </w:rPr>
        <w:t>的投标保证金对联合体各方均具有约束力。</w:t>
      </w:r>
    </w:p>
    <w:p w14:paraId="0F5A7EC4">
      <w:pPr>
        <w:pStyle w:val="38"/>
        <w:spacing w:line="360" w:lineRule="auto"/>
        <w:rPr>
          <w:iCs w:val="0"/>
          <w:highlight w:val="none"/>
        </w:rPr>
      </w:pPr>
      <w:r>
        <w:rPr>
          <w:rFonts w:hint="eastAsia"/>
          <w:iCs w:val="0"/>
          <w:highlight w:val="none"/>
        </w:rPr>
        <w:t xml:space="preserve">    17.5</w:t>
      </w:r>
      <w:r>
        <w:rPr>
          <w:iCs w:val="0"/>
          <w:highlight w:val="none"/>
        </w:rPr>
        <w:t>采购人或者采购代理机构应当在采购活动结束后及时退还</w:t>
      </w:r>
      <w:r>
        <w:rPr>
          <w:rFonts w:hint="eastAsia"/>
          <w:iCs w:val="0"/>
          <w:highlight w:val="none"/>
        </w:rPr>
        <w:t>投标人</w:t>
      </w:r>
      <w:r>
        <w:rPr>
          <w:iCs w:val="0"/>
          <w:highlight w:val="none"/>
        </w:rPr>
        <w:t>的</w:t>
      </w:r>
      <w:r>
        <w:rPr>
          <w:rFonts w:hint="eastAsia"/>
          <w:iCs w:val="0"/>
          <w:highlight w:val="none"/>
        </w:rPr>
        <w:t>投标</w:t>
      </w:r>
      <w:r>
        <w:rPr>
          <w:iCs w:val="0"/>
          <w:highlight w:val="none"/>
        </w:rPr>
        <w:t>保证金，采用银行保函、担保机构担保函等形式递交的</w:t>
      </w:r>
      <w:r>
        <w:rPr>
          <w:rFonts w:hint="eastAsia"/>
          <w:iCs w:val="0"/>
          <w:highlight w:val="none"/>
        </w:rPr>
        <w:t>投标</w:t>
      </w:r>
      <w:r>
        <w:rPr>
          <w:iCs w:val="0"/>
          <w:highlight w:val="none"/>
        </w:rPr>
        <w:t>保证金，经</w:t>
      </w:r>
      <w:r>
        <w:rPr>
          <w:rFonts w:hint="eastAsia"/>
          <w:iCs w:val="0"/>
          <w:highlight w:val="none"/>
        </w:rPr>
        <w:t>投标人</w:t>
      </w:r>
      <w:r>
        <w:rPr>
          <w:iCs w:val="0"/>
          <w:highlight w:val="none"/>
        </w:rPr>
        <w:t>同意后采购人、采购代理机构可以不再退还，但因</w:t>
      </w:r>
      <w:r>
        <w:rPr>
          <w:rFonts w:hint="eastAsia"/>
          <w:iCs w:val="0"/>
          <w:highlight w:val="none"/>
        </w:rPr>
        <w:t>投标人</w:t>
      </w:r>
      <w:r>
        <w:rPr>
          <w:iCs w:val="0"/>
          <w:highlight w:val="none"/>
        </w:rPr>
        <w:t>自身原因导致无法及时退还的除外。未</w:t>
      </w:r>
      <w:r>
        <w:rPr>
          <w:rFonts w:hint="eastAsia"/>
          <w:iCs w:val="0"/>
          <w:highlight w:val="none"/>
        </w:rPr>
        <w:t>中标投标人</w:t>
      </w:r>
      <w:r>
        <w:rPr>
          <w:iCs w:val="0"/>
          <w:highlight w:val="none"/>
        </w:rPr>
        <w:t>的</w:t>
      </w:r>
      <w:r>
        <w:rPr>
          <w:rFonts w:hint="eastAsia"/>
          <w:iCs w:val="0"/>
          <w:highlight w:val="none"/>
        </w:rPr>
        <w:t>投标</w:t>
      </w:r>
      <w:r>
        <w:rPr>
          <w:iCs w:val="0"/>
          <w:highlight w:val="none"/>
        </w:rPr>
        <w:t>保证金应当自中标通知书发出之日起 5 个工作日内退还，</w:t>
      </w:r>
      <w:r>
        <w:rPr>
          <w:rFonts w:hint="eastAsia"/>
          <w:iCs w:val="0"/>
          <w:highlight w:val="none"/>
        </w:rPr>
        <w:t>中标投标人</w:t>
      </w:r>
      <w:r>
        <w:rPr>
          <w:iCs w:val="0"/>
          <w:highlight w:val="none"/>
        </w:rPr>
        <w:t>的</w:t>
      </w:r>
      <w:r>
        <w:rPr>
          <w:rFonts w:hint="eastAsia"/>
          <w:iCs w:val="0"/>
          <w:highlight w:val="none"/>
        </w:rPr>
        <w:t>投标</w:t>
      </w:r>
      <w:r>
        <w:rPr>
          <w:iCs w:val="0"/>
          <w:highlight w:val="none"/>
        </w:rPr>
        <w:t xml:space="preserve">保证金应当自采购合同签订之日起 5 个工作日内退还。 </w:t>
      </w:r>
    </w:p>
    <w:p w14:paraId="1DBDD7C8">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6</w:t>
      </w:r>
      <w:r>
        <w:rPr>
          <w:iCs w:val="0"/>
          <w:highlight w:val="none"/>
        </w:rPr>
        <w:t xml:space="preserve"> 投标人在投标截止时间前撤回已</w:t>
      </w:r>
      <w:r>
        <w:rPr>
          <w:rFonts w:hint="eastAsia"/>
          <w:iCs w:val="0"/>
          <w:highlight w:val="none"/>
        </w:rPr>
        <w:t>提</w:t>
      </w:r>
      <w:r>
        <w:rPr>
          <w:iCs w:val="0"/>
          <w:highlight w:val="none"/>
        </w:rPr>
        <w:t>交的投标文件的，自收到投标人书面撤回通知之日起 5 个工作日内，退还已收取的投标保证金，但因投标人自身原因导致无法及时退还的除外</w:t>
      </w:r>
      <w:r>
        <w:rPr>
          <w:rFonts w:hint="eastAsia"/>
          <w:iCs w:val="0"/>
          <w:highlight w:val="none"/>
        </w:rPr>
        <w:t>。</w:t>
      </w:r>
      <w:r>
        <w:rPr>
          <w:iCs w:val="0"/>
          <w:highlight w:val="none"/>
        </w:rPr>
        <w:t xml:space="preserve"> </w:t>
      </w:r>
    </w:p>
    <w:p w14:paraId="170BDE70">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7</w:t>
      </w:r>
      <w:r>
        <w:rPr>
          <w:iCs w:val="0"/>
          <w:highlight w:val="none"/>
        </w:rPr>
        <w:t xml:space="preserve"> 终止招标项目已经收取投标保证金的，自终止采购活动后 5 个工作日内退还已收取的投标保证金及其在银行产生的孳息。</w:t>
      </w:r>
    </w:p>
    <w:p w14:paraId="3D612CCE">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 有下列情形之一的，采购人或采购代理机构可以不予退还投标保证金</w:t>
      </w:r>
      <w:r>
        <w:rPr>
          <w:rFonts w:hint="eastAsia"/>
          <w:iCs w:val="0"/>
          <w:highlight w:val="none"/>
        </w:rPr>
        <w:t>，</w:t>
      </w:r>
      <w:r>
        <w:rPr>
          <w:rFonts w:hint="eastAsia" w:cs="宋体"/>
          <w:highlight w:val="none"/>
        </w:rPr>
        <w:t>情节严重的将其列入不良记录名单</w:t>
      </w:r>
      <w:r>
        <w:rPr>
          <w:iCs w:val="0"/>
          <w:highlight w:val="none"/>
        </w:rPr>
        <w:t xml:space="preserve">： </w:t>
      </w:r>
    </w:p>
    <w:p w14:paraId="5400A491">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.1 </w:t>
      </w:r>
      <w:r>
        <w:rPr>
          <w:rFonts w:hint="eastAsia"/>
          <w:highlight w:val="none"/>
        </w:rPr>
        <w:t>开标</w:t>
      </w:r>
      <w:r>
        <w:rPr>
          <w:rFonts w:hint="eastAsia" w:cs="宋体"/>
          <w:highlight w:val="none"/>
        </w:rPr>
        <w:t>后在投标有效期内，投标人撤销其投标的；</w:t>
      </w:r>
      <w:r>
        <w:rPr>
          <w:iCs w:val="0"/>
          <w:highlight w:val="none"/>
        </w:rPr>
        <w:t xml:space="preserve"> </w:t>
      </w:r>
    </w:p>
    <w:p w14:paraId="37B61E53">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.2 </w:t>
      </w:r>
      <w:r>
        <w:rPr>
          <w:rFonts w:hint="eastAsia" w:cs="宋体"/>
          <w:highlight w:val="none"/>
        </w:rPr>
        <w:t>中标后无正当理由不与采购人签订合同的；</w:t>
      </w:r>
    </w:p>
    <w:p w14:paraId="60B63336">
      <w:pPr>
        <w:pStyle w:val="38"/>
        <w:spacing w:line="360" w:lineRule="auto"/>
        <w:rPr>
          <w:rFonts w:cs="宋体"/>
          <w:highlight w:val="none"/>
        </w:rPr>
      </w:pPr>
      <w:r>
        <w:rPr>
          <w:rFonts w:hint="eastAsia"/>
          <w:iCs w:val="0"/>
          <w:highlight w:val="none"/>
        </w:rPr>
        <w:t xml:space="preserve">17.8.3 </w:t>
      </w:r>
      <w:r>
        <w:rPr>
          <w:rFonts w:hint="eastAsia" w:cs="宋体"/>
          <w:highlight w:val="none"/>
        </w:rPr>
        <w:t>中标人与采购人订立背离合同实质性内容的其他协议；</w:t>
      </w:r>
    </w:p>
    <w:p w14:paraId="48D78F62">
      <w:pPr>
        <w:pStyle w:val="38"/>
        <w:spacing w:line="360" w:lineRule="auto"/>
        <w:rPr>
          <w:rFonts w:cs="宋体"/>
          <w:highlight w:val="none"/>
        </w:rPr>
      </w:pPr>
      <w:r>
        <w:rPr>
          <w:rFonts w:hint="eastAsia"/>
          <w:iCs w:val="0"/>
          <w:highlight w:val="none"/>
        </w:rPr>
        <w:t>17.8.</w:t>
      </w:r>
      <w:r>
        <w:rPr>
          <w:rFonts w:hint="eastAsia" w:cs="宋体"/>
          <w:highlight w:val="none"/>
        </w:rPr>
        <w:t>4 将</w:t>
      </w:r>
      <w:r>
        <w:rPr>
          <w:rFonts w:hint="eastAsia"/>
          <w:highlight w:val="none"/>
        </w:rPr>
        <w:t>中标</w:t>
      </w:r>
      <w:r>
        <w:rPr>
          <w:rFonts w:hint="eastAsia" w:cs="宋体"/>
          <w:highlight w:val="none"/>
        </w:rPr>
        <w:t>项目转让给他人，或者在投标文件中未说明，且未经采购人同意，将中标项目分包给他人的；</w:t>
      </w:r>
    </w:p>
    <w:p w14:paraId="10A48A9B">
      <w:pPr>
        <w:pStyle w:val="38"/>
        <w:spacing w:line="360" w:lineRule="auto"/>
        <w:rPr>
          <w:rFonts w:cs="宋体"/>
          <w:highlight w:val="none"/>
        </w:rPr>
      </w:pPr>
      <w:r>
        <w:rPr>
          <w:rFonts w:hint="eastAsia"/>
          <w:iCs w:val="0"/>
          <w:highlight w:val="none"/>
        </w:rPr>
        <w:t>17.8.</w:t>
      </w:r>
      <w:r>
        <w:rPr>
          <w:rFonts w:hint="eastAsia" w:cs="宋体"/>
          <w:highlight w:val="none"/>
        </w:rPr>
        <w:t>5 存在串通投标行为的；</w:t>
      </w:r>
    </w:p>
    <w:p w14:paraId="13661448">
      <w:pPr>
        <w:pStyle w:val="38"/>
        <w:spacing w:line="360" w:lineRule="auto"/>
        <w:rPr>
          <w:rFonts w:cs="宋体"/>
          <w:highlight w:val="none"/>
        </w:rPr>
      </w:pPr>
      <w:r>
        <w:rPr>
          <w:rFonts w:hint="eastAsia"/>
          <w:iCs w:val="0"/>
          <w:highlight w:val="none"/>
        </w:rPr>
        <w:t>17.8.</w:t>
      </w:r>
      <w:r>
        <w:rPr>
          <w:rFonts w:hint="eastAsia" w:cs="宋体"/>
          <w:highlight w:val="none"/>
        </w:rPr>
        <w:t>6 存在</w:t>
      </w:r>
      <w:r>
        <w:rPr>
          <w:rFonts w:hint="eastAsia"/>
          <w:highlight w:val="none"/>
        </w:rPr>
        <w:t>弄虚作假</w:t>
      </w:r>
      <w:r>
        <w:rPr>
          <w:rFonts w:hint="eastAsia" w:cs="宋体"/>
          <w:highlight w:val="none"/>
        </w:rPr>
        <w:t>或提供虚假材料谋取中标的；</w:t>
      </w:r>
    </w:p>
    <w:p w14:paraId="4E24DBEE">
      <w:pPr>
        <w:pStyle w:val="38"/>
        <w:spacing w:line="360" w:lineRule="auto"/>
        <w:rPr>
          <w:rFonts w:cs="宋体"/>
          <w:highlight w:val="none"/>
        </w:rPr>
      </w:pPr>
      <w:r>
        <w:rPr>
          <w:rFonts w:hint="eastAsia"/>
          <w:iCs w:val="0"/>
          <w:highlight w:val="none"/>
        </w:rPr>
        <w:t>17.8.</w:t>
      </w:r>
      <w:r>
        <w:rPr>
          <w:rFonts w:hint="eastAsia" w:cs="宋体"/>
          <w:highlight w:val="none"/>
        </w:rPr>
        <w:t>7 投标人其他未按招标文件规定和合同约定履行义务的行为。</w:t>
      </w:r>
    </w:p>
    <w:p w14:paraId="77162821">
      <w:pPr>
        <w:pStyle w:val="38"/>
        <w:spacing w:line="360" w:lineRule="auto"/>
        <w:rPr>
          <w:iCs w:val="0"/>
          <w:highlight w:val="none"/>
        </w:rPr>
      </w:pPr>
      <w:r>
        <w:rPr>
          <w:rFonts w:hint="eastAsia"/>
          <w:iCs w:val="0"/>
          <w:highlight w:val="none"/>
        </w:rPr>
        <w:t>17.9如开标时投标人对本单位投标保证金缴纳情况有疑义，投标人应在开标结束前向采购人提交书面申请核实保证金缴纳情况。由银行或保险公司核实后出具书面材料予以答复。</w:t>
      </w:r>
    </w:p>
    <w:p w14:paraId="280E5EB2">
      <w:pPr>
        <w:pStyle w:val="38"/>
        <w:spacing w:line="360" w:lineRule="auto"/>
        <w:rPr>
          <w:iCs w:val="0"/>
          <w:highlight w:val="none"/>
        </w:rPr>
      </w:pPr>
      <w:r>
        <w:rPr>
          <w:rFonts w:hint="eastAsia"/>
          <w:iCs w:val="0"/>
          <w:highlight w:val="none"/>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4A538AEF">
      <w:pPr>
        <w:pStyle w:val="38"/>
        <w:spacing w:line="360" w:lineRule="auto"/>
        <w:rPr>
          <w:iCs w:val="0"/>
          <w:highlight w:val="none"/>
        </w:rPr>
      </w:pPr>
      <w:r>
        <w:rPr>
          <w:rFonts w:hint="eastAsia"/>
          <w:iCs w:val="0"/>
          <w:highlight w:val="none"/>
        </w:rPr>
        <w:t>直达链接（电子保函）：</w:t>
      </w:r>
    </w:p>
    <w:p w14:paraId="0205DC7A">
      <w:pPr>
        <w:pStyle w:val="38"/>
        <w:spacing w:line="360" w:lineRule="auto"/>
        <w:rPr>
          <w:iCs w:val="0"/>
          <w:highlight w:val="none"/>
        </w:rPr>
      </w:pPr>
      <w:r>
        <w:rPr>
          <w:rFonts w:hint="eastAsia"/>
          <w:iCs w:val="0"/>
          <w:highlight w:val="none"/>
        </w:rPr>
        <w:t>https://</w:t>
      </w:r>
      <w:r>
        <w:rPr>
          <w:rFonts w:hint="eastAsia"/>
          <w:highlight w:val="none"/>
        </w:rPr>
        <w:t>jinrong</w:t>
      </w:r>
      <w:r>
        <w:rPr>
          <w:rFonts w:hint="eastAsia"/>
          <w:iCs w:val="0"/>
          <w:highlight w:val="none"/>
        </w:rPr>
        <w:t>.zcygov.cn/luban/finance/xinjiang?utm=site.site-PC-4838.1473-pc-wsg-customFloatWindow-front.1.b9d627301e6311efb796b33a13fe0d0a</w:t>
      </w:r>
    </w:p>
    <w:p w14:paraId="35E7EC25">
      <w:pPr>
        <w:pStyle w:val="38"/>
        <w:spacing w:line="360" w:lineRule="auto"/>
        <w:rPr>
          <w:iCs w:val="0"/>
          <w:highlight w:val="none"/>
        </w:rPr>
      </w:pPr>
      <w:r>
        <w:rPr>
          <w:rFonts w:hint="eastAsia"/>
          <w:iCs w:val="0"/>
          <w:highlight w:val="none"/>
        </w:rPr>
        <w:t>金融服务</w:t>
      </w:r>
      <w:r>
        <w:rPr>
          <w:rFonts w:hint="eastAsia"/>
          <w:highlight w:val="none"/>
        </w:rPr>
        <w:t>支撑</w:t>
      </w:r>
      <w:r>
        <w:rPr>
          <w:rFonts w:hint="eastAsia"/>
          <w:iCs w:val="0"/>
          <w:highlight w:val="none"/>
        </w:rPr>
        <w:t>热线：</w:t>
      </w:r>
      <w:r>
        <w:rPr>
          <w:rFonts w:hint="eastAsia"/>
          <w:b/>
          <w:bCs/>
          <w:iCs w:val="0"/>
          <w:highlight w:val="none"/>
        </w:rPr>
        <w:t>95763</w:t>
      </w:r>
      <w:r>
        <w:rPr>
          <w:rFonts w:hint="eastAsia"/>
          <w:iCs w:val="0"/>
          <w:highlight w:val="none"/>
        </w:rPr>
        <w:t xml:space="preserve">     </w:t>
      </w:r>
    </w:p>
    <w:p w14:paraId="1D5B0749">
      <w:pPr>
        <w:pStyle w:val="5"/>
        <w:spacing w:line="360" w:lineRule="auto"/>
        <w:rPr>
          <w:highlight w:val="none"/>
        </w:rPr>
      </w:pPr>
      <w:r>
        <w:rPr>
          <w:rFonts w:hint="eastAsia"/>
          <w:highlight w:val="none"/>
        </w:rPr>
        <w:t>18.投标文件的加密</w:t>
      </w:r>
      <w:bookmarkEnd w:id="182"/>
    </w:p>
    <w:p w14:paraId="48333CB5">
      <w:pPr>
        <w:pStyle w:val="38"/>
        <w:spacing w:line="360" w:lineRule="auto"/>
        <w:rPr>
          <w:highlight w:val="none"/>
          <w:u w:val="single"/>
        </w:rPr>
      </w:pPr>
      <w:bookmarkStart w:id="183" w:name="_Hlk143531864"/>
      <w:r>
        <w:rPr>
          <w:highlight w:val="none"/>
        </w:rPr>
        <w:t>1</w:t>
      </w:r>
      <w:r>
        <w:rPr>
          <w:rFonts w:hint="eastAsia"/>
          <w:highlight w:val="none"/>
        </w:rPr>
        <w:t>8.1投标人在“投标客户端”中生成投标文件并完成签章之后，使用CA证书在</w:t>
      </w:r>
      <w:r>
        <w:rPr>
          <w:rFonts w:hint="eastAsia" w:cs="宋体"/>
          <w:highlight w:val="none"/>
        </w:rPr>
        <w:t>“</w:t>
      </w:r>
      <w:r>
        <w:rPr>
          <w:rFonts w:hint="eastAsia"/>
          <w:highlight w:val="none"/>
        </w:rPr>
        <w:t>投标客户端”中对投标文件进行加密。</w:t>
      </w:r>
    </w:p>
    <w:p w14:paraId="70ACC6A4">
      <w:pPr>
        <w:pStyle w:val="38"/>
        <w:spacing w:line="360" w:lineRule="auto"/>
        <w:rPr>
          <w:highlight w:val="none"/>
        </w:rPr>
      </w:pPr>
      <w:r>
        <w:rPr>
          <w:highlight w:val="none"/>
        </w:rPr>
        <w:t>1</w:t>
      </w:r>
      <w:r>
        <w:rPr>
          <w:rFonts w:hint="eastAsia"/>
          <w:highlight w:val="none"/>
        </w:rPr>
        <w:t>8.2投标人应在</w:t>
      </w:r>
      <w:r>
        <w:rPr>
          <w:rFonts w:hint="eastAsia" w:cs="宋体"/>
          <w:highlight w:val="none"/>
        </w:rPr>
        <w:t>“</w:t>
      </w:r>
      <w:r>
        <w:rPr>
          <w:rFonts w:hint="eastAsia"/>
          <w:highlight w:val="none"/>
        </w:rPr>
        <w:t>投标客户端”中对加密的投标文件进行解密验证，以防止投标文件加密异常，在开标时无法解密。</w:t>
      </w:r>
    </w:p>
    <w:p w14:paraId="2F4D6815">
      <w:pPr>
        <w:pStyle w:val="38"/>
        <w:spacing w:line="360" w:lineRule="auto"/>
        <w:rPr>
          <w:highlight w:val="none"/>
        </w:rPr>
      </w:pPr>
      <w:r>
        <w:rPr>
          <w:highlight w:val="none"/>
        </w:rPr>
        <w:t>1</w:t>
      </w:r>
      <w:r>
        <w:rPr>
          <w:rFonts w:hint="eastAsia"/>
          <w:highlight w:val="none"/>
        </w:rPr>
        <w:t>8.3 投标人应保证加密投标文件的CA证书有效期在开标时间之前。若CA证书有效期临近开标时间，建议投标人提前办理CA证书续期，以免开标时无法进行解密。</w:t>
      </w:r>
    </w:p>
    <w:p w14:paraId="479EB3B0">
      <w:pPr>
        <w:pStyle w:val="38"/>
        <w:spacing w:line="360" w:lineRule="auto"/>
        <w:rPr>
          <w:highlight w:val="none"/>
        </w:rPr>
      </w:pPr>
      <w:r>
        <w:rPr>
          <w:rFonts w:hint="eastAsia"/>
          <w:highlight w:val="none"/>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2E603A69">
      <w:pPr>
        <w:pStyle w:val="38"/>
        <w:spacing w:line="360" w:lineRule="auto"/>
        <w:rPr>
          <w:highlight w:val="none"/>
        </w:rPr>
      </w:pPr>
      <w:r>
        <w:rPr>
          <w:rFonts w:hint="eastAsia"/>
          <w:highlight w:val="none"/>
        </w:rPr>
        <w:t>18.5如果投标人未按上述要求加密并上传，采购代理机构对投标文件的误投、无法解密、传输错误等问题概不负责。对由此造成无法正常开启的投标文件，采购代理机构有权予以拒绝，并退回投标人。</w:t>
      </w:r>
    </w:p>
    <w:p w14:paraId="3CAD8EF5">
      <w:pPr>
        <w:pStyle w:val="38"/>
        <w:spacing w:line="360" w:lineRule="auto"/>
        <w:rPr>
          <w:highlight w:val="none"/>
        </w:rPr>
      </w:pPr>
      <w:r>
        <w:rPr>
          <w:rFonts w:hint="eastAsia"/>
          <w:highlight w:val="none"/>
        </w:rPr>
        <w:t>18.6本项目采用不见面开标，无需提供电子投标文件U盘。</w:t>
      </w:r>
    </w:p>
    <w:bookmarkEnd w:id="183"/>
    <w:p w14:paraId="69522B69">
      <w:pPr>
        <w:pStyle w:val="5"/>
        <w:spacing w:line="360" w:lineRule="auto"/>
        <w:rPr>
          <w:highlight w:val="none"/>
        </w:rPr>
      </w:pPr>
      <w:bookmarkStart w:id="184" w:name="_Toc140132777"/>
      <w:bookmarkStart w:id="185" w:name="_Toc163492844"/>
      <w:r>
        <w:rPr>
          <w:rFonts w:hint="eastAsia"/>
          <w:highlight w:val="none"/>
        </w:rPr>
        <w:t>19.投标文件的递交</w:t>
      </w:r>
      <w:bookmarkEnd w:id="184"/>
      <w:r>
        <w:rPr>
          <w:rFonts w:hint="eastAsia"/>
          <w:highlight w:val="none"/>
        </w:rPr>
        <w:t>（上传）</w:t>
      </w:r>
      <w:bookmarkEnd w:id="185"/>
    </w:p>
    <w:p w14:paraId="10585641">
      <w:pPr>
        <w:pStyle w:val="38"/>
        <w:spacing w:line="360" w:lineRule="auto"/>
        <w:rPr>
          <w:highlight w:val="none"/>
        </w:rPr>
      </w:pPr>
      <w:bookmarkStart w:id="186" w:name="_Hlk143531977"/>
      <w:r>
        <w:rPr>
          <w:rFonts w:hint="eastAsia"/>
          <w:highlight w:val="none"/>
        </w:rPr>
        <w:t>19.1 投标人应在“第一章 招标公告”规定的投标截止时间前递交（上传）投标文件。</w:t>
      </w:r>
    </w:p>
    <w:p w14:paraId="27F1BFCD">
      <w:pPr>
        <w:pStyle w:val="38"/>
        <w:spacing w:line="360" w:lineRule="auto"/>
        <w:rPr>
          <w:highlight w:val="none"/>
        </w:rPr>
      </w:pPr>
      <w:r>
        <w:rPr>
          <w:rFonts w:hint="eastAsia"/>
          <w:highlight w:val="none"/>
        </w:rPr>
        <w:t>19.2 投标人递交（上传）投标文件的地点见“第一章 招标公告”。</w:t>
      </w:r>
    </w:p>
    <w:p w14:paraId="0057DA31">
      <w:pPr>
        <w:pStyle w:val="38"/>
        <w:spacing w:line="360" w:lineRule="auto"/>
        <w:rPr>
          <w:highlight w:val="none"/>
        </w:rPr>
      </w:pPr>
      <w:r>
        <w:rPr>
          <w:rFonts w:hint="eastAsia"/>
          <w:highlight w:val="none"/>
        </w:rPr>
        <w:t>19.3投标人应充分评估集中同时投标带来的网络影响，尽量避开投标高峰时间，错峰进行电子投标。投标人递交全部的投标文件后可在政采云平台（项目采购—投标文件上传）中获取投标文件递交回执单。</w:t>
      </w:r>
    </w:p>
    <w:p w14:paraId="455A3E8D">
      <w:pPr>
        <w:spacing w:line="360" w:lineRule="auto"/>
        <w:rPr>
          <w:highlight w:val="none"/>
        </w:rPr>
      </w:pPr>
      <w:r>
        <w:rPr>
          <w:rFonts w:hint="eastAsia"/>
          <w:highlight w:val="none"/>
        </w:rPr>
        <w:t>19.4 投标人应在</w:t>
      </w:r>
      <w:r>
        <w:rPr>
          <w:rFonts w:hint="eastAsia" w:cs="宋体"/>
          <w:highlight w:val="none"/>
        </w:rPr>
        <w:t>“</w:t>
      </w:r>
      <w:r>
        <w:rPr>
          <w:rFonts w:hint="eastAsia"/>
          <w:highlight w:val="none"/>
        </w:rPr>
        <w:t>投标客户端”中下载未加密且完成签章的投标文件妥善保存，以便启动应急开标程序时使用。</w:t>
      </w:r>
    </w:p>
    <w:p w14:paraId="321E7C45">
      <w:pPr>
        <w:spacing w:line="360" w:lineRule="auto"/>
        <w:rPr>
          <w:highlight w:val="none"/>
        </w:rPr>
      </w:pPr>
      <w:r>
        <w:rPr>
          <w:rFonts w:hint="eastAsia"/>
          <w:highlight w:val="none"/>
        </w:rPr>
        <w:t>19.5投标人所递交的投标文件不予退还。</w:t>
      </w:r>
    </w:p>
    <w:bookmarkEnd w:id="186"/>
    <w:p w14:paraId="56922B25">
      <w:pPr>
        <w:pStyle w:val="5"/>
        <w:spacing w:line="360" w:lineRule="auto"/>
        <w:rPr>
          <w:highlight w:val="none"/>
        </w:rPr>
      </w:pPr>
      <w:bookmarkStart w:id="187" w:name="_Toc163492845"/>
      <w:r>
        <w:rPr>
          <w:rFonts w:hint="eastAsia"/>
          <w:highlight w:val="none"/>
        </w:rPr>
        <w:t>20.拒收</w:t>
      </w:r>
      <w:bookmarkEnd w:id="187"/>
    </w:p>
    <w:p w14:paraId="408E209B">
      <w:pPr>
        <w:pStyle w:val="38"/>
        <w:spacing w:line="360" w:lineRule="auto"/>
        <w:rPr>
          <w:highlight w:val="none"/>
        </w:rPr>
      </w:pPr>
      <w:r>
        <w:rPr>
          <w:rFonts w:hint="eastAsia"/>
          <w:highlight w:val="none"/>
        </w:rPr>
        <w:t>20.1 超过投标文件提交截止时间</w:t>
      </w:r>
      <w:bookmarkStart w:id="188" w:name="_Hlk143532404"/>
      <w:r>
        <w:rPr>
          <w:rFonts w:hint="eastAsia"/>
          <w:highlight w:val="none"/>
        </w:rPr>
        <w:t>或者不按照本章要求加密的投标文件，交易系统应当拒收</w:t>
      </w:r>
      <w:bookmarkEnd w:id="188"/>
      <w:r>
        <w:rPr>
          <w:rFonts w:hint="eastAsia"/>
          <w:highlight w:val="none"/>
        </w:rPr>
        <w:t>。</w:t>
      </w:r>
    </w:p>
    <w:p w14:paraId="27859EF2">
      <w:pPr>
        <w:pStyle w:val="5"/>
        <w:spacing w:line="360" w:lineRule="auto"/>
        <w:rPr>
          <w:highlight w:val="none"/>
        </w:rPr>
      </w:pPr>
      <w:bookmarkStart w:id="189" w:name="_Toc140132778"/>
      <w:bookmarkStart w:id="190" w:name="_Toc163492846"/>
      <w:r>
        <w:rPr>
          <w:rFonts w:hint="eastAsia"/>
          <w:highlight w:val="none"/>
        </w:rPr>
        <w:t>21.投标文件的修改与撤回</w:t>
      </w:r>
      <w:bookmarkEnd w:id="189"/>
      <w:bookmarkEnd w:id="190"/>
    </w:p>
    <w:p w14:paraId="4C2F6C13">
      <w:pPr>
        <w:pStyle w:val="38"/>
        <w:spacing w:line="360" w:lineRule="auto"/>
        <w:rPr>
          <w:highlight w:val="none"/>
        </w:rPr>
      </w:pPr>
      <w:r>
        <w:rPr>
          <w:rFonts w:hint="eastAsia"/>
          <w:highlight w:val="none"/>
        </w:rPr>
        <w:t>21.1</w:t>
      </w:r>
      <w:bookmarkStart w:id="191" w:name="_Hlk143532466"/>
      <w:r>
        <w:rPr>
          <w:rFonts w:hint="eastAsia"/>
          <w:highlight w:val="none"/>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5251FDA7">
      <w:pPr>
        <w:pStyle w:val="5"/>
        <w:spacing w:line="360" w:lineRule="auto"/>
        <w:rPr>
          <w:highlight w:val="none"/>
        </w:rPr>
      </w:pPr>
      <w:bookmarkStart w:id="192" w:name="_Toc155185874"/>
      <w:bookmarkStart w:id="193" w:name="_Toc163492847"/>
      <w:r>
        <w:rPr>
          <w:rFonts w:hint="eastAsia"/>
          <w:highlight w:val="none"/>
        </w:rPr>
        <w:t>22.实物样品</w:t>
      </w:r>
      <w:bookmarkEnd w:id="192"/>
      <w:bookmarkEnd w:id="193"/>
    </w:p>
    <w:p w14:paraId="2E7CC6F6">
      <w:pPr>
        <w:pStyle w:val="38"/>
        <w:spacing w:line="360" w:lineRule="auto"/>
        <w:rPr>
          <w:highlight w:val="none"/>
        </w:rPr>
      </w:pPr>
      <w:r>
        <w:rPr>
          <w:rFonts w:hint="eastAsia"/>
          <w:highlight w:val="none"/>
        </w:rPr>
        <w:t>2</w:t>
      </w:r>
      <w:r>
        <w:rPr>
          <w:rFonts w:hint="eastAsia"/>
          <w:highlight w:val="none"/>
          <w:lang w:val="en-US"/>
        </w:rPr>
        <w:t>2</w:t>
      </w:r>
      <w:r>
        <w:rPr>
          <w:rFonts w:hint="eastAsia"/>
          <w:highlight w:val="none"/>
        </w:rPr>
        <w:t>.1“投标人须知前附表”要求提供样品的，样品的具体要求及评审详见“第三章 采购需求”和“第五章 评标</w:t>
      </w:r>
      <w:r>
        <w:rPr>
          <w:rFonts w:hint="eastAsia"/>
          <w:highlight w:val="none"/>
          <w:lang w:val="en-US"/>
        </w:rPr>
        <w:t>方</w:t>
      </w:r>
      <w:r>
        <w:rPr>
          <w:rFonts w:hint="eastAsia"/>
          <w:highlight w:val="none"/>
        </w:rPr>
        <w:t>法及标准”。</w:t>
      </w:r>
    </w:p>
    <w:p w14:paraId="03E9964D">
      <w:pPr>
        <w:pStyle w:val="38"/>
        <w:spacing w:line="360" w:lineRule="auto"/>
        <w:rPr>
          <w:rFonts w:cs="仿宋_GB2312"/>
          <w:b/>
          <w:szCs w:val="24"/>
          <w:highlight w:val="none"/>
        </w:rPr>
      </w:pPr>
      <w:r>
        <w:rPr>
          <w:highlight w:val="none"/>
        </w:rPr>
        <w:t>2</w:t>
      </w:r>
      <w:r>
        <w:rPr>
          <w:rFonts w:hint="eastAsia"/>
          <w:highlight w:val="none"/>
          <w:lang w:val="en-US"/>
        </w:rPr>
        <w:t>2</w:t>
      </w:r>
      <w:r>
        <w:rPr>
          <w:rFonts w:hint="eastAsia"/>
          <w:highlight w:val="none"/>
        </w:rPr>
        <w:t>.2样品退还：未中标的投标人应</w:t>
      </w:r>
      <w:r>
        <w:rPr>
          <w:rFonts w:hint="eastAsia"/>
          <w:highlight w:val="none"/>
          <w:lang w:val="en-US"/>
        </w:rPr>
        <w:t>按照</w:t>
      </w:r>
      <w:r>
        <w:rPr>
          <w:rFonts w:hint="eastAsia"/>
          <w:highlight w:val="none"/>
        </w:rPr>
        <w:t>“投标人须知前附表”</w:t>
      </w:r>
      <w:r>
        <w:rPr>
          <w:rFonts w:hint="eastAsia"/>
          <w:highlight w:val="none"/>
          <w:lang w:val="en-US"/>
        </w:rPr>
        <w:t>要求</w:t>
      </w:r>
      <w:r>
        <w:rPr>
          <w:rFonts w:hint="eastAsia"/>
          <w:highlight w:val="none"/>
        </w:rPr>
        <w:t>自行联系采购人取回投标样品；中标人的样品由采购人进行保管、封存，并作为履约验收的参考（招标文件另有规定的从其规定）。</w:t>
      </w:r>
    </w:p>
    <w:p w14:paraId="3337ADAA">
      <w:pPr>
        <w:pStyle w:val="5"/>
        <w:spacing w:line="360" w:lineRule="auto"/>
        <w:rPr>
          <w:highlight w:val="none"/>
        </w:rPr>
      </w:pPr>
      <w:bookmarkStart w:id="194" w:name="_Toc163492848"/>
      <w:bookmarkStart w:id="195" w:name="_Toc155185875"/>
      <w:r>
        <w:rPr>
          <w:rFonts w:hint="eastAsia"/>
          <w:highlight w:val="none"/>
        </w:rPr>
        <w:t>23.演示</w:t>
      </w:r>
      <w:bookmarkEnd w:id="194"/>
      <w:bookmarkEnd w:id="195"/>
    </w:p>
    <w:p w14:paraId="7A0E143E">
      <w:pPr>
        <w:pStyle w:val="38"/>
        <w:spacing w:line="360" w:lineRule="auto"/>
        <w:rPr>
          <w:highlight w:val="none"/>
        </w:rPr>
      </w:pPr>
      <w:r>
        <w:rPr>
          <w:highlight w:val="none"/>
        </w:rPr>
        <w:t>2</w:t>
      </w:r>
      <w:r>
        <w:rPr>
          <w:rFonts w:hint="eastAsia"/>
          <w:highlight w:val="none"/>
          <w:lang w:val="en-US"/>
        </w:rPr>
        <w:t>3</w:t>
      </w:r>
      <w:r>
        <w:rPr>
          <w:rFonts w:hint="eastAsia"/>
          <w:highlight w:val="none"/>
        </w:rPr>
        <w:t>.1要求投标人进行演示的，演示要求详见“投标人须知前附表”。</w:t>
      </w:r>
    </w:p>
    <w:p w14:paraId="092B854A">
      <w:pPr>
        <w:pStyle w:val="38"/>
        <w:spacing w:line="360" w:lineRule="auto"/>
        <w:rPr>
          <w:highlight w:val="none"/>
        </w:rPr>
      </w:pPr>
      <w:r>
        <w:rPr>
          <w:highlight w:val="none"/>
        </w:rPr>
        <w:t>2</w:t>
      </w:r>
      <w:r>
        <w:rPr>
          <w:rFonts w:hint="eastAsia"/>
          <w:highlight w:val="none"/>
          <w:lang w:val="en-US"/>
        </w:rPr>
        <w:t>3</w:t>
      </w:r>
      <w:r>
        <w:rPr>
          <w:rFonts w:hint="eastAsia"/>
          <w:highlight w:val="none"/>
        </w:rPr>
        <w:t>.2演示的评审详见“第三章 采购需求”和“第五章 评标</w:t>
      </w:r>
      <w:r>
        <w:rPr>
          <w:rFonts w:hint="eastAsia"/>
          <w:highlight w:val="none"/>
          <w:lang w:val="en-US"/>
        </w:rPr>
        <w:t>方</w:t>
      </w:r>
      <w:r>
        <w:rPr>
          <w:rFonts w:hint="eastAsia"/>
          <w:highlight w:val="none"/>
        </w:rPr>
        <w:t>法及标准”。</w:t>
      </w:r>
    </w:p>
    <w:p w14:paraId="65A5179C">
      <w:pPr>
        <w:pStyle w:val="4"/>
        <w:spacing w:line="360" w:lineRule="auto"/>
        <w:rPr>
          <w:highlight w:val="none"/>
        </w:rPr>
      </w:pPr>
      <w:bookmarkStart w:id="196" w:name="_Toc140132779"/>
      <w:bookmarkStart w:id="197" w:name="_Toc155185876"/>
      <w:bookmarkStart w:id="198" w:name="_Toc163492849"/>
      <w:r>
        <w:rPr>
          <w:rFonts w:hint="eastAsia"/>
          <w:highlight w:val="none"/>
        </w:rPr>
        <w:t>（五）开标</w:t>
      </w:r>
      <w:bookmarkEnd w:id="196"/>
      <w:bookmarkEnd w:id="197"/>
      <w:bookmarkEnd w:id="198"/>
    </w:p>
    <w:p w14:paraId="0987B090">
      <w:pPr>
        <w:pStyle w:val="5"/>
        <w:spacing w:line="360" w:lineRule="auto"/>
        <w:rPr>
          <w:highlight w:val="none"/>
        </w:rPr>
      </w:pPr>
      <w:bookmarkStart w:id="199" w:name="_Toc140132780"/>
      <w:bookmarkStart w:id="200" w:name="_Toc163492850"/>
      <w:r>
        <w:rPr>
          <w:rFonts w:hint="eastAsia"/>
          <w:highlight w:val="none"/>
        </w:rPr>
        <w:t>24.开标会议</w:t>
      </w:r>
      <w:bookmarkEnd w:id="199"/>
      <w:bookmarkEnd w:id="200"/>
    </w:p>
    <w:p w14:paraId="358D4593">
      <w:pPr>
        <w:pStyle w:val="38"/>
        <w:spacing w:line="360" w:lineRule="auto"/>
        <w:rPr>
          <w:highlight w:val="none"/>
        </w:rPr>
      </w:pPr>
      <w:bookmarkStart w:id="201" w:name="_Toc140132781"/>
      <w:r>
        <w:rPr>
          <w:highlight w:val="none"/>
        </w:rPr>
        <w:t>2</w:t>
      </w:r>
      <w:r>
        <w:rPr>
          <w:rFonts w:hint="eastAsia"/>
          <w:highlight w:val="none"/>
        </w:rPr>
        <w:t>4.1开标会按“第一章 招标公告”规定的开标时间和地点准时举行，采购人、采购代理机构邀请所有投标人准时参加开标会。投标人应按照招标文件的要求参与不见面开标。</w:t>
      </w:r>
    </w:p>
    <w:p w14:paraId="07B2FA43">
      <w:pPr>
        <w:pStyle w:val="38"/>
        <w:spacing w:line="360" w:lineRule="auto"/>
        <w:rPr>
          <w:highlight w:val="none"/>
        </w:rPr>
      </w:pPr>
      <w:r>
        <w:rPr>
          <w:highlight w:val="none"/>
        </w:rPr>
        <w:t>2</w:t>
      </w:r>
      <w:r>
        <w:rPr>
          <w:rFonts w:hint="eastAsia"/>
          <w:highlight w:val="none"/>
        </w:rPr>
        <w:t xml:space="preserve">4.2 </w:t>
      </w:r>
      <w:bookmarkEnd w:id="201"/>
      <w:r>
        <w:rPr>
          <w:rFonts w:hint="eastAsia"/>
          <w:highlight w:val="none"/>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7837985B">
      <w:pPr>
        <w:pStyle w:val="38"/>
        <w:spacing w:line="360" w:lineRule="auto"/>
        <w:rPr>
          <w:highlight w:val="none"/>
        </w:rPr>
      </w:pPr>
      <w:r>
        <w:rPr>
          <w:rFonts w:hint="eastAsia"/>
          <w:highlight w:val="none"/>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07DCC7DC">
      <w:pPr>
        <w:pStyle w:val="5"/>
        <w:spacing w:line="360" w:lineRule="auto"/>
        <w:rPr>
          <w:highlight w:val="none"/>
        </w:rPr>
      </w:pPr>
      <w:bookmarkStart w:id="202" w:name="_Toc163492852"/>
      <w:bookmarkStart w:id="203" w:name="_Toc140132783"/>
      <w:r>
        <w:rPr>
          <w:rFonts w:hint="eastAsia"/>
          <w:highlight w:val="none"/>
        </w:rPr>
        <w:t>25.开标程序</w:t>
      </w:r>
      <w:bookmarkEnd w:id="202"/>
      <w:bookmarkEnd w:id="203"/>
    </w:p>
    <w:p w14:paraId="3BEBEC82">
      <w:pPr>
        <w:pStyle w:val="38"/>
        <w:spacing w:line="360" w:lineRule="auto"/>
        <w:rPr>
          <w:highlight w:val="none"/>
        </w:rPr>
      </w:pPr>
      <w:r>
        <w:rPr>
          <w:highlight w:val="none"/>
        </w:rPr>
        <w:t>2</w:t>
      </w:r>
      <w:r>
        <w:rPr>
          <w:rFonts w:hint="eastAsia"/>
          <w:highlight w:val="none"/>
        </w:rPr>
        <w:t>5.1 投标人不足3家的，不得开标。</w:t>
      </w:r>
    </w:p>
    <w:p w14:paraId="64DD09CC">
      <w:pPr>
        <w:pStyle w:val="38"/>
        <w:spacing w:line="360" w:lineRule="auto"/>
        <w:rPr>
          <w:highlight w:val="none"/>
        </w:rPr>
      </w:pPr>
      <w:r>
        <w:rPr>
          <w:highlight w:val="none"/>
        </w:rPr>
        <w:t>2</w:t>
      </w:r>
      <w:r>
        <w:rPr>
          <w:rFonts w:hint="eastAsia"/>
          <w:highlight w:val="none"/>
        </w:rPr>
        <w:t>5.2 评标委员会成员不得参加开标活动。</w:t>
      </w:r>
    </w:p>
    <w:p w14:paraId="0ECDB765">
      <w:pPr>
        <w:pStyle w:val="38"/>
        <w:spacing w:line="360" w:lineRule="auto"/>
        <w:rPr>
          <w:highlight w:val="none"/>
        </w:rPr>
      </w:pPr>
      <w:r>
        <w:rPr>
          <w:highlight w:val="none"/>
        </w:rPr>
        <w:t>2</w:t>
      </w:r>
      <w:r>
        <w:rPr>
          <w:rFonts w:hint="eastAsia"/>
          <w:highlight w:val="none"/>
        </w:rPr>
        <w:t>5.3主持人按下列程序进行开标：</w:t>
      </w:r>
    </w:p>
    <w:p w14:paraId="050160D5">
      <w:pPr>
        <w:spacing w:line="360" w:lineRule="auto"/>
        <w:rPr>
          <w:highlight w:val="none"/>
        </w:rPr>
      </w:pPr>
      <w:r>
        <w:rPr>
          <w:rFonts w:hint="eastAsia"/>
          <w:highlight w:val="none"/>
        </w:rPr>
        <w:t>（1）宣布开标会纪律；</w:t>
      </w:r>
    </w:p>
    <w:p w14:paraId="20EC7544">
      <w:pPr>
        <w:spacing w:line="360" w:lineRule="auto"/>
        <w:rPr>
          <w:highlight w:val="none"/>
        </w:rPr>
      </w:pPr>
      <w:r>
        <w:rPr>
          <w:rFonts w:hint="eastAsia"/>
          <w:highlight w:val="none"/>
        </w:rPr>
        <w:t>（2）介绍参加开标会的单位和人员；</w:t>
      </w:r>
    </w:p>
    <w:p w14:paraId="2A5B79C9">
      <w:pPr>
        <w:spacing w:line="360" w:lineRule="auto"/>
        <w:rPr>
          <w:highlight w:val="none"/>
        </w:rPr>
      </w:pPr>
      <w:r>
        <w:rPr>
          <w:rFonts w:hint="eastAsia"/>
          <w:highlight w:val="none"/>
        </w:rPr>
        <w:t>（3）发起投标文件解密。投标人应在“投标人须知前附表”规定的时间内使用加密投标文件的CA证书在系统中完成投标文件的解密；投标人不足3家的，不予解密；</w:t>
      </w:r>
    </w:p>
    <w:p w14:paraId="125BE3D2">
      <w:pPr>
        <w:spacing w:line="360" w:lineRule="auto"/>
        <w:rPr>
          <w:highlight w:val="none"/>
        </w:rPr>
      </w:pPr>
      <w:r>
        <w:rPr>
          <w:rFonts w:hint="eastAsia"/>
          <w:highlight w:val="none"/>
        </w:rPr>
        <w:t>（4）解密完成后，系统自动显示投标人名称、投标价格和招标文件规定的需要宣布的其他内容；</w:t>
      </w:r>
    </w:p>
    <w:p w14:paraId="6A3FB3EC">
      <w:pPr>
        <w:spacing w:line="360" w:lineRule="auto"/>
        <w:rPr>
          <w:highlight w:val="none"/>
        </w:rPr>
      </w:pPr>
      <w:r>
        <w:rPr>
          <w:rFonts w:hint="eastAsia"/>
          <w:highlight w:val="none"/>
        </w:rPr>
        <w:t>（5）系统自动生成开标记录表，投标人应在线对开标记录进行签署确认；</w:t>
      </w:r>
    </w:p>
    <w:p w14:paraId="28E64D43">
      <w:pPr>
        <w:spacing w:line="360" w:lineRule="auto"/>
        <w:rPr>
          <w:highlight w:val="none"/>
        </w:rPr>
      </w:pPr>
      <w:r>
        <w:rPr>
          <w:rFonts w:hint="eastAsia"/>
          <w:highlight w:val="none"/>
        </w:rPr>
        <w:t>（6）开标会结束。</w:t>
      </w:r>
      <w:bookmarkStart w:id="204" w:name="_Toc140132784"/>
      <w:bookmarkStart w:id="205" w:name="_Toc163492853"/>
    </w:p>
    <w:p w14:paraId="262EC5BA">
      <w:pPr>
        <w:pStyle w:val="5"/>
        <w:spacing w:line="360" w:lineRule="auto"/>
        <w:rPr>
          <w:highlight w:val="none"/>
        </w:rPr>
      </w:pPr>
      <w:r>
        <w:rPr>
          <w:rFonts w:hint="eastAsia"/>
          <w:highlight w:val="none"/>
        </w:rPr>
        <w:t>26.开标疑义及回避情形</w:t>
      </w:r>
      <w:bookmarkEnd w:id="204"/>
      <w:bookmarkEnd w:id="205"/>
    </w:p>
    <w:p w14:paraId="6B6447DC">
      <w:pPr>
        <w:pStyle w:val="38"/>
        <w:spacing w:line="360" w:lineRule="auto"/>
        <w:rPr>
          <w:highlight w:val="none"/>
        </w:rPr>
      </w:pPr>
      <w:r>
        <w:rPr>
          <w:highlight w:val="none"/>
        </w:rPr>
        <w:t>2</w:t>
      </w:r>
      <w:r>
        <w:rPr>
          <w:rFonts w:hint="eastAsia"/>
          <w:highlight w:val="none"/>
          <w:lang w:val="en-US"/>
        </w:rPr>
        <w:t>6</w:t>
      </w:r>
      <w:r>
        <w:rPr>
          <w:rFonts w:hint="eastAsia"/>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0125B438">
      <w:pPr>
        <w:pStyle w:val="38"/>
        <w:spacing w:line="360" w:lineRule="auto"/>
        <w:rPr>
          <w:highlight w:val="none"/>
        </w:rPr>
      </w:pPr>
      <w:r>
        <w:rPr>
          <w:rFonts w:hint="eastAsia"/>
          <w:highlight w:val="none"/>
        </w:rPr>
        <w:t>2</w:t>
      </w:r>
      <w:r>
        <w:rPr>
          <w:rFonts w:hint="eastAsia"/>
          <w:highlight w:val="none"/>
          <w:lang w:val="en-US"/>
        </w:rPr>
        <w:t>6</w:t>
      </w:r>
      <w:r>
        <w:rPr>
          <w:rFonts w:hint="eastAsia"/>
          <w:highlight w:val="none"/>
        </w:rPr>
        <w:t>.2投标人未参加开标的，视同认可开标结果。</w:t>
      </w:r>
    </w:p>
    <w:p w14:paraId="1E7F6E09">
      <w:pPr>
        <w:pStyle w:val="4"/>
        <w:spacing w:line="360" w:lineRule="auto"/>
        <w:rPr>
          <w:highlight w:val="none"/>
        </w:rPr>
      </w:pPr>
      <w:bookmarkStart w:id="206" w:name="_Toc140132785"/>
      <w:bookmarkStart w:id="207" w:name="_Toc155185877"/>
      <w:bookmarkStart w:id="208" w:name="_Toc163492854"/>
      <w:r>
        <w:rPr>
          <w:rFonts w:hint="eastAsia"/>
          <w:highlight w:val="none"/>
        </w:rPr>
        <w:t>（六）资格审查</w:t>
      </w:r>
      <w:bookmarkEnd w:id="206"/>
      <w:bookmarkEnd w:id="207"/>
      <w:bookmarkEnd w:id="208"/>
    </w:p>
    <w:p w14:paraId="19AD10C3">
      <w:pPr>
        <w:pStyle w:val="5"/>
        <w:spacing w:line="360" w:lineRule="auto"/>
        <w:rPr>
          <w:highlight w:val="none"/>
        </w:rPr>
      </w:pPr>
      <w:bookmarkStart w:id="209" w:name="_Toc163492855"/>
      <w:r>
        <w:rPr>
          <w:rFonts w:hint="eastAsia"/>
          <w:highlight w:val="none"/>
        </w:rPr>
        <w:t>27.资格审查及审查主体</w:t>
      </w:r>
      <w:bookmarkEnd w:id="209"/>
    </w:p>
    <w:p w14:paraId="1F68BE61">
      <w:pPr>
        <w:pStyle w:val="38"/>
        <w:spacing w:line="360" w:lineRule="auto"/>
        <w:rPr>
          <w:highlight w:val="none"/>
        </w:rPr>
      </w:pPr>
      <w:bookmarkStart w:id="210" w:name="_Toc140132786"/>
      <w:r>
        <w:rPr>
          <w:rFonts w:hint="eastAsia"/>
          <w:highlight w:val="none"/>
        </w:rPr>
        <w:t>2</w:t>
      </w:r>
      <w:r>
        <w:rPr>
          <w:rFonts w:hint="eastAsia"/>
          <w:highlight w:val="none"/>
          <w:lang w:val="en-US"/>
        </w:rPr>
        <w:t>7</w:t>
      </w:r>
      <w:r>
        <w:rPr>
          <w:rFonts w:hint="eastAsia"/>
          <w:highlight w:val="none"/>
        </w:rPr>
        <w:t>.1</w:t>
      </w:r>
      <w:bookmarkEnd w:id="210"/>
      <w:r>
        <w:rPr>
          <w:rFonts w:hint="eastAsia"/>
          <w:highlight w:val="none"/>
        </w:rPr>
        <w:t>开标结束后，采购人或者采购代理机构应当依法对投标人的资格进行审查。</w:t>
      </w:r>
    </w:p>
    <w:p w14:paraId="105C4D8B">
      <w:pPr>
        <w:pStyle w:val="38"/>
        <w:spacing w:line="360" w:lineRule="auto"/>
        <w:rPr>
          <w:highlight w:val="none"/>
        </w:rPr>
      </w:pPr>
      <w:bookmarkStart w:id="211" w:name="_Toc140132787"/>
      <w:r>
        <w:rPr>
          <w:highlight w:val="none"/>
        </w:rPr>
        <w:t>2</w:t>
      </w:r>
      <w:r>
        <w:rPr>
          <w:rFonts w:hint="eastAsia"/>
          <w:highlight w:val="none"/>
          <w:lang w:val="en-US"/>
        </w:rPr>
        <w:t>7</w:t>
      </w:r>
      <w:r>
        <w:rPr>
          <w:rFonts w:hint="eastAsia"/>
          <w:highlight w:val="none"/>
        </w:rPr>
        <w:t>.2</w:t>
      </w:r>
      <w:r>
        <w:rPr>
          <w:highlight w:val="none"/>
        </w:rPr>
        <w:t>资格审查</w:t>
      </w:r>
      <w:r>
        <w:rPr>
          <w:rFonts w:hint="eastAsia"/>
          <w:highlight w:val="none"/>
        </w:rPr>
        <w:t>按“第四章</w:t>
      </w:r>
      <w:r>
        <w:rPr>
          <w:rFonts w:hint="eastAsia"/>
          <w:highlight w:val="none"/>
          <w:lang w:val="en-US"/>
        </w:rPr>
        <w:t xml:space="preserve"> </w:t>
      </w:r>
      <w:r>
        <w:rPr>
          <w:rFonts w:hint="eastAsia"/>
          <w:highlight w:val="none"/>
        </w:rPr>
        <w:t>资格审查”的规定进行。</w:t>
      </w:r>
      <w:bookmarkEnd w:id="211"/>
    </w:p>
    <w:p w14:paraId="40179577">
      <w:pPr>
        <w:pStyle w:val="38"/>
        <w:spacing w:line="360" w:lineRule="auto"/>
        <w:rPr>
          <w:highlight w:val="none"/>
        </w:rPr>
      </w:pPr>
      <w:bookmarkStart w:id="212" w:name="_Toc140132788"/>
      <w:r>
        <w:rPr>
          <w:highlight w:val="none"/>
        </w:rPr>
        <w:t>2</w:t>
      </w:r>
      <w:r>
        <w:rPr>
          <w:rFonts w:hint="eastAsia"/>
          <w:highlight w:val="none"/>
          <w:lang w:val="en-US"/>
        </w:rPr>
        <w:t>7</w:t>
      </w:r>
      <w:r>
        <w:rPr>
          <w:rFonts w:hint="eastAsia"/>
          <w:highlight w:val="none"/>
        </w:rPr>
        <w:t>.3</w:t>
      </w:r>
      <w:r>
        <w:rPr>
          <w:highlight w:val="none"/>
        </w:rPr>
        <w:t>资格审查结束后，应及时对资格审查结果进行复核，对资格审查错误进行及时纠正并记录。</w:t>
      </w:r>
      <w:bookmarkEnd w:id="212"/>
    </w:p>
    <w:p w14:paraId="63CDCEC2">
      <w:pPr>
        <w:pStyle w:val="38"/>
        <w:spacing w:line="360" w:lineRule="auto"/>
        <w:rPr>
          <w:highlight w:val="none"/>
          <w:lang w:val="en-US"/>
        </w:rPr>
      </w:pPr>
      <w:r>
        <w:rPr>
          <w:rFonts w:hint="eastAsia"/>
          <w:highlight w:val="none"/>
          <w:lang w:val="en-US"/>
        </w:rPr>
        <w:t>27.4</w:t>
      </w:r>
      <w:r>
        <w:rPr>
          <w:highlight w:val="none"/>
        </w:rPr>
        <w:t>资格审查</w:t>
      </w:r>
      <w:r>
        <w:rPr>
          <w:rFonts w:hint="eastAsia"/>
          <w:highlight w:val="none"/>
        </w:rPr>
        <w:t>合格投标人不足3家的，不得评标。</w:t>
      </w:r>
    </w:p>
    <w:p w14:paraId="6981C66F">
      <w:pPr>
        <w:pStyle w:val="4"/>
        <w:spacing w:line="360" w:lineRule="auto"/>
        <w:rPr>
          <w:highlight w:val="none"/>
        </w:rPr>
      </w:pPr>
      <w:bookmarkStart w:id="213" w:name="_Toc140132789"/>
      <w:bookmarkStart w:id="214" w:name="_Toc163492856"/>
      <w:bookmarkStart w:id="215" w:name="_Toc155185878"/>
      <w:r>
        <w:rPr>
          <w:rFonts w:hint="eastAsia"/>
          <w:highlight w:val="none"/>
        </w:rPr>
        <w:t>（七）评标</w:t>
      </w:r>
      <w:bookmarkEnd w:id="213"/>
      <w:bookmarkEnd w:id="214"/>
      <w:bookmarkEnd w:id="215"/>
    </w:p>
    <w:p w14:paraId="32A687FC">
      <w:pPr>
        <w:pStyle w:val="5"/>
        <w:spacing w:line="360" w:lineRule="auto"/>
        <w:rPr>
          <w:highlight w:val="none"/>
        </w:rPr>
      </w:pPr>
      <w:bookmarkStart w:id="216" w:name="_Toc163492857"/>
      <w:bookmarkStart w:id="217" w:name="_Toc140132790"/>
      <w:r>
        <w:rPr>
          <w:rFonts w:hint="eastAsia"/>
          <w:highlight w:val="none"/>
        </w:rPr>
        <w:t>28.评标委员会</w:t>
      </w:r>
      <w:bookmarkEnd w:id="216"/>
      <w:bookmarkEnd w:id="217"/>
    </w:p>
    <w:p w14:paraId="39BBAB75">
      <w:pPr>
        <w:pStyle w:val="38"/>
        <w:spacing w:line="360" w:lineRule="auto"/>
        <w:rPr>
          <w:highlight w:val="none"/>
        </w:rPr>
      </w:pPr>
      <w:r>
        <w:rPr>
          <w:highlight w:val="none"/>
        </w:rPr>
        <w:t>2</w:t>
      </w:r>
      <w:r>
        <w:rPr>
          <w:rFonts w:hint="eastAsia"/>
          <w:highlight w:val="none"/>
        </w:rPr>
        <w:t>8.1 评标由采购人依法组建的评标委员会负责。评标委员会由采购人代表和评审专家组成，成员人数应当为5人以上单数，其中评审专家不得少于成员总数的三分之二。</w:t>
      </w:r>
      <w:r>
        <w:rPr>
          <w:highlight w:val="none"/>
        </w:rPr>
        <w:t>采购人或者采购代理机构应当从省级以上财政部门设立的政府采购评审专家库中，通过随机方式抽取评审专家。</w:t>
      </w:r>
    </w:p>
    <w:p w14:paraId="6FAD8A55">
      <w:pPr>
        <w:pStyle w:val="38"/>
        <w:spacing w:line="360" w:lineRule="auto"/>
        <w:rPr>
          <w:highlight w:val="none"/>
        </w:rPr>
      </w:pPr>
      <w:r>
        <w:rPr>
          <w:rFonts w:hint="eastAsia"/>
          <w:highlight w:val="none"/>
        </w:rPr>
        <w:t xml:space="preserve">28.2 </w:t>
      </w:r>
      <w:r>
        <w:rPr>
          <w:highlight w:val="none"/>
        </w:rPr>
        <w:t>采购项目符合下列情形之一的，评标委员会成员人数应当为7人以上单数：</w:t>
      </w:r>
    </w:p>
    <w:p w14:paraId="6FA0CF1E">
      <w:pPr>
        <w:pStyle w:val="38"/>
        <w:spacing w:line="360" w:lineRule="auto"/>
        <w:rPr>
          <w:highlight w:val="none"/>
        </w:rPr>
      </w:pPr>
      <w:r>
        <w:rPr>
          <w:highlight w:val="none"/>
        </w:rPr>
        <w:t>（</w:t>
      </w:r>
      <w:r>
        <w:rPr>
          <w:rFonts w:hint="eastAsia"/>
          <w:highlight w:val="none"/>
        </w:rPr>
        <w:t>1</w:t>
      </w:r>
      <w:r>
        <w:rPr>
          <w:highlight w:val="none"/>
        </w:rPr>
        <w:t>）采购预算金额在1000万元以上；</w:t>
      </w:r>
    </w:p>
    <w:p w14:paraId="0736B600">
      <w:pPr>
        <w:pStyle w:val="38"/>
        <w:spacing w:line="360" w:lineRule="auto"/>
        <w:rPr>
          <w:highlight w:val="none"/>
        </w:rPr>
      </w:pPr>
      <w:r>
        <w:rPr>
          <w:highlight w:val="none"/>
        </w:rPr>
        <w:t>（</w:t>
      </w:r>
      <w:r>
        <w:rPr>
          <w:rFonts w:hint="eastAsia"/>
          <w:highlight w:val="none"/>
        </w:rPr>
        <w:t>2</w:t>
      </w:r>
      <w:r>
        <w:rPr>
          <w:highlight w:val="none"/>
        </w:rPr>
        <w:t>）技术复杂；</w:t>
      </w:r>
    </w:p>
    <w:p w14:paraId="58F0DA77">
      <w:pPr>
        <w:pStyle w:val="38"/>
        <w:spacing w:line="360" w:lineRule="auto"/>
        <w:rPr>
          <w:highlight w:val="none"/>
        </w:rPr>
      </w:pPr>
      <w:r>
        <w:rPr>
          <w:highlight w:val="none"/>
        </w:rPr>
        <w:t>（</w:t>
      </w:r>
      <w:r>
        <w:rPr>
          <w:rFonts w:hint="eastAsia"/>
          <w:highlight w:val="none"/>
        </w:rPr>
        <w:t>3</w:t>
      </w:r>
      <w:r>
        <w:rPr>
          <w:highlight w:val="none"/>
        </w:rPr>
        <w:t>）社会影响较大。</w:t>
      </w:r>
    </w:p>
    <w:p w14:paraId="2AF9F77A">
      <w:pPr>
        <w:pStyle w:val="38"/>
        <w:spacing w:line="360" w:lineRule="auto"/>
        <w:rPr>
          <w:highlight w:val="none"/>
        </w:rPr>
      </w:pPr>
      <w:r>
        <w:rPr>
          <w:rFonts w:hint="eastAsia"/>
          <w:highlight w:val="none"/>
        </w:rPr>
        <w:t>28.3</w:t>
      </w:r>
      <w:r>
        <w:rPr>
          <w:highlight w:val="none"/>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5297BA8B">
      <w:pPr>
        <w:pStyle w:val="38"/>
        <w:spacing w:line="360" w:lineRule="auto"/>
        <w:rPr>
          <w:highlight w:val="none"/>
        </w:rPr>
      </w:pPr>
      <w:r>
        <w:rPr>
          <w:rFonts w:hint="eastAsia"/>
          <w:highlight w:val="none"/>
        </w:rPr>
        <w:t>28.4</w:t>
      </w:r>
      <w:r>
        <w:rPr>
          <w:highlight w:val="none"/>
        </w:rPr>
        <w:t>评标委员会成员名单在评标结果公告前应当保密。</w:t>
      </w:r>
    </w:p>
    <w:p w14:paraId="21DC3B51">
      <w:pPr>
        <w:pStyle w:val="38"/>
        <w:spacing w:line="360" w:lineRule="auto"/>
        <w:rPr>
          <w:highlight w:val="none"/>
        </w:rPr>
      </w:pPr>
      <w:r>
        <w:rPr>
          <w:rFonts w:hint="eastAsia"/>
          <w:highlight w:val="none"/>
        </w:rPr>
        <w:t>28.5</w:t>
      </w:r>
      <w:r>
        <w:rPr>
          <w:highlight w:val="none"/>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18DC5D95">
      <w:pPr>
        <w:pStyle w:val="38"/>
        <w:spacing w:line="360" w:lineRule="auto"/>
        <w:rPr>
          <w:highlight w:val="none"/>
        </w:rPr>
      </w:pPr>
      <w:r>
        <w:rPr>
          <w:rFonts w:hint="eastAsia"/>
          <w:highlight w:val="none"/>
        </w:rPr>
        <w:t>28.6</w:t>
      </w:r>
      <w:r>
        <w:rPr>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58FED7B9">
      <w:pPr>
        <w:pStyle w:val="38"/>
        <w:spacing w:line="360" w:lineRule="auto"/>
        <w:rPr>
          <w:highlight w:val="none"/>
        </w:rPr>
      </w:pPr>
      <w:r>
        <w:rPr>
          <w:highlight w:val="none"/>
        </w:rPr>
        <w:t>2</w:t>
      </w:r>
      <w:r>
        <w:rPr>
          <w:rFonts w:hint="eastAsia"/>
          <w:highlight w:val="none"/>
          <w:lang w:val="en-US"/>
        </w:rPr>
        <w:t>8</w:t>
      </w:r>
      <w:r>
        <w:rPr>
          <w:rFonts w:hint="eastAsia"/>
          <w:highlight w:val="none"/>
        </w:rPr>
        <w:t>.</w:t>
      </w:r>
      <w:r>
        <w:rPr>
          <w:rFonts w:hint="eastAsia"/>
          <w:highlight w:val="none"/>
          <w:lang w:val="en-US"/>
        </w:rPr>
        <w:t>7</w:t>
      </w:r>
      <w:r>
        <w:rPr>
          <w:rFonts w:hint="eastAsia"/>
          <w:highlight w:val="none"/>
        </w:rPr>
        <w:t xml:space="preserve"> 评标委员会成员有下列情形之一的，应当回避：</w:t>
      </w:r>
    </w:p>
    <w:p w14:paraId="43A6AFB2">
      <w:pPr>
        <w:pStyle w:val="38"/>
        <w:spacing w:line="360" w:lineRule="auto"/>
        <w:rPr>
          <w:highlight w:val="none"/>
        </w:rPr>
      </w:pPr>
      <w:r>
        <w:rPr>
          <w:rFonts w:hint="eastAsia"/>
          <w:highlight w:val="none"/>
        </w:rPr>
        <w:t>（1）参加采购活动前3年内与投标人存在劳动关系；</w:t>
      </w:r>
    </w:p>
    <w:p w14:paraId="6CAF112F">
      <w:pPr>
        <w:pStyle w:val="38"/>
        <w:spacing w:line="360" w:lineRule="auto"/>
        <w:rPr>
          <w:highlight w:val="none"/>
        </w:rPr>
      </w:pPr>
      <w:r>
        <w:rPr>
          <w:rFonts w:hint="eastAsia"/>
          <w:highlight w:val="none"/>
        </w:rPr>
        <w:t>（2）参加采购活动前3年内担任投标人的董事、监事；</w:t>
      </w:r>
    </w:p>
    <w:p w14:paraId="133329E5">
      <w:pPr>
        <w:pStyle w:val="38"/>
        <w:spacing w:line="360" w:lineRule="auto"/>
        <w:rPr>
          <w:highlight w:val="none"/>
        </w:rPr>
      </w:pPr>
      <w:r>
        <w:rPr>
          <w:rFonts w:hint="eastAsia"/>
          <w:highlight w:val="none"/>
        </w:rPr>
        <w:t>（3）参加采购活动前3年内是投标人的控股股东或实际控制人；</w:t>
      </w:r>
    </w:p>
    <w:p w14:paraId="2CDAE65F">
      <w:pPr>
        <w:pStyle w:val="38"/>
        <w:spacing w:line="360" w:lineRule="auto"/>
        <w:rPr>
          <w:highlight w:val="none"/>
        </w:rPr>
      </w:pPr>
      <w:r>
        <w:rPr>
          <w:rFonts w:hint="eastAsia"/>
          <w:highlight w:val="none"/>
        </w:rPr>
        <w:t>（4）与投标人的法定代表人或者负责人有夫妻、直系血亲、三代以内旁系血亲或者近姻亲关系；</w:t>
      </w:r>
    </w:p>
    <w:p w14:paraId="64C49C7B">
      <w:pPr>
        <w:pStyle w:val="38"/>
        <w:spacing w:line="360" w:lineRule="auto"/>
        <w:rPr>
          <w:highlight w:val="none"/>
        </w:rPr>
      </w:pPr>
      <w:r>
        <w:rPr>
          <w:rFonts w:hint="eastAsia"/>
          <w:highlight w:val="none"/>
        </w:rPr>
        <w:t>（5）与投标人有其他可能影响采购活动公平、公正进行的关系。</w:t>
      </w:r>
    </w:p>
    <w:p w14:paraId="65B40FF2">
      <w:pPr>
        <w:pStyle w:val="5"/>
        <w:spacing w:line="360" w:lineRule="auto"/>
        <w:rPr>
          <w:highlight w:val="none"/>
        </w:rPr>
      </w:pPr>
      <w:bookmarkStart w:id="218" w:name="_Toc163492858"/>
      <w:bookmarkStart w:id="219" w:name="_Toc140132791"/>
      <w:r>
        <w:rPr>
          <w:rFonts w:hint="eastAsia"/>
          <w:highlight w:val="none"/>
        </w:rPr>
        <w:t>29.评标</w:t>
      </w:r>
      <w:bookmarkEnd w:id="218"/>
      <w:bookmarkEnd w:id="219"/>
    </w:p>
    <w:p w14:paraId="47D49B05">
      <w:pPr>
        <w:pStyle w:val="38"/>
        <w:spacing w:line="360" w:lineRule="auto"/>
        <w:rPr>
          <w:highlight w:val="none"/>
        </w:rPr>
      </w:pPr>
      <w:r>
        <w:rPr>
          <w:rFonts w:hint="eastAsia"/>
          <w:highlight w:val="none"/>
          <w:lang w:val="en-US"/>
        </w:rPr>
        <w:t>29</w:t>
      </w:r>
      <w:r>
        <w:rPr>
          <w:rFonts w:hint="eastAsia"/>
          <w:highlight w:val="none"/>
        </w:rPr>
        <w:t>.1</w:t>
      </w:r>
      <w:r>
        <w:rPr>
          <w:rFonts w:hint="eastAsia"/>
          <w:highlight w:val="none"/>
          <w:lang w:val="en-US"/>
        </w:rPr>
        <w:t xml:space="preserve"> 评标方法分为综合评分法和</w:t>
      </w:r>
      <w:r>
        <w:rPr>
          <w:highlight w:val="none"/>
        </w:rPr>
        <w:t>最低评标价法</w:t>
      </w:r>
      <w:r>
        <w:rPr>
          <w:rFonts w:hint="eastAsia"/>
          <w:highlight w:val="none"/>
        </w:rPr>
        <w:t>，</w:t>
      </w:r>
      <w:r>
        <w:rPr>
          <w:highlight w:val="none"/>
        </w:rPr>
        <w:t>本项目</w:t>
      </w:r>
      <w:r>
        <w:rPr>
          <w:rFonts w:hint="eastAsia"/>
          <w:highlight w:val="none"/>
        </w:rPr>
        <w:t>评标</w:t>
      </w:r>
      <w:r>
        <w:rPr>
          <w:rFonts w:hint="eastAsia"/>
          <w:highlight w:val="none"/>
          <w:lang w:val="en-US"/>
        </w:rPr>
        <w:t>方法详见</w:t>
      </w:r>
      <w:r>
        <w:rPr>
          <w:rFonts w:hint="eastAsia"/>
          <w:highlight w:val="none"/>
        </w:rPr>
        <w:t>“投标人须知前附表”。</w:t>
      </w:r>
    </w:p>
    <w:p w14:paraId="424BDC11">
      <w:pPr>
        <w:pStyle w:val="38"/>
        <w:spacing w:line="360" w:lineRule="auto"/>
        <w:rPr>
          <w:highlight w:val="none"/>
        </w:rPr>
      </w:pPr>
      <w:r>
        <w:rPr>
          <w:highlight w:val="none"/>
        </w:rPr>
        <w:t>2</w:t>
      </w:r>
      <w:r>
        <w:rPr>
          <w:rFonts w:hint="eastAsia"/>
          <w:highlight w:val="none"/>
          <w:lang w:val="en-US"/>
        </w:rPr>
        <w:t>9.1.1</w:t>
      </w:r>
      <w:r>
        <w:rPr>
          <w:highlight w:val="none"/>
        </w:rPr>
        <w:t>综合评分法，是指投标文件满足招标文件全部实质性要求</w:t>
      </w:r>
      <w:r>
        <w:rPr>
          <w:rFonts w:hint="eastAsia"/>
          <w:highlight w:val="none"/>
        </w:rPr>
        <w:t>，</w:t>
      </w:r>
      <w:r>
        <w:rPr>
          <w:highlight w:val="none"/>
        </w:rPr>
        <w:t>且按照评审因素的量化指标评审得分最高的投标人为中标候选人的评标方法。</w:t>
      </w:r>
    </w:p>
    <w:p w14:paraId="73465C6D">
      <w:pPr>
        <w:pStyle w:val="38"/>
        <w:spacing w:line="360" w:lineRule="auto"/>
        <w:rPr>
          <w:highlight w:val="none"/>
          <w:lang w:val="en-US"/>
        </w:rPr>
      </w:pPr>
      <w:r>
        <w:rPr>
          <w:rFonts w:hint="eastAsia"/>
          <w:highlight w:val="none"/>
          <w:lang w:val="en-US"/>
        </w:rPr>
        <w:t>29.1.2.</w:t>
      </w:r>
      <w:r>
        <w:rPr>
          <w:highlight w:val="none"/>
        </w:rPr>
        <w:t>最低评标价法，是指投标文件满足招标文件全部实质性要求</w:t>
      </w:r>
      <w:r>
        <w:rPr>
          <w:rFonts w:hint="eastAsia"/>
          <w:highlight w:val="none"/>
        </w:rPr>
        <w:t>，</w:t>
      </w:r>
      <w:r>
        <w:rPr>
          <w:highlight w:val="none"/>
        </w:rPr>
        <w:t>且投标报价最低的投标人为中标候选人的评标方法。</w:t>
      </w:r>
    </w:p>
    <w:p w14:paraId="6D54C325">
      <w:pPr>
        <w:pStyle w:val="38"/>
        <w:spacing w:line="360" w:lineRule="auto"/>
        <w:rPr>
          <w:highlight w:val="none"/>
        </w:rPr>
      </w:pPr>
      <w:r>
        <w:rPr>
          <w:rFonts w:hint="eastAsia"/>
          <w:highlight w:val="none"/>
          <w:lang w:val="en-US"/>
        </w:rPr>
        <w:t>29</w:t>
      </w:r>
      <w:r>
        <w:rPr>
          <w:rFonts w:hint="eastAsia"/>
          <w:highlight w:val="none"/>
        </w:rPr>
        <w:t>.</w:t>
      </w:r>
      <w:r>
        <w:rPr>
          <w:rFonts w:hint="eastAsia"/>
          <w:highlight w:val="none"/>
          <w:lang w:val="en-US"/>
        </w:rPr>
        <w:t xml:space="preserve">2 </w:t>
      </w:r>
      <w:r>
        <w:rPr>
          <w:rFonts w:hint="eastAsia"/>
          <w:highlight w:val="none"/>
        </w:rPr>
        <w:t>评标委员会按照“第五章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的</w:t>
      </w:r>
      <w:r>
        <w:rPr>
          <w:rFonts w:hint="eastAsia"/>
          <w:highlight w:val="none"/>
        </w:rPr>
        <w:t>规定对投标文件进行评审。“第五章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法及标准”没有规定的方法、评审因素和标准，不作为评标依据。</w:t>
      </w:r>
    </w:p>
    <w:p w14:paraId="67CF64E4">
      <w:pPr>
        <w:pStyle w:val="38"/>
        <w:spacing w:line="360" w:lineRule="auto"/>
        <w:rPr>
          <w:highlight w:val="none"/>
        </w:rPr>
      </w:pPr>
      <w:r>
        <w:rPr>
          <w:rFonts w:hint="eastAsia"/>
          <w:highlight w:val="none"/>
          <w:lang w:val="en-US"/>
        </w:rPr>
        <w:t>29</w:t>
      </w:r>
      <w:r>
        <w:rPr>
          <w:rFonts w:hint="eastAsia"/>
          <w:highlight w:val="none"/>
        </w:rPr>
        <w:t>.</w:t>
      </w:r>
      <w:r>
        <w:rPr>
          <w:rFonts w:hint="eastAsia"/>
          <w:highlight w:val="none"/>
          <w:lang w:val="en-US"/>
        </w:rPr>
        <w:t xml:space="preserve">3 </w:t>
      </w:r>
      <w:r>
        <w:rPr>
          <w:rFonts w:hint="eastAsia"/>
          <w:highlight w:val="none"/>
        </w:rPr>
        <w:t>评标委员会按“投标人须知前附表”规定的中标候选人数量在评标报告中向采购人推荐中标候选人。</w:t>
      </w:r>
    </w:p>
    <w:p w14:paraId="1A5E61D0">
      <w:pPr>
        <w:pStyle w:val="38"/>
        <w:spacing w:line="360" w:lineRule="auto"/>
        <w:rPr>
          <w:highlight w:val="none"/>
        </w:rPr>
      </w:pPr>
      <w:r>
        <w:rPr>
          <w:rFonts w:hint="eastAsia"/>
          <w:highlight w:val="none"/>
        </w:rPr>
        <w:t>29.4 开标之后，直到签订合同止，凡是属于审查、澄清、评价和比较投标的有关资料以及定标意向等，均不得向投标人或者其他与评标无关的人员透露。</w:t>
      </w:r>
    </w:p>
    <w:p w14:paraId="31DB1A04">
      <w:pPr>
        <w:pStyle w:val="38"/>
        <w:spacing w:line="360" w:lineRule="auto"/>
        <w:rPr>
          <w:highlight w:val="none"/>
        </w:rPr>
      </w:pPr>
      <w:r>
        <w:rPr>
          <w:rFonts w:hint="eastAsia"/>
          <w:highlight w:val="none"/>
        </w:rPr>
        <w:t>29.5 在确定中标人之前，投标人试图在投标文件审查、澄清、比较和评标时对评标委员会、采购人和采购代理机构施加任何影响都可能导致其</w:t>
      </w:r>
      <w:r>
        <w:rPr>
          <w:rFonts w:hint="eastAsia"/>
          <w:b/>
          <w:bCs/>
          <w:highlight w:val="none"/>
        </w:rPr>
        <w:t>投标无效</w:t>
      </w:r>
      <w:r>
        <w:rPr>
          <w:rFonts w:hint="eastAsia"/>
          <w:highlight w:val="none"/>
        </w:rPr>
        <w:t>。</w:t>
      </w:r>
    </w:p>
    <w:p w14:paraId="3D81E0CC">
      <w:pPr>
        <w:pStyle w:val="38"/>
        <w:spacing w:line="360" w:lineRule="auto"/>
        <w:rPr>
          <w:highlight w:val="none"/>
        </w:rPr>
      </w:pPr>
      <w:r>
        <w:rPr>
          <w:rFonts w:hint="eastAsia"/>
          <w:highlight w:val="none"/>
        </w:rPr>
        <w:t>29.6 电子招投标的应急措施</w:t>
      </w:r>
    </w:p>
    <w:p w14:paraId="3A99C7AE">
      <w:pPr>
        <w:pStyle w:val="38"/>
        <w:spacing w:line="360" w:lineRule="auto"/>
        <w:rPr>
          <w:highlight w:val="none"/>
        </w:rPr>
      </w:pPr>
      <w:r>
        <w:rPr>
          <w:rFonts w:hint="eastAsia"/>
          <w:highlight w:val="none"/>
        </w:rPr>
        <w:t>29.6.1电子开标、评标如出现下列原因，导致系统无法正常运行或无法正常评标时，应采取应急措施。</w:t>
      </w:r>
    </w:p>
    <w:p w14:paraId="388E2252">
      <w:pPr>
        <w:pStyle w:val="38"/>
        <w:spacing w:line="360" w:lineRule="auto"/>
        <w:rPr>
          <w:highlight w:val="none"/>
        </w:rPr>
      </w:pPr>
      <w:r>
        <w:rPr>
          <w:rFonts w:hint="eastAsia"/>
          <w:highlight w:val="none"/>
        </w:rPr>
        <w:t>（1）系统服务器发生故障，无法访问或无法使用系统；</w:t>
      </w:r>
    </w:p>
    <w:p w14:paraId="3FC781E6">
      <w:pPr>
        <w:pStyle w:val="38"/>
        <w:spacing w:line="360" w:lineRule="auto"/>
        <w:rPr>
          <w:highlight w:val="none"/>
        </w:rPr>
      </w:pPr>
      <w:r>
        <w:rPr>
          <w:rFonts w:hint="eastAsia"/>
          <w:highlight w:val="none"/>
        </w:rPr>
        <w:t>（2）系统的软件或数据库出现错误，不能进行正常操作；</w:t>
      </w:r>
    </w:p>
    <w:p w14:paraId="63CF33C9">
      <w:pPr>
        <w:pStyle w:val="38"/>
        <w:spacing w:line="360" w:lineRule="auto"/>
        <w:rPr>
          <w:highlight w:val="none"/>
        </w:rPr>
      </w:pPr>
      <w:r>
        <w:rPr>
          <w:rFonts w:hint="eastAsia"/>
          <w:highlight w:val="none"/>
        </w:rPr>
        <w:t>（3）系统发现有安全漏洞，有潜在的泄密危险；</w:t>
      </w:r>
    </w:p>
    <w:p w14:paraId="1F02A10E">
      <w:pPr>
        <w:pStyle w:val="38"/>
        <w:spacing w:line="360" w:lineRule="auto"/>
        <w:rPr>
          <w:highlight w:val="none"/>
        </w:rPr>
      </w:pPr>
      <w:r>
        <w:rPr>
          <w:rFonts w:hint="eastAsia"/>
          <w:highlight w:val="none"/>
        </w:rPr>
        <w:t>（4）病毒发作或受到外来病毒的攻击；</w:t>
      </w:r>
    </w:p>
    <w:p w14:paraId="42E9534D">
      <w:pPr>
        <w:pStyle w:val="38"/>
        <w:spacing w:line="360" w:lineRule="auto"/>
        <w:rPr>
          <w:highlight w:val="none"/>
        </w:rPr>
      </w:pPr>
      <w:r>
        <w:rPr>
          <w:rFonts w:hint="eastAsia"/>
          <w:highlight w:val="none"/>
        </w:rPr>
        <w:t>（5）出现其他不可抗拒的客观原因造成开评标系统无法正常使用。</w:t>
      </w:r>
    </w:p>
    <w:p w14:paraId="0C2D9A2D">
      <w:pPr>
        <w:pStyle w:val="38"/>
        <w:spacing w:line="360" w:lineRule="auto"/>
        <w:rPr>
          <w:highlight w:val="none"/>
        </w:rPr>
      </w:pPr>
      <w:r>
        <w:rPr>
          <w:rFonts w:hint="eastAsia"/>
          <w:highlight w:val="none"/>
        </w:rPr>
        <w:t>出现上述情况时，应对未开标的暂停开标。已在系统内开标、评标的立即停止。采取应急措施时，必须对原有资料及信息作出妥善保密处理。</w:t>
      </w:r>
    </w:p>
    <w:p w14:paraId="4C8064B9">
      <w:pPr>
        <w:pStyle w:val="38"/>
        <w:spacing w:line="360" w:lineRule="auto"/>
        <w:rPr>
          <w:highlight w:val="none"/>
        </w:rPr>
      </w:pPr>
      <w:r>
        <w:rPr>
          <w:rFonts w:hint="eastAsia"/>
          <w:highlight w:val="none"/>
        </w:rPr>
        <w:t>29.6.2因系统原因导致投标人均无法解密电子投标文件时，采购代理机构可在开标现场直接导入投标人在投标截止时间前递交的未加密的电子投标文件进行开标、评标。</w:t>
      </w:r>
    </w:p>
    <w:p w14:paraId="74A4E5C5">
      <w:pPr>
        <w:pStyle w:val="38"/>
        <w:spacing w:line="360" w:lineRule="auto"/>
        <w:rPr>
          <w:highlight w:val="none"/>
        </w:rPr>
      </w:pPr>
      <w:r>
        <w:rPr>
          <w:rFonts w:hint="eastAsia"/>
          <w:highlight w:val="none"/>
        </w:rPr>
        <w:t>29.7 投标人瑕疵滞后发现的处理规则</w:t>
      </w:r>
    </w:p>
    <w:p w14:paraId="750FAB3A">
      <w:pPr>
        <w:pStyle w:val="38"/>
        <w:spacing w:line="360" w:lineRule="auto"/>
        <w:rPr>
          <w:highlight w:val="none"/>
        </w:rPr>
      </w:pPr>
      <w:r>
        <w:rPr>
          <w:rFonts w:hint="eastAsia"/>
          <w:highlight w:val="none"/>
        </w:rPr>
        <w:t>29.7.1无论基于何种原因，各项本应作</w:t>
      </w:r>
      <w:r>
        <w:rPr>
          <w:rFonts w:hint="eastAsia"/>
          <w:b/>
          <w:bCs/>
          <w:highlight w:val="none"/>
        </w:rPr>
        <w:t>无效投标</w:t>
      </w:r>
      <w:r>
        <w:rPr>
          <w:rFonts w:hint="eastAsia"/>
          <w:highlight w:val="none"/>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7528C93A">
      <w:pPr>
        <w:pStyle w:val="4"/>
        <w:spacing w:line="360" w:lineRule="auto"/>
        <w:rPr>
          <w:highlight w:val="none"/>
        </w:rPr>
      </w:pPr>
      <w:bookmarkStart w:id="220" w:name="_Toc155185879"/>
      <w:bookmarkStart w:id="221" w:name="_Toc163492859"/>
      <w:bookmarkStart w:id="222" w:name="_Toc140132792"/>
      <w:r>
        <w:rPr>
          <w:rFonts w:hint="eastAsia"/>
          <w:highlight w:val="none"/>
        </w:rPr>
        <w:t>（八）中标</w:t>
      </w:r>
      <w:bookmarkEnd w:id="220"/>
      <w:bookmarkEnd w:id="221"/>
      <w:bookmarkEnd w:id="222"/>
    </w:p>
    <w:p w14:paraId="38BCAB55">
      <w:pPr>
        <w:pStyle w:val="5"/>
        <w:spacing w:line="360" w:lineRule="auto"/>
        <w:rPr>
          <w:highlight w:val="none"/>
        </w:rPr>
      </w:pPr>
      <w:bookmarkStart w:id="223" w:name="_Toc163492860"/>
      <w:bookmarkStart w:id="224" w:name="_Toc140132793"/>
      <w:r>
        <w:rPr>
          <w:rFonts w:hint="eastAsia"/>
          <w:highlight w:val="none"/>
        </w:rPr>
        <w:t>30.确定中标人</w:t>
      </w:r>
      <w:bookmarkEnd w:id="223"/>
      <w:bookmarkEnd w:id="224"/>
    </w:p>
    <w:p w14:paraId="3905C00F">
      <w:pPr>
        <w:pStyle w:val="38"/>
        <w:spacing w:line="360" w:lineRule="auto"/>
        <w:rPr>
          <w:highlight w:val="none"/>
          <w:lang w:bidi="ar"/>
        </w:rPr>
      </w:pPr>
      <w:r>
        <w:rPr>
          <w:rFonts w:hint="eastAsia"/>
          <w:highlight w:val="none"/>
        </w:rPr>
        <w:t>30.1</w:t>
      </w:r>
      <w:r>
        <w:rPr>
          <w:rFonts w:hint="eastAsia"/>
          <w:highlight w:val="none"/>
          <w:lang w:bidi="ar"/>
        </w:rPr>
        <w:t>采购人将在评标报告确定的中标候选人名单中按顺序确定中标人，中标候选人并列的，按照</w:t>
      </w:r>
      <w:r>
        <w:rPr>
          <w:rFonts w:hint="eastAsia"/>
          <w:highlight w:val="none"/>
        </w:rPr>
        <w:t>“投标人须知前附表”</w:t>
      </w:r>
      <w:r>
        <w:rPr>
          <w:rFonts w:hint="eastAsia"/>
          <w:highlight w:val="none"/>
          <w:lang w:bidi="ar"/>
        </w:rPr>
        <w:t>确定中标人；招标文件未规定的，采取随机抽取的方式确定。采购人是否委托评标委员会直接确定中标人，见</w:t>
      </w:r>
      <w:r>
        <w:rPr>
          <w:rFonts w:hint="eastAsia"/>
          <w:highlight w:val="none"/>
        </w:rPr>
        <w:t>“投标人须知前附表”</w:t>
      </w:r>
      <w:r>
        <w:rPr>
          <w:rFonts w:hint="eastAsia"/>
          <w:highlight w:val="none"/>
          <w:lang w:bidi="ar"/>
        </w:rPr>
        <w:t>。</w:t>
      </w:r>
    </w:p>
    <w:p w14:paraId="2CA5D3AC">
      <w:pPr>
        <w:pStyle w:val="38"/>
        <w:spacing w:line="360" w:lineRule="auto"/>
        <w:rPr>
          <w:highlight w:val="none"/>
          <w:lang w:bidi="ar"/>
        </w:rPr>
      </w:pPr>
      <w:r>
        <w:rPr>
          <w:rFonts w:hint="eastAsia"/>
          <w:highlight w:val="none"/>
          <w:lang w:bidi="ar"/>
        </w:rPr>
        <w:t>30.2采用综合评分法的采购项目，提供相同品牌产品且通过资格审查、符合性审查的不同</w:t>
      </w:r>
      <w:r>
        <w:rPr>
          <w:rFonts w:hint="eastAsia"/>
          <w:highlight w:val="none"/>
        </w:rPr>
        <w:t>投标人</w:t>
      </w:r>
      <w:r>
        <w:rPr>
          <w:rFonts w:hint="eastAsia"/>
          <w:highlight w:val="none"/>
          <w:lang w:bidi="ar"/>
        </w:rPr>
        <w:t>参加同一合同项下投标的，按一家投标人计算，评审后得分最高的同品牌投标人获得中标人推荐资格；评审得分相同的，由采购人或者采购人委托评标委员会按照</w:t>
      </w:r>
      <w:r>
        <w:rPr>
          <w:rFonts w:hint="eastAsia"/>
          <w:highlight w:val="none"/>
        </w:rPr>
        <w:t>“投标人须知前附表”</w:t>
      </w:r>
      <w:r>
        <w:rPr>
          <w:rFonts w:hint="eastAsia"/>
          <w:highlight w:val="none"/>
          <w:lang w:bidi="ar"/>
        </w:rPr>
        <w:t>规定的方式确定一个投标人获得中标人推荐资格，招标文件未规定的采取随机抽取方式确定，其他同品牌投标人不作为中标候选人。</w:t>
      </w:r>
    </w:p>
    <w:p w14:paraId="70B62740">
      <w:pPr>
        <w:pStyle w:val="38"/>
        <w:spacing w:line="360" w:lineRule="auto"/>
        <w:rPr>
          <w:highlight w:val="none"/>
          <w:lang w:bidi="ar"/>
        </w:rPr>
      </w:pPr>
      <w:r>
        <w:rPr>
          <w:rFonts w:hint="eastAsia"/>
          <w:highlight w:val="none"/>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highlight w:val="none"/>
        </w:rPr>
        <w:t>“投标人须知前附表”</w:t>
      </w:r>
      <w:r>
        <w:rPr>
          <w:rFonts w:hint="eastAsia"/>
          <w:highlight w:val="none"/>
          <w:lang w:bidi="ar"/>
        </w:rPr>
        <w:t>规定的方式确定一个参加评标的投标人，招标文件未规定的采取随机抽取方式确定，其他投标无效。</w:t>
      </w:r>
    </w:p>
    <w:p w14:paraId="170CC42E">
      <w:pPr>
        <w:pStyle w:val="38"/>
        <w:spacing w:line="360" w:lineRule="auto"/>
        <w:rPr>
          <w:highlight w:val="none"/>
        </w:rPr>
      </w:pPr>
      <w:r>
        <w:rPr>
          <w:rFonts w:hint="eastAsia"/>
          <w:highlight w:val="none"/>
          <w:lang w:bidi="ar"/>
        </w:rPr>
        <w:t>30.4非单一产品采购项目，采购人应当根据采购项目技术构成、产品价格比重等合理确定</w:t>
      </w:r>
      <w:r>
        <w:rPr>
          <w:rFonts w:hint="eastAsia"/>
          <w:highlight w:val="none"/>
        </w:rPr>
        <w:t>核心</w:t>
      </w:r>
      <w:r>
        <w:rPr>
          <w:rFonts w:hint="eastAsia"/>
          <w:highlight w:val="none"/>
          <w:lang w:bidi="ar"/>
        </w:rPr>
        <w:t>产品，并在</w:t>
      </w:r>
      <w:r>
        <w:rPr>
          <w:rFonts w:hint="eastAsia"/>
          <w:highlight w:val="none"/>
        </w:rPr>
        <w:t>“投标人须知前附表”</w:t>
      </w:r>
      <w:r>
        <w:rPr>
          <w:rFonts w:hint="eastAsia"/>
          <w:highlight w:val="none"/>
          <w:lang w:bidi="ar"/>
        </w:rPr>
        <w:t xml:space="preserve">中载明。多家投标人提供的核心产品品牌相同的，按前两款规定处理。 </w:t>
      </w:r>
    </w:p>
    <w:p w14:paraId="5FCECAFC">
      <w:pPr>
        <w:pStyle w:val="5"/>
        <w:spacing w:line="360" w:lineRule="auto"/>
        <w:rPr>
          <w:highlight w:val="none"/>
        </w:rPr>
      </w:pPr>
      <w:bookmarkStart w:id="225" w:name="_Toc163492861"/>
      <w:bookmarkStart w:id="226" w:name="_Toc140132794"/>
      <w:r>
        <w:rPr>
          <w:rFonts w:hint="eastAsia"/>
          <w:highlight w:val="none"/>
        </w:rPr>
        <w:t>31.中标结果公告</w:t>
      </w:r>
      <w:bookmarkEnd w:id="225"/>
      <w:bookmarkEnd w:id="226"/>
    </w:p>
    <w:p w14:paraId="1B4E212E">
      <w:pPr>
        <w:pStyle w:val="38"/>
        <w:spacing w:line="360" w:lineRule="auto"/>
        <w:rPr>
          <w:highlight w:val="none"/>
        </w:rPr>
      </w:pPr>
      <w:r>
        <w:rPr>
          <w:bCs/>
          <w:highlight w:val="none"/>
        </w:rPr>
        <w:t>3</w:t>
      </w:r>
      <w:r>
        <w:rPr>
          <w:rFonts w:hint="eastAsia"/>
          <w:bCs/>
          <w:highlight w:val="none"/>
          <w:lang w:val="en-US"/>
        </w:rPr>
        <w:t>1</w:t>
      </w:r>
      <w:r>
        <w:rPr>
          <w:rFonts w:hint="eastAsia"/>
          <w:highlight w:val="none"/>
        </w:rPr>
        <w:t>.1</w:t>
      </w:r>
      <w:r>
        <w:rPr>
          <w:rFonts w:hint="eastAsia"/>
          <w:highlight w:val="none"/>
          <w:lang w:val="en-US"/>
        </w:rPr>
        <w:t>采购人或</w:t>
      </w:r>
      <w:r>
        <w:rPr>
          <w:rFonts w:hint="eastAsia"/>
          <w:highlight w:val="none"/>
        </w:rPr>
        <w:t>采购代理机构应当自中标人确定之日起2个工作日内，在</w:t>
      </w:r>
      <w:r>
        <w:rPr>
          <w:rFonts w:hint="eastAsia"/>
          <w:highlight w:val="none"/>
          <w:lang w:val="en-US"/>
        </w:rPr>
        <w:t>发布招标公告的同一</w:t>
      </w:r>
      <w:r>
        <w:rPr>
          <w:rFonts w:hint="eastAsia"/>
          <w:highlight w:val="none"/>
        </w:rPr>
        <w:t>媒体上发布中标结果公告，</w:t>
      </w:r>
      <w:r>
        <w:rPr>
          <w:rFonts w:hint="eastAsia"/>
          <w:highlight w:val="none"/>
          <w:lang w:val="en-US"/>
        </w:rPr>
        <w:t>同时向中标人</w:t>
      </w:r>
      <w:r>
        <w:rPr>
          <w:rFonts w:hint="eastAsia"/>
          <w:highlight w:val="none"/>
        </w:rPr>
        <w:t>发出中标通知书。招标文件随中标结果同时公告，中标结果公告期限为1个工作日。</w:t>
      </w:r>
    </w:p>
    <w:p w14:paraId="1F5BB050">
      <w:pPr>
        <w:pStyle w:val="38"/>
        <w:spacing w:line="360" w:lineRule="auto"/>
        <w:rPr>
          <w:highlight w:val="none"/>
        </w:rPr>
      </w:pPr>
      <w:r>
        <w:rPr>
          <w:rFonts w:hint="eastAsia"/>
          <w:highlight w:val="none"/>
        </w:rPr>
        <w:t>3</w:t>
      </w:r>
      <w:r>
        <w:rPr>
          <w:rFonts w:hint="eastAsia"/>
          <w:highlight w:val="none"/>
          <w:lang w:val="en-US"/>
        </w:rPr>
        <w:t>1</w:t>
      </w:r>
      <w:r>
        <w:rPr>
          <w:highlight w:val="none"/>
        </w:rPr>
        <w:t>.2</w:t>
      </w:r>
      <w:r>
        <w:rPr>
          <w:rFonts w:hint="eastAsia"/>
          <w:highlight w:val="none"/>
        </w:rPr>
        <w:t>中标</w:t>
      </w:r>
      <w:r>
        <w:rPr>
          <w:rFonts w:hint="eastAsia"/>
          <w:highlight w:val="none"/>
          <w:lang w:val="en-US"/>
        </w:rPr>
        <w:t>人</w:t>
      </w:r>
      <w:r>
        <w:rPr>
          <w:rFonts w:hint="eastAsia"/>
          <w:highlight w:val="none"/>
        </w:rPr>
        <w:t>为中小企业</w:t>
      </w:r>
      <w:r>
        <w:rPr>
          <w:rFonts w:hint="eastAsia"/>
          <w:highlight w:val="none"/>
          <w:lang w:val="en-US"/>
        </w:rPr>
        <w:t>享受中小企业扶持政策的</w:t>
      </w:r>
      <w:r>
        <w:rPr>
          <w:rFonts w:hint="eastAsia"/>
          <w:highlight w:val="none"/>
        </w:rPr>
        <w:t>，其“中小企业声明函”随中标结果同时公告。中标</w:t>
      </w:r>
      <w:r>
        <w:rPr>
          <w:rFonts w:hint="eastAsia"/>
          <w:highlight w:val="none"/>
          <w:lang w:val="en-US"/>
        </w:rPr>
        <w:t>人</w:t>
      </w:r>
      <w:r>
        <w:rPr>
          <w:rFonts w:hint="eastAsia"/>
          <w:highlight w:val="none"/>
        </w:rPr>
        <w:t>为残疾人福利性单位的，其“残疾人福利性单位声明函”随中标结果同时公告。</w:t>
      </w:r>
    </w:p>
    <w:p w14:paraId="1B87B54C">
      <w:pPr>
        <w:pStyle w:val="38"/>
        <w:spacing w:line="360" w:lineRule="auto"/>
        <w:rPr>
          <w:highlight w:val="none"/>
        </w:rPr>
      </w:pPr>
      <w:r>
        <w:rPr>
          <w:rFonts w:hint="eastAsia"/>
          <w:highlight w:val="none"/>
          <w:lang w:val="en-US"/>
        </w:rPr>
        <w:t>31.3</w:t>
      </w:r>
      <w:r>
        <w:rPr>
          <w:rFonts w:hint="eastAsia"/>
          <w:highlight w:val="none"/>
        </w:rPr>
        <w:t>项目采购采用最低评标价法的，公告中标结果时同时公告因落实政府采购政策等原因进行价格扣除后中标</w:t>
      </w:r>
      <w:r>
        <w:rPr>
          <w:rFonts w:hint="eastAsia"/>
          <w:highlight w:val="none"/>
          <w:lang w:val="en-US"/>
        </w:rPr>
        <w:t>人</w:t>
      </w:r>
      <w:r>
        <w:rPr>
          <w:rFonts w:hint="eastAsia"/>
          <w:highlight w:val="none"/>
        </w:rPr>
        <w:t>的评审报价；项目采购采用综合评分法的，公告中标结果时同时公告中标</w:t>
      </w:r>
      <w:r>
        <w:rPr>
          <w:rFonts w:hint="eastAsia"/>
          <w:highlight w:val="none"/>
          <w:lang w:val="en-US"/>
        </w:rPr>
        <w:t>供应商</w:t>
      </w:r>
      <w:r>
        <w:rPr>
          <w:rFonts w:hint="eastAsia"/>
          <w:highlight w:val="none"/>
        </w:rPr>
        <w:t>的评审总得分。</w:t>
      </w:r>
    </w:p>
    <w:p w14:paraId="4042DBFB">
      <w:pPr>
        <w:pStyle w:val="5"/>
        <w:spacing w:line="360" w:lineRule="auto"/>
        <w:rPr>
          <w:highlight w:val="none"/>
        </w:rPr>
      </w:pPr>
      <w:bookmarkStart w:id="227" w:name="_Toc140132795"/>
      <w:bookmarkStart w:id="228" w:name="_Toc163492862"/>
      <w:r>
        <w:rPr>
          <w:rFonts w:hint="eastAsia"/>
          <w:highlight w:val="none"/>
        </w:rPr>
        <w:t>32.中标通知</w:t>
      </w:r>
      <w:bookmarkEnd w:id="227"/>
      <w:bookmarkEnd w:id="228"/>
    </w:p>
    <w:p w14:paraId="5FFE0EF0">
      <w:pPr>
        <w:pStyle w:val="38"/>
        <w:spacing w:line="360" w:lineRule="auto"/>
        <w:rPr>
          <w:highlight w:val="none"/>
        </w:rPr>
      </w:pPr>
      <w:r>
        <w:rPr>
          <w:bCs/>
          <w:highlight w:val="none"/>
        </w:rPr>
        <w:t>3</w:t>
      </w:r>
      <w:r>
        <w:rPr>
          <w:rFonts w:hint="eastAsia"/>
          <w:bCs/>
          <w:highlight w:val="none"/>
          <w:lang w:val="en-US"/>
        </w:rPr>
        <w:t>2</w:t>
      </w:r>
      <w:r>
        <w:rPr>
          <w:rFonts w:hint="eastAsia"/>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308FF677">
      <w:pPr>
        <w:pStyle w:val="38"/>
        <w:spacing w:line="360" w:lineRule="auto"/>
        <w:rPr>
          <w:highlight w:val="none"/>
        </w:rPr>
      </w:pPr>
      <w:r>
        <w:rPr>
          <w:rFonts w:hint="eastAsia"/>
          <w:highlight w:val="none"/>
        </w:rPr>
        <w:t>32.2中标通知书对采购人和中标人均具有法律效力。中标通知书发出后，采购人改变中标结果的，或者中标人放弃中标项目的，应当依法承担法律责任。</w:t>
      </w:r>
    </w:p>
    <w:p w14:paraId="1DEEEE93">
      <w:pPr>
        <w:pStyle w:val="4"/>
        <w:spacing w:line="360" w:lineRule="auto"/>
        <w:rPr>
          <w:highlight w:val="none"/>
        </w:rPr>
      </w:pPr>
      <w:bookmarkStart w:id="229" w:name="_Toc163492863"/>
      <w:r>
        <w:rPr>
          <w:rFonts w:hint="eastAsia"/>
          <w:highlight w:val="none"/>
        </w:rPr>
        <w:t>（九）签订</w:t>
      </w:r>
      <w:bookmarkStart w:id="230" w:name="_Toc155185880"/>
      <w:bookmarkStart w:id="231" w:name="_Toc140132796"/>
      <w:r>
        <w:rPr>
          <w:rFonts w:hint="eastAsia"/>
          <w:highlight w:val="none"/>
        </w:rPr>
        <w:t>合同</w:t>
      </w:r>
      <w:bookmarkEnd w:id="229"/>
      <w:bookmarkEnd w:id="230"/>
      <w:bookmarkEnd w:id="231"/>
    </w:p>
    <w:p w14:paraId="724351D8">
      <w:pPr>
        <w:pStyle w:val="5"/>
        <w:spacing w:line="360" w:lineRule="auto"/>
        <w:rPr>
          <w:highlight w:val="none"/>
        </w:rPr>
      </w:pPr>
      <w:bookmarkStart w:id="232" w:name="_Toc140132797"/>
      <w:bookmarkStart w:id="233" w:name="_Toc163492864"/>
      <w:r>
        <w:rPr>
          <w:rFonts w:hint="eastAsia"/>
          <w:highlight w:val="none"/>
        </w:rPr>
        <w:t>33.履约保证金</w:t>
      </w:r>
      <w:bookmarkEnd w:id="232"/>
      <w:bookmarkEnd w:id="233"/>
    </w:p>
    <w:p w14:paraId="1BA7C082">
      <w:pPr>
        <w:pStyle w:val="38"/>
        <w:spacing w:line="360" w:lineRule="auto"/>
        <w:rPr>
          <w:highlight w:val="none"/>
        </w:rPr>
      </w:pPr>
      <w:r>
        <w:rPr>
          <w:bCs/>
          <w:highlight w:val="none"/>
        </w:rPr>
        <w:t>3</w:t>
      </w:r>
      <w:r>
        <w:rPr>
          <w:rFonts w:hint="eastAsia"/>
          <w:bCs/>
          <w:highlight w:val="none"/>
          <w:lang w:val="en-US"/>
        </w:rPr>
        <w:t>3</w:t>
      </w:r>
      <w:r>
        <w:rPr>
          <w:rFonts w:hint="eastAsia"/>
          <w:highlight w:val="none"/>
        </w:rPr>
        <w:t>.1在签订合同前，中标人应按“投标人须知前附表”规定的金额、担保形式和采购人认可的履约担保格式向采购人提交履约保证金。</w:t>
      </w:r>
    </w:p>
    <w:p w14:paraId="0D910A94">
      <w:pPr>
        <w:pStyle w:val="38"/>
        <w:spacing w:line="360" w:lineRule="auto"/>
        <w:rPr>
          <w:highlight w:val="none"/>
        </w:rPr>
      </w:pPr>
      <w:r>
        <w:rPr>
          <w:bCs/>
          <w:highlight w:val="none"/>
        </w:rPr>
        <w:t>3</w:t>
      </w:r>
      <w:r>
        <w:rPr>
          <w:rFonts w:hint="eastAsia"/>
          <w:bCs/>
          <w:highlight w:val="none"/>
          <w:lang w:val="en-US"/>
        </w:rPr>
        <w:t>3</w:t>
      </w:r>
      <w:r>
        <w:rPr>
          <w:rFonts w:hint="eastAsia"/>
          <w:highlight w:val="none"/>
        </w:rPr>
        <w:t>.2中标人不能按本章第</w:t>
      </w:r>
      <w:r>
        <w:rPr>
          <w:highlight w:val="none"/>
        </w:rPr>
        <w:t>3</w:t>
      </w:r>
      <w:r>
        <w:rPr>
          <w:rFonts w:hint="eastAsia"/>
          <w:highlight w:val="none"/>
          <w:lang w:val="en-US"/>
        </w:rPr>
        <w:t>3</w:t>
      </w:r>
      <w:r>
        <w:rPr>
          <w:rFonts w:hint="eastAsia"/>
          <w:highlight w:val="none"/>
        </w:rPr>
        <w:t>.1项要求提交履约担保的，视为放弃中标，给采购人造成损失的，中标人还应当承担民事责任。</w:t>
      </w:r>
    </w:p>
    <w:p w14:paraId="104F90F5">
      <w:pPr>
        <w:pStyle w:val="5"/>
        <w:spacing w:line="360" w:lineRule="auto"/>
        <w:rPr>
          <w:highlight w:val="none"/>
        </w:rPr>
      </w:pPr>
      <w:bookmarkStart w:id="234" w:name="_Toc140132798"/>
      <w:bookmarkStart w:id="235" w:name="_Toc163492865"/>
      <w:r>
        <w:rPr>
          <w:rFonts w:hint="eastAsia"/>
          <w:highlight w:val="none"/>
        </w:rPr>
        <w:t>34.签订合同</w:t>
      </w:r>
      <w:bookmarkEnd w:id="234"/>
      <w:bookmarkEnd w:id="235"/>
    </w:p>
    <w:p w14:paraId="5778BB87">
      <w:pPr>
        <w:pStyle w:val="38"/>
        <w:spacing w:line="360" w:lineRule="auto"/>
        <w:rPr>
          <w:highlight w:val="none"/>
        </w:rPr>
      </w:pPr>
      <w:r>
        <w:rPr>
          <w:bCs/>
          <w:highlight w:val="none"/>
        </w:rPr>
        <w:t>3</w:t>
      </w:r>
      <w:r>
        <w:rPr>
          <w:rFonts w:hint="eastAsia"/>
          <w:bCs/>
          <w:highlight w:val="none"/>
          <w:lang w:val="en-US"/>
        </w:rPr>
        <w:t>4</w:t>
      </w:r>
      <w:r>
        <w:rPr>
          <w:rFonts w:hint="eastAsia"/>
          <w:highlight w:val="none"/>
        </w:rPr>
        <w:t>.1 采购人和中标人应当自中标通知书发出之日起</w:t>
      </w:r>
      <w:r>
        <w:rPr>
          <w:rFonts w:hint="eastAsia"/>
          <w:highlight w:val="none"/>
          <w:lang w:val="en-US"/>
        </w:rPr>
        <w:t>25</w:t>
      </w:r>
      <w:r>
        <w:rPr>
          <w:rFonts w:hint="eastAsia"/>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4DBF108B">
      <w:pPr>
        <w:pStyle w:val="38"/>
        <w:spacing w:line="360" w:lineRule="auto"/>
        <w:rPr>
          <w:highlight w:val="none"/>
        </w:rPr>
      </w:pPr>
      <w:r>
        <w:rPr>
          <w:rFonts w:hint="eastAsia"/>
          <w:highlight w:val="none"/>
        </w:rPr>
        <w:t>34.2 中标人拒绝与采购人签订合同的，采购人可以按照评标报告推荐的中标候选人名单排序，确定下一候选人为中标人，也可以重新开展政府采购活动。</w:t>
      </w:r>
    </w:p>
    <w:p w14:paraId="35EA90EB">
      <w:pPr>
        <w:pStyle w:val="38"/>
        <w:spacing w:line="360" w:lineRule="auto"/>
        <w:rPr>
          <w:highlight w:val="none"/>
        </w:rPr>
      </w:pPr>
      <w:r>
        <w:rPr>
          <w:bCs/>
          <w:highlight w:val="none"/>
        </w:rPr>
        <w:t>3</w:t>
      </w:r>
      <w:r>
        <w:rPr>
          <w:rFonts w:hint="eastAsia"/>
          <w:bCs/>
          <w:highlight w:val="none"/>
          <w:lang w:val="en-US"/>
        </w:rPr>
        <w:t>4</w:t>
      </w:r>
      <w:r>
        <w:rPr>
          <w:rFonts w:hint="eastAsia"/>
          <w:highlight w:val="none"/>
        </w:rPr>
        <w:t>.</w:t>
      </w:r>
      <w:r>
        <w:rPr>
          <w:rFonts w:hint="eastAsia"/>
          <w:highlight w:val="none"/>
          <w:lang w:val="en-US"/>
        </w:rPr>
        <w:t>3</w:t>
      </w:r>
      <w:r>
        <w:rPr>
          <w:rFonts w:hint="eastAsia"/>
          <w:highlight w:val="none"/>
        </w:rPr>
        <w:t xml:space="preserve"> 采购人和中标人不得向对方提出任何不合理的要求，作为签订合同的条件，双方不得私下订立背离合同实质性内容的协议。</w:t>
      </w:r>
    </w:p>
    <w:p w14:paraId="02C65AD8">
      <w:pPr>
        <w:pStyle w:val="38"/>
        <w:spacing w:line="360" w:lineRule="auto"/>
        <w:rPr>
          <w:highlight w:val="none"/>
        </w:rPr>
      </w:pPr>
      <w:r>
        <w:rPr>
          <w:rFonts w:hint="eastAsia"/>
          <w:highlight w:val="none"/>
        </w:rPr>
        <w:t>34.4 联合体中标的，联合体各方应当共同与采购人签订合同，就采购合同约定的事项向采购人承担连带责任。</w:t>
      </w:r>
    </w:p>
    <w:p w14:paraId="0E97D149">
      <w:pPr>
        <w:pStyle w:val="38"/>
        <w:spacing w:line="360" w:lineRule="auto"/>
        <w:rPr>
          <w:b/>
          <w:bCs/>
          <w:highlight w:val="none"/>
        </w:rPr>
      </w:pPr>
      <w:r>
        <w:rPr>
          <w:rFonts w:hint="eastAsia"/>
          <w:highlight w:val="none"/>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highlight w:val="none"/>
        </w:rPr>
        <w:t>投标无效</w:t>
      </w:r>
      <w:r>
        <w:rPr>
          <w:rFonts w:hint="eastAsia"/>
          <w:highlight w:val="none"/>
        </w:rPr>
        <w:t>。中标人就采购项目和分包项目向采购人负责，分包供应商就分包项目承担责任。</w:t>
      </w:r>
      <w:r>
        <w:rPr>
          <w:rFonts w:hint="eastAsia"/>
          <w:b/>
          <w:bCs/>
          <w:highlight w:val="none"/>
        </w:rPr>
        <w:t>政府采购合同不能转包。</w:t>
      </w:r>
    </w:p>
    <w:p w14:paraId="71449591">
      <w:pPr>
        <w:pStyle w:val="38"/>
        <w:spacing w:line="360" w:lineRule="auto"/>
        <w:rPr>
          <w:highlight w:val="none"/>
        </w:rPr>
      </w:pPr>
      <w:r>
        <w:rPr>
          <w:bCs/>
          <w:highlight w:val="none"/>
        </w:rPr>
        <w:t>3</w:t>
      </w:r>
      <w:r>
        <w:rPr>
          <w:rFonts w:hint="eastAsia"/>
          <w:bCs/>
          <w:highlight w:val="none"/>
          <w:lang w:val="en-US"/>
        </w:rPr>
        <w:t>4</w:t>
      </w:r>
      <w:r>
        <w:rPr>
          <w:rFonts w:hint="eastAsia"/>
          <w:highlight w:val="none"/>
        </w:rPr>
        <w:t>.</w:t>
      </w:r>
      <w:r>
        <w:rPr>
          <w:rFonts w:hint="eastAsia"/>
          <w:highlight w:val="none"/>
          <w:lang w:val="en-US"/>
        </w:rPr>
        <w:t>6</w:t>
      </w:r>
      <w:r>
        <w:rPr>
          <w:rFonts w:hint="eastAsia"/>
          <w:highlight w:val="none"/>
        </w:rPr>
        <w:t>采购合同履行中，采购人需追加与合同标的相同的</w:t>
      </w:r>
      <w:r>
        <w:rPr>
          <w:rFonts w:hint="eastAsia"/>
          <w:highlight w:val="none"/>
          <w:lang w:val="en-US"/>
        </w:rPr>
        <w:t>货物、工程或者服务</w:t>
      </w:r>
      <w:r>
        <w:rPr>
          <w:rFonts w:hint="eastAsia"/>
          <w:highlight w:val="none"/>
        </w:rPr>
        <w:t>的，在不改变合同其他条款的前提下，可以与中标人协商签订补充合同，但所有补充合同的采购金额不得超过原合同采购金额的百分之十。</w:t>
      </w:r>
    </w:p>
    <w:p w14:paraId="6F2AC76C">
      <w:pPr>
        <w:pStyle w:val="38"/>
        <w:spacing w:line="360" w:lineRule="auto"/>
        <w:rPr>
          <w:highlight w:val="none"/>
        </w:rPr>
      </w:pPr>
      <w:r>
        <w:rPr>
          <w:rFonts w:hint="eastAsia"/>
          <w:highlight w:val="none"/>
        </w:rPr>
        <w:t>34.7 采购人应于签订合同之日起2个工作日内在政采云平台备案公示。</w:t>
      </w:r>
    </w:p>
    <w:p w14:paraId="57315BDD">
      <w:pPr>
        <w:pStyle w:val="4"/>
        <w:spacing w:line="360" w:lineRule="auto"/>
        <w:rPr>
          <w:highlight w:val="none"/>
        </w:rPr>
      </w:pPr>
      <w:bookmarkStart w:id="236" w:name="_Toc163492866"/>
      <w:bookmarkStart w:id="237" w:name="_Toc140132799"/>
      <w:bookmarkStart w:id="238" w:name="_Toc155185881"/>
      <w:r>
        <w:rPr>
          <w:rFonts w:hint="eastAsia"/>
          <w:highlight w:val="none"/>
        </w:rPr>
        <w:t>（十）质疑和投诉</w:t>
      </w:r>
      <w:bookmarkEnd w:id="236"/>
      <w:bookmarkEnd w:id="237"/>
      <w:bookmarkEnd w:id="238"/>
    </w:p>
    <w:p w14:paraId="1B9E2134">
      <w:pPr>
        <w:pStyle w:val="5"/>
        <w:spacing w:line="360" w:lineRule="auto"/>
        <w:rPr>
          <w:highlight w:val="none"/>
        </w:rPr>
      </w:pPr>
      <w:bookmarkStart w:id="239" w:name="_Toc140132800"/>
      <w:bookmarkStart w:id="240" w:name="_Toc163492867"/>
      <w:r>
        <w:rPr>
          <w:rFonts w:hint="eastAsia"/>
          <w:highlight w:val="none"/>
        </w:rPr>
        <w:t>35.质疑</w:t>
      </w:r>
      <w:bookmarkEnd w:id="239"/>
      <w:bookmarkEnd w:id="240"/>
    </w:p>
    <w:p w14:paraId="1C6C7B4B">
      <w:pPr>
        <w:pStyle w:val="38"/>
        <w:spacing w:line="360" w:lineRule="auto"/>
        <w:rPr>
          <w:highlight w:val="none"/>
          <w:lang w:val="en-US"/>
        </w:rPr>
      </w:pPr>
      <w:r>
        <w:rPr>
          <w:highlight w:val="none"/>
        </w:rPr>
        <w:t>3</w:t>
      </w:r>
      <w:r>
        <w:rPr>
          <w:rFonts w:hint="eastAsia"/>
          <w:highlight w:val="none"/>
          <w:lang w:val="en-US"/>
        </w:rPr>
        <w:t>5</w:t>
      </w:r>
      <w:r>
        <w:rPr>
          <w:rFonts w:hint="eastAsia"/>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highlight w:val="none"/>
          <w:lang w:val="en-US"/>
        </w:rPr>
        <w:t>详见“投标人须知前附表”</w:t>
      </w:r>
      <w:r>
        <w:rPr>
          <w:rFonts w:hint="eastAsia"/>
          <w:highlight w:val="none"/>
        </w:rPr>
        <w:t>。供应商在法定质疑期内一次性提出针对同一采购程序环节的质疑。</w:t>
      </w:r>
    </w:p>
    <w:p w14:paraId="08C2B6F4">
      <w:pPr>
        <w:pStyle w:val="38"/>
        <w:spacing w:line="360" w:lineRule="auto"/>
        <w:rPr>
          <w:highlight w:val="none"/>
        </w:rPr>
      </w:pPr>
      <w:r>
        <w:rPr>
          <w:highlight w:val="none"/>
        </w:rPr>
        <w:t>3</w:t>
      </w:r>
      <w:r>
        <w:rPr>
          <w:rFonts w:hint="eastAsia"/>
          <w:highlight w:val="none"/>
          <w:lang w:val="en-US"/>
        </w:rPr>
        <w:t>5</w:t>
      </w:r>
      <w:r>
        <w:rPr>
          <w:rFonts w:hint="eastAsia"/>
          <w:highlight w:val="none"/>
        </w:rPr>
        <w:t>.2提出质疑的供应商（以下简称质疑供应商）应当是参与所质疑项目采购活动的供应商。</w:t>
      </w:r>
    </w:p>
    <w:p w14:paraId="30F165CA">
      <w:pPr>
        <w:pStyle w:val="38"/>
        <w:spacing w:line="360" w:lineRule="auto"/>
        <w:rPr>
          <w:highlight w:val="none"/>
        </w:rPr>
      </w:pPr>
      <w:r>
        <w:rPr>
          <w:rFonts w:hint="eastAsia"/>
          <w:highlight w:val="none"/>
          <w:lang w:val="en-US"/>
        </w:rPr>
        <w:t>35.3</w:t>
      </w:r>
      <w:r>
        <w:rPr>
          <w:rFonts w:hint="eastAsia"/>
          <w:highlight w:val="none"/>
        </w:rPr>
        <w:t>潜在供应商已依法获取其可质疑的采购文件的，可以对该文件提出质疑。对采购文件提出质疑的，应当在获取采购文件或者采购文件公告期限届满之日起7个工作日内提出。</w:t>
      </w:r>
    </w:p>
    <w:p w14:paraId="37DAC43C">
      <w:pPr>
        <w:pStyle w:val="38"/>
        <w:spacing w:line="360" w:lineRule="auto"/>
        <w:rPr>
          <w:highlight w:val="none"/>
        </w:rPr>
      </w:pPr>
      <w:r>
        <w:rPr>
          <w:rFonts w:hint="eastAsia"/>
          <w:highlight w:val="none"/>
          <w:lang w:val="en-US"/>
        </w:rPr>
        <w:t>35.4</w:t>
      </w:r>
      <w:r>
        <w:rPr>
          <w:rFonts w:hint="eastAsia"/>
          <w:highlight w:val="none"/>
        </w:rPr>
        <w:t>供应商提出质疑应当提交质疑函和必要的证明材料。质疑函应当包括下列内容：</w:t>
      </w:r>
    </w:p>
    <w:p w14:paraId="5EA70112">
      <w:pPr>
        <w:pStyle w:val="38"/>
        <w:spacing w:line="360" w:lineRule="auto"/>
        <w:rPr>
          <w:highlight w:val="none"/>
        </w:rPr>
      </w:pPr>
      <w:r>
        <w:rPr>
          <w:rFonts w:hint="eastAsia"/>
          <w:highlight w:val="none"/>
        </w:rPr>
        <w:t>（</w:t>
      </w:r>
      <w:r>
        <w:rPr>
          <w:rFonts w:hint="eastAsia"/>
          <w:highlight w:val="none"/>
          <w:lang w:val="en-US"/>
        </w:rPr>
        <w:t>1</w:t>
      </w:r>
      <w:r>
        <w:rPr>
          <w:rFonts w:hint="eastAsia"/>
          <w:highlight w:val="none"/>
        </w:rPr>
        <w:t>）供应商的姓名或者名称、地址、邮编、联系人及联系电话；</w:t>
      </w:r>
    </w:p>
    <w:p w14:paraId="47E0F01F">
      <w:pPr>
        <w:pStyle w:val="38"/>
        <w:spacing w:line="360" w:lineRule="auto"/>
        <w:rPr>
          <w:highlight w:val="none"/>
        </w:rPr>
      </w:pPr>
      <w:r>
        <w:rPr>
          <w:rFonts w:hint="eastAsia"/>
          <w:highlight w:val="none"/>
        </w:rPr>
        <w:t>（</w:t>
      </w:r>
      <w:r>
        <w:rPr>
          <w:rFonts w:hint="eastAsia"/>
          <w:highlight w:val="none"/>
          <w:lang w:val="en-US"/>
        </w:rPr>
        <w:t>2</w:t>
      </w:r>
      <w:r>
        <w:rPr>
          <w:rFonts w:hint="eastAsia"/>
          <w:highlight w:val="none"/>
        </w:rPr>
        <w:t>）质疑项目的名称、</w:t>
      </w:r>
      <w:r>
        <w:rPr>
          <w:rFonts w:hint="eastAsia"/>
          <w:highlight w:val="none"/>
          <w:lang w:val="en-US"/>
        </w:rPr>
        <w:t>项目</w:t>
      </w:r>
      <w:r>
        <w:rPr>
          <w:rFonts w:hint="eastAsia"/>
          <w:highlight w:val="none"/>
        </w:rPr>
        <w:t>编号</w:t>
      </w:r>
      <w:r>
        <w:rPr>
          <w:rFonts w:hint="eastAsia"/>
          <w:highlight w:val="none"/>
          <w:lang w:val="en-US"/>
        </w:rPr>
        <w:t>/包号</w:t>
      </w:r>
      <w:r>
        <w:rPr>
          <w:rFonts w:hint="eastAsia"/>
          <w:highlight w:val="none"/>
        </w:rPr>
        <w:t>；</w:t>
      </w:r>
    </w:p>
    <w:p w14:paraId="1B68B446">
      <w:pPr>
        <w:pStyle w:val="38"/>
        <w:spacing w:line="360" w:lineRule="auto"/>
        <w:rPr>
          <w:highlight w:val="none"/>
        </w:rPr>
      </w:pPr>
      <w:r>
        <w:rPr>
          <w:rFonts w:hint="eastAsia"/>
          <w:highlight w:val="none"/>
        </w:rPr>
        <w:t>（</w:t>
      </w:r>
      <w:r>
        <w:rPr>
          <w:rFonts w:hint="eastAsia"/>
          <w:highlight w:val="none"/>
          <w:lang w:val="en-US"/>
        </w:rPr>
        <w:t>3</w:t>
      </w:r>
      <w:r>
        <w:rPr>
          <w:rFonts w:hint="eastAsia"/>
          <w:highlight w:val="none"/>
        </w:rPr>
        <w:t>）具体、明确的质疑事项和与质疑事项相关的请求；</w:t>
      </w:r>
    </w:p>
    <w:p w14:paraId="1AD8A132">
      <w:pPr>
        <w:pStyle w:val="38"/>
        <w:spacing w:line="360" w:lineRule="auto"/>
        <w:rPr>
          <w:highlight w:val="none"/>
        </w:rPr>
      </w:pPr>
      <w:r>
        <w:rPr>
          <w:rFonts w:hint="eastAsia"/>
          <w:highlight w:val="none"/>
        </w:rPr>
        <w:t>（</w:t>
      </w:r>
      <w:r>
        <w:rPr>
          <w:rFonts w:hint="eastAsia"/>
          <w:highlight w:val="none"/>
          <w:lang w:val="en-US"/>
        </w:rPr>
        <w:t>4</w:t>
      </w:r>
      <w:r>
        <w:rPr>
          <w:rFonts w:hint="eastAsia"/>
          <w:highlight w:val="none"/>
        </w:rPr>
        <w:t>）事实依据；</w:t>
      </w:r>
    </w:p>
    <w:p w14:paraId="03ACC4BF">
      <w:pPr>
        <w:pStyle w:val="38"/>
        <w:spacing w:line="360" w:lineRule="auto"/>
        <w:rPr>
          <w:highlight w:val="none"/>
        </w:rPr>
      </w:pPr>
      <w:r>
        <w:rPr>
          <w:rFonts w:hint="eastAsia"/>
          <w:highlight w:val="none"/>
        </w:rPr>
        <w:t>（</w:t>
      </w:r>
      <w:r>
        <w:rPr>
          <w:rFonts w:hint="eastAsia"/>
          <w:highlight w:val="none"/>
          <w:lang w:val="en-US"/>
        </w:rPr>
        <w:t>5</w:t>
      </w:r>
      <w:r>
        <w:rPr>
          <w:rFonts w:hint="eastAsia"/>
          <w:highlight w:val="none"/>
        </w:rPr>
        <w:t>）必要的法律依据；</w:t>
      </w:r>
    </w:p>
    <w:p w14:paraId="1604951A">
      <w:pPr>
        <w:pStyle w:val="38"/>
        <w:spacing w:line="360" w:lineRule="auto"/>
        <w:rPr>
          <w:highlight w:val="none"/>
        </w:rPr>
      </w:pPr>
      <w:r>
        <w:rPr>
          <w:rFonts w:hint="eastAsia"/>
          <w:highlight w:val="none"/>
        </w:rPr>
        <w:t>（</w:t>
      </w:r>
      <w:r>
        <w:rPr>
          <w:rFonts w:hint="eastAsia"/>
          <w:highlight w:val="none"/>
          <w:lang w:val="en-US"/>
        </w:rPr>
        <w:t>6</w:t>
      </w:r>
      <w:r>
        <w:rPr>
          <w:rFonts w:hint="eastAsia"/>
          <w:highlight w:val="none"/>
        </w:rPr>
        <w:t>）提出质疑的日期。</w:t>
      </w:r>
    </w:p>
    <w:p w14:paraId="48D8C563">
      <w:pPr>
        <w:pStyle w:val="38"/>
        <w:spacing w:line="360" w:lineRule="auto"/>
        <w:rPr>
          <w:highlight w:val="none"/>
        </w:rPr>
      </w:pPr>
      <w:r>
        <w:rPr>
          <w:rFonts w:hint="eastAsia"/>
          <w:highlight w:val="none"/>
        </w:rPr>
        <w:t>供应商为自然人的，应当由本人签字；供应商为法人或者其他组织的，应当由法定代表人、主要负责人，或者其授权代表签字或者盖章，并加盖公章。</w:t>
      </w:r>
    </w:p>
    <w:p w14:paraId="3F19309F">
      <w:pPr>
        <w:pStyle w:val="38"/>
        <w:spacing w:line="360" w:lineRule="auto"/>
        <w:rPr>
          <w:highlight w:val="none"/>
        </w:rPr>
      </w:pPr>
      <w:r>
        <w:rPr>
          <w:highlight w:val="none"/>
        </w:rPr>
        <w:t>3</w:t>
      </w:r>
      <w:r>
        <w:rPr>
          <w:rFonts w:hint="eastAsia"/>
          <w:highlight w:val="none"/>
          <w:lang w:val="en-US"/>
        </w:rPr>
        <w:t>5</w:t>
      </w:r>
      <w:r>
        <w:rPr>
          <w:rFonts w:hint="eastAsia"/>
          <w:highlight w:val="none"/>
        </w:rPr>
        <w:t>.5质疑函不符合上述要求的，采购人或代理机构应书面告知具体事项，质疑人应当按要求进行修改或补充，并在质疑有效期限内提交。</w:t>
      </w:r>
    </w:p>
    <w:p w14:paraId="446B0C71">
      <w:pPr>
        <w:pStyle w:val="38"/>
        <w:spacing w:line="360" w:lineRule="auto"/>
        <w:rPr>
          <w:snapToGrid w:val="0"/>
          <w:highlight w:val="none"/>
        </w:rPr>
      </w:pPr>
      <w:r>
        <w:rPr>
          <w:rFonts w:hint="eastAsia"/>
          <w:snapToGrid w:val="0"/>
          <w:highlight w:val="none"/>
        </w:rPr>
        <w:t>3</w:t>
      </w:r>
      <w:r>
        <w:rPr>
          <w:rFonts w:hint="eastAsia"/>
          <w:snapToGrid w:val="0"/>
          <w:highlight w:val="none"/>
          <w:lang w:val="en-US"/>
        </w:rPr>
        <w:t>5</w:t>
      </w:r>
      <w:r>
        <w:rPr>
          <w:rFonts w:hint="eastAsia"/>
          <w:snapToGrid w:val="0"/>
          <w:highlight w:val="none"/>
        </w:rPr>
        <w:t>.</w:t>
      </w:r>
      <w:r>
        <w:rPr>
          <w:rFonts w:hint="eastAsia"/>
          <w:snapToGrid w:val="0"/>
          <w:highlight w:val="none"/>
          <w:lang w:val="en-US"/>
        </w:rPr>
        <w:t>6</w:t>
      </w:r>
      <w:r>
        <w:rPr>
          <w:rFonts w:hint="eastAsia"/>
          <w:snapToGrid w:val="0"/>
          <w:highlight w:val="none"/>
        </w:rPr>
        <w:t>投标人进行虚假和恶意</w:t>
      </w:r>
      <w:r>
        <w:rPr>
          <w:rFonts w:hint="eastAsia"/>
          <w:snapToGrid w:val="0"/>
          <w:highlight w:val="none"/>
          <w:lang w:val="en-US"/>
        </w:rPr>
        <w:t>质疑投诉</w:t>
      </w:r>
      <w:r>
        <w:rPr>
          <w:rFonts w:hint="eastAsia"/>
          <w:snapToGrid w:val="0"/>
          <w:highlight w:val="none"/>
        </w:rPr>
        <w:t>的，采购代理机构将提请有关部门将其列入不良记录名单，在一至三年内禁止参加政府采购活动，并将处理决定在相关政府采购媒体上公布。</w:t>
      </w:r>
    </w:p>
    <w:p w14:paraId="59C92C3B">
      <w:pPr>
        <w:pStyle w:val="38"/>
        <w:spacing w:line="360" w:lineRule="auto"/>
        <w:rPr>
          <w:snapToGrid w:val="0"/>
          <w:highlight w:val="none"/>
        </w:rPr>
      </w:pPr>
      <w:r>
        <w:rPr>
          <w:rFonts w:hint="eastAsia"/>
          <w:snapToGrid w:val="0"/>
          <w:highlight w:val="none"/>
        </w:rPr>
        <w:t>35.7</w:t>
      </w:r>
      <w:r>
        <w:rPr>
          <w:rFonts w:hint="eastAsia"/>
          <w:highlight w:val="none"/>
        </w:rPr>
        <w:t>质疑函应当使用中文，并采用财政部门制定的范本。</w:t>
      </w:r>
    </w:p>
    <w:p w14:paraId="15B2C3D4">
      <w:pPr>
        <w:pStyle w:val="5"/>
        <w:spacing w:line="360" w:lineRule="auto"/>
        <w:rPr>
          <w:highlight w:val="none"/>
        </w:rPr>
      </w:pPr>
      <w:bookmarkStart w:id="241" w:name="_Toc163492868"/>
      <w:bookmarkStart w:id="242" w:name="_Toc140132801"/>
      <w:r>
        <w:rPr>
          <w:rFonts w:hint="eastAsia"/>
          <w:highlight w:val="none"/>
        </w:rPr>
        <w:t>36.质疑答复</w:t>
      </w:r>
      <w:bookmarkEnd w:id="241"/>
      <w:bookmarkEnd w:id="242"/>
    </w:p>
    <w:p w14:paraId="060F612E">
      <w:pPr>
        <w:pStyle w:val="38"/>
        <w:spacing w:line="360" w:lineRule="auto"/>
        <w:rPr>
          <w:highlight w:val="none"/>
        </w:rPr>
      </w:pPr>
      <w:r>
        <w:rPr>
          <w:highlight w:val="none"/>
        </w:rPr>
        <w:t>3</w:t>
      </w:r>
      <w:r>
        <w:rPr>
          <w:rFonts w:hint="eastAsia"/>
          <w:highlight w:val="none"/>
          <w:lang w:val="en-US"/>
        </w:rPr>
        <w:t>6</w:t>
      </w:r>
      <w:r>
        <w:rPr>
          <w:rFonts w:hint="eastAsia"/>
          <w:highlight w:val="none"/>
        </w:rPr>
        <w:t>.1采购人、采购代理机构不得拒收质疑供应商在法定质疑期内发出的质疑函，应当在收到质疑函后7个工作日内作出答复，并以书面形式通知质疑供应商和其他有关供应商。</w:t>
      </w:r>
    </w:p>
    <w:p w14:paraId="170FC7ED">
      <w:pPr>
        <w:pStyle w:val="38"/>
        <w:spacing w:line="360" w:lineRule="auto"/>
        <w:rPr>
          <w:highlight w:val="none"/>
        </w:rPr>
      </w:pPr>
      <w:r>
        <w:rPr>
          <w:rFonts w:hint="eastAsia"/>
          <w:highlight w:val="none"/>
        </w:rPr>
        <w:t>36.2供应商对评审过程、中标结果提出质疑的，采购人、采购代理机构可以组织原评标委员会协助答复质疑。</w:t>
      </w:r>
    </w:p>
    <w:p w14:paraId="53759B00">
      <w:pPr>
        <w:pStyle w:val="38"/>
        <w:spacing w:line="360" w:lineRule="auto"/>
        <w:rPr>
          <w:highlight w:val="none"/>
        </w:rPr>
      </w:pPr>
      <w:bookmarkStart w:id="243" w:name="_Toc163492869"/>
      <w:bookmarkStart w:id="244" w:name="_Toc140132802"/>
      <w:r>
        <w:rPr>
          <w:rFonts w:hint="eastAsia"/>
          <w:highlight w:val="none"/>
        </w:rPr>
        <w:t>质疑答复应当包括下列内容：</w:t>
      </w:r>
    </w:p>
    <w:p w14:paraId="61C828EA">
      <w:pPr>
        <w:pStyle w:val="38"/>
        <w:spacing w:line="360" w:lineRule="auto"/>
        <w:rPr>
          <w:highlight w:val="none"/>
        </w:rPr>
      </w:pPr>
      <w:r>
        <w:rPr>
          <w:rFonts w:hint="eastAsia"/>
          <w:highlight w:val="none"/>
        </w:rPr>
        <w:t>（</w:t>
      </w:r>
      <w:r>
        <w:rPr>
          <w:rFonts w:hint="eastAsia"/>
          <w:highlight w:val="none"/>
          <w:lang w:val="en-US"/>
        </w:rPr>
        <w:t>1</w:t>
      </w:r>
      <w:r>
        <w:rPr>
          <w:rFonts w:hint="eastAsia"/>
          <w:highlight w:val="none"/>
        </w:rPr>
        <w:t>）质疑供应商的姓名或者名称；</w:t>
      </w:r>
    </w:p>
    <w:p w14:paraId="56D671A6">
      <w:pPr>
        <w:pStyle w:val="38"/>
        <w:spacing w:line="360" w:lineRule="auto"/>
        <w:rPr>
          <w:highlight w:val="none"/>
        </w:rPr>
      </w:pPr>
      <w:r>
        <w:rPr>
          <w:rFonts w:hint="eastAsia"/>
          <w:highlight w:val="none"/>
        </w:rPr>
        <w:t>（</w:t>
      </w:r>
      <w:r>
        <w:rPr>
          <w:rFonts w:hint="eastAsia"/>
          <w:highlight w:val="none"/>
          <w:lang w:val="en-US"/>
        </w:rPr>
        <w:t>2</w:t>
      </w:r>
      <w:r>
        <w:rPr>
          <w:rFonts w:hint="eastAsia"/>
          <w:highlight w:val="none"/>
        </w:rPr>
        <w:t>）收到质疑函的日期、质疑项目名称及</w:t>
      </w:r>
      <w:r>
        <w:rPr>
          <w:rFonts w:hint="eastAsia"/>
          <w:highlight w:val="none"/>
          <w:lang w:val="en-US"/>
        </w:rPr>
        <w:t>项目</w:t>
      </w:r>
      <w:r>
        <w:rPr>
          <w:rFonts w:hint="eastAsia"/>
          <w:highlight w:val="none"/>
        </w:rPr>
        <w:t>编号/包号；</w:t>
      </w:r>
    </w:p>
    <w:p w14:paraId="7BD2C292">
      <w:pPr>
        <w:pStyle w:val="38"/>
        <w:spacing w:line="360" w:lineRule="auto"/>
        <w:rPr>
          <w:highlight w:val="none"/>
        </w:rPr>
      </w:pPr>
      <w:r>
        <w:rPr>
          <w:rFonts w:hint="eastAsia"/>
          <w:highlight w:val="none"/>
        </w:rPr>
        <w:t>（</w:t>
      </w:r>
      <w:r>
        <w:rPr>
          <w:rFonts w:hint="eastAsia"/>
          <w:highlight w:val="none"/>
          <w:lang w:val="en-US"/>
        </w:rPr>
        <w:t>3</w:t>
      </w:r>
      <w:r>
        <w:rPr>
          <w:rFonts w:hint="eastAsia"/>
          <w:highlight w:val="none"/>
        </w:rPr>
        <w:t>）质疑事项、质疑答复的具体内容、事实依据和法律依据；</w:t>
      </w:r>
    </w:p>
    <w:p w14:paraId="5F7F5000">
      <w:pPr>
        <w:pStyle w:val="38"/>
        <w:spacing w:line="360" w:lineRule="auto"/>
        <w:rPr>
          <w:highlight w:val="none"/>
        </w:rPr>
      </w:pPr>
      <w:r>
        <w:rPr>
          <w:rFonts w:hint="eastAsia"/>
          <w:highlight w:val="none"/>
        </w:rPr>
        <w:t>（</w:t>
      </w:r>
      <w:r>
        <w:rPr>
          <w:rFonts w:hint="eastAsia"/>
          <w:highlight w:val="none"/>
          <w:lang w:val="en-US"/>
        </w:rPr>
        <w:t>4</w:t>
      </w:r>
      <w:r>
        <w:rPr>
          <w:rFonts w:hint="eastAsia"/>
          <w:highlight w:val="none"/>
        </w:rPr>
        <w:t>）告知质疑供应商依法投诉的权利；</w:t>
      </w:r>
    </w:p>
    <w:p w14:paraId="322CFEAC">
      <w:pPr>
        <w:pStyle w:val="38"/>
        <w:spacing w:line="360" w:lineRule="auto"/>
        <w:rPr>
          <w:highlight w:val="none"/>
        </w:rPr>
      </w:pPr>
      <w:r>
        <w:rPr>
          <w:rFonts w:hint="eastAsia"/>
          <w:highlight w:val="none"/>
        </w:rPr>
        <w:t>（</w:t>
      </w:r>
      <w:r>
        <w:rPr>
          <w:rFonts w:hint="eastAsia"/>
          <w:highlight w:val="none"/>
          <w:lang w:val="en-US"/>
        </w:rPr>
        <w:t>5</w:t>
      </w:r>
      <w:r>
        <w:rPr>
          <w:rFonts w:hint="eastAsia"/>
          <w:highlight w:val="none"/>
        </w:rPr>
        <w:t>）质疑答复人名称；</w:t>
      </w:r>
    </w:p>
    <w:p w14:paraId="0332CAD4">
      <w:pPr>
        <w:pStyle w:val="38"/>
        <w:spacing w:line="360" w:lineRule="auto"/>
        <w:rPr>
          <w:highlight w:val="none"/>
        </w:rPr>
      </w:pPr>
      <w:r>
        <w:rPr>
          <w:rFonts w:hint="eastAsia"/>
          <w:highlight w:val="none"/>
        </w:rPr>
        <w:t>（</w:t>
      </w:r>
      <w:r>
        <w:rPr>
          <w:rFonts w:hint="eastAsia"/>
          <w:highlight w:val="none"/>
          <w:lang w:val="en-US"/>
        </w:rPr>
        <w:t>6</w:t>
      </w:r>
      <w:r>
        <w:rPr>
          <w:rFonts w:hint="eastAsia"/>
          <w:highlight w:val="none"/>
        </w:rPr>
        <w:t>）答复质疑的日期。</w:t>
      </w:r>
    </w:p>
    <w:p w14:paraId="4E9BDF49">
      <w:pPr>
        <w:pStyle w:val="38"/>
        <w:spacing w:line="360" w:lineRule="auto"/>
        <w:rPr>
          <w:highlight w:val="none"/>
        </w:rPr>
      </w:pPr>
      <w:r>
        <w:rPr>
          <w:rFonts w:hint="eastAsia"/>
          <w:highlight w:val="none"/>
        </w:rPr>
        <w:t>质疑答复的内容不得涉及商业秘密。</w:t>
      </w:r>
    </w:p>
    <w:p w14:paraId="4CD1DD2C">
      <w:pPr>
        <w:pStyle w:val="5"/>
        <w:spacing w:line="360" w:lineRule="auto"/>
        <w:rPr>
          <w:highlight w:val="none"/>
        </w:rPr>
      </w:pPr>
      <w:r>
        <w:rPr>
          <w:rFonts w:hint="eastAsia"/>
          <w:highlight w:val="none"/>
        </w:rPr>
        <w:t>37.投诉</w:t>
      </w:r>
      <w:bookmarkEnd w:id="243"/>
      <w:bookmarkEnd w:id="244"/>
    </w:p>
    <w:p w14:paraId="2A1EAFD0">
      <w:pPr>
        <w:pStyle w:val="38"/>
        <w:spacing w:line="360" w:lineRule="auto"/>
        <w:rPr>
          <w:highlight w:val="none"/>
        </w:rPr>
      </w:pPr>
      <w:r>
        <w:rPr>
          <w:rFonts w:hint="eastAsia"/>
          <w:highlight w:val="none"/>
          <w:lang w:val="en-US"/>
        </w:rPr>
        <w:t>37.1</w:t>
      </w:r>
      <w:r>
        <w:rPr>
          <w:rFonts w:hint="eastAsia"/>
          <w:highlight w:val="none"/>
        </w:rPr>
        <w:t>质疑供应商对采购人、采购代理机构的答复不满意，或者采购人、采购代理机构未在规定时间内作出答复的，可以在答复期满后15个工作日内向</w:t>
      </w:r>
      <w:r>
        <w:rPr>
          <w:rFonts w:hint="eastAsia"/>
          <w:highlight w:val="none"/>
          <w:lang w:val="en-US"/>
        </w:rPr>
        <w:t>同级政府采购监督管理部门</w:t>
      </w:r>
      <w:r>
        <w:rPr>
          <w:rFonts w:hint="eastAsia"/>
          <w:highlight w:val="none"/>
        </w:rPr>
        <w:t>提起投诉。</w:t>
      </w:r>
    </w:p>
    <w:p w14:paraId="764B7555">
      <w:pPr>
        <w:pStyle w:val="38"/>
        <w:spacing w:line="360" w:lineRule="auto"/>
        <w:rPr>
          <w:highlight w:val="none"/>
        </w:rPr>
      </w:pPr>
      <w:r>
        <w:rPr>
          <w:rFonts w:hint="eastAsia"/>
          <w:highlight w:val="none"/>
          <w:lang w:val="en-US"/>
        </w:rPr>
        <w:t>37.2</w:t>
      </w:r>
      <w:r>
        <w:rPr>
          <w:rFonts w:hint="eastAsia"/>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7E1359D">
      <w:pPr>
        <w:pStyle w:val="38"/>
        <w:spacing w:line="360" w:lineRule="auto"/>
        <w:rPr>
          <w:highlight w:val="none"/>
        </w:rPr>
      </w:pPr>
      <w:r>
        <w:rPr>
          <w:rFonts w:hint="eastAsia"/>
          <w:highlight w:val="none"/>
        </w:rPr>
        <w:t>（</w:t>
      </w:r>
      <w:r>
        <w:rPr>
          <w:rFonts w:hint="eastAsia"/>
          <w:highlight w:val="none"/>
          <w:lang w:val="en-US"/>
        </w:rPr>
        <w:t>1</w:t>
      </w:r>
      <w:r>
        <w:rPr>
          <w:rFonts w:hint="eastAsia"/>
          <w:highlight w:val="none"/>
        </w:rPr>
        <w:t>）投诉人和被投诉人的姓名或者名称、通讯地址、邮编、联系人及联系电话；</w:t>
      </w:r>
    </w:p>
    <w:p w14:paraId="25D2AC11">
      <w:pPr>
        <w:pStyle w:val="38"/>
        <w:spacing w:line="360" w:lineRule="auto"/>
        <w:rPr>
          <w:highlight w:val="none"/>
        </w:rPr>
      </w:pPr>
      <w:r>
        <w:rPr>
          <w:rFonts w:hint="eastAsia"/>
          <w:highlight w:val="none"/>
        </w:rPr>
        <w:t>（</w:t>
      </w:r>
      <w:r>
        <w:rPr>
          <w:rFonts w:hint="eastAsia"/>
          <w:highlight w:val="none"/>
          <w:lang w:val="en-US"/>
        </w:rPr>
        <w:t>2</w:t>
      </w:r>
      <w:r>
        <w:rPr>
          <w:rFonts w:hint="eastAsia"/>
          <w:highlight w:val="none"/>
        </w:rPr>
        <w:t>）质疑和质疑答复情况说明及相关证明材料；</w:t>
      </w:r>
    </w:p>
    <w:p w14:paraId="1E1FCE76">
      <w:pPr>
        <w:pStyle w:val="38"/>
        <w:spacing w:line="360" w:lineRule="auto"/>
        <w:rPr>
          <w:highlight w:val="none"/>
        </w:rPr>
      </w:pPr>
      <w:r>
        <w:rPr>
          <w:rFonts w:hint="eastAsia"/>
          <w:highlight w:val="none"/>
        </w:rPr>
        <w:t>（</w:t>
      </w:r>
      <w:r>
        <w:rPr>
          <w:rFonts w:hint="eastAsia"/>
          <w:highlight w:val="none"/>
          <w:lang w:val="en-US"/>
        </w:rPr>
        <w:t>3</w:t>
      </w:r>
      <w:r>
        <w:rPr>
          <w:rFonts w:hint="eastAsia"/>
          <w:highlight w:val="none"/>
        </w:rPr>
        <w:t>）具体、明确的投诉事项和与投诉事项相关的投诉请求；</w:t>
      </w:r>
    </w:p>
    <w:p w14:paraId="454046E1">
      <w:pPr>
        <w:pStyle w:val="38"/>
        <w:spacing w:line="360" w:lineRule="auto"/>
        <w:rPr>
          <w:highlight w:val="none"/>
        </w:rPr>
      </w:pPr>
      <w:r>
        <w:rPr>
          <w:rFonts w:hint="eastAsia"/>
          <w:highlight w:val="none"/>
        </w:rPr>
        <w:t>（</w:t>
      </w:r>
      <w:r>
        <w:rPr>
          <w:rFonts w:hint="eastAsia"/>
          <w:highlight w:val="none"/>
          <w:lang w:val="en-US"/>
        </w:rPr>
        <w:t>4</w:t>
      </w:r>
      <w:r>
        <w:rPr>
          <w:rFonts w:hint="eastAsia"/>
          <w:highlight w:val="none"/>
        </w:rPr>
        <w:t>）事实依据；</w:t>
      </w:r>
    </w:p>
    <w:p w14:paraId="4DEC008D">
      <w:pPr>
        <w:pStyle w:val="38"/>
        <w:spacing w:line="360" w:lineRule="auto"/>
        <w:rPr>
          <w:highlight w:val="none"/>
        </w:rPr>
      </w:pPr>
      <w:r>
        <w:rPr>
          <w:rFonts w:hint="eastAsia"/>
          <w:highlight w:val="none"/>
        </w:rPr>
        <w:t>（</w:t>
      </w:r>
      <w:r>
        <w:rPr>
          <w:rFonts w:hint="eastAsia"/>
          <w:highlight w:val="none"/>
          <w:lang w:val="en-US"/>
        </w:rPr>
        <w:t>5</w:t>
      </w:r>
      <w:r>
        <w:rPr>
          <w:rFonts w:hint="eastAsia"/>
          <w:highlight w:val="none"/>
        </w:rPr>
        <w:t>）法律依据；</w:t>
      </w:r>
    </w:p>
    <w:p w14:paraId="71DE00C1">
      <w:pPr>
        <w:pStyle w:val="38"/>
        <w:spacing w:line="360" w:lineRule="auto"/>
        <w:rPr>
          <w:highlight w:val="none"/>
        </w:rPr>
      </w:pPr>
      <w:r>
        <w:rPr>
          <w:rFonts w:hint="eastAsia"/>
          <w:highlight w:val="none"/>
        </w:rPr>
        <w:t>（</w:t>
      </w:r>
      <w:r>
        <w:rPr>
          <w:rFonts w:hint="eastAsia"/>
          <w:highlight w:val="none"/>
          <w:lang w:val="en-US"/>
        </w:rPr>
        <w:t>6</w:t>
      </w:r>
      <w:r>
        <w:rPr>
          <w:rFonts w:hint="eastAsia"/>
          <w:highlight w:val="none"/>
        </w:rPr>
        <w:t>）提起投诉的日期。</w:t>
      </w:r>
    </w:p>
    <w:p w14:paraId="6CCFDCA7">
      <w:pPr>
        <w:pStyle w:val="38"/>
        <w:spacing w:line="360" w:lineRule="auto"/>
        <w:rPr>
          <w:highlight w:val="none"/>
        </w:rPr>
      </w:pPr>
      <w:r>
        <w:rPr>
          <w:rFonts w:hint="eastAsia"/>
          <w:highlight w:val="none"/>
        </w:rPr>
        <w:t>投诉人为自然人的，应当由本人签字；投诉人为法人或者其他组织的，应当由法定代表人、主要负责人，或者其授权代表签字或者盖章，并加盖公章。</w:t>
      </w:r>
    </w:p>
    <w:p w14:paraId="7D50EC46">
      <w:pPr>
        <w:pStyle w:val="38"/>
        <w:spacing w:line="360" w:lineRule="auto"/>
        <w:rPr>
          <w:highlight w:val="none"/>
        </w:rPr>
      </w:pPr>
      <w:r>
        <w:rPr>
          <w:rFonts w:hint="eastAsia"/>
          <w:highlight w:val="none"/>
          <w:lang w:val="en-US"/>
        </w:rPr>
        <w:t>37.3</w:t>
      </w:r>
      <w:r>
        <w:rPr>
          <w:rFonts w:hint="eastAsia"/>
          <w:highlight w:val="none"/>
        </w:rPr>
        <w:t>供应商</w:t>
      </w:r>
      <w:r>
        <w:rPr>
          <w:rFonts w:hint="eastAsia"/>
          <w:highlight w:val="none"/>
          <w:lang w:val="en-US"/>
        </w:rPr>
        <w:t>质疑、</w:t>
      </w:r>
      <w:r>
        <w:rPr>
          <w:rFonts w:hint="eastAsia"/>
          <w:highlight w:val="none"/>
        </w:rPr>
        <w:t>投诉</w:t>
      </w:r>
      <w:r>
        <w:rPr>
          <w:rFonts w:hint="eastAsia"/>
          <w:highlight w:val="none"/>
          <w:lang w:val="en-US"/>
        </w:rPr>
        <w:t>应当有明确的请求和必要的证明材料</w:t>
      </w:r>
      <w:r>
        <w:rPr>
          <w:rFonts w:hint="eastAsia"/>
          <w:highlight w:val="none"/>
        </w:rPr>
        <w:t>。供应商投诉的事项不得超出</w:t>
      </w:r>
      <w:r>
        <w:rPr>
          <w:rFonts w:hint="eastAsia"/>
          <w:highlight w:val="none"/>
          <w:lang w:val="en-US"/>
        </w:rPr>
        <w:t>已</w:t>
      </w:r>
      <w:r>
        <w:rPr>
          <w:rFonts w:hint="eastAsia"/>
          <w:highlight w:val="none"/>
        </w:rPr>
        <w:t>质疑事项的范围，但基于质疑答复内容提出的投诉事项除外。</w:t>
      </w:r>
    </w:p>
    <w:p w14:paraId="24853224">
      <w:pPr>
        <w:pStyle w:val="38"/>
        <w:spacing w:line="360" w:lineRule="auto"/>
        <w:rPr>
          <w:highlight w:val="none"/>
        </w:rPr>
      </w:pPr>
      <w:r>
        <w:rPr>
          <w:rFonts w:hint="eastAsia"/>
          <w:snapToGrid w:val="0"/>
          <w:highlight w:val="none"/>
        </w:rPr>
        <w:t>37.4</w:t>
      </w:r>
      <w:r>
        <w:rPr>
          <w:rFonts w:hint="eastAsia"/>
          <w:highlight w:val="none"/>
        </w:rPr>
        <w:t>投诉书应当使用中文，并采用财政部门制定的范本。</w:t>
      </w:r>
    </w:p>
    <w:p w14:paraId="24E15A88">
      <w:pPr>
        <w:pStyle w:val="4"/>
        <w:spacing w:line="360" w:lineRule="auto"/>
        <w:rPr>
          <w:highlight w:val="none"/>
        </w:rPr>
      </w:pPr>
      <w:bookmarkStart w:id="245" w:name="_Toc155185882"/>
      <w:bookmarkStart w:id="246" w:name="_Toc163492870"/>
      <w:bookmarkStart w:id="247" w:name="_Toc140132803"/>
      <w:r>
        <w:rPr>
          <w:rFonts w:hint="eastAsia"/>
          <w:highlight w:val="none"/>
        </w:rPr>
        <w:t>（十一）采购代理服务费</w:t>
      </w:r>
      <w:bookmarkEnd w:id="245"/>
      <w:bookmarkEnd w:id="246"/>
      <w:bookmarkEnd w:id="247"/>
    </w:p>
    <w:p w14:paraId="745AE9DF">
      <w:pPr>
        <w:pStyle w:val="5"/>
        <w:spacing w:line="360" w:lineRule="auto"/>
        <w:rPr>
          <w:highlight w:val="none"/>
        </w:rPr>
      </w:pPr>
      <w:bookmarkStart w:id="248" w:name="_Toc163492871"/>
      <w:bookmarkStart w:id="249" w:name="_Toc140132804"/>
      <w:r>
        <w:rPr>
          <w:rFonts w:hint="eastAsia"/>
          <w:highlight w:val="none"/>
        </w:rPr>
        <w:t>38.收取方式和标准</w:t>
      </w:r>
      <w:bookmarkEnd w:id="248"/>
      <w:bookmarkEnd w:id="249"/>
    </w:p>
    <w:p w14:paraId="5ECB0160">
      <w:pPr>
        <w:pStyle w:val="38"/>
        <w:spacing w:line="360" w:lineRule="auto"/>
        <w:rPr>
          <w:highlight w:val="none"/>
        </w:rPr>
      </w:pPr>
      <w:r>
        <w:rPr>
          <w:bCs/>
          <w:highlight w:val="none"/>
        </w:rPr>
        <w:t>3</w:t>
      </w:r>
      <w:r>
        <w:rPr>
          <w:rFonts w:hint="eastAsia"/>
          <w:bCs/>
          <w:highlight w:val="none"/>
          <w:lang w:val="en-US"/>
        </w:rPr>
        <w:t>8</w:t>
      </w:r>
      <w:r>
        <w:rPr>
          <w:rFonts w:hint="eastAsia"/>
          <w:highlight w:val="none"/>
        </w:rPr>
        <w:t>.1采购代理机构按“投标人须知前附表”规定的方式和标准收取采购代理服务费。</w:t>
      </w:r>
    </w:p>
    <w:p w14:paraId="2D00B956">
      <w:pPr>
        <w:pStyle w:val="4"/>
        <w:spacing w:line="360" w:lineRule="auto"/>
        <w:rPr>
          <w:highlight w:val="none"/>
        </w:rPr>
      </w:pPr>
      <w:bookmarkStart w:id="250" w:name="_Toc163492872"/>
      <w:bookmarkStart w:id="251" w:name="_Toc155185883"/>
      <w:bookmarkStart w:id="252" w:name="_Toc140132805"/>
      <w:r>
        <w:rPr>
          <w:rFonts w:hint="eastAsia"/>
          <w:highlight w:val="none"/>
        </w:rPr>
        <w:t>（十二）无效投标和废标</w:t>
      </w:r>
      <w:bookmarkEnd w:id="250"/>
      <w:bookmarkEnd w:id="251"/>
      <w:bookmarkEnd w:id="252"/>
    </w:p>
    <w:p w14:paraId="0FD2DC94">
      <w:pPr>
        <w:pStyle w:val="5"/>
        <w:spacing w:line="360" w:lineRule="auto"/>
        <w:rPr>
          <w:highlight w:val="none"/>
        </w:rPr>
      </w:pPr>
      <w:bookmarkStart w:id="253" w:name="_Toc140132806"/>
      <w:bookmarkStart w:id="254" w:name="_Toc163492873"/>
      <w:r>
        <w:rPr>
          <w:rFonts w:hint="eastAsia"/>
          <w:highlight w:val="none"/>
        </w:rPr>
        <w:t>39.无效投标</w:t>
      </w:r>
      <w:bookmarkEnd w:id="253"/>
      <w:bookmarkEnd w:id="254"/>
    </w:p>
    <w:p w14:paraId="2764E66B">
      <w:pPr>
        <w:pStyle w:val="38"/>
        <w:spacing w:line="360" w:lineRule="auto"/>
        <w:rPr>
          <w:highlight w:val="none"/>
        </w:rPr>
      </w:pPr>
      <w:r>
        <w:rPr>
          <w:rFonts w:hint="eastAsia"/>
          <w:highlight w:val="none"/>
          <w:lang w:val="en-US"/>
        </w:rPr>
        <w:t>39</w:t>
      </w:r>
      <w:r>
        <w:rPr>
          <w:rFonts w:hint="eastAsia"/>
          <w:highlight w:val="none"/>
        </w:rPr>
        <w:t>.1投标文件存在“第四章</w:t>
      </w:r>
      <w:r>
        <w:rPr>
          <w:rFonts w:hint="eastAsia"/>
          <w:highlight w:val="none"/>
          <w:lang w:val="en-US"/>
        </w:rPr>
        <w:t xml:space="preserve"> </w:t>
      </w:r>
      <w:r>
        <w:rPr>
          <w:rFonts w:hint="eastAsia"/>
          <w:highlight w:val="none"/>
        </w:rPr>
        <w:t>资格审查”、“第五章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及本招标文件</w:t>
      </w:r>
      <w:r>
        <w:rPr>
          <w:rFonts w:hint="eastAsia"/>
          <w:highlight w:val="none"/>
        </w:rPr>
        <w:t>规定的投标无效情形的，其</w:t>
      </w:r>
      <w:r>
        <w:rPr>
          <w:rFonts w:hint="eastAsia"/>
          <w:b/>
          <w:bCs/>
          <w:highlight w:val="none"/>
        </w:rPr>
        <w:t>投标无效</w:t>
      </w:r>
      <w:r>
        <w:rPr>
          <w:rFonts w:hint="eastAsia"/>
          <w:highlight w:val="none"/>
        </w:rPr>
        <w:t>。</w:t>
      </w:r>
    </w:p>
    <w:p w14:paraId="64E869BD">
      <w:pPr>
        <w:pStyle w:val="5"/>
        <w:spacing w:line="360" w:lineRule="auto"/>
        <w:rPr>
          <w:highlight w:val="none"/>
        </w:rPr>
      </w:pPr>
      <w:bookmarkStart w:id="255" w:name="_Toc163492874"/>
      <w:bookmarkStart w:id="256" w:name="_Toc140132807"/>
      <w:r>
        <w:rPr>
          <w:rFonts w:hint="eastAsia"/>
          <w:highlight w:val="none"/>
        </w:rPr>
        <w:t>40.废标</w:t>
      </w:r>
      <w:bookmarkEnd w:id="255"/>
      <w:bookmarkEnd w:id="256"/>
    </w:p>
    <w:p w14:paraId="432D73D1">
      <w:pPr>
        <w:pStyle w:val="38"/>
        <w:spacing w:line="360" w:lineRule="auto"/>
        <w:rPr>
          <w:highlight w:val="none"/>
        </w:rPr>
      </w:pPr>
      <w:r>
        <w:rPr>
          <w:highlight w:val="none"/>
        </w:rPr>
        <w:t>4</w:t>
      </w:r>
      <w:r>
        <w:rPr>
          <w:rFonts w:hint="eastAsia"/>
          <w:highlight w:val="none"/>
          <w:lang w:val="en-US"/>
        </w:rPr>
        <w:t>0</w:t>
      </w:r>
      <w:r>
        <w:rPr>
          <w:rFonts w:hint="eastAsia"/>
          <w:highlight w:val="none"/>
        </w:rPr>
        <w:t>.1在招标采购中出现有“第五章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及本招标文件</w:t>
      </w:r>
      <w:r>
        <w:rPr>
          <w:rFonts w:hint="eastAsia"/>
          <w:highlight w:val="none"/>
        </w:rPr>
        <w:t>规定的废标情形的，应予以</w:t>
      </w:r>
      <w:r>
        <w:rPr>
          <w:rFonts w:hint="eastAsia"/>
          <w:b/>
          <w:bCs/>
          <w:highlight w:val="none"/>
        </w:rPr>
        <w:t>废标</w:t>
      </w:r>
      <w:r>
        <w:rPr>
          <w:rFonts w:hint="eastAsia"/>
          <w:highlight w:val="none"/>
        </w:rPr>
        <w:t>。</w:t>
      </w:r>
    </w:p>
    <w:p w14:paraId="41C0F1F1">
      <w:pPr>
        <w:pStyle w:val="4"/>
        <w:spacing w:line="360" w:lineRule="auto"/>
        <w:rPr>
          <w:highlight w:val="none"/>
        </w:rPr>
      </w:pPr>
      <w:bookmarkStart w:id="257" w:name="_Toc140132766"/>
      <w:bookmarkStart w:id="258" w:name="_Toc163492875"/>
      <w:bookmarkStart w:id="259" w:name="_Toc155185884"/>
      <w:bookmarkStart w:id="260" w:name="_Toc140132808"/>
      <w:r>
        <w:rPr>
          <w:rFonts w:hint="eastAsia"/>
          <w:highlight w:val="none"/>
        </w:rPr>
        <w:t>（十三）落实政府采购政策</w:t>
      </w:r>
      <w:bookmarkEnd w:id="257"/>
      <w:bookmarkEnd w:id="258"/>
      <w:r>
        <w:rPr>
          <w:rFonts w:hint="eastAsia"/>
          <w:highlight w:val="none"/>
        </w:rPr>
        <w:t>（包括但不限于下列具体政策要求）</w:t>
      </w:r>
    </w:p>
    <w:p w14:paraId="220E7C4D">
      <w:pPr>
        <w:pStyle w:val="5"/>
        <w:spacing w:line="360" w:lineRule="auto"/>
        <w:rPr>
          <w:highlight w:val="none"/>
        </w:rPr>
      </w:pPr>
      <w:bookmarkStart w:id="261" w:name="_Toc163492876"/>
      <w:r>
        <w:rPr>
          <w:rFonts w:hint="eastAsia"/>
          <w:highlight w:val="none"/>
        </w:rPr>
        <w:t>41.本国产品和进口产品</w:t>
      </w:r>
      <w:bookmarkEnd w:id="261"/>
    </w:p>
    <w:p w14:paraId="20C34FF8">
      <w:pPr>
        <w:pStyle w:val="38"/>
        <w:spacing w:line="360" w:lineRule="auto"/>
        <w:rPr>
          <w:snapToGrid w:val="0"/>
          <w:highlight w:val="none"/>
        </w:rPr>
      </w:pPr>
      <w:r>
        <w:rPr>
          <w:rFonts w:hint="eastAsia"/>
          <w:snapToGrid w:val="0"/>
          <w:highlight w:val="none"/>
        </w:rPr>
        <w:t>41.1本国产品标准及支持政策</w:t>
      </w:r>
    </w:p>
    <w:p w14:paraId="7FDFA732">
      <w:pPr>
        <w:pStyle w:val="38"/>
        <w:spacing w:line="360" w:lineRule="auto"/>
        <w:rPr>
          <w:snapToGrid w:val="0"/>
          <w:highlight w:val="none"/>
        </w:rPr>
      </w:pPr>
      <w:r>
        <w:rPr>
          <w:rFonts w:hint="eastAsia"/>
          <w:snapToGrid w:val="0"/>
          <w:highlight w:val="none"/>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21E1BA8">
      <w:pPr>
        <w:pStyle w:val="38"/>
        <w:spacing w:line="360" w:lineRule="auto"/>
        <w:rPr>
          <w:snapToGrid w:val="0"/>
          <w:highlight w:val="none"/>
        </w:rPr>
      </w:pPr>
      <w:r>
        <w:rPr>
          <w:rFonts w:hint="eastAsia"/>
          <w:snapToGrid w:val="0"/>
          <w:highlight w:val="none"/>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1817C47D">
      <w:pPr>
        <w:pStyle w:val="38"/>
        <w:spacing w:line="360" w:lineRule="auto"/>
        <w:rPr>
          <w:snapToGrid w:val="0"/>
          <w:highlight w:val="none"/>
        </w:rPr>
      </w:pPr>
      <w:r>
        <w:rPr>
          <w:rFonts w:hint="eastAsia"/>
          <w:snapToGrid w:val="0"/>
          <w:highlight w:val="none"/>
        </w:rPr>
        <w:t>41.1.3对国家相关部门后续发布的特定产品清单内的产品，除满足上述条件外，还需同时满足关键组件境内生产、关键工序境内完成等特定要求。</w:t>
      </w:r>
    </w:p>
    <w:p w14:paraId="62D9BBAF">
      <w:pPr>
        <w:pStyle w:val="38"/>
        <w:spacing w:line="360" w:lineRule="auto"/>
        <w:rPr>
          <w:snapToGrid w:val="0"/>
          <w:highlight w:val="none"/>
        </w:rPr>
      </w:pPr>
      <w:r>
        <w:rPr>
          <w:rFonts w:hint="eastAsia"/>
          <w:snapToGrid w:val="0"/>
          <w:highlight w:val="none"/>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6022554">
      <w:pPr>
        <w:pStyle w:val="38"/>
        <w:spacing w:line="360" w:lineRule="auto"/>
        <w:rPr>
          <w:snapToGrid w:val="0"/>
          <w:highlight w:val="none"/>
        </w:rPr>
      </w:pPr>
      <w:r>
        <w:rPr>
          <w:rFonts w:hint="eastAsia"/>
          <w:snapToGrid w:val="0"/>
          <w:highlight w:val="none"/>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2B5EF1EA">
      <w:pPr>
        <w:pStyle w:val="38"/>
        <w:spacing w:line="360" w:lineRule="auto"/>
        <w:rPr>
          <w:snapToGrid w:val="0"/>
          <w:highlight w:val="none"/>
        </w:rPr>
      </w:pPr>
      <w:r>
        <w:rPr>
          <w:rFonts w:hint="eastAsia"/>
          <w:snapToGrid w:val="0"/>
          <w:highlight w:val="none"/>
        </w:rPr>
        <w:t>医疗器械产品，取得药品监督管理部门授予的准字号医疗器械注册证的，视为符合本国产品标准。</w:t>
      </w:r>
    </w:p>
    <w:p w14:paraId="74737526">
      <w:pPr>
        <w:pStyle w:val="38"/>
        <w:spacing w:line="360" w:lineRule="auto"/>
        <w:rPr>
          <w:snapToGrid w:val="0"/>
          <w:highlight w:val="none"/>
        </w:rPr>
      </w:pPr>
      <w:r>
        <w:rPr>
          <w:rFonts w:hint="eastAsia"/>
          <w:snapToGrid w:val="0"/>
          <w:highlight w:val="none"/>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0C62162A">
      <w:pPr>
        <w:pStyle w:val="38"/>
        <w:spacing w:line="360" w:lineRule="auto"/>
        <w:rPr>
          <w:snapToGrid w:val="0"/>
          <w:highlight w:val="none"/>
        </w:rPr>
      </w:pPr>
      <w:r>
        <w:rPr>
          <w:rFonts w:hint="eastAsia"/>
          <w:snapToGrid w:val="0"/>
          <w:highlight w:val="none"/>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29F8F757">
      <w:pPr>
        <w:pStyle w:val="38"/>
        <w:spacing w:line="360" w:lineRule="auto"/>
        <w:rPr>
          <w:snapToGrid w:val="0"/>
          <w:highlight w:val="none"/>
        </w:rPr>
      </w:pPr>
      <w:r>
        <w:rPr>
          <w:rFonts w:hint="eastAsia"/>
          <w:snapToGrid w:val="0"/>
          <w:highlight w:val="none"/>
        </w:rPr>
        <w:t>41.1.8对于仅有本国产品参与竞争的政府采购项目，本国产品不享受价格扣除评审优惠。</w:t>
      </w:r>
    </w:p>
    <w:p w14:paraId="4F359348">
      <w:pPr>
        <w:pStyle w:val="38"/>
        <w:spacing w:line="360" w:lineRule="auto"/>
        <w:rPr>
          <w:snapToGrid w:val="0"/>
          <w:highlight w:val="none"/>
        </w:rPr>
      </w:pPr>
      <w:r>
        <w:rPr>
          <w:rFonts w:hint="eastAsia"/>
          <w:snapToGrid w:val="0"/>
          <w:highlight w:val="none"/>
        </w:rPr>
        <w:t>41.2进口产品</w:t>
      </w:r>
    </w:p>
    <w:p w14:paraId="5560005B">
      <w:pPr>
        <w:pStyle w:val="38"/>
        <w:spacing w:line="360" w:lineRule="auto"/>
        <w:rPr>
          <w:snapToGrid w:val="0"/>
          <w:highlight w:val="none"/>
        </w:rPr>
      </w:pPr>
      <w:r>
        <w:rPr>
          <w:rFonts w:hint="eastAsia"/>
          <w:snapToGrid w:val="0"/>
          <w:highlight w:val="none"/>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5EFA7CAC">
      <w:pPr>
        <w:pStyle w:val="38"/>
        <w:spacing w:line="360" w:lineRule="auto"/>
        <w:rPr>
          <w:snapToGrid w:val="0"/>
          <w:highlight w:val="none"/>
        </w:rPr>
      </w:pPr>
      <w:r>
        <w:rPr>
          <w:snapToGrid w:val="0"/>
          <w:highlight w:val="none"/>
        </w:rPr>
        <w:t>4</w:t>
      </w:r>
      <w:r>
        <w:rPr>
          <w:rFonts w:hint="eastAsia"/>
          <w:snapToGrid w:val="0"/>
          <w:highlight w:val="none"/>
        </w:rPr>
        <w:t xml:space="preserve">1.2.2进口产品指通过中国海关报关验放进入中国境内且产自关境外的产品，包括已经进入中国境内的进口产品。 </w:t>
      </w:r>
    </w:p>
    <w:p w14:paraId="4A8DB59D">
      <w:pPr>
        <w:pStyle w:val="38"/>
        <w:spacing w:line="360" w:lineRule="auto"/>
        <w:rPr>
          <w:snapToGrid w:val="0"/>
          <w:highlight w:val="none"/>
        </w:rPr>
      </w:pPr>
      <w:r>
        <w:rPr>
          <w:snapToGrid w:val="0"/>
          <w:highlight w:val="none"/>
        </w:rPr>
        <w:t>4</w:t>
      </w:r>
      <w:r>
        <w:rPr>
          <w:rFonts w:hint="eastAsia"/>
          <w:snapToGrid w:val="0"/>
          <w:highlight w:val="none"/>
        </w:rPr>
        <w:t>1.2.3若采购需求中写明允许采购进口产品，投标人应保证所投产品可履行合法报通关手续进入中国关境内。</w:t>
      </w:r>
    </w:p>
    <w:p w14:paraId="397D2DCA">
      <w:pPr>
        <w:pStyle w:val="38"/>
        <w:spacing w:line="360" w:lineRule="auto"/>
        <w:rPr>
          <w:snapToGrid w:val="0"/>
          <w:highlight w:val="none"/>
        </w:rPr>
      </w:pPr>
      <w:r>
        <w:rPr>
          <w:snapToGrid w:val="0"/>
          <w:highlight w:val="none"/>
        </w:rPr>
        <w:t>4</w:t>
      </w:r>
      <w:r>
        <w:rPr>
          <w:rFonts w:hint="eastAsia"/>
          <w:snapToGrid w:val="0"/>
          <w:highlight w:val="none"/>
        </w:rPr>
        <w:t>1.2.4若采购需求中未写明允许采购进口产品，如投标人所投产品为进口产品，其投标将被认定为</w:t>
      </w:r>
      <w:r>
        <w:rPr>
          <w:rFonts w:hint="eastAsia"/>
          <w:b/>
          <w:bCs/>
          <w:snapToGrid w:val="0"/>
          <w:highlight w:val="none"/>
        </w:rPr>
        <w:t>投标无效</w:t>
      </w:r>
      <w:r>
        <w:rPr>
          <w:rFonts w:hint="eastAsia"/>
          <w:snapToGrid w:val="0"/>
          <w:highlight w:val="none"/>
        </w:rPr>
        <w:t>。</w:t>
      </w:r>
    </w:p>
    <w:p w14:paraId="12526B7D">
      <w:pPr>
        <w:pStyle w:val="5"/>
        <w:spacing w:line="360" w:lineRule="auto"/>
        <w:rPr>
          <w:highlight w:val="none"/>
        </w:rPr>
      </w:pPr>
      <w:bookmarkStart w:id="262" w:name="_Toc163492877"/>
      <w:r>
        <w:rPr>
          <w:rFonts w:hint="eastAsia"/>
          <w:highlight w:val="none"/>
        </w:rPr>
        <w:t>42.中小企业、监狱企业及残疾人福利性单位</w:t>
      </w:r>
      <w:bookmarkEnd w:id="262"/>
    </w:p>
    <w:p w14:paraId="7EF24A5C">
      <w:pPr>
        <w:pStyle w:val="38"/>
        <w:spacing w:line="360" w:lineRule="auto"/>
        <w:rPr>
          <w:snapToGrid w:val="0"/>
          <w:highlight w:val="none"/>
        </w:rPr>
      </w:pPr>
      <w:r>
        <w:rPr>
          <w:rFonts w:hint="eastAsia"/>
          <w:snapToGrid w:val="0"/>
          <w:highlight w:val="none"/>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highlight w:val="none"/>
        </w:rPr>
        <w:t>2022</w:t>
      </w:r>
      <w:r>
        <w:rPr>
          <w:rFonts w:hint="eastAsia"/>
          <w:snapToGrid w:val="0"/>
          <w:highlight w:val="none"/>
        </w:rPr>
        <w:t>〕</w:t>
      </w:r>
      <w:r>
        <w:rPr>
          <w:snapToGrid w:val="0"/>
          <w:highlight w:val="none"/>
        </w:rPr>
        <w:t xml:space="preserve">19 </w:t>
      </w:r>
      <w:r>
        <w:rPr>
          <w:rFonts w:hint="eastAsia"/>
          <w:snapToGrid w:val="0"/>
          <w:highlight w:val="none"/>
        </w:rPr>
        <w:t>号）、《政府采购促进中小企业发展管理办法》（财库〔</w:t>
      </w:r>
      <w:r>
        <w:rPr>
          <w:snapToGrid w:val="0"/>
          <w:highlight w:val="none"/>
        </w:rPr>
        <w:t>2020</w:t>
      </w:r>
      <w:r>
        <w:rPr>
          <w:rFonts w:hint="eastAsia"/>
          <w:snapToGrid w:val="0"/>
          <w:highlight w:val="none"/>
        </w:rPr>
        <w:t>〕</w:t>
      </w:r>
      <w:r>
        <w:rPr>
          <w:snapToGrid w:val="0"/>
          <w:highlight w:val="none"/>
        </w:rPr>
        <w:t xml:space="preserve">46 </w:t>
      </w:r>
      <w:r>
        <w:rPr>
          <w:rFonts w:hint="eastAsia"/>
          <w:snapToGrid w:val="0"/>
          <w:highlight w:val="none"/>
        </w:rPr>
        <w:t>号）、《关于印发中小企业划型标准规定的通知》（工信部联企业〔</w:t>
      </w:r>
      <w:r>
        <w:rPr>
          <w:snapToGrid w:val="0"/>
          <w:highlight w:val="none"/>
        </w:rPr>
        <w:t>2011</w:t>
      </w:r>
      <w:r>
        <w:rPr>
          <w:rFonts w:hint="eastAsia"/>
          <w:snapToGrid w:val="0"/>
          <w:highlight w:val="none"/>
        </w:rPr>
        <w:t>〕</w:t>
      </w:r>
      <w:r>
        <w:rPr>
          <w:snapToGrid w:val="0"/>
          <w:highlight w:val="none"/>
        </w:rPr>
        <w:t xml:space="preserve">300 </w:t>
      </w:r>
      <w:r>
        <w:rPr>
          <w:rFonts w:hint="eastAsia"/>
          <w:snapToGrid w:val="0"/>
          <w:highlight w:val="none"/>
        </w:rPr>
        <w:t xml:space="preserve">号）、《金融业企业划型标准规定》（〔2015〕309 号）等国务院批准的中小企业划分标准执行。 </w:t>
      </w:r>
    </w:p>
    <w:p w14:paraId="301BB537">
      <w:pPr>
        <w:pStyle w:val="38"/>
        <w:spacing w:line="360" w:lineRule="auto"/>
        <w:rPr>
          <w:snapToGrid w:val="0"/>
          <w:highlight w:val="none"/>
        </w:rPr>
      </w:pPr>
      <w:r>
        <w:rPr>
          <w:rFonts w:hint="eastAsia"/>
          <w:snapToGrid w:val="0"/>
          <w:highlight w:val="none"/>
          <w:lang w:val="en-US"/>
        </w:rPr>
        <w:t>42</w:t>
      </w:r>
      <w:r>
        <w:rPr>
          <w:rFonts w:hint="eastAsia"/>
          <w:snapToGrid w:val="0"/>
          <w:highlight w:val="none"/>
        </w:rPr>
        <w:t>.</w:t>
      </w:r>
      <w:r>
        <w:rPr>
          <w:rFonts w:hint="eastAsia"/>
          <w:snapToGrid w:val="0"/>
          <w:highlight w:val="none"/>
          <w:lang w:val="en-US"/>
        </w:rPr>
        <w:t>2</w:t>
      </w:r>
      <w:r>
        <w:rPr>
          <w:rFonts w:hint="eastAsia"/>
          <w:snapToGrid w:val="0"/>
          <w:highlight w:val="none"/>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highlight w:val="none"/>
          <w:lang w:val="en-US"/>
        </w:rPr>
        <w:t>招标</w:t>
      </w:r>
      <w:r>
        <w:rPr>
          <w:rFonts w:hint="eastAsia"/>
          <w:snapToGrid w:val="0"/>
          <w:highlight w:val="none"/>
        </w:rPr>
        <w:t>文件规定格式提供“中小企业声明函”</w:t>
      </w:r>
      <w:r>
        <w:rPr>
          <w:rFonts w:hint="eastAsia"/>
          <w:snapToGrid w:val="0"/>
          <w:highlight w:val="none"/>
          <w:lang w:val="en-US"/>
        </w:rPr>
        <w:t>或“</w:t>
      </w:r>
      <w:r>
        <w:rPr>
          <w:rFonts w:hint="eastAsia"/>
          <w:snapToGrid w:val="0"/>
          <w:highlight w:val="none"/>
        </w:rPr>
        <w:t>监狱企业证明文件”</w:t>
      </w:r>
      <w:r>
        <w:rPr>
          <w:rFonts w:hint="eastAsia"/>
          <w:snapToGrid w:val="0"/>
          <w:highlight w:val="none"/>
          <w:lang w:val="en-US"/>
        </w:rPr>
        <w:t>或</w:t>
      </w:r>
      <w:r>
        <w:rPr>
          <w:rFonts w:hint="eastAsia"/>
          <w:snapToGrid w:val="0"/>
          <w:highlight w:val="none"/>
        </w:rPr>
        <w:t>“残疾人福利性单位声明函”，评审时，</w:t>
      </w:r>
      <w:r>
        <w:rPr>
          <w:rFonts w:hint="eastAsia"/>
          <w:snapToGrid w:val="0"/>
          <w:highlight w:val="none"/>
          <w:lang w:val="en-US"/>
        </w:rPr>
        <w:t>评标委员会</w:t>
      </w:r>
      <w:r>
        <w:rPr>
          <w:rFonts w:hint="eastAsia"/>
          <w:snapToGrid w:val="0"/>
          <w:highlight w:val="none"/>
        </w:rPr>
        <w:t>将依据本</w:t>
      </w:r>
      <w:r>
        <w:rPr>
          <w:rFonts w:hint="eastAsia"/>
          <w:snapToGrid w:val="0"/>
          <w:highlight w:val="none"/>
          <w:lang w:val="en-US"/>
        </w:rPr>
        <w:t>招标</w:t>
      </w:r>
      <w:r>
        <w:rPr>
          <w:rFonts w:hint="eastAsia"/>
          <w:snapToGrid w:val="0"/>
          <w:highlight w:val="none"/>
        </w:rPr>
        <w:t>文件“</w:t>
      </w:r>
      <w:r>
        <w:rPr>
          <w:rFonts w:hint="eastAsia"/>
          <w:snapToGrid w:val="0"/>
          <w:highlight w:val="none"/>
          <w:lang w:val="en-US"/>
        </w:rPr>
        <w:t>投标人</w:t>
      </w:r>
      <w:r>
        <w:rPr>
          <w:rFonts w:hint="eastAsia"/>
          <w:snapToGrid w:val="0"/>
          <w:highlight w:val="none"/>
        </w:rPr>
        <w:t>须知前附表”规定的报价扣除比例，对供应商报价进行价格扣除，用扣除后的价格参与评审；</w:t>
      </w:r>
      <w:r>
        <w:rPr>
          <w:rFonts w:hint="eastAsia"/>
          <w:snapToGrid w:val="0"/>
          <w:highlight w:val="none"/>
          <w:lang w:val="en-US"/>
        </w:rPr>
        <w:t>招标</w:t>
      </w:r>
      <w:r>
        <w:rPr>
          <w:rFonts w:hint="eastAsia"/>
          <w:snapToGrid w:val="0"/>
          <w:highlight w:val="none"/>
        </w:rPr>
        <w:t>公告中明确项目专门面向中小企业采购的，“中小企业声明函”为资格要求文件，供应商参与</w:t>
      </w:r>
      <w:r>
        <w:rPr>
          <w:rFonts w:hint="eastAsia"/>
          <w:snapToGrid w:val="0"/>
          <w:highlight w:val="none"/>
          <w:lang w:val="en-US"/>
        </w:rPr>
        <w:t>投标</w:t>
      </w:r>
      <w:r>
        <w:rPr>
          <w:rFonts w:hint="eastAsia"/>
          <w:snapToGrid w:val="0"/>
          <w:highlight w:val="none"/>
        </w:rPr>
        <w:t>须按本</w:t>
      </w:r>
      <w:r>
        <w:rPr>
          <w:rFonts w:hint="eastAsia"/>
          <w:snapToGrid w:val="0"/>
          <w:highlight w:val="none"/>
          <w:lang w:val="en-US"/>
        </w:rPr>
        <w:t>招标</w:t>
      </w:r>
      <w:r>
        <w:rPr>
          <w:rFonts w:hint="eastAsia"/>
          <w:snapToGrid w:val="0"/>
          <w:highlight w:val="none"/>
        </w:rPr>
        <w:t>文件规定格式提供“中小企业声明函”</w:t>
      </w:r>
      <w:r>
        <w:rPr>
          <w:rFonts w:hint="eastAsia"/>
          <w:snapToGrid w:val="0"/>
          <w:highlight w:val="none"/>
          <w:lang w:val="en-US"/>
        </w:rPr>
        <w:t>或“</w:t>
      </w:r>
      <w:r>
        <w:rPr>
          <w:rFonts w:hint="eastAsia"/>
          <w:snapToGrid w:val="0"/>
          <w:highlight w:val="none"/>
        </w:rPr>
        <w:t>监狱企业证明文件”</w:t>
      </w:r>
      <w:r>
        <w:rPr>
          <w:rFonts w:hint="eastAsia"/>
          <w:snapToGrid w:val="0"/>
          <w:highlight w:val="none"/>
          <w:lang w:val="en-US"/>
        </w:rPr>
        <w:t>或</w:t>
      </w:r>
      <w:r>
        <w:rPr>
          <w:rFonts w:hint="eastAsia"/>
          <w:snapToGrid w:val="0"/>
          <w:highlight w:val="none"/>
        </w:rPr>
        <w:t>“残疾人福利性单位声明函”等作为资格证明文件。</w:t>
      </w:r>
      <w:r>
        <w:rPr>
          <w:rFonts w:hint="eastAsia"/>
          <w:snapToGrid w:val="0"/>
          <w:highlight w:val="none"/>
          <w:lang w:val="en-US"/>
        </w:rPr>
        <w:t xml:space="preserve"> </w:t>
      </w:r>
    </w:p>
    <w:p w14:paraId="3203DA52">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3</w:t>
      </w:r>
      <w:r>
        <w:rPr>
          <w:snapToGrid w:val="0"/>
          <w:highlight w:val="none"/>
        </w:rPr>
        <w:t xml:space="preserve"> </w:t>
      </w:r>
      <w:r>
        <w:rPr>
          <w:rFonts w:hint="eastAsia"/>
          <w:snapToGrid w:val="0"/>
          <w:highlight w:val="none"/>
        </w:rPr>
        <w:t xml:space="preserve">投标人提供的货物、工程或者服务符合下列情形的，享受中小企业扶持政策： </w:t>
      </w:r>
    </w:p>
    <w:p w14:paraId="58DB3F60">
      <w:pPr>
        <w:pStyle w:val="38"/>
        <w:spacing w:line="360" w:lineRule="auto"/>
        <w:rPr>
          <w:snapToGrid w:val="0"/>
          <w:highlight w:val="none"/>
        </w:rPr>
      </w:pPr>
      <w:r>
        <w:rPr>
          <w:rFonts w:hint="eastAsia"/>
          <w:snapToGrid w:val="0"/>
          <w:highlight w:val="none"/>
        </w:rPr>
        <w:t>（</w:t>
      </w:r>
      <w:r>
        <w:rPr>
          <w:snapToGrid w:val="0"/>
          <w:highlight w:val="none"/>
        </w:rPr>
        <w:t>1</w:t>
      </w:r>
      <w:r>
        <w:rPr>
          <w:rFonts w:hint="eastAsia"/>
          <w:snapToGrid w:val="0"/>
          <w:highlight w:val="none"/>
        </w:rPr>
        <w:t xml:space="preserve">）在货物采购项目中，货物由中小企业制造，即货物由中小企业生产且使用该中小企业商号或者注册商标； </w:t>
      </w:r>
    </w:p>
    <w:p w14:paraId="6E1B1991">
      <w:pPr>
        <w:pStyle w:val="38"/>
        <w:spacing w:line="360" w:lineRule="auto"/>
        <w:rPr>
          <w:snapToGrid w:val="0"/>
          <w:highlight w:val="none"/>
        </w:rPr>
      </w:pPr>
      <w:r>
        <w:rPr>
          <w:rFonts w:hint="eastAsia"/>
          <w:snapToGrid w:val="0"/>
          <w:highlight w:val="none"/>
        </w:rPr>
        <w:t>（</w:t>
      </w:r>
      <w:r>
        <w:rPr>
          <w:snapToGrid w:val="0"/>
          <w:highlight w:val="none"/>
        </w:rPr>
        <w:t>2</w:t>
      </w:r>
      <w:r>
        <w:rPr>
          <w:rFonts w:hint="eastAsia"/>
          <w:snapToGrid w:val="0"/>
          <w:highlight w:val="none"/>
        </w:rPr>
        <w:t xml:space="preserve">）在工程采购项目中，工程由中小企业承建，即工程施工单位为中小企业； </w:t>
      </w:r>
    </w:p>
    <w:p w14:paraId="20B0CBC2">
      <w:pPr>
        <w:pStyle w:val="38"/>
        <w:spacing w:line="360" w:lineRule="auto"/>
        <w:rPr>
          <w:snapToGrid w:val="0"/>
          <w:highlight w:val="none"/>
        </w:rPr>
      </w:pPr>
      <w:r>
        <w:rPr>
          <w:rFonts w:hint="eastAsia"/>
          <w:snapToGrid w:val="0"/>
          <w:highlight w:val="none"/>
        </w:rPr>
        <w:t>（</w:t>
      </w:r>
      <w:r>
        <w:rPr>
          <w:snapToGrid w:val="0"/>
          <w:highlight w:val="none"/>
        </w:rPr>
        <w:t>3</w:t>
      </w:r>
      <w:r>
        <w:rPr>
          <w:rFonts w:hint="eastAsia"/>
          <w:snapToGrid w:val="0"/>
          <w:highlight w:val="none"/>
        </w:rPr>
        <w:t>）在服务采购项目中，服务由中小企业承接，即提供服务的人员为中小企业依照《中华人民共和国劳动合同法》订立劳动合同的从业人员。</w:t>
      </w:r>
    </w:p>
    <w:p w14:paraId="3985A386">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4</w:t>
      </w:r>
      <w:r>
        <w:rPr>
          <w:snapToGrid w:val="0"/>
          <w:highlight w:val="none"/>
        </w:rPr>
        <w:t xml:space="preserve"> </w:t>
      </w:r>
      <w:r>
        <w:rPr>
          <w:rFonts w:hint="eastAsia"/>
          <w:snapToGrid w:val="0"/>
          <w:highlight w:val="none"/>
        </w:rPr>
        <w:t xml:space="preserve">在货物采购项目中，投标人提供的货物既有中小企业制造货物，也有大型企业制造货物的，不享受中小企业扶持政策。 </w:t>
      </w:r>
    </w:p>
    <w:p w14:paraId="56DF218C">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5</w:t>
      </w:r>
      <w:r>
        <w:rPr>
          <w:snapToGrid w:val="0"/>
          <w:highlight w:val="none"/>
        </w:rPr>
        <w:t xml:space="preserve"> </w:t>
      </w:r>
      <w:r>
        <w:rPr>
          <w:rFonts w:hint="eastAsia"/>
          <w:snapToGrid w:val="0"/>
          <w:highlight w:val="none"/>
        </w:rPr>
        <w:t>以联合体形式参加政府采购活动，联合体各方均为中小企业的，联合体视同中小企业。其中，联合体各方均为小微企业的，联合体视同小微企业。</w:t>
      </w:r>
    </w:p>
    <w:p w14:paraId="4916D7D8">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6</w:t>
      </w:r>
      <w:r>
        <w:rPr>
          <w:snapToGrid w:val="0"/>
          <w:highlight w:val="none"/>
        </w:rPr>
        <w:t xml:space="preserve"> </w:t>
      </w:r>
      <w:r>
        <w:rPr>
          <w:rFonts w:hint="eastAsia"/>
          <w:snapToGrid w:val="0"/>
          <w:highlight w:val="none"/>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C634719">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 </w:t>
      </w:r>
      <w:r>
        <w:rPr>
          <w:rFonts w:hint="eastAsia"/>
          <w:snapToGrid w:val="0"/>
          <w:highlight w:val="none"/>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57AB4473">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.1 </w:t>
      </w:r>
      <w:r>
        <w:rPr>
          <w:rFonts w:hint="eastAsia"/>
          <w:snapToGrid w:val="0"/>
          <w:highlight w:val="none"/>
        </w:rPr>
        <w:t xml:space="preserve">安置的残疾人占本单位在职职工人数的比例不低于 </w:t>
      </w:r>
      <w:r>
        <w:rPr>
          <w:snapToGrid w:val="0"/>
          <w:highlight w:val="none"/>
        </w:rPr>
        <w:t xml:space="preserve">25% </w:t>
      </w:r>
      <w:r>
        <w:rPr>
          <w:rFonts w:hint="eastAsia"/>
          <w:snapToGrid w:val="0"/>
          <w:highlight w:val="none"/>
        </w:rPr>
        <w:t xml:space="preserve">（含 </w:t>
      </w:r>
      <w:r>
        <w:rPr>
          <w:snapToGrid w:val="0"/>
          <w:highlight w:val="none"/>
        </w:rPr>
        <w:t>25%</w:t>
      </w:r>
      <w:r>
        <w:rPr>
          <w:rFonts w:hint="eastAsia"/>
          <w:snapToGrid w:val="0"/>
          <w:highlight w:val="none"/>
        </w:rPr>
        <w:t xml:space="preserve">），并且安置的残疾人人数不少于 </w:t>
      </w:r>
      <w:r>
        <w:rPr>
          <w:snapToGrid w:val="0"/>
          <w:highlight w:val="none"/>
        </w:rPr>
        <w:t xml:space="preserve">10 </w:t>
      </w:r>
      <w:r>
        <w:rPr>
          <w:rFonts w:hint="eastAsia"/>
          <w:snapToGrid w:val="0"/>
          <w:highlight w:val="none"/>
        </w:rPr>
        <w:t xml:space="preserve">人（含 </w:t>
      </w:r>
      <w:r>
        <w:rPr>
          <w:snapToGrid w:val="0"/>
          <w:highlight w:val="none"/>
        </w:rPr>
        <w:t>10</w:t>
      </w:r>
      <w:r>
        <w:rPr>
          <w:rFonts w:hint="eastAsia"/>
          <w:snapToGrid w:val="0"/>
          <w:highlight w:val="none"/>
        </w:rPr>
        <w:t xml:space="preserve">人）； </w:t>
      </w:r>
    </w:p>
    <w:p w14:paraId="606DDCB9">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.2 </w:t>
      </w:r>
      <w:r>
        <w:rPr>
          <w:rFonts w:hint="eastAsia"/>
          <w:snapToGrid w:val="0"/>
          <w:highlight w:val="none"/>
        </w:rPr>
        <w:t xml:space="preserve">依法与安置的每位残疾人签订了1年以上（含1年）的劳动合同或服务协议； </w:t>
      </w:r>
    </w:p>
    <w:p w14:paraId="71B98317">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.3 </w:t>
      </w:r>
      <w:r>
        <w:rPr>
          <w:rFonts w:hint="eastAsia"/>
          <w:snapToGrid w:val="0"/>
          <w:highlight w:val="none"/>
        </w:rPr>
        <w:t xml:space="preserve">为安置的每位残疾人按月足额缴纳了基本养老保险、基本医疗保险、失业保险、工伤保险和生育保险等社会保险费； </w:t>
      </w:r>
    </w:p>
    <w:p w14:paraId="74E6FA0B">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.4 </w:t>
      </w:r>
      <w:r>
        <w:rPr>
          <w:rFonts w:hint="eastAsia"/>
          <w:snapToGrid w:val="0"/>
          <w:highlight w:val="none"/>
        </w:rPr>
        <w:t xml:space="preserve">通过银行等金融机构向安置的每位残疾人，按月支付了不低于单位所在区县适用的经省级人民政府批准的月最低工资标准的工资； </w:t>
      </w:r>
    </w:p>
    <w:p w14:paraId="5C137F64">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.5 </w:t>
      </w:r>
      <w:r>
        <w:rPr>
          <w:rFonts w:hint="eastAsia"/>
          <w:snapToGrid w:val="0"/>
          <w:highlight w:val="none"/>
        </w:rPr>
        <w:t xml:space="preserve">提供本单位制造的货物、承担的工程或者服务（以下简称产品），或者提供其他残疾人福利性单位制造的货物（不包括使用非残疾人福利性单位注册商标的货物）； </w:t>
      </w:r>
    </w:p>
    <w:p w14:paraId="730B01DB">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.6 </w:t>
      </w:r>
      <w:r>
        <w:rPr>
          <w:rFonts w:hint="eastAsia"/>
          <w:snapToGrid w:val="0"/>
          <w:highlight w:val="none"/>
        </w:rPr>
        <w:t>前款所称残疾人是指法定劳动年龄内，持有《中华人民共和国残疾人证》或者《中华人民共和国残疾军人证（</w:t>
      </w:r>
      <w:r>
        <w:rPr>
          <w:snapToGrid w:val="0"/>
          <w:highlight w:val="none"/>
        </w:rPr>
        <w:t xml:space="preserve">1 </w:t>
      </w:r>
      <w:r>
        <w:rPr>
          <w:rFonts w:hint="eastAsia"/>
          <w:snapToGrid w:val="0"/>
          <w:highlight w:val="none"/>
        </w:rPr>
        <w:t xml:space="preserve">至 </w:t>
      </w:r>
      <w:r>
        <w:rPr>
          <w:snapToGrid w:val="0"/>
          <w:highlight w:val="none"/>
        </w:rPr>
        <w:t xml:space="preserve">8 </w:t>
      </w:r>
      <w:r>
        <w:rPr>
          <w:rFonts w:hint="eastAsia"/>
          <w:snapToGrid w:val="0"/>
          <w:highlight w:val="none"/>
        </w:rPr>
        <w:t xml:space="preserve">级）》的自然人，包括具有劳动条件和劳动意愿的精神残疾人。在职职工人数是指与残疾人福利性单位建立劳动关系并依法签订劳动合同或服务协议的雇员人数。 </w:t>
      </w:r>
    </w:p>
    <w:p w14:paraId="0853294B">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8</w:t>
      </w:r>
      <w:r>
        <w:rPr>
          <w:snapToGrid w:val="0"/>
          <w:highlight w:val="none"/>
        </w:rPr>
        <w:t xml:space="preserve"> </w:t>
      </w:r>
      <w:r>
        <w:rPr>
          <w:rFonts w:hint="eastAsia"/>
          <w:snapToGrid w:val="0"/>
          <w:highlight w:val="none"/>
        </w:rPr>
        <w:t>本项目是否专门面向中小企业预留采购份额见“第一章 招标公告”。    42</w:t>
      </w:r>
      <w:r>
        <w:rPr>
          <w:snapToGrid w:val="0"/>
          <w:highlight w:val="none"/>
        </w:rPr>
        <w:t>.</w:t>
      </w:r>
      <w:r>
        <w:rPr>
          <w:rFonts w:hint="eastAsia"/>
          <w:snapToGrid w:val="0"/>
          <w:highlight w:val="none"/>
        </w:rPr>
        <w:t>9</w:t>
      </w:r>
      <w:r>
        <w:rPr>
          <w:snapToGrid w:val="0"/>
          <w:highlight w:val="none"/>
        </w:rPr>
        <w:t xml:space="preserve"> </w:t>
      </w:r>
      <w:r>
        <w:rPr>
          <w:rFonts w:hint="eastAsia"/>
          <w:snapToGrid w:val="0"/>
          <w:highlight w:val="none"/>
        </w:rPr>
        <w:t>采购标的对应的中小企业划分标准所属行业见“投标人须知前附表”。    42</w:t>
      </w:r>
      <w:r>
        <w:rPr>
          <w:snapToGrid w:val="0"/>
          <w:highlight w:val="none"/>
        </w:rPr>
        <w:t>.</w:t>
      </w:r>
      <w:r>
        <w:rPr>
          <w:rFonts w:hint="eastAsia"/>
          <w:snapToGrid w:val="0"/>
          <w:highlight w:val="none"/>
        </w:rPr>
        <w:t>10</w:t>
      </w:r>
      <w:r>
        <w:rPr>
          <w:snapToGrid w:val="0"/>
          <w:highlight w:val="none"/>
        </w:rPr>
        <w:t xml:space="preserve"> </w:t>
      </w:r>
      <w:r>
        <w:rPr>
          <w:rFonts w:hint="eastAsia"/>
          <w:snapToGrid w:val="0"/>
          <w:highlight w:val="none"/>
        </w:rPr>
        <w:t>小微企业价格评审优惠的政策调整：见“投标人须知前附表”及“第五章 评标方法及标准”。</w:t>
      </w:r>
    </w:p>
    <w:p w14:paraId="7963EA19">
      <w:pPr>
        <w:pStyle w:val="5"/>
        <w:spacing w:line="360" w:lineRule="auto"/>
        <w:rPr>
          <w:highlight w:val="none"/>
        </w:rPr>
      </w:pPr>
      <w:bookmarkStart w:id="263" w:name="_Toc163492878"/>
      <w:r>
        <w:rPr>
          <w:rFonts w:hint="eastAsia"/>
          <w:highlight w:val="none"/>
        </w:rPr>
        <w:t>43.政府采购节能产品、环境标志产品</w:t>
      </w:r>
      <w:bookmarkEnd w:id="263"/>
    </w:p>
    <w:p w14:paraId="0918C8B5">
      <w:pPr>
        <w:pStyle w:val="38"/>
        <w:spacing w:line="360" w:lineRule="auto"/>
        <w:rPr>
          <w:snapToGrid w:val="0"/>
          <w:highlight w:val="none"/>
        </w:rPr>
      </w:pPr>
      <w:r>
        <w:rPr>
          <w:rFonts w:hint="eastAsia"/>
          <w:snapToGrid w:val="0"/>
          <w:highlight w:val="none"/>
        </w:rPr>
        <w:t>43</w:t>
      </w:r>
      <w:r>
        <w:rPr>
          <w:snapToGrid w:val="0"/>
          <w:highlight w:val="none"/>
        </w:rPr>
        <w:t xml:space="preserve">.1 </w:t>
      </w:r>
      <w:r>
        <w:rPr>
          <w:rFonts w:hint="eastAsia"/>
          <w:snapToGrid w:val="0"/>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highlight w:val="none"/>
        </w:rPr>
        <w:t>2019</w:t>
      </w:r>
      <w:r>
        <w:rPr>
          <w:rFonts w:hint="eastAsia"/>
          <w:snapToGrid w:val="0"/>
          <w:highlight w:val="none"/>
        </w:rPr>
        <w:t>〕</w:t>
      </w:r>
      <w:r>
        <w:rPr>
          <w:snapToGrid w:val="0"/>
          <w:highlight w:val="none"/>
        </w:rPr>
        <w:t xml:space="preserve">9 </w:t>
      </w:r>
      <w:r>
        <w:rPr>
          <w:rFonts w:hint="eastAsia"/>
          <w:snapToGrid w:val="0"/>
          <w:highlight w:val="none"/>
        </w:rPr>
        <w:t>号）、《关于印发环境标志产品政府采购品目清单的通知》（财库〔2019〕18号）、《关于印发节能产品政府采购品目清单的通知》（财库〔2019〕19号）的规定。</w:t>
      </w:r>
    </w:p>
    <w:p w14:paraId="16D8728A">
      <w:pPr>
        <w:pStyle w:val="38"/>
        <w:spacing w:line="360" w:lineRule="auto"/>
        <w:rPr>
          <w:snapToGrid w:val="0"/>
          <w:highlight w:val="none"/>
        </w:rPr>
      </w:pPr>
      <w:r>
        <w:rPr>
          <w:rFonts w:hint="eastAsia"/>
          <w:snapToGrid w:val="0"/>
          <w:highlight w:val="none"/>
        </w:rPr>
        <w:t>43</w:t>
      </w:r>
      <w:r>
        <w:rPr>
          <w:snapToGrid w:val="0"/>
          <w:highlight w:val="none"/>
        </w:rPr>
        <w:t xml:space="preserve">.2 </w:t>
      </w:r>
      <w:r>
        <w:rPr>
          <w:rFonts w:hint="eastAsia"/>
          <w:snapToGrid w:val="0"/>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08AEE71C">
      <w:pPr>
        <w:pStyle w:val="38"/>
        <w:spacing w:line="360" w:lineRule="auto"/>
        <w:rPr>
          <w:snapToGrid w:val="0"/>
          <w:highlight w:val="none"/>
        </w:rPr>
      </w:pPr>
      <w:r>
        <w:rPr>
          <w:rFonts w:hint="eastAsia"/>
          <w:snapToGrid w:val="0"/>
          <w:highlight w:val="none"/>
        </w:rPr>
        <w:t>43</w:t>
      </w:r>
      <w:r>
        <w:rPr>
          <w:snapToGrid w:val="0"/>
          <w:highlight w:val="none"/>
        </w:rPr>
        <w:t xml:space="preserve">.3 </w:t>
      </w:r>
      <w:r>
        <w:rPr>
          <w:rFonts w:hint="eastAsia"/>
          <w:snapToGrid w:val="0"/>
          <w:highlight w:val="none"/>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highlight w:val="none"/>
        </w:rPr>
        <w:t>投标无效</w:t>
      </w:r>
      <w:r>
        <w:rPr>
          <w:rFonts w:hint="eastAsia"/>
          <w:snapToGrid w:val="0"/>
          <w:highlight w:val="none"/>
        </w:rPr>
        <w:t xml:space="preserve">。 </w:t>
      </w:r>
    </w:p>
    <w:p w14:paraId="38E4E1E2">
      <w:pPr>
        <w:pStyle w:val="38"/>
        <w:spacing w:line="360" w:lineRule="auto"/>
        <w:rPr>
          <w:snapToGrid w:val="0"/>
          <w:highlight w:val="none"/>
        </w:rPr>
      </w:pPr>
      <w:r>
        <w:rPr>
          <w:rFonts w:hint="eastAsia"/>
          <w:snapToGrid w:val="0"/>
          <w:highlight w:val="none"/>
        </w:rPr>
        <w:t>43</w:t>
      </w:r>
      <w:r>
        <w:rPr>
          <w:snapToGrid w:val="0"/>
          <w:highlight w:val="none"/>
        </w:rPr>
        <w:t xml:space="preserve">.4 </w:t>
      </w:r>
      <w:r>
        <w:rPr>
          <w:rFonts w:hint="eastAsia"/>
          <w:snapToGrid w:val="0"/>
          <w:highlight w:val="none"/>
        </w:rPr>
        <w:t>非政府强制采购的节能产品或环境标志产品，依据品目清单和认证证书实施政府优先采购。优先采购的具体规定见“第五章 评标方法及标准”（如涉及）。</w:t>
      </w:r>
    </w:p>
    <w:p w14:paraId="3FBA643B">
      <w:pPr>
        <w:pStyle w:val="38"/>
        <w:spacing w:line="360" w:lineRule="auto"/>
        <w:rPr>
          <w:highlight w:val="none"/>
        </w:rPr>
      </w:pPr>
      <w:r>
        <w:rPr>
          <w:rFonts w:hint="eastAsia"/>
          <w:snapToGrid w:val="0"/>
          <w:highlight w:val="none"/>
          <w:lang w:val="en-US"/>
        </w:rPr>
        <w:t xml:space="preserve">43.5 </w:t>
      </w:r>
      <w:r>
        <w:rPr>
          <w:rFonts w:hint="eastAsia"/>
          <w:snapToGrid w:val="0"/>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highlight w:val="none"/>
        </w:rPr>
        <w:t>已作为投标时强制性要求不再</w:t>
      </w:r>
      <w:r>
        <w:rPr>
          <w:rFonts w:hint="eastAsia"/>
          <w:snapToGrid w:val="0"/>
          <w:highlight w:val="none"/>
        </w:rPr>
        <w:t>给予</w:t>
      </w:r>
      <w:r>
        <w:rPr>
          <w:rFonts w:hint="eastAsia"/>
          <w:snapToGrid w:val="0"/>
          <w:highlight w:val="none"/>
          <w:lang w:val="en-US"/>
        </w:rPr>
        <w:t>评审优惠</w:t>
      </w:r>
      <w:r>
        <w:rPr>
          <w:rFonts w:hint="eastAsia"/>
          <w:snapToGrid w:val="0"/>
          <w:highlight w:val="none"/>
        </w:rPr>
        <w:t>，未提供认证证书的视为</w:t>
      </w:r>
      <w:r>
        <w:rPr>
          <w:rFonts w:hint="eastAsia"/>
          <w:b/>
          <w:bCs/>
          <w:snapToGrid w:val="0"/>
          <w:highlight w:val="none"/>
          <w:lang w:val="en-US"/>
        </w:rPr>
        <w:t>投标</w:t>
      </w:r>
      <w:r>
        <w:rPr>
          <w:rFonts w:hint="eastAsia"/>
          <w:b/>
          <w:bCs/>
          <w:snapToGrid w:val="0"/>
          <w:highlight w:val="none"/>
        </w:rPr>
        <w:t>无效</w:t>
      </w:r>
      <w:r>
        <w:rPr>
          <w:rFonts w:hint="eastAsia"/>
          <w:snapToGrid w:val="0"/>
          <w:highlight w:val="none"/>
        </w:rPr>
        <w:t>。属于</w:t>
      </w:r>
      <w:r>
        <w:rPr>
          <w:rFonts w:hint="eastAsia"/>
          <w:snapToGrid w:val="0"/>
          <w:highlight w:val="none"/>
          <w:lang w:val="en-US"/>
        </w:rPr>
        <w:t>优先采购</w:t>
      </w:r>
      <w:r>
        <w:rPr>
          <w:rFonts w:hint="eastAsia"/>
          <w:snapToGrid w:val="0"/>
          <w:highlight w:val="none"/>
        </w:rPr>
        <w:t>节能产品政府采购品目清单、环境标志产品政府采购品目清单、</w:t>
      </w:r>
      <w:r>
        <w:rPr>
          <w:rFonts w:hint="eastAsia"/>
          <w:snapToGrid w:val="0"/>
          <w:highlight w:val="none"/>
          <w:lang w:val="en-US"/>
        </w:rPr>
        <w:t>创新产品</w:t>
      </w:r>
      <w:r>
        <w:rPr>
          <w:rFonts w:hint="eastAsia"/>
          <w:snapToGrid w:val="0"/>
          <w:highlight w:val="none"/>
        </w:rPr>
        <w:t>范围的，按照“</w:t>
      </w:r>
      <w:r>
        <w:rPr>
          <w:rFonts w:hint="eastAsia"/>
          <w:highlight w:val="none"/>
          <w:lang w:val="en-US"/>
        </w:rPr>
        <w:t>第五章 评标方法及标准</w:t>
      </w:r>
      <w:r>
        <w:rPr>
          <w:rFonts w:hint="eastAsia"/>
          <w:snapToGrid w:val="0"/>
          <w:highlight w:val="none"/>
        </w:rPr>
        <w:t>”中相关规定</w:t>
      </w:r>
      <w:r>
        <w:rPr>
          <w:rFonts w:hint="eastAsia"/>
          <w:highlight w:val="none"/>
          <w:lang w:val="en-US"/>
        </w:rPr>
        <w:t>在评审时给予优惠，具体详见</w:t>
      </w:r>
      <w:r>
        <w:rPr>
          <w:rFonts w:hint="eastAsia"/>
          <w:snapToGrid w:val="0"/>
          <w:highlight w:val="none"/>
          <w:lang w:val="en-US"/>
        </w:rPr>
        <w:t>“投标人须知前附表”及</w:t>
      </w:r>
      <w:r>
        <w:rPr>
          <w:rFonts w:hint="eastAsia"/>
          <w:highlight w:val="none"/>
          <w:lang w:val="en-US"/>
        </w:rPr>
        <w:t>“第五章 评标方法及标准”</w:t>
      </w:r>
      <w:r>
        <w:rPr>
          <w:rFonts w:hint="eastAsia"/>
          <w:highlight w:val="none"/>
        </w:rPr>
        <w:t>。</w:t>
      </w:r>
    </w:p>
    <w:p w14:paraId="6CA4100F">
      <w:pPr>
        <w:pStyle w:val="5"/>
        <w:spacing w:line="360" w:lineRule="auto"/>
        <w:rPr>
          <w:highlight w:val="none"/>
        </w:rPr>
      </w:pPr>
      <w:bookmarkStart w:id="264" w:name="_Toc163492879"/>
      <w:r>
        <w:rPr>
          <w:rFonts w:hint="eastAsia"/>
          <w:highlight w:val="none"/>
        </w:rPr>
        <w:t xml:space="preserve">44.正版软件  </w:t>
      </w:r>
    </w:p>
    <w:p w14:paraId="6D090D7A">
      <w:pPr>
        <w:pStyle w:val="38"/>
        <w:spacing w:line="360" w:lineRule="auto"/>
        <w:rPr>
          <w:snapToGrid w:val="0"/>
          <w:highlight w:val="none"/>
        </w:rPr>
      </w:pPr>
      <w:r>
        <w:rPr>
          <w:rFonts w:hint="eastAsia"/>
          <w:snapToGrid w:val="0"/>
          <w:highlight w:val="none"/>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0F56EF3E">
      <w:pPr>
        <w:pStyle w:val="5"/>
        <w:spacing w:line="360" w:lineRule="auto"/>
        <w:rPr>
          <w:highlight w:val="none"/>
        </w:rPr>
      </w:pPr>
      <w:r>
        <w:rPr>
          <w:rFonts w:hint="eastAsia"/>
          <w:highlight w:val="none"/>
        </w:rPr>
        <w:t xml:space="preserve">45.网络安全专用产品   </w:t>
      </w:r>
    </w:p>
    <w:p w14:paraId="1524E2FC">
      <w:pPr>
        <w:pStyle w:val="38"/>
        <w:spacing w:line="360" w:lineRule="auto"/>
        <w:rPr>
          <w:snapToGrid w:val="0"/>
          <w:highlight w:val="none"/>
        </w:rPr>
      </w:pPr>
      <w:r>
        <w:rPr>
          <w:rFonts w:hint="eastAsia"/>
          <w:snapToGrid w:val="0"/>
          <w:highlight w:val="none"/>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43249FA2">
      <w:pPr>
        <w:pStyle w:val="38"/>
        <w:spacing w:line="360" w:lineRule="auto"/>
        <w:rPr>
          <w:snapToGrid w:val="0"/>
          <w:highlight w:val="none"/>
        </w:rPr>
      </w:pPr>
      <w:r>
        <w:rPr>
          <w:rFonts w:hint="eastAsia"/>
          <w:snapToGrid w:val="0"/>
          <w:highlight w:val="none"/>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6F0CEBA1">
      <w:pPr>
        <w:pStyle w:val="5"/>
        <w:spacing w:line="360" w:lineRule="auto"/>
        <w:rPr>
          <w:highlight w:val="none"/>
        </w:rPr>
      </w:pPr>
      <w:r>
        <w:rPr>
          <w:rFonts w:hint="eastAsia"/>
          <w:highlight w:val="none"/>
        </w:rPr>
        <w:t xml:space="preserve">46.采购需求标准   </w:t>
      </w:r>
    </w:p>
    <w:p w14:paraId="5DB88143">
      <w:pPr>
        <w:pStyle w:val="38"/>
        <w:spacing w:line="360" w:lineRule="auto"/>
        <w:rPr>
          <w:snapToGrid w:val="0"/>
          <w:highlight w:val="none"/>
        </w:rPr>
      </w:pPr>
      <w:r>
        <w:rPr>
          <w:rFonts w:hint="eastAsia"/>
          <w:snapToGrid w:val="0"/>
          <w:highlight w:val="none"/>
        </w:rPr>
        <w:t xml:space="preserve">46.1 商品包装、快递包装政府采购需求标准（试行） </w:t>
      </w:r>
    </w:p>
    <w:p w14:paraId="0A43D843">
      <w:pPr>
        <w:pStyle w:val="38"/>
        <w:spacing w:line="360" w:lineRule="auto"/>
        <w:rPr>
          <w:snapToGrid w:val="0"/>
          <w:highlight w:val="none"/>
        </w:rPr>
      </w:pPr>
      <w:r>
        <w:rPr>
          <w:rFonts w:hint="eastAsia"/>
          <w:snapToGrid w:val="0"/>
          <w:highlight w:val="none"/>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67CC2B8C">
      <w:pPr>
        <w:pStyle w:val="38"/>
        <w:spacing w:line="360" w:lineRule="auto"/>
        <w:rPr>
          <w:snapToGrid w:val="0"/>
          <w:highlight w:val="none"/>
        </w:rPr>
      </w:pPr>
      <w:r>
        <w:rPr>
          <w:rFonts w:hint="eastAsia"/>
          <w:snapToGrid w:val="0"/>
          <w:highlight w:val="none"/>
        </w:rPr>
        <w:t xml:space="preserve">46.2 绿色数据中心政府采购需求标准（试行） </w:t>
      </w:r>
    </w:p>
    <w:p w14:paraId="1EAF9651">
      <w:pPr>
        <w:pStyle w:val="38"/>
        <w:spacing w:line="360" w:lineRule="auto"/>
        <w:rPr>
          <w:snapToGrid w:val="0"/>
          <w:highlight w:val="none"/>
        </w:rPr>
      </w:pPr>
      <w:r>
        <w:rPr>
          <w:rFonts w:hint="eastAsia"/>
          <w:snapToGrid w:val="0"/>
          <w:highlight w:val="none"/>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51266FF3">
      <w:pPr>
        <w:pStyle w:val="38"/>
        <w:spacing w:line="360" w:lineRule="auto"/>
        <w:rPr>
          <w:snapToGrid w:val="0"/>
          <w:highlight w:val="none"/>
        </w:rPr>
      </w:pPr>
      <w:r>
        <w:rPr>
          <w:rFonts w:hint="eastAsia"/>
          <w:snapToGrid w:val="0"/>
          <w:highlight w:val="none"/>
        </w:rPr>
        <w:t>46.3台式计算机政府采购需求标准</w:t>
      </w:r>
    </w:p>
    <w:p w14:paraId="4AA1A4E7">
      <w:pPr>
        <w:pStyle w:val="38"/>
        <w:spacing w:line="360" w:lineRule="auto"/>
        <w:rPr>
          <w:snapToGrid w:val="0"/>
          <w:highlight w:val="none"/>
        </w:rPr>
      </w:pPr>
      <w:r>
        <w:rPr>
          <w:rFonts w:hint="eastAsia"/>
          <w:snapToGrid w:val="0"/>
          <w:highlight w:val="none"/>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64013C6">
      <w:pPr>
        <w:pStyle w:val="38"/>
        <w:spacing w:line="360" w:lineRule="auto"/>
        <w:rPr>
          <w:snapToGrid w:val="0"/>
          <w:highlight w:val="none"/>
        </w:rPr>
      </w:pPr>
      <w:r>
        <w:rPr>
          <w:rFonts w:hint="eastAsia"/>
          <w:snapToGrid w:val="0"/>
          <w:highlight w:val="none"/>
        </w:rPr>
        <w:t>46.4便携式计算机政府采购需求标准</w:t>
      </w:r>
    </w:p>
    <w:p w14:paraId="5343754F">
      <w:pPr>
        <w:pStyle w:val="38"/>
        <w:spacing w:line="360" w:lineRule="auto"/>
        <w:rPr>
          <w:snapToGrid w:val="0"/>
          <w:highlight w:val="none"/>
        </w:rPr>
      </w:pPr>
      <w:r>
        <w:rPr>
          <w:rFonts w:hint="eastAsia"/>
          <w:snapToGrid w:val="0"/>
          <w:highlight w:val="none"/>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5DF8447E">
      <w:pPr>
        <w:pStyle w:val="38"/>
        <w:spacing w:line="360" w:lineRule="auto"/>
        <w:rPr>
          <w:snapToGrid w:val="0"/>
          <w:highlight w:val="none"/>
        </w:rPr>
      </w:pPr>
      <w:r>
        <w:rPr>
          <w:rFonts w:hint="eastAsia"/>
          <w:snapToGrid w:val="0"/>
          <w:highlight w:val="none"/>
        </w:rPr>
        <w:t>46.5一体式计算机政府采购需求标准</w:t>
      </w:r>
    </w:p>
    <w:p w14:paraId="18688C17">
      <w:pPr>
        <w:pStyle w:val="38"/>
        <w:spacing w:line="360" w:lineRule="auto"/>
        <w:rPr>
          <w:snapToGrid w:val="0"/>
          <w:highlight w:val="none"/>
        </w:rPr>
      </w:pPr>
      <w:r>
        <w:rPr>
          <w:rFonts w:hint="eastAsia"/>
          <w:snapToGrid w:val="0"/>
          <w:highlight w:val="none"/>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7DD2FA8F">
      <w:pPr>
        <w:pStyle w:val="38"/>
        <w:spacing w:line="360" w:lineRule="auto"/>
        <w:rPr>
          <w:snapToGrid w:val="0"/>
          <w:highlight w:val="none"/>
        </w:rPr>
      </w:pPr>
      <w:r>
        <w:rPr>
          <w:rFonts w:hint="eastAsia"/>
          <w:snapToGrid w:val="0"/>
          <w:highlight w:val="none"/>
        </w:rPr>
        <w:t>46.6工作站政府采购需求标准</w:t>
      </w:r>
    </w:p>
    <w:p w14:paraId="21E34699">
      <w:pPr>
        <w:pStyle w:val="38"/>
        <w:spacing w:line="360" w:lineRule="auto"/>
        <w:rPr>
          <w:snapToGrid w:val="0"/>
          <w:highlight w:val="none"/>
        </w:rPr>
      </w:pPr>
      <w:r>
        <w:rPr>
          <w:rFonts w:hint="eastAsia"/>
          <w:snapToGrid w:val="0"/>
          <w:highlight w:val="none"/>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27181ECB">
      <w:pPr>
        <w:pStyle w:val="38"/>
        <w:spacing w:line="360" w:lineRule="auto"/>
        <w:rPr>
          <w:snapToGrid w:val="0"/>
          <w:highlight w:val="none"/>
        </w:rPr>
      </w:pPr>
      <w:r>
        <w:rPr>
          <w:rFonts w:hint="eastAsia"/>
          <w:snapToGrid w:val="0"/>
          <w:highlight w:val="none"/>
        </w:rPr>
        <w:t>46.7通用服务器政府采购需求标准</w:t>
      </w:r>
    </w:p>
    <w:p w14:paraId="636228F6">
      <w:pPr>
        <w:pStyle w:val="38"/>
        <w:spacing w:line="360" w:lineRule="auto"/>
        <w:rPr>
          <w:snapToGrid w:val="0"/>
          <w:highlight w:val="none"/>
        </w:rPr>
      </w:pPr>
      <w:r>
        <w:rPr>
          <w:rFonts w:hint="eastAsia"/>
          <w:snapToGrid w:val="0"/>
          <w:highlight w:val="none"/>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47CA4FB1">
      <w:pPr>
        <w:pStyle w:val="38"/>
        <w:spacing w:line="360" w:lineRule="auto"/>
        <w:rPr>
          <w:snapToGrid w:val="0"/>
          <w:highlight w:val="none"/>
        </w:rPr>
      </w:pPr>
      <w:r>
        <w:rPr>
          <w:rFonts w:hint="eastAsia"/>
          <w:snapToGrid w:val="0"/>
          <w:highlight w:val="none"/>
        </w:rPr>
        <w:t>46.8操作系统政府采购需求标准</w:t>
      </w:r>
    </w:p>
    <w:p w14:paraId="3760097A">
      <w:pPr>
        <w:pStyle w:val="38"/>
        <w:spacing w:line="360" w:lineRule="auto"/>
        <w:rPr>
          <w:snapToGrid w:val="0"/>
          <w:highlight w:val="none"/>
        </w:rPr>
      </w:pPr>
      <w:r>
        <w:rPr>
          <w:rFonts w:hint="eastAsia"/>
          <w:snapToGrid w:val="0"/>
          <w:highlight w:val="none"/>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7A584E6E">
      <w:pPr>
        <w:pStyle w:val="38"/>
        <w:spacing w:line="360" w:lineRule="auto"/>
        <w:rPr>
          <w:snapToGrid w:val="0"/>
          <w:highlight w:val="none"/>
        </w:rPr>
      </w:pPr>
      <w:r>
        <w:rPr>
          <w:rFonts w:hint="eastAsia"/>
          <w:snapToGrid w:val="0"/>
          <w:highlight w:val="none"/>
        </w:rPr>
        <w:t>46.9数据库政府采购需求标准</w:t>
      </w:r>
    </w:p>
    <w:p w14:paraId="28C5CC3F">
      <w:pPr>
        <w:pStyle w:val="38"/>
        <w:spacing w:line="360" w:lineRule="auto"/>
        <w:rPr>
          <w:snapToGrid w:val="0"/>
          <w:highlight w:val="none"/>
        </w:rPr>
      </w:pPr>
      <w:r>
        <w:rPr>
          <w:rFonts w:hint="eastAsia"/>
          <w:snapToGrid w:val="0"/>
          <w:highlight w:val="none"/>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47395125">
      <w:pPr>
        <w:pStyle w:val="38"/>
        <w:spacing w:line="360" w:lineRule="auto"/>
        <w:rPr>
          <w:snapToGrid w:val="0"/>
          <w:highlight w:val="none"/>
        </w:rPr>
      </w:pPr>
      <w:r>
        <w:rPr>
          <w:rFonts w:hint="eastAsia"/>
          <w:snapToGrid w:val="0"/>
          <w:highlight w:val="none"/>
        </w:rPr>
        <w:t>46.10物业管理服务政府采购需求标准（办公场所类）（试行）</w:t>
      </w:r>
    </w:p>
    <w:p w14:paraId="7CEAE47C">
      <w:pPr>
        <w:pStyle w:val="38"/>
        <w:spacing w:line="360" w:lineRule="auto"/>
        <w:rPr>
          <w:snapToGrid w:val="0"/>
          <w:highlight w:val="none"/>
        </w:rPr>
      </w:pPr>
      <w:r>
        <w:rPr>
          <w:rFonts w:hint="eastAsia"/>
          <w:snapToGrid w:val="0"/>
          <w:highlight w:val="none"/>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5A4C6667">
      <w:pPr>
        <w:pStyle w:val="4"/>
        <w:spacing w:line="360" w:lineRule="auto"/>
        <w:rPr>
          <w:highlight w:val="none"/>
        </w:rPr>
      </w:pPr>
      <w:r>
        <w:rPr>
          <w:rFonts w:hint="eastAsia"/>
          <w:highlight w:val="none"/>
        </w:rPr>
        <w:t>（十四）政府采购合同融资政策</w:t>
      </w:r>
      <w:bookmarkEnd w:id="259"/>
      <w:bookmarkEnd w:id="260"/>
      <w:bookmarkEnd w:id="264"/>
    </w:p>
    <w:p w14:paraId="400152E9">
      <w:pPr>
        <w:pStyle w:val="5"/>
        <w:spacing w:line="360" w:lineRule="auto"/>
        <w:rPr>
          <w:highlight w:val="none"/>
        </w:rPr>
      </w:pPr>
      <w:bookmarkStart w:id="265" w:name="_Toc163492880"/>
      <w:r>
        <w:rPr>
          <w:rFonts w:hint="eastAsia"/>
          <w:highlight w:val="none"/>
        </w:rPr>
        <w:t>47.政府采购合同融资政策</w:t>
      </w:r>
      <w:bookmarkEnd w:id="265"/>
    </w:p>
    <w:p w14:paraId="0DD69827">
      <w:pPr>
        <w:pStyle w:val="38"/>
        <w:spacing w:line="360" w:lineRule="auto"/>
        <w:rPr>
          <w:highlight w:val="none"/>
        </w:rPr>
      </w:pPr>
      <w:r>
        <w:rPr>
          <w:rFonts w:hint="eastAsia"/>
          <w:highlight w:val="none"/>
        </w:rPr>
        <w:t>4</w:t>
      </w:r>
      <w:r>
        <w:rPr>
          <w:rFonts w:hint="eastAsia"/>
          <w:highlight w:val="none"/>
          <w:lang w:val="en-US"/>
        </w:rPr>
        <w:t>7</w:t>
      </w:r>
      <w:r>
        <w:rPr>
          <w:highlight w:val="none"/>
        </w:rPr>
        <w:t>.</w:t>
      </w:r>
      <w:r>
        <w:rPr>
          <w:rFonts w:hint="eastAsia"/>
          <w:highlight w:val="none"/>
        </w:rPr>
        <w:t>1政府采购合同融资政策：见投标人须知前附表。</w:t>
      </w:r>
    </w:p>
    <w:p w14:paraId="7C97CC08">
      <w:pPr>
        <w:pStyle w:val="4"/>
        <w:spacing w:line="360" w:lineRule="auto"/>
        <w:rPr>
          <w:highlight w:val="none"/>
        </w:rPr>
      </w:pPr>
      <w:bookmarkStart w:id="266" w:name="_Toc163492881"/>
      <w:r>
        <w:rPr>
          <w:rFonts w:hint="eastAsia"/>
          <w:highlight w:val="none"/>
        </w:rPr>
        <w:t>（十五）其他</w:t>
      </w:r>
      <w:bookmarkEnd w:id="266"/>
    </w:p>
    <w:p w14:paraId="667B5420">
      <w:pPr>
        <w:pStyle w:val="5"/>
        <w:spacing w:line="360" w:lineRule="auto"/>
        <w:rPr>
          <w:highlight w:val="none"/>
        </w:rPr>
      </w:pPr>
      <w:bookmarkStart w:id="267" w:name="_Toc163492882"/>
      <w:r>
        <w:rPr>
          <w:rFonts w:hint="eastAsia"/>
          <w:highlight w:val="none"/>
        </w:rPr>
        <w:t>48.需要补充的其他内容</w:t>
      </w:r>
      <w:bookmarkEnd w:id="267"/>
    </w:p>
    <w:p w14:paraId="24574E55">
      <w:pPr>
        <w:pStyle w:val="38"/>
        <w:spacing w:line="360" w:lineRule="auto"/>
        <w:rPr>
          <w:highlight w:val="none"/>
        </w:rPr>
      </w:pPr>
      <w:r>
        <w:rPr>
          <w:rFonts w:hint="eastAsia"/>
          <w:highlight w:val="none"/>
        </w:rPr>
        <w:t>需要补充的其他内容：见投标人须知前附表。</w:t>
      </w:r>
    </w:p>
    <w:p w14:paraId="4464CC46">
      <w:pPr>
        <w:pStyle w:val="5"/>
        <w:spacing w:line="360" w:lineRule="auto"/>
        <w:rPr>
          <w:highlight w:val="none"/>
        </w:rPr>
      </w:pPr>
      <w:bookmarkStart w:id="268" w:name="_Toc163492883"/>
      <w:bookmarkStart w:id="269" w:name="_Toc155185886"/>
      <w:bookmarkStart w:id="270" w:name="_Toc140132810"/>
      <w:r>
        <w:rPr>
          <w:rFonts w:hint="eastAsia"/>
          <w:highlight w:val="none"/>
        </w:rPr>
        <w:t>49.适用法律</w:t>
      </w:r>
      <w:bookmarkEnd w:id="268"/>
      <w:bookmarkEnd w:id="269"/>
      <w:bookmarkEnd w:id="270"/>
    </w:p>
    <w:p w14:paraId="69FD7883">
      <w:pPr>
        <w:pStyle w:val="38"/>
        <w:spacing w:line="360" w:lineRule="auto"/>
        <w:rPr>
          <w:snapToGrid w:val="0"/>
          <w:highlight w:val="none"/>
        </w:rPr>
      </w:pPr>
      <w:r>
        <w:rPr>
          <w:rFonts w:hint="eastAsia"/>
          <w:snapToGrid w:val="0"/>
          <w:highlight w:val="none"/>
          <w:lang w:val="en-US"/>
        </w:rPr>
        <w:t>49</w:t>
      </w:r>
      <w:r>
        <w:rPr>
          <w:snapToGrid w:val="0"/>
          <w:highlight w:val="none"/>
        </w:rPr>
        <w:t>.1</w:t>
      </w:r>
      <w:r>
        <w:rPr>
          <w:rFonts w:hint="eastAsia"/>
          <w:snapToGrid w:val="0"/>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3C0526B0">
      <w:pPr>
        <w:pStyle w:val="38"/>
        <w:spacing w:line="360" w:lineRule="auto"/>
        <w:rPr>
          <w:highlight w:val="none"/>
        </w:rPr>
      </w:pPr>
      <w:r>
        <w:rPr>
          <w:rFonts w:hint="eastAsia"/>
          <w:snapToGrid w:val="0"/>
          <w:highlight w:val="none"/>
          <w:lang w:val="en-US"/>
        </w:rPr>
        <w:t>49</w:t>
      </w:r>
      <w:r>
        <w:rPr>
          <w:snapToGrid w:val="0"/>
          <w:highlight w:val="none"/>
        </w:rPr>
        <w:t>.2</w:t>
      </w:r>
      <w:r>
        <w:rPr>
          <w:rFonts w:hint="eastAsia"/>
          <w:snapToGrid w:val="0"/>
          <w:highlight w:val="none"/>
        </w:rPr>
        <w:t>政府采购合同的履行、违约责任和解决争议的方法等适用《中华人民共和国民法典》。</w:t>
      </w:r>
    </w:p>
    <w:p w14:paraId="2CA9F366">
      <w:pPr>
        <w:pStyle w:val="5"/>
        <w:spacing w:line="360" w:lineRule="auto"/>
        <w:rPr>
          <w:highlight w:val="none"/>
        </w:rPr>
      </w:pPr>
      <w:bookmarkStart w:id="271" w:name="_Toc163492884"/>
      <w:bookmarkStart w:id="272" w:name="_Toc155185887"/>
      <w:r>
        <w:rPr>
          <w:rFonts w:hint="eastAsia"/>
          <w:highlight w:val="none"/>
        </w:rPr>
        <w:t>50.解释权</w:t>
      </w:r>
      <w:bookmarkEnd w:id="271"/>
      <w:bookmarkEnd w:id="272"/>
    </w:p>
    <w:p w14:paraId="0EEB5225">
      <w:pPr>
        <w:pStyle w:val="38"/>
        <w:spacing w:line="360" w:lineRule="auto"/>
        <w:rPr>
          <w:snapToGrid w:val="0"/>
          <w:highlight w:val="none"/>
        </w:rPr>
      </w:pPr>
      <w:r>
        <w:rPr>
          <w:rFonts w:hint="eastAsia"/>
          <w:snapToGrid w:val="0"/>
          <w:highlight w:val="none"/>
          <w:lang w:val="en-US"/>
        </w:rPr>
        <w:t>50</w:t>
      </w:r>
      <w:r>
        <w:rPr>
          <w:snapToGrid w:val="0"/>
          <w:highlight w:val="none"/>
        </w:rPr>
        <w:t>.</w:t>
      </w:r>
      <w:r>
        <w:rPr>
          <w:rFonts w:hint="eastAsia"/>
          <w:snapToGrid w:val="0"/>
          <w:highlight w:val="none"/>
        </w:rPr>
        <w:t>1本招标文件最终解释权归采购人或采购代理机构所有。</w:t>
      </w:r>
    </w:p>
    <w:p w14:paraId="74BB10DB">
      <w:pPr>
        <w:spacing w:line="360" w:lineRule="auto"/>
        <w:rPr>
          <w:highlight w:val="none"/>
        </w:rPr>
      </w:pPr>
      <w:bookmarkStart w:id="273" w:name="_Toc163492885"/>
      <w:bookmarkStart w:id="274" w:name="_Toc155185888"/>
      <w:r>
        <w:rPr>
          <w:rFonts w:hint="eastAsia"/>
          <w:highlight w:val="none"/>
        </w:rPr>
        <w:br w:type="page"/>
      </w:r>
    </w:p>
    <w:p w14:paraId="4782A356">
      <w:pPr>
        <w:pStyle w:val="2"/>
        <w:spacing w:line="360" w:lineRule="auto"/>
        <w:rPr>
          <w:highlight w:val="none"/>
        </w:rPr>
      </w:pPr>
      <w:bookmarkStart w:id="275" w:name="_Toc229390284"/>
      <w:r>
        <w:rPr>
          <w:rFonts w:hint="eastAsia"/>
          <w:highlight w:val="none"/>
        </w:rPr>
        <w:t>第三章 采购需求</w:t>
      </w:r>
      <w:bookmarkEnd w:id="273"/>
      <w:bookmarkEnd w:id="274"/>
      <w:bookmarkEnd w:id="275"/>
    </w:p>
    <w:p w14:paraId="79C0E4CB">
      <w:pPr>
        <w:pStyle w:val="3"/>
        <w:spacing w:line="360" w:lineRule="auto"/>
        <w:rPr>
          <w:highlight w:val="none"/>
        </w:rPr>
      </w:pPr>
      <w:bookmarkStart w:id="276" w:name="_Toc229390285"/>
      <w:bookmarkStart w:id="277" w:name="_Toc155185889"/>
      <w:bookmarkStart w:id="278" w:name="_Toc163492886"/>
      <w:bookmarkStart w:id="279" w:name="_Toc140132812"/>
      <w:r>
        <w:rPr>
          <w:rFonts w:hint="eastAsia"/>
          <w:highlight w:val="none"/>
        </w:rPr>
        <w:t>一、采购标的</w:t>
      </w:r>
      <w:bookmarkEnd w:id="276"/>
      <w:r>
        <w:rPr>
          <w:rFonts w:hint="eastAsia"/>
          <w:highlight w:val="none"/>
        </w:rPr>
        <w:t xml:space="preserve"> </w:t>
      </w:r>
    </w:p>
    <w:p w14:paraId="781635AE">
      <w:pPr>
        <w:pStyle w:val="38"/>
        <w:spacing w:line="360" w:lineRule="auto"/>
        <w:rPr>
          <w:snapToGrid w:val="0"/>
          <w:highlight w:val="none"/>
        </w:rPr>
      </w:pPr>
      <w:r>
        <w:rPr>
          <w:snapToGrid w:val="0"/>
          <w:highlight w:val="none"/>
        </w:rPr>
        <w:t xml:space="preserve">1. </w:t>
      </w:r>
      <w:r>
        <w:rPr>
          <w:rFonts w:hint="eastAsia"/>
          <w:snapToGrid w:val="0"/>
          <w:highlight w:val="none"/>
        </w:rPr>
        <w:t>采购标的</w:t>
      </w:r>
    </w:p>
    <w:tbl>
      <w:tblPr>
        <w:tblStyle w:val="30"/>
        <w:tblW w:w="11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562"/>
        <w:gridCol w:w="699"/>
        <w:gridCol w:w="850"/>
        <w:gridCol w:w="1276"/>
        <w:gridCol w:w="3685"/>
        <w:gridCol w:w="1701"/>
      </w:tblGrid>
      <w:tr w14:paraId="6D13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562" w:type="dxa"/>
          </w:tcPr>
          <w:p w14:paraId="42E8E2C2">
            <w:pPr>
              <w:spacing w:line="360" w:lineRule="auto"/>
              <w:jc w:val="center"/>
              <w:rPr>
                <w:highlight w:val="none"/>
                <w:lang w:bidi="ar"/>
              </w:rPr>
            </w:pPr>
            <w:r>
              <w:rPr>
                <w:rFonts w:hint="eastAsia"/>
                <w:highlight w:val="none"/>
                <w:lang w:bidi="ar"/>
              </w:rPr>
              <w:t>货物总名称</w:t>
            </w:r>
          </w:p>
        </w:tc>
        <w:tc>
          <w:tcPr>
            <w:tcW w:w="1562" w:type="dxa"/>
            <w:vAlign w:val="center"/>
          </w:tcPr>
          <w:p w14:paraId="071650D2">
            <w:pPr>
              <w:spacing w:line="360" w:lineRule="auto"/>
              <w:jc w:val="center"/>
              <w:rPr>
                <w:highlight w:val="none"/>
              </w:rPr>
            </w:pPr>
            <w:r>
              <w:rPr>
                <w:rFonts w:hint="eastAsia"/>
                <w:highlight w:val="none"/>
                <w:lang w:bidi="ar"/>
              </w:rPr>
              <w:t>标的名称</w:t>
            </w:r>
          </w:p>
        </w:tc>
        <w:tc>
          <w:tcPr>
            <w:tcW w:w="699" w:type="dxa"/>
            <w:vAlign w:val="center"/>
          </w:tcPr>
          <w:p w14:paraId="7E273E75">
            <w:pPr>
              <w:spacing w:line="360" w:lineRule="auto"/>
              <w:jc w:val="center"/>
              <w:rPr>
                <w:highlight w:val="none"/>
              </w:rPr>
            </w:pPr>
            <w:r>
              <w:rPr>
                <w:rFonts w:hint="eastAsia"/>
                <w:highlight w:val="none"/>
                <w:lang w:bidi="ar"/>
              </w:rPr>
              <w:t>单位</w:t>
            </w:r>
          </w:p>
        </w:tc>
        <w:tc>
          <w:tcPr>
            <w:tcW w:w="850" w:type="dxa"/>
            <w:vAlign w:val="center"/>
          </w:tcPr>
          <w:p w14:paraId="42941B38">
            <w:pPr>
              <w:spacing w:line="360" w:lineRule="auto"/>
              <w:jc w:val="center"/>
              <w:rPr>
                <w:highlight w:val="none"/>
              </w:rPr>
            </w:pPr>
            <w:r>
              <w:rPr>
                <w:rFonts w:hint="eastAsia"/>
                <w:highlight w:val="none"/>
                <w:lang w:bidi="ar"/>
              </w:rPr>
              <w:t>数量</w:t>
            </w:r>
          </w:p>
        </w:tc>
        <w:tc>
          <w:tcPr>
            <w:tcW w:w="1276" w:type="dxa"/>
            <w:vAlign w:val="center"/>
          </w:tcPr>
          <w:p w14:paraId="46E511FA">
            <w:pPr>
              <w:spacing w:line="360" w:lineRule="auto"/>
              <w:jc w:val="center"/>
              <w:rPr>
                <w:highlight w:val="none"/>
              </w:rPr>
            </w:pPr>
            <w:r>
              <w:rPr>
                <w:rFonts w:hint="eastAsia"/>
                <w:highlight w:val="none"/>
                <w:lang w:bidi="ar"/>
              </w:rPr>
              <w:t>限价</w:t>
            </w:r>
          </w:p>
        </w:tc>
        <w:tc>
          <w:tcPr>
            <w:tcW w:w="3685" w:type="dxa"/>
            <w:vAlign w:val="center"/>
          </w:tcPr>
          <w:p w14:paraId="5CEF8D78">
            <w:pPr>
              <w:spacing w:line="360" w:lineRule="auto"/>
              <w:jc w:val="center"/>
              <w:rPr>
                <w:highlight w:val="none"/>
              </w:rPr>
            </w:pPr>
            <w:r>
              <w:rPr>
                <w:rFonts w:hint="eastAsia"/>
                <w:highlight w:val="none"/>
                <w:lang w:bidi="ar"/>
              </w:rPr>
              <w:t>报价要求</w:t>
            </w:r>
          </w:p>
        </w:tc>
        <w:tc>
          <w:tcPr>
            <w:tcW w:w="1701" w:type="dxa"/>
          </w:tcPr>
          <w:p w14:paraId="21BD2660">
            <w:pPr>
              <w:spacing w:line="360" w:lineRule="auto"/>
              <w:jc w:val="center"/>
              <w:rPr>
                <w:highlight w:val="none"/>
                <w:lang w:bidi="ar"/>
              </w:rPr>
            </w:pPr>
            <w:r>
              <w:rPr>
                <w:rFonts w:hint="eastAsia"/>
                <w:highlight w:val="none"/>
                <w:lang w:bidi="ar"/>
              </w:rPr>
              <w:t>备注</w:t>
            </w:r>
          </w:p>
        </w:tc>
      </w:tr>
      <w:tr w14:paraId="0154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62" w:type="dxa"/>
            <w:vMerge w:val="restart"/>
            <w:vAlign w:val="center"/>
          </w:tcPr>
          <w:p w14:paraId="4748CC05">
            <w:pPr>
              <w:spacing w:line="360" w:lineRule="auto"/>
              <w:jc w:val="center"/>
              <w:rPr>
                <w:highlight w:val="none"/>
              </w:rPr>
            </w:pPr>
            <w:r>
              <w:rPr>
                <w:rFonts w:hint="eastAsia"/>
                <w:highlight w:val="none"/>
              </w:rPr>
              <w:t>活禽肉水产类（非冻货）</w:t>
            </w:r>
          </w:p>
        </w:tc>
        <w:tc>
          <w:tcPr>
            <w:tcW w:w="1562" w:type="dxa"/>
            <w:vAlign w:val="center"/>
          </w:tcPr>
          <w:p w14:paraId="0FC44280">
            <w:pPr>
              <w:spacing w:line="360" w:lineRule="auto"/>
              <w:jc w:val="center"/>
              <w:rPr>
                <w:highlight w:val="none"/>
              </w:rPr>
            </w:pPr>
            <w:bookmarkStart w:id="280" w:name="OLE_LINK3"/>
            <w:r>
              <w:rPr>
                <w:rFonts w:hint="eastAsia"/>
                <w:highlight w:val="none"/>
              </w:rPr>
              <w:t>三去鱼类</w:t>
            </w:r>
            <w:bookmarkEnd w:id="280"/>
          </w:p>
        </w:tc>
        <w:tc>
          <w:tcPr>
            <w:tcW w:w="699" w:type="dxa"/>
            <w:vAlign w:val="center"/>
          </w:tcPr>
          <w:p w14:paraId="7737D2AE">
            <w:pPr>
              <w:spacing w:line="360" w:lineRule="auto"/>
              <w:jc w:val="center"/>
              <w:rPr>
                <w:highlight w:val="none"/>
              </w:rPr>
            </w:pPr>
            <w:r>
              <w:rPr>
                <w:rFonts w:hint="eastAsia"/>
                <w:highlight w:val="none"/>
              </w:rPr>
              <w:t>公斤</w:t>
            </w:r>
          </w:p>
        </w:tc>
        <w:tc>
          <w:tcPr>
            <w:tcW w:w="850" w:type="dxa"/>
            <w:vAlign w:val="center"/>
          </w:tcPr>
          <w:p w14:paraId="339A6788">
            <w:pPr>
              <w:spacing w:line="360" w:lineRule="auto"/>
              <w:jc w:val="center"/>
              <w:rPr>
                <w:highlight w:val="none"/>
              </w:rPr>
            </w:pPr>
            <w:r>
              <w:rPr>
                <w:rFonts w:hint="eastAsia"/>
                <w:highlight w:val="none"/>
              </w:rPr>
              <w:t>1</w:t>
            </w:r>
          </w:p>
        </w:tc>
        <w:tc>
          <w:tcPr>
            <w:tcW w:w="1276" w:type="dxa"/>
            <w:vAlign w:val="center"/>
          </w:tcPr>
          <w:p w14:paraId="45828BDF">
            <w:pPr>
              <w:spacing w:line="360" w:lineRule="auto"/>
              <w:jc w:val="center"/>
              <w:rPr>
                <w:highlight w:val="none"/>
              </w:rPr>
            </w:pPr>
            <w:r>
              <w:rPr>
                <w:rFonts w:hint="eastAsia"/>
                <w:highlight w:val="none"/>
              </w:rPr>
              <w:t>上浮率X≤35</w:t>
            </w:r>
            <w:r>
              <w:rPr>
                <w:highlight w:val="none"/>
              </w:rPr>
              <w:t>.00%</w:t>
            </w:r>
          </w:p>
        </w:tc>
        <w:tc>
          <w:tcPr>
            <w:tcW w:w="3685" w:type="dxa"/>
            <w:vAlign w:val="center"/>
          </w:tcPr>
          <w:p w14:paraId="3C3CBE15">
            <w:pPr>
              <w:spacing w:line="360" w:lineRule="auto"/>
              <w:jc w:val="center"/>
              <w:rPr>
                <w:highlight w:val="none"/>
              </w:rPr>
            </w:pPr>
            <w:r>
              <w:rPr>
                <w:rFonts w:hint="eastAsia" w:cs="仿宋"/>
                <w:color w:val="000000"/>
                <w:kern w:val="0"/>
                <w:highlight w:val="none"/>
              </w:rPr>
              <w:t>报上浮率，按照北园春集团官网水产价格的中间价为基准价的（100+X）%定价。此项多指</w:t>
            </w:r>
            <w:r>
              <w:rPr>
                <w:rFonts w:hint="eastAsia" w:cs="仿宋"/>
                <w:b/>
                <w:bCs/>
                <w:color w:val="000000"/>
                <w:kern w:val="0"/>
                <w:highlight w:val="none"/>
              </w:rPr>
              <w:t>白鲢鱼</w:t>
            </w:r>
            <w:r>
              <w:rPr>
                <w:rFonts w:hint="eastAsia" w:cs="仿宋"/>
                <w:color w:val="000000"/>
                <w:kern w:val="0"/>
                <w:highlight w:val="none"/>
              </w:rPr>
              <w:t>，</w:t>
            </w:r>
            <w:r>
              <w:rPr>
                <w:rFonts w:hint="eastAsia" w:cs="仿宋"/>
                <w:b/>
                <w:bCs/>
                <w:color w:val="000000"/>
                <w:kern w:val="0"/>
                <w:highlight w:val="none"/>
              </w:rPr>
              <w:t>三去是指去鳞、去内脏、去头</w:t>
            </w:r>
            <w:r>
              <w:rPr>
                <w:rFonts w:hint="eastAsia" w:cs="仿宋"/>
                <w:color w:val="000000"/>
                <w:kern w:val="0"/>
                <w:highlight w:val="none"/>
              </w:rPr>
              <w:t>(如餐厅常用的无头鱼、白链鱼头)。</w:t>
            </w:r>
          </w:p>
        </w:tc>
        <w:tc>
          <w:tcPr>
            <w:tcW w:w="1701" w:type="dxa"/>
            <w:vAlign w:val="center"/>
          </w:tcPr>
          <w:p w14:paraId="78AEAC5F">
            <w:pPr>
              <w:spacing w:line="360" w:lineRule="auto"/>
              <w:jc w:val="center"/>
              <w:rPr>
                <w:rFonts w:cs="仿宋"/>
                <w:color w:val="000000"/>
                <w:kern w:val="0"/>
                <w:highlight w:val="none"/>
              </w:rPr>
            </w:pPr>
            <w:r>
              <w:rPr>
                <w:rFonts w:hint="eastAsia" w:cs="仿宋"/>
                <w:color w:val="000000"/>
                <w:kern w:val="0"/>
                <w:highlight w:val="none"/>
              </w:rPr>
              <w:t>农、林、牧、渔业，核心产品</w:t>
            </w:r>
          </w:p>
        </w:tc>
      </w:tr>
      <w:tr w14:paraId="06F1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62" w:type="dxa"/>
            <w:vMerge w:val="continue"/>
          </w:tcPr>
          <w:p w14:paraId="7A609EC7">
            <w:pPr>
              <w:spacing w:line="360" w:lineRule="auto"/>
              <w:jc w:val="center"/>
              <w:rPr>
                <w:highlight w:val="none"/>
              </w:rPr>
            </w:pPr>
          </w:p>
        </w:tc>
        <w:tc>
          <w:tcPr>
            <w:tcW w:w="1562" w:type="dxa"/>
            <w:vAlign w:val="center"/>
          </w:tcPr>
          <w:p w14:paraId="67B834F9">
            <w:pPr>
              <w:spacing w:line="360" w:lineRule="auto"/>
              <w:jc w:val="center"/>
              <w:rPr>
                <w:highlight w:val="none"/>
              </w:rPr>
            </w:pPr>
            <w:bookmarkStart w:id="281" w:name="OLE_LINK4"/>
            <w:r>
              <w:rPr>
                <w:rFonts w:hint="eastAsia"/>
                <w:highlight w:val="none"/>
              </w:rPr>
              <w:t>两去鱼类</w:t>
            </w:r>
            <w:bookmarkEnd w:id="281"/>
          </w:p>
        </w:tc>
        <w:tc>
          <w:tcPr>
            <w:tcW w:w="699" w:type="dxa"/>
            <w:vAlign w:val="center"/>
          </w:tcPr>
          <w:p w14:paraId="20D517E4">
            <w:pPr>
              <w:spacing w:line="360" w:lineRule="auto"/>
              <w:jc w:val="center"/>
              <w:rPr>
                <w:highlight w:val="none"/>
              </w:rPr>
            </w:pPr>
            <w:r>
              <w:rPr>
                <w:rFonts w:hint="eastAsia"/>
                <w:highlight w:val="none"/>
              </w:rPr>
              <w:t>公斤</w:t>
            </w:r>
          </w:p>
        </w:tc>
        <w:tc>
          <w:tcPr>
            <w:tcW w:w="850" w:type="dxa"/>
            <w:vAlign w:val="center"/>
          </w:tcPr>
          <w:p w14:paraId="2A023ABB">
            <w:pPr>
              <w:spacing w:line="360" w:lineRule="auto"/>
              <w:jc w:val="center"/>
              <w:rPr>
                <w:highlight w:val="none"/>
              </w:rPr>
            </w:pPr>
            <w:r>
              <w:rPr>
                <w:rFonts w:hint="eastAsia"/>
                <w:highlight w:val="none"/>
              </w:rPr>
              <w:t>1</w:t>
            </w:r>
          </w:p>
        </w:tc>
        <w:tc>
          <w:tcPr>
            <w:tcW w:w="1276" w:type="dxa"/>
            <w:vAlign w:val="center"/>
          </w:tcPr>
          <w:p w14:paraId="3293D48D">
            <w:pPr>
              <w:spacing w:line="360" w:lineRule="auto"/>
              <w:jc w:val="center"/>
              <w:rPr>
                <w:highlight w:val="none"/>
              </w:rPr>
            </w:pPr>
            <w:r>
              <w:rPr>
                <w:rFonts w:hint="eastAsia"/>
                <w:highlight w:val="none"/>
              </w:rPr>
              <w:t>上浮率</w:t>
            </w:r>
            <w:r>
              <w:rPr>
                <w:highlight w:val="none"/>
              </w:rPr>
              <w:t>Y</w:t>
            </w:r>
            <w:r>
              <w:rPr>
                <w:rFonts w:hint="eastAsia"/>
                <w:highlight w:val="none"/>
              </w:rPr>
              <w:t>≤</w:t>
            </w:r>
            <w:r>
              <w:rPr>
                <w:highlight w:val="none"/>
              </w:rPr>
              <w:t>20.00%</w:t>
            </w:r>
          </w:p>
        </w:tc>
        <w:tc>
          <w:tcPr>
            <w:tcW w:w="3685" w:type="dxa"/>
            <w:vAlign w:val="center"/>
          </w:tcPr>
          <w:p w14:paraId="6C4DFD09">
            <w:pPr>
              <w:spacing w:line="360" w:lineRule="auto"/>
              <w:jc w:val="center"/>
              <w:rPr>
                <w:highlight w:val="none"/>
              </w:rPr>
            </w:pPr>
            <w:r>
              <w:rPr>
                <w:rFonts w:hint="eastAsia" w:cs="仿宋"/>
                <w:color w:val="000000"/>
                <w:kern w:val="0"/>
                <w:highlight w:val="none"/>
              </w:rPr>
              <w:t>报上浮率，按照北园春集团官网水产价格的中间价为基准价的（100+Y）%定价。此项指除白鲢鱼之外的</w:t>
            </w:r>
            <w:r>
              <w:rPr>
                <w:rFonts w:hint="eastAsia" w:cs="仿宋"/>
                <w:b/>
                <w:bCs/>
                <w:color w:val="000000"/>
                <w:kern w:val="0"/>
                <w:highlight w:val="none"/>
              </w:rPr>
              <w:t>鲜活鱼类，两去是指去鳞、去内脏。</w:t>
            </w:r>
            <w:r>
              <w:rPr>
                <w:rFonts w:hint="eastAsia" w:cs="仿宋"/>
                <w:color w:val="000000"/>
                <w:kern w:val="0"/>
                <w:highlight w:val="none"/>
              </w:rPr>
              <w:t>梭边鱼参考花鲢价格。</w:t>
            </w:r>
          </w:p>
        </w:tc>
        <w:tc>
          <w:tcPr>
            <w:tcW w:w="1701" w:type="dxa"/>
            <w:vAlign w:val="center"/>
          </w:tcPr>
          <w:p w14:paraId="0680F3FA">
            <w:pPr>
              <w:spacing w:line="360" w:lineRule="auto"/>
              <w:jc w:val="center"/>
              <w:rPr>
                <w:rFonts w:cs="仿宋"/>
                <w:color w:val="000000"/>
                <w:kern w:val="0"/>
                <w:highlight w:val="none"/>
              </w:rPr>
            </w:pPr>
            <w:r>
              <w:rPr>
                <w:rFonts w:hint="eastAsia" w:cs="仿宋"/>
                <w:color w:val="000000"/>
                <w:kern w:val="0"/>
                <w:highlight w:val="none"/>
              </w:rPr>
              <w:t>农、林、牧、渔业</w:t>
            </w:r>
          </w:p>
        </w:tc>
      </w:tr>
      <w:tr w14:paraId="2233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62" w:type="dxa"/>
            <w:vMerge w:val="continue"/>
          </w:tcPr>
          <w:p w14:paraId="5131759E">
            <w:pPr>
              <w:spacing w:line="360" w:lineRule="auto"/>
              <w:jc w:val="center"/>
              <w:rPr>
                <w:highlight w:val="none"/>
              </w:rPr>
            </w:pPr>
          </w:p>
        </w:tc>
        <w:tc>
          <w:tcPr>
            <w:tcW w:w="1562" w:type="dxa"/>
            <w:vAlign w:val="center"/>
          </w:tcPr>
          <w:p w14:paraId="7179FCFF">
            <w:pPr>
              <w:spacing w:line="360" w:lineRule="auto"/>
              <w:jc w:val="center"/>
              <w:rPr>
                <w:highlight w:val="none"/>
              </w:rPr>
            </w:pPr>
            <w:bookmarkStart w:id="282" w:name="OLE_LINK5"/>
            <w:r>
              <w:rPr>
                <w:rFonts w:hint="eastAsia"/>
                <w:highlight w:val="none"/>
              </w:rPr>
              <w:t>其他水产</w:t>
            </w:r>
            <w:bookmarkEnd w:id="282"/>
          </w:p>
        </w:tc>
        <w:tc>
          <w:tcPr>
            <w:tcW w:w="699" w:type="dxa"/>
            <w:vAlign w:val="center"/>
          </w:tcPr>
          <w:p w14:paraId="6FEBB13A">
            <w:pPr>
              <w:spacing w:line="360" w:lineRule="auto"/>
              <w:jc w:val="center"/>
              <w:rPr>
                <w:highlight w:val="none"/>
              </w:rPr>
            </w:pPr>
            <w:r>
              <w:rPr>
                <w:rFonts w:hint="eastAsia"/>
                <w:highlight w:val="none"/>
              </w:rPr>
              <w:t>公斤</w:t>
            </w:r>
          </w:p>
        </w:tc>
        <w:tc>
          <w:tcPr>
            <w:tcW w:w="850" w:type="dxa"/>
            <w:vAlign w:val="center"/>
          </w:tcPr>
          <w:p w14:paraId="3FFB022B">
            <w:pPr>
              <w:spacing w:line="360" w:lineRule="auto"/>
              <w:jc w:val="center"/>
              <w:rPr>
                <w:highlight w:val="none"/>
              </w:rPr>
            </w:pPr>
            <w:r>
              <w:rPr>
                <w:rFonts w:hint="eastAsia"/>
                <w:highlight w:val="none"/>
              </w:rPr>
              <w:t>1</w:t>
            </w:r>
          </w:p>
        </w:tc>
        <w:tc>
          <w:tcPr>
            <w:tcW w:w="1276" w:type="dxa"/>
            <w:vAlign w:val="center"/>
          </w:tcPr>
          <w:p w14:paraId="1B8F0E74">
            <w:pPr>
              <w:spacing w:before="156" w:beforeLines="50" w:line="240" w:lineRule="exact"/>
              <w:jc w:val="center"/>
              <w:rPr>
                <w:rFonts w:ascii="Calibri" w:hAnsi="Calibri" w:cs="Times New Roman"/>
                <w:szCs w:val="24"/>
                <w:highlight w:val="none"/>
              </w:rPr>
            </w:pPr>
            <w:bookmarkStart w:id="283" w:name="OLE_LINK9"/>
            <w:r>
              <w:rPr>
                <w:rFonts w:hint="eastAsia" w:ascii="Calibri" w:hAnsi="Calibri" w:cs="Times New Roman"/>
                <w:szCs w:val="24"/>
                <w:highlight w:val="none"/>
              </w:rPr>
              <w:t>下浮率</w:t>
            </w:r>
            <w:bookmarkEnd w:id="283"/>
            <w:bookmarkStart w:id="284" w:name="OLE_LINK10"/>
            <w:r>
              <w:rPr>
                <w:rFonts w:hint="eastAsia" w:ascii="Calibri" w:hAnsi="Calibri" w:cs="Times New Roman"/>
                <w:szCs w:val="24"/>
                <w:highlight w:val="none"/>
              </w:rPr>
              <w:t>Z≥10</w:t>
            </w:r>
            <w:bookmarkEnd w:id="284"/>
            <w:r>
              <w:rPr>
                <w:highlight w:val="none"/>
              </w:rPr>
              <w:t>.00%</w:t>
            </w:r>
          </w:p>
        </w:tc>
        <w:tc>
          <w:tcPr>
            <w:tcW w:w="3685" w:type="dxa"/>
            <w:vAlign w:val="center"/>
          </w:tcPr>
          <w:p w14:paraId="5A2A4205">
            <w:pPr>
              <w:spacing w:line="360" w:lineRule="auto"/>
              <w:jc w:val="center"/>
              <w:rPr>
                <w:highlight w:val="none"/>
              </w:rPr>
            </w:pPr>
            <w:r>
              <w:rPr>
                <w:rFonts w:hint="eastAsia" w:cs="仿宋"/>
                <w:color w:val="000000"/>
                <w:kern w:val="0"/>
                <w:highlight w:val="none"/>
              </w:rPr>
              <w:t>报下浮率，按照北园春集团官网水产价格的中间价为基准价的（100-Z）%定价。此处是指除鲜鱼类之外的</w:t>
            </w:r>
            <w:r>
              <w:rPr>
                <w:rFonts w:hint="eastAsia" w:cs="仿宋"/>
                <w:b/>
                <w:bCs/>
                <w:color w:val="000000"/>
                <w:kern w:val="0"/>
                <w:highlight w:val="none"/>
              </w:rPr>
              <w:t>虾蟹贝类</w:t>
            </w:r>
            <w:r>
              <w:rPr>
                <w:rFonts w:hint="eastAsia" w:cs="仿宋"/>
                <w:color w:val="000000"/>
                <w:kern w:val="0"/>
                <w:highlight w:val="none"/>
              </w:rPr>
              <w:t>。</w:t>
            </w:r>
          </w:p>
        </w:tc>
        <w:tc>
          <w:tcPr>
            <w:tcW w:w="1701" w:type="dxa"/>
            <w:vAlign w:val="center"/>
          </w:tcPr>
          <w:p w14:paraId="097E2A6F">
            <w:pPr>
              <w:spacing w:line="360" w:lineRule="auto"/>
              <w:jc w:val="center"/>
              <w:rPr>
                <w:rFonts w:cs="仿宋"/>
                <w:color w:val="000000"/>
                <w:kern w:val="0"/>
                <w:highlight w:val="none"/>
              </w:rPr>
            </w:pPr>
            <w:r>
              <w:rPr>
                <w:rFonts w:hint="eastAsia" w:cs="仿宋"/>
                <w:color w:val="000000"/>
                <w:kern w:val="0"/>
                <w:highlight w:val="none"/>
              </w:rPr>
              <w:t>农、林、牧、渔业</w:t>
            </w:r>
          </w:p>
        </w:tc>
      </w:tr>
      <w:tr w14:paraId="6A13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62" w:type="dxa"/>
            <w:vMerge w:val="continue"/>
          </w:tcPr>
          <w:p w14:paraId="4F893460">
            <w:pPr>
              <w:spacing w:line="360" w:lineRule="auto"/>
              <w:jc w:val="center"/>
              <w:rPr>
                <w:highlight w:val="none"/>
              </w:rPr>
            </w:pPr>
          </w:p>
        </w:tc>
        <w:tc>
          <w:tcPr>
            <w:tcW w:w="1562" w:type="dxa"/>
            <w:vAlign w:val="center"/>
          </w:tcPr>
          <w:p w14:paraId="5DAB3252">
            <w:pPr>
              <w:spacing w:line="360" w:lineRule="auto"/>
              <w:jc w:val="center"/>
              <w:rPr>
                <w:highlight w:val="none"/>
              </w:rPr>
            </w:pPr>
            <w:bookmarkStart w:id="285" w:name="OLE_LINK6"/>
            <w:r>
              <w:rPr>
                <w:rFonts w:hint="eastAsia"/>
                <w:highlight w:val="none"/>
              </w:rPr>
              <w:t>白条鸡</w:t>
            </w:r>
            <w:bookmarkEnd w:id="285"/>
          </w:p>
        </w:tc>
        <w:tc>
          <w:tcPr>
            <w:tcW w:w="699" w:type="dxa"/>
            <w:vAlign w:val="center"/>
          </w:tcPr>
          <w:p w14:paraId="0BB65FC4">
            <w:pPr>
              <w:spacing w:line="360" w:lineRule="auto"/>
              <w:jc w:val="center"/>
              <w:rPr>
                <w:highlight w:val="none"/>
              </w:rPr>
            </w:pPr>
            <w:r>
              <w:rPr>
                <w:rFonts w:hint="eastAsia"/>
                <w:highlight w:val="none"/>
              </w:rPr>
              <w:t>公斤</w:t>
            </w:r>
          </w:p>
        </w:tc>
        <w:tc>
          <w:tcPr>
            <w:tcW w:w="850" w:type="dxa"/>
            <w:vAlign w:val="center"/>
          </w:tcPr>
          <w:p w14:paraId="6E848BDC">
            <w:pPr>
              <w:spacing w:line="360" w:lineRule="auto"/>
              <w:jc w:val="center"/>
              <w:rPr>
                <w:highlight w:val="none"/>
              </w:rPr>
            </w:pPr>
            <w:r>
              <w:rPr>
                <w:rFonts w:hint="eastAsia"/>
                <w:highlight w:val="none"/>
              </w:rPr>
              <w:t>1</w:t>
            </w:r>
          </w:p>
        </w:tc>
        <w:tc>
          <w:tcPr>
            <w:tcW w:w="1276" w:type="dxa"/>
            <w:vAlign w:val="center"/>
          </w:tcPr>
          <w:p w14:paraId="6DF676D2">
            <w:pPr>
              <w:spacing w:line="360" w:lineRule="auto"/>
              <w:jc w:val="center"/>
              <w:rPr>
                <w:highlight w:val="none"/>
              </w:rPr>
            </w:pPr>
            <w:r>
              <w:rPr>
                <w:rFonts w:hint="eastAsia" w:ascii="Calibri" w:hAnsi="Calibri" w:cs="Times New Roman"/>
                <w:szCs w:val="24"/>
                <w:highlight w:val="none"/>
              </w:rPr>
              <w:t>下浮率</w:t>
            </w:r>
            <w:r>
              <w:rPr>
                <w:rFonts w:ascii="Calibri" w:hAnsi="Calibri" w:cs="Times New Roman"/>
                <w:szCs w:val="24"/>
                <w:highlight w:val="none"/>
              </w:rPr>
              <w:t>A</w:t>
            </w:r>
            <w:r>
              <w:rPr>
                <w:rFonts w:hint="eastAsia" w:ascii="Calibri" w:hAnsi="Calibri" w:cs="Times New Roman"/>
                <w:szCs w:val="24"/>
                <w:highlight w:val="none"/>
              </w:rPr>
              <w:t>≥</w:t>
            </w:r>
            <w:r>
              <w:rPr>
                <w:rFonts w:ascii="Calibri" w:hAnsi="Calibri" w:cs="Times New Roman"/>
                <w:szCs w:val="24"/>
                <w:highlight w:val="none"/>
              </w:rPr>
              <w:t>5</w:t>
            </w:r>
            <w:r>
              <w:rPr>
                <w:highlight w:val="none"/>
              </w:rPr>
              <w:t>.00%</w:t>
            </w:r>
          </w:p>
        </w:tc>
        <w:tc>
          <w:tcPr>
            <w:tcW w:w="3685" w:type="dxa"/>
            <w:vAlign w:val="center"/>
          </w:tcPr>
          <w:p w14:paraId="233958E4">
            <w:pPr>
              <w:spacing w:line="360" w:lineRule="auto"/>
              <w:jc w:val="center"/>
              <w:rPr>
                <w:highlight w:val="none"/>
              </w:rPr>
            </w:pPr>
            <w:r>
              <w:rPr>
                <w:rFonts w:hint="eastAsia" w:cs="仿宋"/>
                <w:color w:val="000000"/>
                <w:kern w:val="0"/>
                <w:highlight w:val="none"/>
              </w:rPr>
              <w:t>报</w:t>
            </w:r>
            <w:r>
              <w:rPr>
                <w:rFonts w:hint="eastAsia" w:cs="仿宋"/>
                <w:color w:val="000000"/>
                <w:kern w:val="0"/>
                <w:szCs w:val="24"/>
                <w:highlight w:val="none"/>
              </w:rPr>
              <w:t>下浮率，按照北园春集团官网肉蛋类价格的中间价为基准价的（100-</w:t>
            </w:r>
            <w:r>
              <w:rPr>
                <w:rFonts w:cs="仿宋"/>
                <w:color w:val="000000"/>
                <w:kern w:val="0"/>
                <w:szCs w:val="24"/>
                <w:highlight w:val="none"/>
              </w:rPr>
              <w:t>A</w:t>
            </w:r>
            <w:r>
              <w:rPr>
                <w:rFonts w:hint="eastAsia" w:cs="仿宋"/>
                <w:color w:val="000000"/>
                <w:kern w:val="0"/>
                <w:szCs w:val="24"/>
                <w:highlight w:val="none"/>
              </w:rPr>
              <w:t>）%定价。北园春网价中</w:t>
            </w:r>
            <w:r>
              <w:rPr>
                <w:rFonts w:hint="eastAsia" w:cs="仿宋"/>
                <w:b/>
                <w:bCs/>
                <w:color w:val="000000"/>
                <w:kern w:val="0"/>
                <w:szCs w:val="24"/>
                <w:highlight w:val="none"/>
              </w:rPr>
              <w:t>白条鸡在此对应是指宰杀、去毛、净膛后的鲜活三黄鸡</w:t>
            </w:r>
            <w:r>
              <w:rPr>
                <w:rFonts w:hint="eastAsia" w:cs="仿宋"/>
                <w:color w:val="000000"/>
                <w:kern w:val="0"/>
                <w:szCs w:val="24"/>
                <w:highlight w:val="none"/>
              </w:rPr>
              <w:t>。</w:t>
            </w:r>
          </w:p>
        </w:tc>
        <w:tc>
          <w:tcPr>
            <w:tcW w:w="1701" w:type="dxa"/>
            <w:vAlign w:val="center"/>
          </w:tcPr>
          <w:p w14:paraId="3D1B1550">
            <w:pPr>
              <w:spacing w:line="360" w:lineRule="auto"/>
              <w:jc w:val="center"/>
              <w:rPr>
                <w:rFonts w:cs="仿宋"/>
                <w:color w:val="000000"/>
                <w:kern w:val="0"/>
                <w:highlight w:val="none"/>
              </w:rPr>
            </w:pPr>
            <w:r>
              <w:rPr>
                <w:rFonts w:hint="eastAsia" w:cs="仿宋"/>
                <w:color w:val="000000"/>
                <w:kern w:val="0"/>
                <w:highlight w:val="none"/>
              </w:rPr>
              <w:t>农、林、牧、渔业</w:t>
            </w:r>
          </w:p>
        </w:tc>
      </w:tr>
      <w:tr w14:paraId="0BAD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62" w:type="dxa"/>
            <w:vMerge w:val="continue"/>
          </w:tcPr>
          <w:p w14:paraId="15E57473">
            <w:pPr>
              <w:spacing w:line="360" w:lineRule="auto"/>
              <w:jc w:val="center"/>
              <w:rPr>
                <w:highlight w:val="none"/>
              </w:rPr>
            </w:pPr>
          </w:p>
        </w:tc>
        <w:tc>
          <w:tcPr>
            <w:tcW w:w="1562" w:type="dxa"/>
            <w:vAlign w:val="center"/>
          </w:tcPr>
          <w:p w14:paraId="1EB125D6">
            <w:pPr>
              <w:spacing w:line="360" w:lineRule="auto"/>
              <w:jc w:val="center"/>
              <w:rPr>
                <w:highlight w:val="none"/>
              </w:rPr>
            </w:pPr>
            <w:r>
              <w:rPr>
                <w:rFonts w:hint="eastAsia"/>
                <w:highlight w:val="none"/>
              </w:rPr>
              <w:t>鱿鱼</w:t>
            </w:r>
          </w:p>
        </w:tc>
        <w:tc>
          <w:tcPr>
            <w:tcW w:w="699" w:type="dxa"/>
            <w:vAlign w:val="center"/>
          </w:tcPr>
          <w:p w14:paraId="0D055637">
            <w:pPr>
              <w:spacing w:line="360" w:lineRule="auto"/>
              <w:jc w:val="center"/>
              <w:rPr>
                <w:highlight w:val="none"/>
              </w:rPr>
            </w:pPr>
            <w:r>
              <w:rPr>
                <w:rFonts w:hint="eastAsia"/>
                <w:highlight w:val="none"/>
              </w:rPr>
              <w:t>公斤</w:t>
            </w:r>
          </w:p>
        </w:tc>
        <w:tc>
          <w:tcPr>
            <w:tcW w:w="850" w:type="dxa"/>
            <w:vAlign w:val="center"/>
          </w:tcPr>
          <w:p w14:paraId="20C93CCC">
            <w:pPr>
              <w:spacing w:line="360" w:lineRule="auto"/>
              <w:jc w:val="center"/>
              <w:rPr>
                <w:highlight w:val="none"/>
              </w:rPr>
            </w:pPr>
            <w:r>
              <w:rPr>
                <w:rFonts w:hint="eastAsia"/>
                <w:highlight w:val="none"/>
              </w:rPr>
              <w:t>1</w:t>
            </w:r>
          </w:p>
        </w:tc>
        <w:tc>
          <w:tcPr>
            <w:tcW w:w="1276" w:type="dxa"/>
            <w:vAlign w:val="center"/>
          </w:tcPr>
          <w:p w14:paraId="632E1627">
            <w:pPr>
              <w:spacing w:line="360" w:lineRule="auto"/>
              <w:jc w:val="center"/>
              <w:rPr>
                <w:highlight w:val="none"/>
              </w:rPr>
            </w:pPr>
            <w:r>
              <w:rPr>
                <w:rFonts w:hint="eastAsia"/>
                <w:highlight w:val="none"/>
              </w:rPr>
              <w:t>\</w:t>
            </w:r>
          </w:p>
        </w:tc>
        <w:tc>
          <w:tcPr>
            <w:tcW w:w="3685" w:type="dxa"/>
            <w:vAlign w:val="center"/>
          </w:tcPr>
          <w:p w14:paraId="7A14D146">
            <w:pPr>
              <w:spacing w:line="360" w:lineRule="auto"/>
              <w:jc w:val="center"/>
              <w:rPr>
                <w:highlight w:val="none"/>
              </w:rPr>
            </w:pPr>
            <w:r>
              <w:rPr>
                <w:rFonts w:hint="eastAsia" w:cs="仿宋"/>
                <w:color w:val="000000"/>
                <w:kern w:val="0"/>
                <w:highlight w:val="none"/>
              </w:rPr>
              <w:t>报</w:t>
            </w:r>
            <w:r>
              <w:rPr>
                <w:rFonts w:hint="eastAsia" w:cs="仿宋"/>
                <w:color w:val="000000"/>
                <w:kern w:val="0"/>
                <w:szCs w:val="24"/>
                <w:highlight w:val="none"/>
              </w:rPr>
              <w:t>固定单价，去水称重。要求鱿鱼完整且坚实，覆盖着一层完整的紫色膜不易撕下，具自然的海鲜腥味而无腐臭味。鱿鱼卷或鱿鱼须在此基础上加8元/公斤。</w:t>
            </w:r>
          </w:p>
        </w:tc>
        <w:tc>
          <w:tcPr>
            <w:tcW w:w="1701" w:type="dxa"/>
            <w:vAlign w:val="center"/>
          </w:tcPr>
          <w:p w14:paraId="43623142">
            <w:pPr>
              <w:spacing w:line="360" w:lineRule="auto"/>
              <w:jc w:val="center"/>
              <w:rPr>
                <w:rFonts w:cs="仿宋"/>
                <w:color w:val="000000"/>
                <w:kern w:val="0"/>
                <w:highlight w:val="none"/>
              </w:rPr>
            </w:pPr>
            <w:r>
              <w:rPr>
                <w:rFonts w:hint="eastAsia" w:cs="仿宋"/>
                <w:color w:val="000000"/>
                <w:kern w:val="0"/>
                <w:highlight w:val="none"/>
              </w:rPr>
              <w:t>农、林、牧、渔业</w:t>
            </w:r>
          </w:p>
        </w:tc>
      </w:tr>
    </w:tbl>
    <w:p w14:paraId="349A6B75">
      <w:pPr>
        <w:pStyle w:val="38"/>
        <w:spacing w:line="360" w:lineRule="auto"/>
        <w:rPr>
          <w:snapToGrid w:val="0"/>
          <w:highlight w:val="none"/>
        </w:rPr>
      </w:pPr>
      <w:r>
        <w:rPr>
          <w:rFonts w:hint="eastAsia"/>
          <w:snapToGrid w:val="0"/>
          <w:highlight w:val="none"/>
        </w:rPr>
        <w:t xml:space="preserve"> 注：投标人的报价不得高于采购预算/最高限价；</w:t>
      </w:r>
    </w:p>
    <w:p w14:paraId="23193F40">
      <w:pPr>
        <w:pStyle w:val="3"/>
        <w:spacing w:line="360" w:lineRule="auto"/>
        <w:rPr>
          <w:highlight w:val="none"/>
        </w:rPr>
      </w:pPr>
      <w:bookmarkStart w:id="286" w:name="_Toc229390286"/>
      <w:r>
        <w:rPr>
          <w:rFonts w:hint="eastAsia"/>
          <w:highlight w:val="none"/>
        </w:rPr>
        <w:t>二、商务要求</w:t>
      </w:r>
      <w:bookmarkEnd w:id="286"/>
      <w:r>
        <w:rPr>
          <w:rFonts w:hint="eastAsia"/>
          <w:highlight w:val="none"/>
        </w:rPr>
        <w:t xml:space="preserve"> </w:t>
      </w:r>
    </w:p>
    <w:p w14:paraId="1A9C2DC4">
      <w:pPr>
        <w:pStyle w:val="38"/>
        <w:spacing w:line="360" w:lineRule="auto"/>
        <w:rPr>
          <w:snapToGrid w:val="0"/>
          <w:highlight w:val="none"/>
        </w:rPr>
      </w:pPr>
      <w:r>
        <w:rPr>
          <w:snapToGrid w:val="0"/>
          <w:highlight w:val="none"/>
        </w:rPr>
        <w:t xml:space="preserve">1. </w:t>
      </w:r>
      <w:r>
        <w:rPr>
          <w:rFonts w:hint="eastAsia"/>
          <w:snapToGrid w:val="0"/>
          <w:highlight w:val="none"/>
        </w:rPr>
        <w:t>交付（实施）的时间（期限）和地点（范围）</w:t>
      </w:r>
    </w:p>
    <w:p w14:paraId="74947A2D">
      <w:pPr>
        <w:widowControl w:val="0"/>
        <w:spacing w:line="360" w:lineRule="auto"/>
        <w:ind w:firstLine="360" w:firstLineChars="150"/>
        <w:jc w:val="both"/>
        <w:rPr>
          <w:rFonts w:cs="仿宋"/>
          <w:kern w:val="0"/>
          <w:szCs w:val="24"/>
          <w:highlight w:val="none"/>
        </w:rPr>
      </w:pPr>
      <w:r>
        <w:rPr>
          <w:rFonts w:hint="eastAsia" w:cs="Times New Roman"/>
          <w:szCs w:val="24"/>
          <w:highlight w:val="none"/>
        </w:rPr>
        <w:t>（1）</w:t>
      </w:r>
      <w:r>
        <w:rPr>
          <w:rFonts w:hint="eastAsia" w:cs="仿宋"/>
          <w:b/>
          <w:bCs/>
          <w:kern w:val="0"/>
          <w:szCs w:val="24"/>
          <w:highlight w:val="none"/>
        </w:rPr>
        <w:t>交货时间</w:t>
      </w:r>
      <w:r>
        <w:rPr>
          <w:rFonts w:hint="eastAsia" w:cs="仿宋"/>
          <w:kern w:val="0"/>
          <w:szCs w:val="24"/>
          <w:highlight w:val="none"/>
        </w:rPr>
        <w:t>：</w:t>
      </w:r>
      <w:r>
        <w:rPr>
          <w:rFonts w:hint="eastAsia" w:cs="Times New Roman"/>
          <w:kern w:val="0"/>
          <w:szCs w:val="24"/>
          <w:highlight w:val="none"/>
        </w:rPr>
        <w:t>根据采购人各餐厅的具体要求进行配送，中标供应商</w:t>
      </w:r>
      <w:r>
        <w:rPr>
          <w:rFonts w:hint="eastAsia" w:cs="Times New Roman"/>
          <w:b/>
          <w:szCs w:val="24"/>
          <w:highlight w:val="none"/>
        </w:rPr>
        <w:t>接到采购人供货通知后</w:t>
      </w:r>
      <w:r>
        <w:rPr>
          <w:rFonts w:hint="eastAsia" w:cs="Times New Roman"/>
          <w:b/>
          <w:szCs w:val="24"/>
          <w:highlight w:val="none"/>
          <w:u w:val="single"/>
        </w:rPr>
        <w:t xml:space="preserve">   24  </w:t>
      </w:r>
      <w:r>
        <w:rPr>
          <w:rFonts w:hint="eastAsia" w:cs="Times New Roman"/>
          <w:b/>
          <w:szCs w:val="24"/>
          <w:highlight w:val="none"/>
        </w:rPr>
        <w:t>小时内进行供货，每天上午8：00开始供货，9：30之前送货完毕（不得在各餐厅开餐时间送货）。</w:t>
      </w:r>
      <w:r>
        <w:rPr>
          <w:rFonts w:hint="eastAsia" w:cs="Times New Roman"/>
          <w:kern w:val="0"/>
          <w:szCs w:val="24"/>
          <w:highlight w:val="none"/>
        </w:rPr>
        <w:t>节假日保证按时配送。有可能会发生每日少量供货现象。如采购人有特殊配送需求的，中标供应商必须设法满足，如不能按时到货，导致采购人断货影响配餐，中标供应商将按第八条向采购人承担违约责任。</w:t>
      </w:r>
    </w:p>
    <w:p w14:paraId="7F1FFADB">
      <w:pPr>
        <w:widowControl w:val="0"/>
        <w:spacing w:line="360" w:lineRule="auto"/>
        <w:ind w:firstLine="360" w:firstLineChars="150"/>
        <w:jc w:val="both"/>
        <w:rPr>
          <w:rFonts w:cs="Times New Roman"/>
          <w:szCs w:val="24"/>
          <w:highlight w:val="none"/>
        </w:rPr>
      </w:pPr>
      <w:r>
        <w:rPr>
          <w:rFonts w:hint="eastAsia" w:cs="仿宋"/>
          <w:kern w:val="0"/>
          <w:szCs w:val="24"/>
          <w:highlight w:val="none"/>
        </w:rPr>
        <w:t>（2）</w:t>
      </w:r>
      <w:r>
        <w:rPr>
          <w:rFonts w:hint="eastAsia" w:cs="Times New Roman"/>
          <w:b/>
          <w:bCs/>
          <w:szCs w:val="24"/>
          <w:highlight w:val="none"/>
        </w:rPr>
        <w:t>交货</w:t>
      </w:r>
      <w:r>
        <w:rPr>
          <w:rFonts w:cs="Times New Roman"/>
          <w:b/>
          <w:bCs/>
          <w:szCs w:val="24"/>
          <w:highlight w:val="none"/>
        </w:rPr>
        <w:t>地点</w:t>
      </w:r>
      <w:r>
        <w:rPr>
          <w:rFonts w:cs="Times New Roman"/>
          <w:szCs w:val="24"/>
          <w:highlight w:val="none"/>
          <w:u w:val="single"/>
        </w:rPr>
        <w:t>：</w:t>
      </w:r>
      <w:r>
        <w:rPr>
          <w:rFonts w:hint="eastAsia" w:cs="Times New Roman"/>
          <w:b/>
          <w:bCs/>
          <w:szCs w:val="24"/>
          <w:highlight w:val="none"/>
          <w:u w:val="single"/>
        </w:rPr>
        <w:t>新疆医科大学各校区各餐厅（新医路校区三个餐厅、雪莲山校区九个餐厅、三个加工中心）</w:t>
      </w:r>
      <w:r>
        <w:rPr>
          <w:rFonts w:cs="Times New Roman"/>
          <w:szCs w:val="24"/>
          <w:highlight w:val="none"/>
        </w:rPr>
        <w:t>，</w:t>
      </w:r>
      <w:r>
        <w:rPr>
          <w:rFonts w:hint="eastAsia" w:cs="Times New Roman"/>
          <w:color w:val="000000"/>
          <w:szCs w:val="24"/>
          <w:highlight w:val="none"/>
        </w:rPr>
        <w:t>装卸码放整齐，</w:t>
      </w:r>
      <w:r>
        <w:rPr>
          <w:rFonts w:cs="Times New Roman"/>
          <w:szCs w:val="24"/>
          <w:highlight w:val="none"/>
        </w:rPr>
        <w:t>确保及时配合采购人完成验收工作。</w:t>
      </w:r>
    </w:p>
    <w:p w14:paraId="08E79860">
      <w:pPr>
        <w:widowControl w:val="0"/>
        <w:spacing w:line="360" w:lineRule="auto"/>
        <w:ind w:firstLine="360" w:firstLineChars="150"/>
        <w:jc w:val="both"/>
        <w:rPr>
          <w:rFonts w:cs="Times New Roman"/>
          <w:szCs w:val="24"/>
          <w:highlight w:val="none"/>
        </w:rPr>
      </w:pPr>
      <w:r>
        <w:rPr>
          <w:rFonts w:hint="eastAsia" w:cs="Times New Roman"/>
          <w:szCs w:val="24"/>
          <w:highlight w:val="none"/>
        </w:rPr>
        <w:t>2</w:t>
      </w:r>
      <w:r>
        <w:rPr>
          <w:rFonts w:cs="Times New Roman"/>
          <w:szCs w:val="24"/>
          <w:highlight w:val="none"/>
        </w:rPr>
        <w:t>.</w:t>
      </w:r>
      <w:r>
        <w:rPr>
          <w:rFonts w:cs="仿宋"/>
          <w:bCs/>
          <w:szCs w:val="24"/>
          <w:highlight w:val="none"/>
        </w:rPr>
        <w:t xml:space="preserve"> 本合同有效期为：</w:t>
      </w:r>
      <w:r>
        <w:rPr>
          <w:rFonts w:cs="仿宋"/>
          <w:b/>
          <w:bCs/>
          <w:szCs w:val="24"/>
          <w:highlight w:val="none"/>
        </w:rPr>
        <w:t>壹年</w:t>
      </w:r>
      <w:r>
        <w:rPr>
          <w:rFonts w:cs="仿宋"/>
          <w:szCs w:val="24"/>
          <w:highlight w:val="none"/>
        </w:rPr>
        <w:t>，</w:t>
      </w:r>
      <w:r>
        <w:rPr>
          <w:rFonts w:hint="eastAsia" w:cs="仿宋"/>
          <w:b/>
          <w:bCs/>
          <w:szCs w:val="24"/>
          <w:highlight w:val="none"/>
        </w:rPr>
        <w:t>自</w:t>
      </w:r>
      <w:r>
        <w:rPr>
          <w:rFonts w:hint="eastAsia" w:cs="仿宋"/>
          <w:b/>
          <w:bCs/>
          <w:szCs w:val="24"/>
          <w:highlight w:val="none"/>
          <w:u w:val="single"/>
        </w:rPr>
        <w:t xml:space="preserve"> </w:t>
      </w:r>
      <w:r>
        <w:rPr>
          <w:rFonts w:hint="eastAsia" w:cs="Times New Roman"/>
          <w:b/>
          <w:bCs/>
          <w:szCs w:val="24"/>
          <w:highlight w:val="none"/>
          <w:u w:val="single"/>
        </w:rPr>
        <w:t>2026</w:t>
      </w:r>
      <w:r>
        <w:rPr>
          <w:rFonts w:hint="eastAsia" w:cs="Times New Roman"/>
          <w:b/>
          <w:bCs/>
          <w:szCs w:val="24"/>
          <w:highlight w:val="none"/>
        </w:rPr>
        <w:t>年</w:t>
      </w:r>
      <w:r>
        <w:rPr>
          <w:rFonts w:hint="eastAsia" w:cs="Times New Roman"/>
          <w:b/>
          <w:bCs/>
          <w:szCs w:val="24"/>
          <w:highlight w:val="none"/>
          <w:u w:val="single"/>
        </w:rPr>
        <w:t xml:space="preserve"> </w:t>
      </w:r>
      <w:r>
        <w:rPr>
          <w:rFonts w:cs="Times New Roman"/>
          <w:b/>
          <w:bCs/>
          <w:szCs w:val="24"/>
          <w:highlight w:val="none"/>
          <w:u w:val="single"/>
        </w:rPr>
        <w:t>7</w:t>
      </w:r>
      <w:r>
        <w:rPr>
          <w:rFonts w:hint="eastAsia" w:cs="Times New Roman"/>
          <w:b/>
          <w:bCs/>
          <w:szCs w:val="24"/>
          <w:highlight w:val="none"/>
        </w:rPr>
        <w:t>月</w:t>
      </w:r>
      <w:r>
        <w:rPr>
          <w:rFonts w:hint="eastAsia" w:cs="Times New Roman"/>
          <w:b/>
          <w:bCs/>
          <w:szCs w:val="24"/>
          <w:highlight w:val="none"/>
          <w:u w:val="single"/>
        </w:rPr>
        <w:t xml:space="preserve">  </w:t>
      </w:r>
      <w:r>
        <w:rPr>
          <w:rFonts w:cs="Times New Roman"/>
          <w:b/>
          <w:bCs/>
          <w:szCs w:val="24"/>
          <w:highlight w:val="none"/>
          <w:u w:val="single"/>
        </w:rPr>
        <w:t>21</w:t>
      </w:r>
      <w:r>
        <w:rPr>
          <w:rFonts w:hint="eastAsia" w:cs="Times New Roman"/>
          <w:b/>
          <w:bCs/>
          <w:szCs w:val="24"/>
          <w:highlight w:val="none"/>
        </w:rPr>
        <w:t>日 起至</w:t>
      </w:r>
      <w:r>
        <w:rPr>
          <w:rFonts w:hint="eastAsia" w:cs="Times New Roman"/>
          <w:b/>
          <w:bCs/>
          <w:szCs w:val="24"/>
          <w:highlight w:val="none"/>
          <w:u w:val="single"/>
        </w:rPr>
        <w:t xml:space="preserve"> 2027 </w:t>
      </w:r>
      <w:r>
        <w:rPr>
          <w:rFonts w:hint="eastAsia" w:cs="Times New Roman"/>
          <w:b/>
          <w:bCs/>
          <w:szCs w:val="24"/>
          <w:highlight w:val="none"/>
        </w:rPr>
        <w:t>年</w:t>
      </w:r>
      <w:r>
        <w:rPr>
          <w:rFonts w:hint="eastAsia" w:cs="Times New Roman"/>
          <w:b/>
          <w:bCs/>
          <w:szCs w:val="24"/>
          <w:highlight w:val="none"/>
          <w:u w:val="single"/>
        </w:rPr>
        <w:t xml:space="preserve"> </w:t>
      </w:r>
      <w:r>
        <w:rPr>
          <w:rFonts w:cs="Times New Roman"/>
          <w:b/>
          <w:bCs/>
          <w:szCs w:val="24"/>
          <w:highlight w:val="none"/>
          <w:u w:val="single"/>
        </w:rPr>
        <w:t>7</w:t>
      </w:r>
      <w:r>
        <w:rPr>
          <w:rFonts w:hint="eastAsia" w:cs="Times New Roman"/>
          <w:b/>
          <w:bCs/>
          <w:szCs w:val="24"/>
          <w:highlight w:val="none"/>
          <w:u w:val="single"/>
        </w:rPr>
        <w:t xml:space="preserve"> </w:t>
      </w:r>
      <w:r>
        <w:rPr>
          <w:rFonts w:hint="eastAsia" w:cs="Times New Roman"/>
          <w:b/>
          <w:bCs/>
          <w:szCs w:val="24"/>
          <w:highlight w:val="none"/>
        </w:rPr>
        <w:t>月</w:t>
      </w:r>
      <w:r>
        <w:rPr>
          <w:rFonts w:hint="eastAsia" w:cs="Times New Roman"/>
          <w:b/>
          <w:bCs/>
          <w:szCs w:val="24"/>
          <w:highlight w:val="none"/>
          <w:u w:val="single"/>
        </w:rPr>
        <w:t xml:space="preserve"> </w:t>
      </w:r>
      <w:r>
        <w:rPr>
          <w:rFonts w:cs="Times New Roman"/>
          <w:b/>
          <w:bCs/>
          <w:szCs w:val="24"/>
          <w:highlight w:val="none"/>
          <w:u w:val="single"/>
        </w:rPr>
        <w:t>20</w:t>
      </w:r>
      <w:r>
        <w:rPr>
          <w:rFonts w:hint="eastAsia" w:cs="Times New Roman"/>
          <w:b/>
          <w:bCs/>
          <w:szCs w:val="24"/>
          <w:highlight w:val="none"/>
          <w:u w:val="single"/>
        </w:rPr>
        <w:t xml:space="preserve">  </w:t>
      </w:r>
      <w:r>
        <w:rPr>
          <w:rFonts w:hint="eastAsia" w:cs="Times New Roman"/>
          <w:b/>
          <w:bCs/>
          <w:szCs w:val="24"/>
          <w:highlight w:val="none"/>
        </w:rPr>
        <w:t>日止。</w:t>
      </w:r>
      <w:r>
        <w:rPr>
          <w:rFonts w:cs="仿宋"/>
          <w:szCs w:val="24"/>
          <w:highlight w:val="none"/>
        </w:rPr>
        <w:t>合同开始试用期3个月(包含在一年合同期内）,如中标供应商的供货质量、服务质量等不能满足采购人要求，采购人有权随时单方终止合同；试用期满，经采购人食材集中采购中心书面确认合格后，进入合同期，试用期不合格，采购人有权解除合同，采购人向中标供应商发出解除通知书，合同即解除，且采购人不承担任何违约责任。</w:t>
      </w:r>
    </w:p>
    <w:p w14:paraId="37CD553F">
      <w:pPr>
        <w:pStyle w:val="38"/>
        <w:spacing w:line="360" w:lineRule="auto"/>
        <w:rPr>
          <w:snapToGrid w:val="0"/>
          <w:highlight w:val="none"/>
        </w:rPr>
      </w:pPr>
      <w:r>
        <w:rPr>
          <w:snapToGrid w:val="0"/>
          <w:highlight w:val="none"/>
        </w:rPr>
        <w:t xml:space="preserve">3. </w:t>
      </w:r>
      <w:r>
        <w:rPr>
          <w:rFonts w:hint="eastAsia"/>
          <w:snapToGrid w:val="0"/>
          <w:highlight w:val="none"/>
        </w:rPr>
        <w:t xml:space="preserve">付款条件（进度和方式） </w:t>
      </w:r>
    </w:p>
    <w:p w14:paraId="5B4C1878">
      <w:pPr>
        <w:pStyle w:val="38"/>
        <w:spacing w:line="360" w:lineRule="auto"/>
        <w:rPr>
          <w:snapToGrid w:val="0"/>
          <w:highlight w:val="none"/>
        </w:rPr>
      </w:pPr>
      <w:r>
        <w:rPr>
          <w:rFonts w:hint="eastAsia"/>
          <w:snapToGrid w:val="0"/>
          <w:highlight w:val="none"/>
        </w:rPr>
        <w:t>（1）</w:t>
      </w:r>
      <w:r>
        <w:rPr>
          <w:snapToGrid w:val="0"/>
          <w:highlight w:val="none"/>
        </w:rPr>
        <w:t>采取滚动押单方式结账。甲、乙双方签订本合同之后，乙方首次送货完毕且经甲方书面验收合格两个月后按照实际验收合格数量结算首月货款，以此类推。每月按使用餐厅的大类最多进行1次货款结算。如遇节假日、寒暑假、甲方财务扎帐等特殊情况，结账日期依次顺延。</w:t>
      </w:r>
    </w:p>
    <w:p w14:paraId="1153917B">
      <w:pPr>
        <w:pStyle w:val="38"/>
        <w:spacing w:line="360" w:lineRule="auto"/>
        <w:rPr>
          <w:snapToGrid w:val="0"/>
          <w:highlight w:val="none"/>
        </w:rPr>
      </w:pPr>
      <w:r>
        <w:rPr>
          <w:rFonts w:hint="eastAsia"/>
          <w:snapToGrid w:val="0"/>
          <w:highlight w:val="none"/>
        </w:rPr>
        <w:t>（2）</w:t>
      </w:r>
      <w:r>
        <w:rPr>
          <w:snapToGrid w:val="0"/>
          <w:highlight w:val="none"/>
        </w:rPr>
        <w:t>甲方支付上述任何一笔款项前，乙方应提供符合甲方财务做账要求的正规增值税发票，乙方开具的发票及发票附件中的物品名称、数量、价格与送货物品、合同相一致。否则，甲方有权拒付款项且不承担违约责任。</w:t>
      </w:r>
    </w:p>
    <w:p w14:paraId="4E00E603">
      <w:pPr>
        <w:pStyle w:val="38"/>
        <w:spacing w:line="360" w:lineRule="auto"/>
        <w:rPr>
          <w:snapToGrid w:val="0"/>
          <w:highlight w:val="none"/>
        </w:rPr>
      </w:pPr>
      <w:r>
        <w:rPr>
          <w:rFonts w:hint="eastAsia"/>
          <w:snapToGrid w:val="0"/>
          <w:highlight w:val="none"/>
        </w:rPr>
        <w:t>（3）</w:t>
      </w:r>
      <w:r>
        <w:rPr>
          <w:snapToGrid w:val="0"/>
          <w:highlight w:val="none"/>
        </w:rPr>
        <w:t>甲方通知乙方结算货款时，乙方需认真核对结算清单和送货单，双方就当次货款结算完毕且乙方开具货款正规发票后即视为乙方对该期货款结算金额认可无异议。从发票开具之日起，乙方再发现当期货款存在错算、漏算的情况，甲方不予补付任何货款，产生的损失由乙方自行承担。</w:t>
      </w:r>
    </w:p>
    <w:p w14:paraId="1384E220">
      <w:pPr>
        <w:pStyle w:val="38"/>
        <w:spacing w:line="360" w:lineRule="auto"/>
        <w:rPr>
          <w:snapToGrid w:val="0"/>
          <w:highlight w:val="none"/>
        </w:rPr>
      </w:pPr>
      <w:r>
        <w:rPr>
          <w:rFonts w:hint="eastAsia"/>
          <w:snapToGrid w:val="0"/>
          <w:highlight w:val="none"/>
        </w:rPr>
        <w:t>（4）</w:t>
      </w:r>
      <w:r>
        <w:rPr>
          <w:snapToGrid w:val="0"/>
          <w:highlight w:val="none"/>
        </w:rPr>
        <w:t>本合同有效期满后，如因本项目尚未完成招投标程序，在无法确定新成交供应商的情况下，甲方可要求乙方根据本协议约定的价格继续履行供货义务。但继续供应货物的金额不得超过本协议已发生供货总金额的10%。待甲方完成招投标程序、确定性的成交供应商后，合同自动终止。</w:t>
      </w:r>
    </w:p>
    <w:p w14:paraId="6BE3A1B7">
      <w:pPr>
        <w:spacing w:line="360" w:lineRule="auto"/>
        <w:ind w:firstLine="360" w:firstLineChars="150"/>
        <w:rPr>
          <w:rFonts w:cs="Times New Roman"/>
          <w:szCs w:val="24"/>
          <w:highlight w:val="none"/>
        </w:rPr>
      </w:pPr>
      <w:r>
        <w:rPr>
          <w:snapToGrid w:val="0"/>
          <w:highlight w:val="none"/>
        </w:rPr>
        <w:t>4.</w:t>
      </w:r>
      <w:r>
        <w:rPr>
          <w:rFonts w:cs="Times New Roman"/>
          <w:szCs w:val="24"/>
          <w:highlight w:val="none"/>
        </w:rPr>
        <w:t>质量保证期</w:t>
      </w:r>
    </w:p>
    <w:p w14:paraId="16BFDD3F">
      <w:pPr>
        <w:widowControl w:val="0"/>
        <w:spacing w:line="360" w:lineRule="auto"/>
        <w:ind w:firstLine="360" w:firstLineChars="150"/>
        <w:jc w:val="both"/>
        <w:rPr>
          <w:rFonts w:cs="仿宋"/>
          <w:kern w:val="0"/>
          <w:szCs w:val="24"/>
          <w:highlight w:val="none"/>
        </w:rPr>
      </w:pPr>
      <w:r>
        <w:rPr>
          <w:rFonts w:hint="eastAsia" w:cs="Times New Roman"/>
          <w:szCs w:val="24"/>
          <w:highlight w:val="none"/>
        </w:rPr>
        <w:t>（1）</w:t>
      </w:r>
      <w:r>
        <w:rPr>
          <w:rFonts w:hint="eastAsia" w:cs="仿宋"/>
          <w:kern w:val="0"/>
          <w:szCs w:val="24"/>
          <w:highlight w:val="none"/>
        </w:rPr>
        <w:t>中标供应商不对供应采购人的货品进行长时间储藏，采购人发现不符合配送期要求的货品，有权拒收或要求中标供应商无偿调换，并提出一次警告，并要求中标供应商在合理期限内予以整改；第二次出现同样情况者，采购人有权要求中标供应商根据所验货物数量金额的双倍支付违约金；第三次出现同样情况者，采购人有权单方终止合同，且不承担任何违约责任，造成采购人损失的，中标供应商应于赔偿。</w:t>
      </w:r>
    </w:p>
    <w:p w14:paraId="599785CA">
      <w:pPr>
        <w:widowControl w:val="0"/>
        <w:spacing w:line="360" w:lineRule="auto"/>
        <w:ind w:firstLine="360" w:firstLineChars="150"/>
        <w:jc w:val="both"/>
        <w:rPr>
          <w:rFonts w:cs="Times New Roman"/>
          <w:szCs w:val="24"/>
          <w:highlight w:val="none"/>
        </w:rPr>
      </w:pPr>
      <w:r>
        <w:rPr>
          <w:rFonts w:hint="eastAsia" w:cs="仿宋"/>
          <w:kern w:val="0"/>
          <w:szCs w:val="24"/>
          <w:highlight w:val="none"/>
        </w:rPr>
        <w:t>（2）在质量保证期内，因货物出现易碎、变质、过期及其他质量问题等现象的，中标供应商负责免费无条件更换或者采购人进行数量核减，并承担因更换货物所产生的包装、运费等一切相关费用。</w:t>
      </w:r>
      <w:r>
        <w:rPr>
          <w:rFonts w:hint="eastAsia" w:cs="Times New Roman"/>
          <w:color w:val="000000"/>
          <w:szCs w:val="24"/>
          <w:highlight w:val="none"/>
        </w:rPr>
        <w:t>若中标供应商当日未按采购人要求配送货物或</w:t>
      </w:r>
      <w:r>
        <w:rPr>
          <w:rFonts w:hint="eastAsia" w:cs="Times New Roman"/>
          <w:b/>
          <w:bCs/>
          <w:color w:val="000000"/>
          <w:szCs w:val="24"/>
          <w:highlight w:val="none"/>
        </w:rPr>
        <w:t>当日未将有质量问题的货物予以更换的，采购人有权另行采购其他商家同类货物，</w:t>
      </w:r>
      <w:r>
        <w:rPr>
          <w:rFonts w:hint="eastAsia" w:cs="Times New Roman"/>
          <w:color w:val="000000"/>
          <w:szCs w:val="24"/>
          <w:highlight w:val="none"/>
        </w:rPr>
        <w:t>由此产生的全部费用由中标供应商承担，并且采购人有权按照当日要求更换货物的两倍金额从当月货款中扣除作为违约金。</w:t>
      </w:r>
    </w:p>
    <w:p w14:paraId="24F4704C">
      <w:pPr>
        <w:pStyle w:val="38"/>
        <w:spacing w:line="360" w:lineRule="auto"/>
        <w:rPr>
          <w:snapToGrid w:val="0"/>
          <w:highlight w:val="none"/>
        </w:rPr>
      </w:pPr>
      <w:r>
        <w:rPr>
          <w:rFonts w:hint="eastAsia" w:cs="Times New Roman"/>
          <w:iCs w:val="0"/>
          <w:szCs w:val="24"/>
          <w:highlight w:val="none"/>
          <w:shd w:val="clear" w:color="auto" w:fill="auto"/>
          <w:lang w:val="en-US"/>
        </w:rPr>
        <w:t>（3）</w:t>
      </w:r>
      <w:r>
        <w:rPr>
          <w:rFonts w:hint="eastAsia" w:cs="Times New Roman"/>
          <w:iCs w:val="0"/>
          <w:kern w:val="0"/>
          <w:szCs w:val="24"/>
          <w:highlight w:val="none"/>
          <w:shd w:val="clear" w:color="auto" w:fill="auto"/>
          <w:lang w:val="en-US"/>
        </w:rPr>
        <w:t>如发现质次价高的货品或同等质量货品价格虚高的现象，采购人有权要求中标供应商根据所验货物数量金额的双倍支付违约金或减半支付货款，并提出一次警告；第二次出现同样情况者，采购人有权要求中标供应商根据所验货物数量金额的双倍支付违约金或减半支付货款，同时单方解除合同。</w:t>
      </w:r>
    </w:p>
    <w:p w14:paraId="5084EC40">
      <w:pPr>
        <w:pStyle w:val="38"/>
        <w:spacing w:line="360" w:lineRule="auto"/>
        <w:rPr>
          <w:snapToGrid w:val="0"/>
          <w:highlight w:val="none"/>
        </w:rPr>
      </w:pPr>
      <w:r>
        <w:rPr>
          <w:snapToGrid w:val="0"/>
          <w:highlight w:val="none"/>
        </w:rPr>
        <w:t>5.</w:t>
      </w:r>
      <w:r>
        <w:rPr>
          <w:rFonts w:hint="eastAsia"/>
          <w:snapToGrid w:val="0"/>
          <w:highlight w:val="none"/>
        </w:rPr>
        <w:t>人员保障和要求：供应商服务本项目人员不少于</w:t>
      </w:r>
      <w:r>
        <w:rPr>
          <w:snapToGrid w:val="0"/>
          <w:highlight w:val="none"/>
        </w:rPr>
        <w:t>3人。</w:t>
      </w:r>
    </w:p>
    <w:p w14:paraId="48560930">
      <w:pPr>
        <w:pStyle w:val="38"/>
        <w:spacing w:line="360" w:lineRule="auto"/>
        <w:rPr>
          <w:snapToGrid w:val="0"/>
          <w:highlight w:val="none"/>
        </w:rPr>
      </w:pPr>
      <w:r>
        <w:rPr>
          <w:snapToGrid w:val="0"/>
          <w:highlight w:val="none"/>
        </w:rPr>
        <w:t>6.</w:t>
      </w:r>
      <w:r>
        <w:rPr>
          <w:snapToGrid w:val="0"/>
          <w:highlight w:val="none"/>
        </w:rPr>
        <w:tab/>
      </w:r>
      <w:r>
        <w:rPr>
          <w:snapToGrid w:val="0"/>
          <w:highlight w:val="none"/>
        </w:rPr>
        <w:t>供货价格系指包括全部货品、税费、包装费、运输、装卸等费用，以及已支付或将支付的和其它税费等所有费用。甲方除支付合同约定的上述款项外，无需再支付其他任何费用及款项。合同总价按照甲方实际采购并且验收合格的数量结合上述单价进行结算支付。</w:t>
      </w:r>
    </w:p>
    <w:p w14:paraId="5746FF64">
      <w:pPr>
        <w:pStyle w:val="38"/>
        <w:spacing w:line="360" w:lineRule="auto"/>
        <w:rPr>
          <w:snapToGrid w:val="0"/>
          <w:highlight w:val="none"/>
        </w:rPr>
      </w:pPr>
      <w:r>
        <w:rPr>
          <w:snapToGrid w:val="0"/>
          <w:highlight w:val="none"/>
        </w:rPr>
        <w:t>7.</w:t>
      </w:r>
      <w:r>
        <w:rPr>
          <w:snapToGrid w:val="0"/>
          <w:highlight w:val="none"/>
        </w:rPr>
        <w:tab/>
      </w:r>
      <w:r>
        <w:rPr>
          <w:snapToGrid w:val="0"/>
          <w:highlight w:val="none"/>
        </w:rPr>
        <w:t>价格清单表是基于乙方在完全理解本项目所需为前提，同时甲方对清单中的名称、规格、技术参数及数量等没有校对的义务，乙方在合同有效期内不得对清单的综合费用提出任何费用的增加。实际供货数量以双方签字确认的数量为准。</w:t>
      </w:r>
    </w:p>
    <w:p w14:paraId="16682885">
      <w:pPr>
        <w:pStyle w:val="3"/>
        <w:spacing w:line="360" w:lineRule="auto"/>
        <w:rPr>
          <w:highlight w:val="none"/>
        </w:rPr>
      </w:pPr>
      <w:bookmarkStart w:id="287" w:name="_Toc229390287"/>
      <w:r>
        <w:rPr>
          <w:rFonts w:hint="eastAsia"/>
          <w:highlight w:val="none"/>
        </w:rPr>
        <w:t>三、技术要求</w:t>
      </w:r>
      <w:bookmarkEnd w:id="287"/>
    </w:p>
    <w:bookmarkEnd w:id="277"/>
    <w:bookmarkEnd w:id="278"/>
    <w:bookmarkEnd w:id="279"/>
    <w:p w14:paraId="1F26219C">
      <w:pPr>
        <w:widowControl w:val="0"/>
        <w:autoSpaceDE w:val="0"/>
        <w:autoSpaceDN w:val="0"/>
        <w:adjustRightInd w:val="0"/>
        <w:spacing w:line="360" w:lineRule="auto"/>
        <w:rPr>
          <w:rFonts w:cs="Times New Roman"/>
          <w:b/>
          <w:kern w:val="0"/>
          <w:szCs w:val="24"/>
          <w:highlight w:val="none"/>
        </w:rPr>
      </w:pPr>
      <w:bookmarkStart w:id="288" w:name="_Toc155185895"/>
      <w:bookmarkStart w:id="289" w:name="_Toc163492892"/>
      <w:r>
        <w:rPr>
          <w:rFonts w:hint="eastAsia" w:cs="Times New Roman"/>
          <w:b/>
          <w:kern w:val="0"/>
          <w:szCs w:val="24"/>
          <w:highlight w:val="none"/>
        </w:rPr>
        <w:t>（一）货品的品种、数量、计量</w:t>
      </w:r>
    </w:p>
    <w:p w14:paraId="14E423A8">
      <w:pPr>
        <w:widowControl w:val="0"/>
        <w:spacing w:line="360" w:lineRule="auto"/>
        <w:ind w:firstLine="482" w:firstLineChars="200"/>
        <w:jc w:val="both"/>
        <w:rPr>
          <w:rFonts w:cs="Times New Roman"/>
          <w:szCs w:val="24"/>
          <w:highlight w:val="none"/>
        </w:rPr>
      </w:pPr>
      <w:r>
        <w:rPr>
          <w:rFonts w:hint="eastAsia" w:cs="Times New Roman"/>
          <w:b/>
          <w:szCs w:val="24"/>
          <w:highlight w:val="none"/>
        </w:rPr>
        <w:t>（1）品种：</w:t>
      </w:r>
      <w:r>
        <w:rPr>
          <w:rFonts w:hint="eastAsia" w:cs="Times New Roman"/>
          <w:szCs w:val="24"/>
          <w:highlight w:val="none"/>
        </w:rPr>
        <w:t>甲方每日指定定购的的各类蔬菜品种。</w:t>
      </w:r>
    </w:p>
    <w:p w14:paraId="0F38B089">
      <w:pPr>
        <w:widowControl w:val="0"/>
        <w:spacing w:line="360" w:lineRule="auto"/>
        <w:ind w:firstLine="482" w:firstLineChars="200"/>
        <w:jc w:val="both"/>
        <w:rPr>
          <w:rFonts w:cs="Times New Roman"/>
          <w:szCs w:val="24"/>
          <w:highlight w:val="none"/>
        </w:rPr>
      </w:pPr>
      <w:r>
        <w:rPr>
          <w:rFonts w:hint="eastAsia" w:cs="Times New Roman"/>
          <w:b/>
          <w:szCs w:val="24"/>
          <w:highlight w:val="none"/>
        </w:rPr>
        <w:t>（2）数量：</w:t>
      </w:r>
      <w:r>
        <w:rPr>
          <w:rFonts w:hint="eastAsia" w:cs="Times New Roman"/>
          <w:szCs w:val="24"/>
          <w:highlight w:val="none"/>
        </w:rPr>
        <w:t>按甲方每日指定定购数量为准。</w:t>
      </w:r>
    </w:p>
    <w:p w14:paraId="0CD93CB5">
      <w:pPr>
        <w:widowControl w:val="0"/>
        <w:spacing w:line="360" w:lineRule="auto"/>
        <w:ind w:firstLine="482" w:firstLineChars="200"/>
        <w:jc w:val="both"/>
        <w:rPr>
          <w:rFonts w:cs="Times New Roman"/>
          <w:szCs w:val="24"/>
          <w:highlight w:val="none"/>
        </w:rPr>
      </w:pPr>
      <w:r>
        <w:rPr>
          <w:rFonts w:hint="eastAsia" w:cs="Times New Roman"/>
          <w:b/>
          <w:szCs w:val="24"/>
          <w:highlight w:val="none"/>
        </w:rPr>
        <w:t>（3）计量单位：</w:t>
      </w:r>
      <w:r>
        <w:rPr>
          <w:rFonts w:hint="eastAsia" w:cs="Times New Roman"/>
          <w:szCs w:val="24"/>
          <w:highlight w:val="none"/>
        </w:rPr>
        <w:t>按公斤、条、只等计。</w:t>
      </w:r>
    </w:p>
    <w:p w14:paraId="04FAA36E">
      <w:pPr>
        <w:widowControl w:val="0"/>
        <w:spacing w:line="360" w:lineRule="auto"/>
        <w:ind w:firstLine="482" w:firstLineChars="200"/>
        <w:jc w:val="both"/>
        <w:rPr>
          <w:rFonts w:cs="宋体"/>
          <w:b/>
          <w:kern w:val="0"/>
          <w:szCs w:val="24"/>
          <w:highlight w:val="none"/>
        </w:rPr>
      </w:pPr>
      <w:r>
        <w:rPr>
          <w:rFonts w:hint="eastAsia" w:cs="Times New Roman"/>
          <w:b/>
          <w:szCs w:val="24"/>
          <w:highlight w:val="none"/>
        </w:rPr>
        <w:t>（4）计量方法：</w:t>
      </w:r>
      <w:r>
        <w:rPr>
          <w:rFonts w:hint="eastAsia" w:cs="Times New Roman"/>
          <w:szCs w:val="24"/>
          <w:highlight w:val="none"/>
        </w:rPr>
        <w:t>由乙方称重计数，送到甲方所指定地点，再由甲方核准计数。验货时，按公斤称重的货品，要求</w:t>
      </w:r>
      <w:r>
        <w:rPr>
          <w:rFonts w:hint="eastAsia" w:cs="Times New Roman"/>
          <w:b/>
          <w:szCs w:val="24"/>
          <w:highlight w:val="none"/>
        </w:rPr>
        <w:t>去皮去水称重</w:t>
      </w:r>
      <w:r>
        <w:rPr>
          <w:rFonts w:hint="eastAsia" w:cs="Times New Roman"/>
          <w:szCs w:val="24"/>
          <w:highlight w:val="none"/>
        </w:rPr>
        <w:t>。</w:t>
      </w:r>
      <w:r>
        <w:rPr>
          <w:rFonts w:hint="eastAsia" w:cs="Times New Roman"/>
          <w:b/>
          <w:szCs w:val="24"/>
          <w:highlight w:val="none"/>
        </w:rPr>
        <w:t>结算数量按照各餐厅实际使用数量进行结算。</w:t>
      </w:r>
    </w:p>
    <w:p w14:paraId="1E5C64DE">
      <w:pPr>
        <w:widowControl w:val="0"/>
        <w:spacing w:line="360" w:lineRule="auto"/>
        <w:ind w:firstLine="482" w:firstLineChars="200"/>
        <w:jc w:val="both"/>
        <w:rPr>
          <w:rFonts w:cs="Times New Roman"/>
          <w:b/>
          <w:szCs w:val="24"/>
          <w:highlight w:val="none"/>
        </w:rPr>
      </w:pPr>
      <w:r>
        <w:rPr>
          <w:rFonts w:hint="eastAsia" w:cs="宋体"/>
          <w:b/>
          <w:kern w:val="0"/>
          <w:szCs w:val="24"/>
          <w:highlight w:val="none"/>
        </w:rPr>
        <w:t>（5）</w:t>
      </w:r>
      <w:r>
        <w:rPr>
          <w:rFonts w:hint="eastAsia" w:cs="Times New Roman"/>
          <w:b/>
          <w:szCs w:val="24"/>
          <w:highlight w:val="none"/>
        </w:rPr>
        <w:t>定价规则：</w:t>
      </w:r>
    </w:p>
    <w:p w14:paraId="3B83CDB0">
      <w:pPr>
        <w:widowControl w:val="0"/>
        <w:spacing w:line="360" w:lineRule="auto"/>
        <w:ind w:firstLine="480" w:firstLineChars="200"/>
        <w:jc w:val="both"/>
        <w:rPr>
          <w:rFonts w:cs="Times New Roman"/>
          <w:kern w:val="0"/>
          <w:szCs w:val="24"/>
          <w:highlight w:val="none"/>
        </w:rPr>
      </w:pPr>
      <w:r>
        <w:rPr>
          <w:rFonts w:hint="eastAsia" w:cs="Times New Roman"/>
          <w:kern w:val="0"/>
          <w:szCs w:val="24"/>
          <w:highlight w:val="none"/>
        </w:rPr>
        <w:t>★</w:t>
      </w:r>
      <w:r>
        <w:rPr>
          <w:rFonts w:cs="Times New Roman"/>
          <w:kern w:val="0"/>
          <w:szCs w:val="24"/>
          <w:highlight w:val="none"/>
        </w:rPr>
        <w:t>1）甲方工作日每周一制定结算价，每周制定一次价格。新一轮结算定价结果出来前，采用上一轮结算价格。节假日结算价参照上一个工作日结算价执行。</w:t>
      </w:r>
    </w:p>
    <w:p w14:paraId="4A76BD91">
      <w:pPr>
        <w:widowControl w:val="0"/>
        <w:spacing w:line="360" w:lineRule="auto"/>
        <w:ind w:firstLine="480" w:firstLineChars="200"/>
        <w:jc w:val="both"/>
        <w:rPr>
          <w:rFonts w:cs="Times New Roman"/>
          <w:kern w:val="0"/>
          <w:szCs w:val="24"/>
          <w:highlight w:val="none"/>
        </w:rPr>
      </w:pPr>
      <w:r>
        <w:rPr>
          <w:rFonts w:hint="eastAsia" w:cs="Times New Roman"/>
          <w:kern w:val="0"/>
          <w:szCs w:val="24"/>
          <w:highlight w:val="none"/>
        </w:rPr>
        <w:t>★</w:t>
      </w:r>
      <w:r>
        <w:rPr>
          <w:rFonts w:cs="Times New Roman"/>
          <w:kern w:val="0"/>
          <w:szCs w:val="24"/>
          <w:highlight w:val="none"/>
        </w:rPr>
        <w:t>2）定价日供应商通过网络各自报价，在当日上午北京时间十二点之前上报至网络为有效报价，超过时限未报价者，视为自动放弃报价权。供货商报价采用货品、税费、包装费、运输、装卸等费用合计报价。</w:t>
      </w:r>
    </w:p>
    <w:p w14:paraId="48533B57">
      <w:pPr>
        <w:widowControl w:val="0"/>
        <w:spacing w:line="360" w:lineRule="auto"/>
        <w:ind w:firstLine="480" w:firstLineChars="200"/>
        <w:jc w:val="both"/>
        <w:rPr>
          <w:rFonts w:cs="Times New Roman"/>
          <w:kern w:val="0"/>
          <w:szCs w:val="24"/>
          <w:highlight w:val="none"/>
        </w:rPr>
      </w:pPr>
      <w:r>
        <w:rPr>
          <w:rFonts w:hint="eastAsia" w:cs="Times New Roman"/>
          <w:kern w:val="0"/>
          <w:szCs w:val="24"/>
          <w:highlight w:val="none"/>
        </w:rPr>
        <w:t>★</w:t>
      </w:r>
      <w:r>
        <w:rPr>
          <w:rFonts w:cs="Times New Roman"/>
          <w:kern w:val="0"/>
          <w:szCs w:val="24"/>
          <w:highlight w:val="none"/>
        </w:rPr>
        <w:t>3）本项目实行招标上浮或下浮比率，货品的结算价格根据新疆北园春集团官网（http://www.beiyuanchun.com/）价格行情板块中间价为基准价进行上浮或下浮定价。X、Y、Z、A在合同执行期间是固定值。</w:t>
      </w:r>
    </w:p>
    <w:p w14:paraId="3C186660">
      <w:pPr>
        <w:widowControl w:val="0"/>
        <w:spacing w:line="360" w:lineRule="auto"/>
        <w:ind w:firstLine="480" w:firstLineChars="200"/>
        <w:jc w:val="both"/>
        <w:rPr>
          <w:rFonts w:cs="Times New Roman"/>
          <w:kern w:val="0"/>
          <w:szCs w:val="24"/>
          <w:highlight w:val="none"/>
        </w:rPr>
      </w:pPr>
      <w:r>
        <w:rPr>
          <w:rFonts w:hint="eastAsia" w:cs="Times New Roman"/>
          <w:kern w:val="0"/>
          <w:szCs w:val="24"/>
          <w:highlight w:val="none"/>
        </w:rPr>
        <w:t>★</w:t>
      </w:r>
      <w:r>
        <w:rPr>
          <w:rFonts w:cs="Times New Roman"/>
          <w:kern w:val="0"/>
          <w:szCs w:val="24"/>
          <w:highlight w:val="none"/>
        </w:rPr>
        <w:t>4）凡北园春集团官网价格行情板块无报价的活禽肉水产，甲方不定期组织相关人员在九鼎、北园春、新联等市场询价，采集物资价格。（市场询价为现金采购价，综合考虑品质、税费、人工、运输等成本）结合供货商报价，供货质量品级，比较两到三个报价后协商合理价格执行。</w:t>
      </w:r>
    </w:p>
    <w:p w14:paraId="0F1C4EB0">
      <w:pPr>
        <w:widowControl w:val="0"/>
        <w:spacing w:line="360" w:lineRule="auto"/>
        <w:ind w:firstLine="480" w:firstLineChars="200"/>
        <w:jc w:val="both"/>
        <w:rPr>
          <w:rFonts w:cs="Times New Roman"/>
          <w:kern w:val="0"/>
          <w:szCs w:val="24"/>
          <w:highlight w:val="none"/>
        </w:rPr>
      </w:pPr>
      <w:r>
        <w:rPr>
          <w:rFonts w:hint="eastAsia" w:cs="Times New Roman"/>
          <w:kern w:val="0"/>
          <w:szCs w:val="24"/>
          <w:highlight w:val="none"/>
        </w:rPr>
        <w:t>★</w:t>
      </w:r>
      <w:r>
        <w:rPr>
          <w:rFonts w:cs="Times New Roman"/>
          <w:kern w:val="0"/>
          <w:szCs w:val="24"/>
          <w:highlight w:val="none"/>
        </w:rPr>
        <w:t>5）部分货品定价后，供应商认为质价不符的，必须提前2个工作日内以书面形式（加盖公章）通知书送达甲方，说明涨跌原因、涨跌幅度。待甲方组织相关人员在九鼎、北园春、新联等市场询价后，确定新结算价格，新一轮定价结果出来前，采用上一轮定价价格。如因活禽肉水产价格波动，乙方拒绝供货，按照合同违约责任处理。</w:t>
      </w:r>
    </w:p>
    <w:p w14:paraId="4C03794C">
      <w:pPr>
        <w:widowControl w:val="0"/>
        <w:spacing w:line="360" w:lineRule="auto"/>
        <w:ind w:firstLine="482" w:firstLineChars="200"/>
        <w:jc w:val="both"/>
        <w:rPr>
          <w:rFonts w:cs="Times New Roman"/>
          <w:b/>
          <w:kern w:val="0"/>
          <w:szCs w:val="24"/>
          <w:highlight w:val="none"/>
        </w:rPr>
      </w:pPr>
      <w:r>
        <w:rPr>
          <w:rFonts w:hint="eastAsia" w:cs="Times New Roman"/>
          <w:b/>
          <w:kern w:val="0"/>
          <w:szCs w:val="24"/>
          <w:highlight w:val="none"/>
        </w:rPr>
        <w:t>（6）</w:t>
      </w:r>
      <w:r>
        <w:rPr>
          <w:rFonts w:cs="Times New Roman"/>
          <w:b/>
          <w:kern w:val="0"/>
          <w:szCs w:val="24"/>
          <w:highlight w:val="none"/>
        </w:rPr>
        <w:t>以上供货价格系指包括全部货品、税费、包装费、运输、装卸等费用，以及已支付或将支付的和其它税费等所有费用。甲方除支付合同约定的上述款项外，无需再支付其他任何费用及款项。合同总价按照甲方实际采购并且验收合格的数量结合上述单价进行结算支付。</w:t>
      </w:r>
    </w:p>
    <w:p w14:paraId="3C513DC3">
      <w:pPr>
        <w:widowControl w:val="0"/>
        <w:spacing w:line="360" w:lineRule="auto"/>
        <w:ind w:firstLine="482" w:firstLineChars="200"/>
        <w:jc w:val="both"/>
        <w:rPr>
          <w:rFonts w:cs="Times New Roman"/>
          <w:b/>
          <w:kern w:val="0"/>
          <w:szCs w:val="24"/>
          <w:highlight w:val="none"/>
        </w:rPr>
      </w:pPr>
      <w:r>
        <w:rPr>
          <w:rFonts w:hint="eastAsia" w:cs="Times New Roman"/>
          <w:b/>
          <w:kern w:val="0"/>
          <w:szCs w:val="24"/>
          <w:highlight w:val="none"/>
        </w:rPr>
        <w:t>（7）</w:t>
      </w:r>
      <w:r>
        <w:rPr>
          <w:rFonts w:cs="Times New Roman"/>
          <w:b/>
          <w:kern w:val="0"/>
          <w:szCs w:val="24"/>
          <w:highlight w:val="none"/>
        </w:rPr>
        <w:t>价格清单表是基于乙方在完全理解本项目所需为前提，同时甲方对清单中的名称、规格、技术参数及数量等没有校对的义务，乙方在合同有效期内不得对清单的综合费用提出任何费用的增加。实际供货数量以双方签字确认的数量为准。</w:t>
      </w:r>
    </w:p>
    <w:p w14:paraId="308A8E59">
      <w:pPr>
        <w:widowControl w:val="0"/>
        <w:spacing w:line="360" w:lineRule="auto"/>
        <w:ind w:firstLine="361" w:firstLineChars="150"/>
        <w:jc w:val="both"/>
        <w:rPr>
          <w:rFonts w:cs="Times New Roman"/>
          <w:b/>
          <w:szCs w:val="24"/>
          <w:highlight w:val="none"/>
        </w:rPr>
      </w:pPr>
      <w:r>
        <w:rPr>
          <w:rFonts w:cs="Times New Roman"/>
          <w:b/>
          <w:szCs w:val="24"/>
          <w:highlight w:val="none"/>
        </w:rPr>
        <w:t>（二）质量保证</w:t>
      </w:r>
    </w:p>
    <w:p w14:paraId="71EC16E5">
      <w:pPr>
        <w:widowControl w:val="0"/>
        <w:spacing w:line="360" w:lineRule="auto"/>
        <w:ind w:firstLine="480" w:firstLineChars="200"/>
        <w:jc w:val="both"/>
        <w:rPr>
          <w:rFonts w:cs="Times New Roman"/>
          <w:b/>
          <w:szCs w:val="24"/>
          <w:highlight w:val="none"/>
        </w:rPr>
      </w:pPr>
      <w:r>
        <w:rPr>
          <w:rFonts w:cs="Times New Roman"/>
          <w:szCs w:val="24"/>
          <w:highlight w:val="none"/>
        </w:rPr>
        <w:t>1、乙方保证提供本合同项下的</w:t>
      </w:r>
      <w:r>
        <w:rPr>
          <w:rFonts w:hint="eastAsia" w:cs="Times New Roman"/>
          <w:szCs w:val="24"/>
          <w:highlight w:val="none"/>
        </w:rPr>
        <w:t>食品</w:t>
      </w:r>
      <w:r>
        <w:rPr>
          <w:rFonts w:cs="Times New Roman"/>
          <w:szCs w:val="24"/>
          <w:highlight w:val="none"/>
        </w:rPr>
        <w:t>符合国家食品安全标准及招投标文件</w:t>
      </w:r>
      <w:r>
        <w:rPr>
          <w:rFonts w:hint="eastAsia" w:cs="Times New Roman"/>
          <w:szCs w:val="24"/>
          <w:highlight w:val="none"/>
        </w:rPr>
        <w:t>、</w:t>
      </w:r>
      <w:r>
        <w:rPr>
          <w:rFonts w:cs="Times New Roman"/>
          <w:szCs w:val="24"/>
          <w:highlight w:val="none"/>
        </w:rPr>
        <w:t>答疑附件的质量要求，干净卫生</w:t>
      </w:r>
      <w:r>
        <w:rPr>
          <w:rFonts w:hint="eastAsia" w:cs="Times New Roman"/>
          <w:szCs w:val="24"/>
          <w:highlight w:val="none"/>
        </w:rPr>
        <w:t>、</w:t>
      </w:r>
      <w:r>
        <w:rPr>
          <w:rFonts w:cs="Times New Roman"/>
          <w:szCs w:val="24"/>
          <w:highlight w:val="none"/>
        </w:rPr>
        <w:t>无杂质</w:t>
      </w:r>
      <w:r>
        <w:rPr>
          <w:rFonts w:hint="eastAsia" w:cs="Times New Roman"/>
          <w:szCs w:val="24"/>
          <w:highlight w:val="none"/>
        </w:rPr>
        <w:t>，</w:t>
      </w:r>
      <w:r>
        <w:rPr>
          <w:rFonts w:cs="Times New Roman"/>
          <w:szCs w:val="24"/>
          <w:highlight w:val="none"/>
        </w:rPr>
        <w:t>无过期</w:t>
      </w:r>
      <w:r>
        <w:rPr>
          <w:rFonts w:hint="eastAsia" w:cs="Times New Roman"/>
          <w:szCs w:val="24"/>
          <w:highlight w:val="none"/>
        </w:rPr>
        <w:t>、</w:t>
      </w:r>
      <w:r>
        <w:rPr>
          <w:rFonts w:cs="Times New Roman"/>
          <w:szCs w:val="24"/>
          <w:highlight w:val="none"/>
        </w:rPr>
        <w:t>变质</w:t>
      </w:r>
      <w:r>
        <w:rPr>
          <w:rFonts w:hint="eastAsia" w:cs="Times New Roman"/>
          <w:szCs w:val="24"/>
          <w:highlight w:val="none"/>
        </w:rPr>
        <w:t>、</w:t>
      </w:r>
      <w:r>
        <w:rPr>
          <w:rFonts w:cs="Times New Roman"/>
          <w:szCs w:val="24"/>
          <w:highlight w:val="none"/>
        </w:rPr>
        <w:t>腐烂</w:t>
      </w:r>
      <w:r>
        <w:rPr>
          <w:rFonts w:hint="eastAsia" w:cs="Times New Roman"/>
          <w:szCs w:val="24"/>
          <w:highlight w:val="none"/>
        </w:rPr>
        <w:t>、以假充真、以次充好等</w:t>
      </w:r>
      <w:r>
        <w:rPr>
          <w:rFonts w:cs="Times New Roman"/>
          <w:szCs w:val="24"/>
          <w:highlight w:val="none"/>
        </w:rPr>
        <w:t>现象</w:t>
      </w:r>
      <w:r>
        <w:rPr>
          <w:rFonts w:hint="eastAsia" w:cs="Times New Roman"/>
          <w:szCs w:val="24"/>
          <w:highlight w:val="none"/>
        </w:rPr>
        <w:t>。</w:t>
      </w:r>
      <w:r>
        <w:rPr>
          <w:rFonts w:hint="eastAsia" w:cs="Times New Roman"/>
          <w:color w:val="000000"/>
          <w:szCs w:val="24"/>
          <w:highlight w:val="none"/>
        </w:rPr>
        <w:t>符合《中华人民共和国农产品质量安全法》《中华人民共和国消费者权益保护法》《中华人民共和国食品安全法》，</w:t>
      </w:r>
      <w:r>
        <w:rPr>
          <w:rFonts w:hint="eastAsia" w:cs="仿宋"/>
          <w:szCs w:val="24"/>
          <w:highlight w:val="none"/>
        </w:rPr>
        <w:t>必须符合本项目食品相关国家标准和卫生检测标准；没有国家标准的，必须符合行业标准，既没有国家标准和行业标准的应确保食材的新鲜、健康。</w:t>
      </w:r>
      <w:r>
        <w:rPr>
          <w:rFonts w:hint="eastAsia" w:cs="Times New Roman"/>
          <w:szCs w:val="24"/>
          <w:highlight w:val="none"/>
        </w:rPr>
        <w:t>包装必须标识齐全，并</w:t>
      </w:r>
      <w:r>
        <w:rPr>
          <w:rFonts w:cs="Times New Roman"/>
          <w:szCs w:val="24"/>
          <w:highlight w:val="none"/>
        </w:rPr>
        <w:t>保证其销售的产品不存在有造成甲方或任何第三人人身损害的现实或潜在的危险</w:t>
      </w:r>
      <w:r>
        <w:rPr>
          <w:rFonts w:hint="eastAsia" w:cs="Times New Roman"/>
          <w:szCs w:val="24"/>
          <w:highlight w:val="none"/>
        </w:rPr>
        <w:t>，并可溯源；</w:t>
      </w:r>
      <w:r>
        <w:rPr>
          <w:rFonts w:cs="Times New Roman"/>
          <w:szCs w:val="24"/>
          <w:highlight w:val="none"/>
        </w:rPr>
        <w:t>若因此造成任何损失，由乙方承担全部赔偿责任。</w:t>
      </w:r>
    </w:p>
    <w:p w14:paraId="09374B34">
      <w:pPr>
        <w:widowControl w:val="0"/>
        <w:autoSpaceDE w:val="0"/>
        <w:autoSpaceDN w:val="0"/>
        <w:adjustRightInd w:val="0"/>
        <w:spacing w:line="500" w:lineRule="exact"/>
        <w:ind w:firstLine="480" w:firstLineChars="200"/>
        <w:rPr>
          <w:rFonts w:cs="仿宋"/>
          <w:kern w:val="0"/>
          <w:szCs w:val="24"/>
          <w:highlight w:val="none"/>
        </w:rPr>
      </w:pPr>
      <w:r>
        <w:rPr>
          <w:rFonts w:hint="eastAsia" w:cs="Times New Roman"/>
          <w:szCs w:val="24"/>
          <w:highlight w:val="none"/>
        </w:rPr>
        <w:t>2、乙方应保证其配送的每一个批次的食品符合上述质量标准及相应的安全标准。</w:t>
      </w:r>
      <w:r>
        <w:rPr>
          <w:rFonts w:hint="eastAsia" w:cs="Times New Roman"/>
          <w:b/>
          <w:szCs w:val="21"/>
          <w:highlight w:val="none"/>
        </w:rPr>
        <w:t>送货日必须提供</w:t>
      </w:r>
      <w:bookmarkStart w:id="290" w:name="OLE_LINK20"/>
      <w:r>
        <w:rPr>
          <w:rFonts w:hint="eastAsia" w:cs="宋体"/>
          <w:b/>
          <w:kern w:val="0"/>
          <w:szCs w:val="21"/>
          <w:highlight w:val="none"/>
        </w:rPr>
        <w:t>乌鲁木齐市农产品质量安全食材准入检测合格证及活禽肉的检疫票</w:t>
      </w:r>
      <w:bookmarkEnd w:id="290"/>
      <w:r>
        <w:rPr>
          <w:rFonts w:hint="eastAsia" w:cs="宋体"/>
          <w:b/>
          <w:kern w:val="0"/>
          <w:szCs w:val="21"/>
          <w:highlight w:val="none"/>
        </w:rPr>
        <w:t>，</w:t>
      </w:r>
      <w:r>
        <w:rPr>
          <w:rFonts w:hint="eastAsia" w:cs="宋体"/>
          <w:bCs/>
          <w:kern w:val="0"/>
          <w:sz w:val="22"/>
          <w:highlight w:val="none"/>
        </w:rPr>
        <w:t>活禽肉检疫票上盖配送公司公章、签字与标注日期。</w:t>
      </w:r>
      <w:r>
        <w:rPr>
          <w:rFonts w:hint="eastAsia" w:cs="Times New Roman"/>
          <w:bCs/>
          <w:color w:val="000000"/>
          <w:kern w:val="0"/>
          <w:szCs w:val="24"/>
          <w:highlight w:val="none"/>
        </w:rPr>
        <w:t>供货时每批次货物必须在送货单的基础上</w:t>
      </w:r>
      <w:r>
        <w:rPr>
          <w:rFonts w:hint="eastAsia" w:cs="Times New Roman"/>
          <w:b/>
          <w:color w:val="000000"/>
          <w:kern w:val="0"/>
          <w:szCs w:val="24"/>
          <w:highlight w:val="none"/>
        </w:rPr>
        <w:t>提供《进货查验记录》，</w:t>
      </w:r>
      <w:r>
        <w:rPr>
          <w:rFonts w:hint="eastAsia" w:cs="Times New Roman"/>
          <w:bCs/>
          <w:color w:val="000000"/>
          <w:kern w:val="0"/>
          <w:szCs w:val="24"/>
          <w:highlight w:val="none"/>
        </w:rPr>
        <w:t>填写产品生产日期或生产批号、检测报告或合格证明等信息。</w:t>
      </w:r>
      <w:r>
        <w:rPr>
          <w:rFonts w:hint="eastAsia" w:cs="仿宋"/>
          <w:bCs/>
          <w:kern w:val="0"/>
          <w:szCs w:val="24"/>
          <w:highlight w:val="none"/>
        </w:rPr>
        <w:t>在实施</w:t>
      </w:r>
      <w:r>
        <w:rPr>
          <w:rFonts w:hint="eastAsia" w:cs="仿宋"/>
          <w:kern w:val="0"/>
          <w:szCs w:val="24"/>
          <w:highlight w:val="none"/>
        </w:rPr>
        <w:t>中甲方将核实乙方投标书中的产品质量标准、检验报告、生产厂家资质与实际供货的产品的质量标准、检验报告、生产厂家资质是否一致，如发现偏离，甲方将取消乙方供货资格，扣除当月或上月货款，并追究乙方相关法律责任。</w:t>
      </w:r>
    </w:p>
    <w:p w14:paraId="294CAEAF">
      <w:pPr>
        <w:widowControl w:val="0"/>
        <w:autoSpaceDE w:val="0"/>
        <w:autoSpaceDN w:val="0"/>
        <w:adjustRightInd w:val="0"/>
        <w:spacing w:line="500" w:lineRule="exact"/>
        <w:ind w:firstLine="480" w:firstLineChars="200"/>
        <w:rPr>
          <w:rFonts w:cs="仿宋"/>
          <w:szCs w:val="24"/>
          <w:highlight w:val="none"/>
        </w:rPr>
      </w:pPr>
      <w:r>
        <w:rPr>
          <w:rFonts w:hint="eastAsia" w:cs="仿宋"/>
          <w:kern w:val="0"/>
          <w:szCs w:val="24"/>
          <w:highlight w:val="none"/>
        </w:rPr>
        <w:t>3、</w:t>
      </w:r>
      <w:r>
        <w:rPr>
          <w:rFonts w:hint="eastAsia" w:cs="仿宋"/>
          <w:szCs w:val="24"/>
          <w:highlight w:val="none"/>
        </w:rPr>
        <w:t>乙方需在本合同签署之日向甲方提供各种有效证照的复印件一式三份(需加盖乙方公章)，包括但不限于：营业执照、</w:t>
      </w:r>
      <w:r>
        <w:rPr>
          <w:rFonts w:hint="eastAsia" w:cs="Times New Roman"/>
          <w:color w:val="000000"/>
          <w:kern w:val="0"/>
          <w:szCs w:val="24"/>
          <w:highlight w:val="none"/>
        </w:rPr>
        <w:t>产品质量检验报告等与食品销售要求的相关资质证明，</w:t>
      </w:r>
      <w:r>
        <w:rPr>
          <w:rFonts w:hint="eastAsia" w:cs="仿宋"/>
          <w:szCs w:val="24"/>
          <w:highlight w:val="none"/>
        </w:rPr>
        <w:t>否则，甲方有权不予付款且不承担违约责任。在本合同有效期内，乙方必须保证上述各类证照始终处于合法、有效状态。</w:t>
      </w:r>
    </w:p>
    <w:p w14:paraId="7DD62A2A">
      <w:pPr>
        <w:widowControl w:val="0"/>
        <w:spacing w:line="400" w:lineRule="exact"/>
        <w:ind w:firstLine="480" w:firstLineChars="200"/>
        <w:jc w:val="both"/>
        <w:rPr>
          <w:rFonts w:cs="Times New Roman"/>
          <w:color w:val="000000"/>
          <w:kern w:val="0"/>
          <w:szCs w:val="24"/>
          <w:highlight w:val="none"/>
        </w:rPr>
      </w:pPr>
      <w:r>
        <w:rPr>
          <w:rFonts w:hint="eastAsia" w:cs="Times New Roman"/>
          <w:color w:val="000000"/>
          <w:kern w:val="0"/>
          <w:szCs w:val="24"/>
          <w:highlight w:val="none"/>
        </w:rPr>
        <w:t>4、</w:t>
      </w:r>
      <w:r>
        <w:rPr>
          <w:rFonts w:hint="eastAsia" w:cs="Times New Roman"/>
          <w:b/>
          <w:bCs/>
          <w:color w:val="000000"/>
          <w:kern w:val="0"/>
          <w:szCs w:val="24"/>
          <w:highlight w:val="none"/>
        </w:rPr>
        <w:t>第三方产品检测报告单每年更新</w:t>
      </w:r>
      <w:r>
        <w:rPr>
          <w:rFonts w:hint="eastAsia" w:cs="Times New Roman"/>
          <w:color w:val="000000"/>
          <w:kern w:val="0"/>
          <w:szCs w:val="24"/>
          <w:highlight w:val="none"/>
        </w:rPr>
        <w:t>，由</w:t>
      </w:r>
      <w:r>
        <w:rPr>
          <w:rFonts w:hint="eastAsia" w:cs="宋体"/>
          <w:bCs/>
          <w:color w:val="000000"/>
          <w:kern w:val="0"/>
          <w:highlight w:val="none"/>
        </w:rPr>
        <w:t>市场监督管理部门直属质检机构，或经市场监督管理部门资质认定并取得</w:t>
      </w:r>
      <w:r>
        <w:rPr>
          <w:rFonts w:cs="宋体"/>
          <w:bCs/>
          <w:color w:val="000000"/>
          <w:kern w:val="0"/>
          <w:highlight w:val="none"/>
        </w:rPr>
        <w:t>CMA检验检测资质的第三方检测机构出具的有效期内检测报告；报告页面须加盖清晰、有效的CMA资质认定印章；检测所依据的标准须为现行有效、未废止的国家标准或行业标准，引用已废止标准出具的检测报告一律不予认可。检测报告须清晰载明对应投标产品名称信息，所投标品牌或生产厂家，</w:t>
      </w:r>
      <w:r>
        <w:rPr>
          <w:rFonts w:hint="eastAsia" w:cs="宋体"/>
          <w:color w:val="000000"/>
          <w:kern w:val="0"/>
          <w:highlight w:val="none"/>
        </w:rPr>
        <w:t>检测项目中至少有兽药/渔药/重金属残留检测项目。</w:t>
      </w:r>
      <w:r>
        <w:rPr>
          <w:rFonts w:hint="eastAsia" w:cs="Times New Roman"/>
          <w:color w:val="000000"/>
          <w:kern w:val="0"/>
          <w:szCs w:val="24"/>
          <w:highlight w:val="none"/>
        </w:rPr>
        <w:t>非供货商生产的食品每份检测报告后要提供生产厂家营业执照、生产许可证。</w:t>
      </w:r>
    </w:p>
    <w:p w14:paraId="1C1C8F1C">
      <w:pPr>
        <w:widowControl w:val="0"/>
        <w:spacing w:line="400" w:lineRule="exact"/>
        <w:ind w:firstLine="480" w:firstLineChars="200"/>
        <w:jc w:val="both"/>
        <w:rPr>
          <w:rFonts w:cs="Times New Roman"/>
          <w:b/>
          <w:szCs w:val="24"/>
          <w:highlight w:val="none"/>
        </w:rPr>
      </w:pPr>
      <w:r>
        <w:rPr>
          <w:rFonts w:hint="eastAsia" w:cs="仿宋"/>
          <w:szCs w:val="24"/>
          <w:highlight w:val="none"/>
        </w:rPr>
        <w:t>5、乙方应保证货源充足，</w:t>
      </w:r>
      <w:r>
        <w:rPr>
          <w:rFonts w:hint="eastAsia" w:cs="仿宋"/>
          <w:kern w:val="0"/>
          <w:szCs w:val="24"/>
          <w:highlight w:val="none"/>
        </w:rPr>
        <w:t>根据甲方采购计划单的品种数量，乙方不得缺斤少两，</w:t>
      </w:r>
      <w:r>
        <w:rPr>
          <w:rFonts w:hint="eastAsia" w:cs="仿宋"/>
          <w:b/>
          <w:bCs/>
          <w:kern w:val="0"/>
          <w:szCs w:val="24"/>
          <w:highlight w:val="none"/>
        </w:rPr>
        <w:t>缺货少货由乙方当日12:00前（北京时间）补齐</w:t>
      </w:r>
      <w:r>
        <w:rPr>
          <w:rFonts w:hint="eastAsia" w:cs="仿宋"/>
          <w:kern w:val="0"/>
          <w:szCs w:val="24"/>
          <w:highlight w:val="none"/>
        </w:rPr>
        <w:t>，运输、装卸等费用乙方自理。乙方如发生不给甲方按时补齐货物的情况，第一次甲方有权按照同等金额扣除货款作为违约金，并提出一次警告；第二次出现同样情况者，甲方有权扣除当月货款作为违约金，同时甲方有权单方解除合同。</w:t>
      </w:r>
    </w:p>
    <w:p w14:paraId="0EAAF6C6">
      <w:pPr>
        <w:widowControl w:val="0"/>
        <w:spacing w:line="400" w:lineRule="exact"/>
        <w:ind w:firstLine="480" w:firstLineChars="200"/>
        <w:jc w:val="both"/>
        <w:rPr>
          <w:rFonts w:cs="仿宋"/>
          <w:kern w:val="0"/>
          <w:szCs w:val="24"/>
          <w:highlight w:val="none"/>
        </w:rPr>
      </w:pPr>
      <w:r>
        <w:rPr>
          <w:rFonts w:hint="eastAsia" w:cs="仿宋"/>
          <w:kern w:val="0"/>
          <w:szCs w:val="24"/>
          <w:highlight w:val="none"/>
        </w:rPr>
        <w:t>6、如甲方</w:t>
      </w:r>
      <w:r>
        <w:rPr>
          <w:rFonts w:hint="eastAsia" w:cs="仿宋"/>
          <w:b/>
          <w:bCs/>
          <w:kern w:val="0"/>
          <w:szCs w:val="24"/>
          <w:highlight w:val="none"/>
        </w:rPr>
        <w:t>应急临时</w:t>
      </w:r>
      <w:r>
        <w:rPr>
          <w:rFonts w:hint="eastAsia" w:cs="仿宋"/>
          <w:kern w:val="0"/>
          <w:szCs w:val="24"/>
          <w:highlight w:val="none"/>
        </w:rPr>
        <w:t>需购货品，乙方必须按指定的品种、数量,在接到甲方的供货通知后2小时内及时送货，运输费用由乙方承担。节假日保证按时配送。如甲方有特殊配送需求的，乙方必须设法满足，如不能按时到货，导致甲方断货，乙方将按第八条向甲方承担违约责任。</w:t>
      </w:r>
    </w:p>
    <w:p w14:paraId="4FC9B5FD">
      <w:pPr>
        <w:widowControl w:val="0"/>
        <w:spacing w:line="400" w:lineRule="exact"/>
        <w:ind w:firstLine="480" w:firstLineChars="200"/>
        <w:jc w:val="both"/>
        <w:rPr>
          <w:rFonts w:cs="仿宋"/>
          <w:szCs w:val="24"/>
          <w:highlight w:val="none"/>
        </w:rPr>
      </w:pPr>
      <w:r>
        <w:rPr>
          <w:rFonts w:hint="eastAsia" w:cs="仿宋"/>
          <w:kern w:val="0"/>
          <w:szCs w:val="24"/>
          <w:highlight w:val="none"/>
        </w:rPr>
        <w:t>7、根据招标文件、答疑附件、合同等确定货物的品牌、品质后，在合同期内，</w:t>
      </w:r>
      <w:r>
        <w:rPr>
          <w:rFonts w:hint="eastAsia" w:cs="仿宋"/>
          <w:b/>
          <w:bCs/>
          <w:kern w:val="0"/>
          <w:szCs w:val="24"/>
          <w:highlight w:val="none"/>
        </w:rPr>
        <w:t>乙方不许以任何理由，调整所供货物的品牌、品质</w:t>
      </w:r>
      <w:r>
        <w:rPr>
          <w:rFonts w:hint="eastAsia" w:cs="仿宋"/>
          <w:kern w:val="0"/>
          <w:szCs w:val="24"/>
          <w:highlight w:val="none"/>
        </w:rPr>
        <w:t>。必须保证为原厂出产食品，如出现食品</w:t>
      </w:r>
      <w:r>
        <w:rPr>
          <w:rFonts w:cs="仿宋"/>
          <w:kern w:val="0"/>
          <w:szCs w:val="24"/>
          <w:highlight w:val="none"/>
        </w:rPr>
        <w:t>拆</w:t>
      </w:r>
      <w:r>
        <w:rPr>
          <w:rFonts w:hint="eastAsia" w:cs="仿宋"/>
          <w:kern w:val="0"/>
          <w:szCs w:val="24"/>
          <w:highlight w:val="none"/>
        </w:rPr>
        <w:t>袋</w:t>
      </w:r>
      <w:r>
        <w:rPr>
          <w:rFonts w:cs="仿宋"/>
          <w:kern w:val="0"/>
          <w:szCs w:val="24"/>
          <w:highlight w:val="none"/>
        </w:rPr>
        <w:t>混</w:t>
      </w:r>
      <w:r>
        <w:rPr>
          <w:rFonts w:hint="eastAsia" w:cs="仿宋"/>
          <w:kern w:val="0"/>
          <w:szCs w:val="24"/>
          <w:highlight w:val="none"/>
        </w:rPr>
        <w:t>装少装现象,并扣除未结算货款。如遇该厂产品市场缺货情况属实，经甲方书面同意可调换同等质量级别、规格的食品，</w:t>
      </w:r>
      <w:r>
        <w:rPr>
          <w:rFonts w:hint="eastAsia" w:cs="Times New Roman"/>
          <w:color w:val="000000"/>
          <w:kern w:val="0"/>
          <w:szCs w:val="24"/>
          <w:highlight w:val="none"/>
        </w:rPr>
        <w:t>并按中标价结算</w:t>
      </w:r>
      <w:r>
        <w:rPr>
          <w:rFonts w:hint="eastAsia" w:cs="仿宋"/>
          <w:kern w:val="0"/>
          <w:szCs w:val="24"/>
          <w:highlight w:val="none"/>
        </w:rPr>
        <w:t>。</w:t>
      </w:r>
    </w:p>
    <w:p w14:paraId="1F6D185B">
      <w:pPr>
        <w:widowControl w:val="0"/>
        <w:spacing w:line="360" w:lineRule="auto"/>
        <w:ind w:firstLine="360" w:firstLineChars="150"/>
        <w:jc w:val="both"/>
        <w:rPr>
          <w:rFonts w:cs="仿宋"/>
          <w:kern w:val="0"/>
          <w:szCs w:val="24"/>
          <w:highlight w:val="none"/>
        </w:rPr>
      </w:pPr>
      <w:r>
        <w:rPr>
          <w:rFonts w:hint="eastAsia" w:cs="Times New Roman"/>
          <w:color w:val="000000"/>
          <w:kern w:val="0"/>
          <w:szCs w:val="24"/>
          <w:highlight w:val="none"/>
        </w:rPr>
        <w:t>8、</w:t>
      </w:r>
      <w:r>
        <w:rPr>
          <w:rFonts w:hint="eastAsia" w:cs="仿宋"/>
          <w:kern w:val="0"/>
          <w:szCs w:val="24"/>
          <w:highlight w:val="none"/>
        </w:rPr>
        <w:t>甲方根据需要对送来货物</w:t>
      </w:r>
      <w:r>
        <w:rPr>
          <w:rFonts w:hint="eastAsia" w:cs="仿宋"/>
          <w:b/>
          <w:bCs/>
          <w:kern w:val="0"/>
          <w:szCs w:val="24"/>
          <w:highlight w:val="none"/>
        </w:rPr>
        <w:t>每年至少一次质量抽检</w:t>
      </w:r>
      <w:r>
        <w:rPr>
          <w:rFonts w:hint="eastAsia" w:cs="仿宋"/>
          <w:kern w:val="0"/>
          <w:szCs w:val="24"/>
          <w:highlight w:val="none"/>
        </w:rPr>
        <w:t>，对送来货物随机抽取进行基本农残、兽药残留等抽检，抽检样品送自治区质量技术监督局等第三方专业检测机构进行检测，</w:t>
      </w:r>
      <w:r>
        <w:rPr>
          <w:rFonts w:hint="eastAsia" w:cs="仿宋"/>
          <w:b/>
          <w:bCs/>
          <w:kern w:val="0"/>
          <w:szCs w:val="24"/>
          <w:highlight w:val="none"/>
        </w:rPr>
        <w:t>检测费用由乙方支付，乙方拒不支付的，甲方有权在当月结算款中扣除检测费</w:t>
      </w:r>
      <w:r>
        <w:rPr>
          <w:rFonts w:hint="eastAsia" w:cs="仿宋"/>
          <w:kern w:val="0"/>
          <w:szCs w:val="24"/>
          <w:highlight w:val="none"/>
        </w:rPr>
        <w:t>。如发现不符合质量安全检验检测标准，甲方将扣除上月或者当月货款，并终止合同。在省市各级食品安全相关监督检查部门进行质量抽检中，如出现不符合质量安全检验检测标准的，乙方负责免费无条件更换货品，并承担因此产生的处罚等一切相关费用。</w:t>
      </w:r>
    </w:p>
    <w:p w14:paraId="1A63B646">
      <w:pPr>
        <w:widowControl w:val="0"/>
        <w:spacing w:line="360" w:lineRule="auto"/>
        <w:ind w:firstLine="361" w:firstLineChars="150"/>
        <w:jc w:val="both"/>
        <w:rPr>
          <w:rFonts w:cs="Times New Roman"/>
          <w:b/>
          <w:szCs w:val="24"/>
          <w:highlight w:val="none"/>
        </w:rPr>
      </w:pPr>
      <w:r>
        <w:rPr>
          <w:rFonts w:cs="Times New Roman"/>
          <w:b/>
          <w:szCs w:val="24"/>
          <w:highlight w:val="none"/>
        </w:rPr>
        <w:t>（三）、</w:t>
      </w:r>
      <w:r>
        <w:rPr>
          <w:rFonts w:hint="eastAsia" w:cs="Times New Roman"/>
          <w:b/>
          <w:szCs w:val="24"/>
          <w:highlight w:val="none"/>
        </w:rPr>
        <w:t>食品</w:t>
      </w:r>
      <w:r>
        <w:rPr>
          <w:rFonts w:cs="Times New Roman"/>
          <w:b/>
          <w:szCs w:val="24"/>
          <w:highlight w:val="none"/>
        </w:rPr>
        <w:t>的包装及运输</w:t>
      </w:r>
    </w:p>
    <w:p w14:paraId="2D104418">
      <w:pPr>
        <w:widowControl w:val="0"/>
        <w:spacing w:line="480" w:lineRule="exact"/>
        <w:ind w:firstLine="480" w:firstLineChars="200"/>
        <w:jc w:val="both"/>
        <w:rPr>
          <w:rFonts w:cs="Bookman Old Style"/>
          <w:bCs/>
          <w:szCs w:val="24"/>
          <w:highlight w:val="none"/>
        </w:rPr>
      </w:pPr>
      <w:r>
        <w:rPr>
          <w:rFonts w:hint="eastAsia" w:cs="Bookman Old Style"/>
          <w:bCs/>
          <w:szCs w:val="24"/>
          <w:highlight w:val="none"/>
        </w:rPr>
        <w:t>１、包装必须与运输方式相适应，包装方式的确定和包装费用均由乙方负责；由于不适当的包装而造成的食品有任何的损坏由乙方负责。包装费、运输费、装卸费和保险费等均已包含在合同单价内。</w:t>
      </w:r>
    </w:p>
    <w:p w14:paraId="641119F8">
      <w:pPr>
        <w:widowControl w:val="0"/>
        <w:spacing w:line="480" w:lineRule="exact"/>
        <w:ind w:firstLine="480" w:firstLineChars="200"/>
        <w:jc w:val="both"/>
        <w:rPr>
          <w:rFonts w:cs="Bookman Old Style"/>
          <w:bCs/>
          <w:szCs w:val="24"/>
          <w:highlight w:val="none"/>
        </w:rPr>
      </w:pPr>
      <w:r>
        <w:rPr>
          <w:rFonts w:hint="eastAsia" w:cs="Bookman Old Style"/>
          <w:bCs/>
          <w:szCs w:val="24"/>
          <w:highlight w:val="none"/>
        </w:rPr>
        <w:t>2</w:t>
      </w:r>
      <w:r>
        <w:rPr>
          <w:rFonts w:cs="Bookman Old Style"/>
          <w:bCs/>
          <w:szCs w:val="24"/>
          <w:highlight w:val="none"/>
        </w:rPr>
        <w:t>、</w:t>
      </w:r>
      <w:r>
        <w:rPr>
          <w:rFonts w:hint="eastAsia" w:cs="Times New Roman"/>
          <w:color w:val="000000"/>
          <w:szCs w:val="24"/>
          <w:highlight w:val="none"/>
        </w:rPr>
        <w:t>乙方向甲方提供食品的所有储藏和运输设施必须符合国家、行业标准和规范。</w:t>
      </w:r>
      <w:r>
        <w:rPr>
          <w:rFonts w:hint="eastAsia" w:cs="Times New Roman"/>
          <w:szCs w:val="24"/>
          <w:highlight w:val="none"/>
        </w:rPr>
        <w:t>乙方保证运输周转的容器与车辆的清洁卫生和防止食品在运输过程中受到污染。</w:t>
      </w:r>
      <w:r>
        <w:rPr>
          <w:rFonts w:hint="eastAsia" w:cs="Times New Roman"/>
          <w:bCs/>
          <w:szCs w:val="24"/>
          <w:highlight w:val="none"/>
        </w:rPr>
        <w:t>乙方所提供的食品不得敞露运输，必须轻装轻卸，并码放整齐。</w:t>
      </w:r>
      <w:r>
        <w:rPr>
          <w:rFonts w:hint="eastAsia" w:cs="Bookman Old Style"/>
          <w:b/>
          <w:color w:val="000000"/>
          <w:szCs w:val="24"/>
          <w:highlight w:val="none"/>
        </w:rPr>
        <w:t>夏季，注意冷藏运输，防止活禽肉水产类变质。</w:t>
      </w:r>
    </w:p>
    <w:p w14:paraId="7F1E2358">
      <w:pPr>
        <w:widowControl w:val="0"/>
        <w:spacing w:line="480" w:lineRule="exact"/>
        <w:ind w:firstLine="480" w:firstLineChars="200"/>
        <w:jc w:val="both"/>
        <w:rPr>
          <w:rFonts w:cs="Times New Roman"/>
          <w:b/>
          <w:bCs/>
          <w:szCs w:val="24"/>
          <w:highlight w:val="none"/>
        </w:rPr>
      </w:pPr>
      <w:r>
        <w:rPr>
          <w:rFonts w:hint="eastAsia" w:cs="Times New Roman"/>
          <w:szCs w:val="24"/>
          <w:highlight w:val="none"/>
        </w:rPr>
        <w:t>3、采用定型包装的食品，包装必须符合国家对产品包装的有关规定。货品由生产厂家使用符合国家食品卫生要求的包装箱或包装袋进行完整包装，包装上必须有清晰的厂家信息、生产日期、保质期、净重量；</w:t>
      </w:r>
      <w:r>
        <w:rPr>
          <w:rFonts w:hint="eastAsia" w:cs="Times New Roman"/>
          <w:b/>
          <w:bCs/>
          <w:szCs w:val="24"/>
          <w:highlight w:val="none"/>
        </w:rPr>
        <w:t>包装破损或“三无”的货物甲方有权不予以接收。</w:t>
      </w:r>
    </w:p>
    <w:p w14:paraId="423EE885">
      <w:pPr>
        <w:widowControl w:val="0"/>
        <w:spacing w:line="480" w:lineRule="exact"/>
        <w:ind w:firstLine="480" w:firstLineChars="200"/>
        <w:jc w:val="both"/>
        <w:rPr>
          <w:rFonts w:cs="Times New Roman"/>
          <w:szCs w:val="24"/>
          <w:highlight w:val="none"/>
        </w:rPr>
      </w:pPr>
      <w:r>
        <w:rPr>
          <w:rFonts w:hint="eastAsia" w:cs="Times New Roman"/>
          <w:color w:val="000000"/>
          <w:szCs w:val="24"/>
          <w:highlight w:val="none"/>
        </w:rPr>
        <w:t>4、运输途中的货物安全问题均由乙方负责，在交货过程中，发生意外事故和故障损失，如撞、刮、裂、损等均由乙方承担责任。</w:t>
      </w:r>
    </w:p>
    <w:p w14:paraId="4B32A8DC">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5、乙方配送人员必须培训上岗，配送时着装干净整齐，保持个人清洁卫生。礼貌沟通，耐心解释，及时反馈验收中的问题和退换货进展。</w:t>
      </w:r>
    </w:p>
    <w:p w14:paraId="7184EEF7">
      <w:pPr>
        <w:widowControl w:val="0"/>
        <w:spacing w:line="360" w:lineRule="auto"/>
        <w:ind w:firstLine="361" w:firstLineChars="150"/>
        <w:jc w:val="both"/>
        <w:rPr>
          <w:rFonts w:cs="Bookman Old Style"/>
          <w:bCs/>
          <w:szCs w:val="24"/>
          <w:highlight w:val="none"/>
        </w:rPr>
      </w:pPr>
      <w:r>
        <w:rPr>
          <w:rFonts w:hint="eastAsia" w:cs="Bookman Old Style"/>
          <w:b/>
          <w:bCs/>
          <w:szCs w:val="24"/>
          <w:highlight w:val="none"/>
        </w:rPr>
        <w:t>（四）</w:t>
      </w:r>
      <w:r>
        <w:rPr>
          <w:rFonts w:cs="Times New Roman"/>
          <w:b/>
          <w:szCs w:val="24"/>
          <w:highlight w:val="none"/>
        </w:rPr>
        <w:t>、验收</w:t>
      </w:r>
    </w:p>
    <w:p w14:paraId="7701BCAB">
      <w:pPr>
        <w:widowControl w:val="0"/>
        <w:spacing w:line="520" w:lineRule="exact"/>
        <w:ind w:firstLine="360" w:firstLineChars="150"/>
        <w:jc w:val="both"/>
        <w:rPr>
          <w:rFonts w:cs="Times New Roman"/>
          <w:szCs w:val="24"/>
          <w:highlight w:val="none"/>
        </w:rPr>
      </w:pPr>
      <w:r>
        <w:rPr>
          <w:rFonts w:cs="Times New Roman"/>
          <w:szCs w:val="24"/>
          <w:highlight w:val="none"/>
        </w:rPr>
        <w:t>1、验收标准</w:t>
      </w:r>
      <w:r>
        <w:rPr>
          <w:rFonts w:hint="eastAsia" w:cs="Times New Roman"/>
          <w:szCs w:val="24"/>
          <w:highlight w:val="none"/>
        </w:rPr>
        <w:t>：</w:t>
      </w:r>
      <w:r>
        <w:rPr>
          <w:rFonts w:cs="Times New Roman"/>
          <w:szCs w:val="24"/>
          <w:highlight w:val="none"/>
        </w:rPr>
        <w:t>以招投标文件及本合同甲、乙双方约定的质量标准为</w:t>
      </w:r>
      <w:r>
        <w:rPr>
          <w:rFonts w:hint="eastAsia" w:cs="Times New Roman"/>
          <w:szCs w:val="24"/>
          <w:highlight w:val="none"/>
        </w:rPr>
        <w:t>食品</w:t>
      </w:r>
      <w:r>
        <w:rPr>
          <w:rFonts w:cs="Times New Roman"/>
          <w:szCs w:val="24"/>
          <w:highlight w:val="none"/>
        </w:rPr>
        <w:t>的验收标准。</w:t>
      </w:r>
      <w:r>
        <w:rPr>
          <w:rFonts w:hint="eastAsia" w:cs="Times New Roman"/>
          <w:szCs w:val="24"/>
          <w:highlight w:val="none"/>
        </w:rPr>
        <w:t>乙方交货后，</w:t>
      </w:r>
      <w:r>
        <w:rPr>
          <w:rFonts w:cs="Times New Roman"/>
          <w:szCs w:val="24"/>
          <w:highlight w:val="none"/>
        </w:rPr>
        <w:t>甲方仅对乙方交付</w:t>
      </w:r>
      <w:r>
        <w:rPr>
          <w:rFonts w:hint="eastAsia" w:cs="Times New Roman"/>
          <w:szCs w:val="24"/>
          <w:highlight w:val="none"/>
        </w:rPr>
        <w:t>食品</w:t>
      </w:r>
      <w:r>
        <w:rPr>
          <w:rFonts w:cs="Times New Roman"/>
          <w:szCs w:val="24"/>
          <w:highlight w:val="none"/>
        </w:rPr>
        <w:t>的数量</w:t>
      </w:r>
      <w:r>
        <w:rPr>
          <w:rFonts w:hint="eastAsia" w:cs="Times New Roman"/>
          <w:szCs w:val="24"/>
          <w:highlight w:val="none"/>
        </w:rPr>
        <w:t>、</w:t>
      </w:r>
      <w:r>
        <w:rPr>
          <w:rFonts w:cs="Times New Roman"/>
          <w:szCs w:val="24"/>
          <w:highlight w:val="none"/>
        </w:rPr>
        <w:t>规格</w:t>
      </w:r>
      <w:r>
        <w:rPr>
          <w:rFonts w:hint="eastAsia" w:cs="Times New Roman"/>
          <w:szCs w:val="24"/>
          <w:highlight w:val="none"/>
        </w:rPr>
        <w:t>、</w:t>
      </w:r>
      <w:r>
        <w:rPr>
          <w:rFonts w:cs="Times New Roman"/>
          <w:szCs w:val="24"/>
          <w:highlight w:val="none"/>
        </w:rPr>
        <w:t>外观等进行</w:t>
      </w:r>
      <w:r>
        <w:rPr>
          <w:rFonts w:cs="Times New Roman"/>
          <w:b/>
          <w:bCs/>
          <w:szCs w:val="24"/>
          <w:highlight w:val="none"/>
        </w:rPr>
        <w:t>初步验收</w:t>
      </w:r>
      <w:r>
        <w:rPr>
          <w:rFonts w:hint="eastAsia" w:cs="Times New Roman"/>
          <w:szCs w:val="24"/>
          <w:highlight w:val="none"/>
        </w:rPr>
        <w:t>，</w:t>
      </w:r>
      <w:r>
        <w:rPr>
          <w:rFonts w:cs="Times New Roman"/>
          <w:szCs w:val="24"/>
          <w:highlight w:val="none"/>
        </w:rPr>
        <w:t>初步验收合格不代表乙方对所交付</w:t>
      </w:r>
      <w:r>
        <w:rPr>
          <w:rFonts w:hint="eastAsia" w:cs="Times New Roman"/>
          <w:szCs w:val="24"/>
          <w:highlight w:val="none"/>
        </w:rPr>
        <w:t>食品</w:t>
      </w:r>
      <w:r>
        <w:rPr>
          <w:rFonts w:cs="Times New Roman"/>
          <w:szCs w:val="24"/>
          <w:highlight w:val="none"/>
        </w:rPr>
        <w:t>潜在质量安全问题免责</w:t>
      </w:r>
      <w:r>
        <w:rPr>
          <w:rFonts w:hint="eastAsia" w:cs="Times New Roman"/>
          <w:szCs w:val="24"/>
          <w:highlight w:val="none"/>
        </w:rPr>
        <w:t>。</w:t>
      </w:r>
    </w:p>
    <w:p w14:paraId="18AFE834">
      <w:pPr>
        <w:autoSpaceDE w:val="0"/>
        <w:autoSpaceDN w:val="0"/>
        <w:adjustRightInd w:val="0"/>
        <w:spacing w:line="400" w:lineRule="exact"/>
        <w:ind w:firstLine="480" w:firstLineChars="200"/>
        <w:rPr>
          <w:rFonts w:cs="华文楷体"/>
          <w:kern w:val="0"/>
          <w:szCs w:val="21"/>
          <w:highlight w:val="none"/>
        </w:rPr>
      </w:pPr>
      <w:r>
        <w:rPr>
          <w:rFonts w:hint="eastAsia" w:cs="华文楷体"/>
          <w:kern w:val="0"/>
          <w:szCs w:val="21"/>
          <w:highlight w:val="none"/>
        </w:rPr>
        <w:t>执行标准及准则（包含但不限于）:GB2707、GB2760、GB2761、GB2762、GB2763、GB29921、GB31650、农业农村部第250号公告、GB2733、GB14880，</w:t>
      </w:r>
      <w:r>
        <w:rPr>
          <w:highlight w:val="none"/>
        </w:rPr>
        <w:t>上述引用的各类食品安全国家标准、管控规范及部门公告文件，</w:t>
      </w:r>
      <w:r>
        <w:rPr>
          <w:rStyle w:val="33"/>
          <w:rFonts w:cs="Arial"/>
          <w:color w:val="000000"/>
          <w:highlight w:val="none"/>
        </w:rPr>
        <w:t>全部以国家标准化管理委员会、农业农村部等主管机关现行有效、最新修订发布的版本执行</w:t>
      </w:r>
      <w:r>
        <w:rPr>
          <w:highlight w:val="none"/>
        </w:rPr>
        <w:t>。</w:t>
      </w:r>
    </w:p>
    <w:p w14:paraId="2F6BE4F0">
      <w:pPr>
        <w:widowControl w:val="0"/>
        <w:autoSpaceDE w:val="0"/>
        <w:autoSpaceDN w:val="0"/>
        <w:adjustRightInd w:val="0"/>
        <w:spacing w:line="400" w:lineRule="exact"/>
        <w:ind w:firstLine="480" w:firstLineChars="200"/>
        <w:rPr>
          <w:rFonts w:cs="Times New Roman"/>
          <w:bCs/>
          <w:color w:val="000000"/>
          <w:szCs w:val="24"/>
          <w:highlight w:val="none"/>
        </w:rPr>
      </w:pPr>
      <w:r>
        <w:rPr>
          <w:rFonts w:hint="eastAsia" w:cs="Times New Roman"/>
          <w:bCs/>
          <w:color w:val="000000"/>
          <w:szCs w:val="24"/>
          <w:highlight w:val="none"/>
        </w:rPr>
        <w:t>（1）</w:t>
      </w:r>
      <w:r>
        <w:rPr>
          <w:rFonts w:hint="eastAsia" w:cs="Times New Roman"/>
          <w:b/>
          <w:color w:val="000000"/>
          <w:szCs w:val="24"/>
          <w:highlight w:val="none"/>
        </w:rPr>
        <w:t>鲜活家禽肉类</w:t>
      </w:r>
      <w:r>
        <w:rPr>
          <w:rFonts w:hint="eastAsia" w:cs="Times New Roman"/>
          <w:bCs/>
          <w:color w:val="000000"/>
          <w:szCs w:val="24"/>
          <w:highlight w:val="none"/>
        </w:rPr>
        <w:t>，要求头冠鲜红挺立，羽毛光洁明亮，眼睛灵活有神，腹部肉质丰厚而结实，肛门洁净而无污物黏液，经宰杀后，外皮完整光滑，整体型肥圆丰满者为佳。家禽类内脏心、肝应选灰红色、筋少、有弹性、无斑点者。</w:t>
      </w:r>
    </w:p>
    <w:p w14:paraId="593AA10E">
      <w:pPr>
        <w:widowControl w:val="0"/>
        <w:autoSpaceDE w:val="0"/>
        <w:autoSpaceDN w:val="0"/>
        <w:adjustRightInd w:val="0"/>
        <w:spacing w:line="400" w:lineRule="exact"/>
        <w:ind w:firstLine="480" w:firstLineChars="200"/>
        <w:rPr>
          <w:rFonts w:cs="Times New Roman"/>
          <w:bCs/>
          <w:color w:val="000000"/>
          <w:szCs w:val="24"/>
          <w:highlight w:val="none"/>
        </w:rPr>
      </w:pPr>
      <w:r>
        <w:rPr>
          <w:rFonts w:hint="eastAsia" w:cs="Times New Roman"/>
          <w:bCs/>
          <w:color w:val="000000"/>
          <w:szCs w:val="24"/>
          <w:highlight w:val="none"/>
        </w:rPr>
        <w:t>（2）</w:t>
      </w:r>
      <w:r>
        <w:rPr>
          <w:rFonts w:hint="eastAsia" w:cs="Times New Roman"/>
          <w:b/>
          <w:color w:val="000000"/>
          <w:szCs w:val="24"/>
          <w:highlight w:val="none"/>
        </w:rPr>
        <w:t>鲜活水产类</w:t>
      </w:r>
      <w:r>
        <w:rPr>
          <w:rFonts w:hint="eastAsia" w:cs="Times New Roman"/>
          <w:bCs/>
          <w:color w:val="000000"/>
          <w:szCs w:val="24"/>
          <w:highlight w:val="none"/>
        </w:rPr>
        <w:t>，要求鳞片整齐而完整，眼睛明亮而呈水晶状，鱼鳃鲜红，鱼肚坚挺而不下陷，鱼身结实而富弹性，只有正常的鱼腥味而无腐臭味。虾蟹壳类种类繁多，依其种类各有其应有的色泽，身型完整、坚挺、光滑、明亮而饱满，具自然的海鲜腥味而无腐臭味。</w:t>
      </w:r>
    </w:p>
    <w:p w14:paraId="39417612">
      <w:pPr>
        <w:widowControl w:val="0"/>
        <w:autoSpaceDE w:val="0"/>
        <w:autoSpaceDN w:val="0"/>
        <w:adjustRightInd w:val="0"/>
        <w:spacing w:line="400" w:lineRule="exact"/>
        <w:ind w:firstLine="480" w:firstLineChars="200"/>
        <w:rPr>
          <w:rFonts w:cs="Times New Roman"/>
          <w:bCs/>
          <w:sz w:val="21"/>
          <w:szCs w:val="24"/>
          <w:highlight w:val="none"/>
        </w:rPr>
      </w:pPr>
      <w:r>
        <w:rPr>
          <w:rFonts w:hint="eastAsia" w:cs="Times New Roman"/>
          <w:bCs/>
          <w:color w:val="000000"/>
          <w:szCs w:val="24"/>
          <w:highlight w:val="none"/>
        </w:rPr>
        <w:t>（3）要求</w:t>
      </w:r>
      <w:r>
        <w:rPr>
          <w:rFonts w:hint="eastAsia" w:cs="Times New Roman"/>
          <w:b/>
          <w:color w:val="000000"/>
          <w:szCs w:val="24"/>
          <w:highlight w:val="none"/>
        </w:rPr>
        <w:t>除皮验收过称</w:t>
      </w:r>
      <w:r>
        <w:rPr>
          <w:rFonts w:hint="eastAsia" w:cs="Times New Roman"/>
          <w:bCs/>
          <w:color w:val="000000"/>
          <w:szCs w:val="24"/>
          <w:highlight w:val="none"/>
        </w:rPr>
        <w:t>。甲方对有腐烂、变质、冻伤等有质量问题的货物有权拒收，且</w:t>
      </w:r>
      <w:r>
        <w:rPr>
          <w:rFonts w:hint="eastAsia" w:cs="Times New Roman"/>
          <w:b/>
          <w:color w:val="000000"/>
          <w:szCs w:val="24"/>
          <w:highlight w:val="none"/>
        </w:rPr>
        <w:t>保障餐厅当日使用乙方须在2小时内进行更换</w:t>
      </w:r>
      <w:r>
        <w:rPr>
          <w:rFonts w:hint="eastAsia" w:cs="Times New Roman"/>
          <w:bCs/>
          <w:color w:val="000000"/>
          <w:szCs w:val="24"/>
          <w:highlight w:val="none"/>
        </w:rPr>
        <w:t>，费用乙方自理，如未及时送达给甲方造成的相关损失均由乙方负责。</w:t>
      </w:r>
    </w:p>
    <w:p w14:paraId="1F5B5E2B">
      <w:pPr>
        <w:widowControl w:val="0"/>
        <w:spacing w:line="480" w:lineRule="exact"/>
        <w:ind w:firstLine="480" w:firstLineChars="200"/>
        <w:jc w:val="both"/>
        <w:rPr>
          <w:rFonts w:cs="Times New Roman"/>
          <w:bCs/>
          <w:szCs w:val="24"/>
          <w:highlight w:val="none"/>
        </w:rPr>
      </w:pPr>
      <w:r>
        <w:rPr>
          <w:rFonts w:hint="eastAsia" w:cs="Times New Roman"/>
          <w:szCs w:val="24"/>
          <w:highlight w:val="none"/>
        </w:rPr>
        <w:t>2</w:t>
      </w:r>
      <w:r>
        <w:rPr>
          <w:rFonts w:cs="Times New Roman"/>
          <w:szCs w:val="24"/>
          <w:highlight w:val="none"/>
        </w:rPr>
        <w:t>、</w:t>
      </w:r>
      <w:r>
        <w:rPr>
          <w:rFonts w:hint="eastAsia" w:cs="Times New Roman"/>
          <w:szCs w:val="24"/>
          <w:highlight w:val="none"/>
        </w:rPr>
        <w:t>数量的认定：乙方依据甲方提供的物资计划单中品种数量配送；甲方工作人员和乙方人员现场称重或点数完毕后，共同在送货单上核准并签字，并加盖乙方发票专用章作为结帐凭证。此</w:t>
      </w:r>
      <w:r>
        <w:rPr>
          <w:rFonts w:hint="eastAsia" w:cs="Times New Roman"/>
          <w:b/>
          <w:bCs/>
          <w:szCs w:val="24"/>
          <w:highlight w:val="none"/>
        </w:rPr>
        <w:t>送货单一式三联</w:t>
      </w:r>
      <w:r>
        <w:rPr>
          <w:rFonts w:hint="eastAsia" w:cs="Times New Roman"/>
          <w:szCs w:val="24"/>
          <w:highlight w:val="none"/>
        </w:rPr>
        <w:t>（甲方、餐厅、乙方各执一联）。计量单位：按公斤、个等计；</w:t>
      </w:r>
      <w:r>
        <w:rPr>
          <w:rFonts w:hint="eastAsia" w:cs="Times New Roman"/>
          <w:bCs/>
          <w:szCs w:val="24"/>
          <w:highlight w:val="none"/>
        </w:rPr>
        <w:t>按公斤单位验收的货品，除皮验收，去除送货包装箱重量。</w:t>
      </w:r>
      <w:r>
        <w:rPr>
          <w:rFonts w:hint="eastAsia" w:cs="宋体"/>
          <w:bCs/>
          <w:kern w:val="0"/>
          <w:szCs w:val="24"/>
          <w:highlight w:val="none"/>
        </w:rPr>
        <w:t>结算数量按照各餐厅实际收货数量进行结算。</w:t>
      </w:r>
    </w:p>
    <w:p w14:paraId="25BCFF5B">
      <w:pPr>
        <w:widowControl w:val="0"/>
        <w:spacing w:line="360" w:lineRule="auto"/>
        <w:ind w:firstLine="480" w:firstLineChars="200"/>
        <w:jc w:val="both"/>
        <w:rPr>
          <w:szCs w:val="24"/>
          <w:highlight w:val="none"/>
        </w:rPr>
      </w:pPr>
      <w:r>
        <w:rPr>
          <w:rFonts w:hint="eastAsia" w:cs="Times New Roman"/>
          <w:szCs w:val="24"/>
          <w:highlight w:val="none"/>
        </w:rPr>
        <w:t>3</w:t>
      </w:r>
      <w:r>
        <w:rPr>
          <w:rFonts w:cs="Times New Roman"/>
          <w:szCs w:val="24"/>
          <w:highlight w:val="none"/>
        </w:rPr>
        <w:t>、</w:t>
      </w:r>
      <w:r>
        <w:rPr>
          <w:rFonts w:hint="eastAsia" w:cs="Times New Roman"/>
          <w:szCs w:val="24"/>
          <w:highlight w:val="none"/>
        </w:rPr>
        <w:t>初步验收合格后，甲方依照本合同中约定的质量要求和验收标准进行最终验收。最终验收不合格的，应及时向乙方提出书面或口头异议，乙方应在接到异议后及时进行更换，直至验收合格，如果因乙方供货质量原因造成的甲方受到的损失，乙方还应承担相应违约责任并承担相应赔偿。如因乙方供货品质量不符合标准，达不到甲方要求，经甲方三次书面告知后仍然不能达到甲方要求的，甲方有权通知乙方解除合同，且不承担任何违约责任。</w:t>
      </w:r>
    </w:p>
    <w:p w14:paraId="5E9D06CC">
      <w:pPr>
        <w:spacing w:line="360" w:lineRule="auto"/>
        <w:rPr>
          <w:highlight w:val="none"/>
        </w:rPr>
      </w:pPr>
      <w:r>
        <w:rPr>
          <w:rFonts w:hint="eastAsia"/>
          <w:highlight w:val="none"/>
        </w:rPr>
        <w:br w:type="page"/>
      </w:r>
    </w:p>
    <w:p w14:paraId="491A978D">
      <w:pPr>
        <w:pStyle w:val="2"/>
        <w:spacing w:line="360" w:lineRule="auto"/>
        <w:rPr>
          <w:highlight w:val="none"/>
        </w:rPr>
      </w:pPr>
      <w:bookmarkStart w:id="291" w:name="_Toc229390288"/>
      <w:r>
        <w:rPr>
          <w:rFonts w:hint="eastAsia"/>
          <w:highlight w:val="none"/>
        </w:rPr>
        <w:t>第四章 资格审查</w:t>
      </w:r>
      <w:bookmarkEnd w:id="288"/>
      <w:bookmarkEnd w:id="289"/>
      <w:bookmarkEnd w:id="291"/>
    </w:p>
    <w:p w14:paraId="1C34D517">
      <w:pPr>
        <w:pStyle w:val="3"/>
        <w:spacing w:line="360" w:lineRule="auto"/>
        <w:rPr>
          <w:highlight w:val="none"/>
          <w:lang w:val="zh-CN"/>
        </w:rPr>
      </w:pPr>
      <w:bookmarkStart w:id="292" w:name="_Toc4412"/>
      <w:bookmarkStart w:id="293" w:name="_Toc229390289"/>
      <w:r>
        <w:rPr>
          <w:rFonts w:hint="eastAsia"/>
          <w:highlight w:val="none"/>
        </w:rPr>
        <w:t>一、资格审查程序</w:t>
      </w:r>
      <w:bookmarkEnd w:id="292"/>
      <w:bookmarkEnd w:id="293"/>
      <w:r>
        <w:rPr>
          <w:rFonts w:hint="eastAsia"/>
          <w:highlight w:val="none"/>
        </w:rPr>
        <w:t xml:space="preserve"> </w:t>
      </w:r>
    </w:p>
    <w:p w14:paraId="31DF972B">
      <w:pPr>
        <w:pStyle w:val="38"/>
        <w:spacing w:line="360" w:lineRule="auto"/>
        <w:rPr>
          <w:highlight w:val="none"/>
        </w:rPr>
      </w:pPr>
      <w:r>
        <w:rPr>
          <w:rFonts w:hint="eastAsia"/>
          <w:highlight w:val="none"/>
        </w:rPr>
        <w:t xml:space="preserve">1 开标结束后，采购人或采购代理机构将根据《资格审查要求》中的规定，对投标人进行资格审查，并形成资格审查结果。 </w:t>
      </w:r>
    </w:p>
    <w:p w14:paraId="69B70EDB">
      <w:pPr>
        <w:pStyle w:val="38"/>
        <w:spacing w:line="360" w:lineRule="auto"/>
        <w:rPr>
          <w:highlight w:val="none"/>
        </w:rPr>
      </w:pPr>
      <w:r>
        <w:rPr>
          <w:rFonts w:hint="eastAsia"/>
          <w:highlight w:val="none"/>
        </w:rPr>
        <w:t>2 投标人《资格证明文件》有任何一项不符合《资格审查要求》的，资格审查不合格，其</w:t>
      </w:r>
      <w:r>
        <w:rPr>
          <w:rFonts w:hint="eastAsia"/>
          <w:b/>
          <w:bCs/>
          <w:highlight w:val="none"/>
        </w:rPr>
        <w:t>投标无效</w:t>
      </w:r>
      <w:r>
        <w:rPr>
          <w:rFonts w:hint="eastAsia"/>
          <w:highlight w:val="none"/>
        </w:rPr>
        <w:t xml:space="preserve">。 </w:t>
      </w:r>
    </w:p>
    <w:p w14:paraId="2EC1D747">
      <w:pPr>
        <w:pStyle w:val="38"/>
        <w:spacing w:line="360" w:lineRule="auto"/>
        <w:rPr>
          <w:highlight w:val="none"/>
        </w:rPr>
      </w:pPr>
      <w:r>
        <w:rPr>
          <w:rFonts w:hint="eastAsia"/>
          <w:highlight w:val="none"/>
        </w:rPr>
        <w:t xml:space="preserve">3 资格审查合格的投标人不足 3 家的，不进行评标。 </w:t>
      </w:r>
    </w:p>
    <w:p w14:paraId="5D6C91F6">
      <w:pPr>
        <w:pStyle w:val="3"/>
        <w:spacing w:line="360" w:lineRule="auto"/>
        <w:rPr>
          <w:highlight w:val="none"/>
        </w:rPr>
      </w:pPr>
      <w:bookmarkStart w:id="294" w:name="_Toc229390290"/>
      <w:bookmarkStart w:id="295" w:name="_Toc32303"/>
      <w:r>
        <w:rPr>
          <w:rFonts w:hint="eastAsia"/>
          <w:highlight w:val="none"/>
        </w:rPr>
        <w:t>二、资格审查要求</w:t>
      </w:r>
      <w:bookmarkEnd w:id="294"/>
      <w:bookmarkEnd w:id="295"/>
      <w:r>
        <w:rPr>
          <w:rFonts w:hint="eastAsia"/>
          <w:highlight w:val="none"/>
        </w:rPr>
        <w:t xml:space="preserve"> </w:t>
      </w:r>
    </w:p>
    <w:tbl>
      <w:tblPr>
        <w:tblStyle w:val="30"/>
        <w:tblW w:w="538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026"/>
        <w:gridCol w:w="1781"/>
        <w:gridCol w:w="4558"/>
        <w:gridCol w:w="842"/>
        <w:gridCol w:w="749"/>
      </w:tblGrid>
      <w:tr w14:paraId="5EBB391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29287C09">
            <w:pPr>
              <w:spacing w:line="360" w:lineRule="auto"/>
              <w:jc w:val="center"/>
              <w:rPr>
                <w:szCs w:val="24"/>
                <w:highlight w:val="none"/>
              </w:rPr>
            </w:pPr>
            <w:r>
              <w:rPr>
                <w:rFonts w:hint="eastAsia"/>
                <w:szCs w:val="24"/>
                <w:highlight w:val="none"/>
              </w:rPr>
              <w:t>评分因素</w:t>
            </w:r>
          </w:p>
        </w:tc>
        <w:tc>
          <w:tcPr>
            <w:tcW w:w="2545" w:type="pct"/>
            <w:vMerge w:val="restart"/>
            <w:tcBorders>
              <w:top w:val="outset" w:color="auto" w:sz="6" w:space="0"/>
              <w:left w:val="outset" w:color="auto" w:sz="6" w:space="0"/>
              <w:bottom w:val="outset" w:color="auto" w:sz="6" w:space="0"/>
              <w:right w:val="outset" w:color="auto" w:sz="6" w:space="0"/>
            </w:tcBorders>
            <w:vAlign w:val="center"/>
          </w:tcPr>
          <w:p w14:paraId="112B2DCE">
            <w:pPr>
              <w:spacing w:line="360" w:lineRule="auto"/>
              <w:jc w:val="center"/>
              <w:rPr>
                <w:szCs w:val="24"/>
                <w:highlight w:val="none"/>
              </w:rPr>
            </w:pPr>
            <w:r>
              <w:rPr>
                <w:rFonts w:hint="eastAsia"/>
                <w:szCs w:val="24"/>
                <w:highlight w:val="none"/>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4088E4B8">
            <w:pPr>
              <w:spacing w:line="360" w:lineRule="auto"/>
              <w:rPr>
                <w:szCs w:val="24"/>
                <w:highlight w:val="none"/>
              </w:rPr>
            </w:pPr>
            <w:r>
              <w:rPr>
                <w:rFonts w:hint="eastAsia"/>
                <w:szCs w:val="24"/>
                <w:highlight w:val="none"/>
              </w:rPr>
              <w:t>评审意见</w:t>
            </w:r>
          </w:p>
        </w:tc>
      </w:tr>
      <w:tr w14:paraId="69D0F57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4F8AF84F">
            <w:pPr>
              <w:spacing w:line="360" w:lineRule="auto"/>
              <w:rPr>
                <w:szCs w:val="24"/>
                <w:highlight w:val="none"/>
              </w:rPr>
            </w:pPr>
          </w:p>
        </w:tc>
        <w:tc>
          <w:tcPr>
            <w:tcW w:w="2545" w:type="pct"/>
            <w:vMerge w:val="continue"/>
            <w:tcBorders>
              <w:top w:val="outset" w:color="auto" w:sz="6" w:space="0"/>
              <w:left w:val="outset" w:color="auto" w:sz="6" w:space="0"/>
              <w:bottom w:val="outset" w:color="auto" w:sz="6" w:space="0"/>
              <w:right w:val="outset" w:color="auto" w:sz="6" w:space="0"/>
            </w:tcBorders>
            <w:vAlign w:val="center"/>
          </w:tcPr>
          <w:p w14:paraId="2164C252">
            <w:pPr>
              <w:spacing w:line="360" w:lineRule="auto"/>
              <w:rPr>
                <w:szCs w:val="24"/>
                <w:highlight w:val="none"/>
              </w:rPr>
            </w:pPr>
          </w:p>
        </w:tc>
        <w:tc>
          <w:tcPr>
            <w:tcW w:w="470" w:type="pct"/>
            <w:tcBorders>
              <w:top w:val="outset" w:color="auto" w:sz="6" w:space="0"/>
              <w:left w:val="outset" w:color="auto" w:sz="6" w:space="0"/>
              <w:bottom w:val="outset" w:color="auto" w:sz="6" w:space="0"/>
              <w:right w:val="outset" w:color="auto" w:sz="6" w:space="0"/>
            </w:tcBorders>
            <w:vAlign w:val="center"/>
          </w:tcPr>
          <w:p w14:paraId="317F928A">
            <w:pPr>
              <w:spacing w:line="360" w:lineRule="auto"/>
              <w:rPr>
                <w:szCs w:val="24"/>
                <w:highlight w:val="none"/>
              </w:rPr>
            </w:pPr>
            <w:r>
              <w:rPr>
                <w:rFonts w:hint="eastAsia"/>
                <w:szCs w:val="24"/>
                <w:highlight w:val="none"/>
              </w:rPr>
              <w:t>是</w:t>
            </w:r>
          </w:p>
        </w:tc>
        <w:tc>
          <w:tcPr>
            <w:tcW w:w="418" w:type="pct"/>
            <w:tcBorders>
              <w:top w:val="outset" w:color="auto" w:sz="6" w:space="0"/>
              <w:left w:val="outset" w:color="auto" w:sz="6" w:space="0"/>
              <w:bottom w:val="outset" w:color="auto" w:sz="6" w:space="0"/>
              <w:right w:val="outset" w:color="auto" w:sz="6" w:space="0"/>
            </w:tcBorders>
            <w:vAlign w:val="center"/>
          </w:tcPr>
          <w:p w14:paraId="06258E4E">
            <w:pPr>
              <w:spacing w:line="360" w:lineRule="auto"/>
              <w:rPr>
                <w:szCs w:val="24"/>
                <w:highlight w:val="none"/>
              </w:rPr>
            </w:pPr>
            <w:r>
              <w:rPr>
                <w:rFonts w:hint="eastAsia"/>
                <w:szCs w:val="24"/>
                <w:highlight w:val="none"/>
              </w:rPr>
              <w:t>否</w:t>
            </w:r>
          </w:p>
        </w:tc>
      </w:tr>
      <w:tr w14:paraId="7290E49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1065B9BD">
            <w:pPr>
              <w:spacing w:line="360" w:lineRule="auto"/>
              <w:rPr>
                <w:szCs w:val="24"/>
                <w:highlight w:val="none"/>
              </w:rPr>
            </w:pPr>
            <w:r>
              <w:rPr>
                <w:rFonts w:hint="eastAsia"/>
                <w:szCs w:val="24"/>
                <w:highlight w:val="none"/>
              </w:rPr>
              <w:t>资格检查</w:t>
            </w:r>
          </w:p>
        </w:tc>
        <w:tc>
          <w:tcPr>
            <w:tcW w:w="994" w:type="pct"/>
            <w:tcBorders>
              <w:top w:val="outset" w:color="auto" w:sz="6" w:space="0"/>
              <w:left w:val="outset" w:color="auto" w:sz="6" w:space="0"/>
              <w:bottom w:val="outset" w:color="auto" w:sz="6" w:space="0"/>
              <w:right w:val="outset" w:color="auto" w:sz="6" w:space="0"/>
            </w:tcBorders>
            <w:vAlign w:val="center"/>
          </w:tcPr>
          <w:p w14:paraId="29934388">
            <w:pPr>
              <w:pStyle w:val="60"/>
              <w:spacing w:line="360" w:lineRule="auto"/>
              <w:ind w:left="120" w:leftChars="50"/>
              <w:rPr>
                <w:rFonts w:ascii="宋体" w:hAnsi="宋体" w:cs="宋体"/>
                <w:highlight w:val="none"/>
              </w:rPr>
            </w:pPr>
            <w:r>
              <w:rPr>
                <w:rFonts w:hint="eastAsia" w:ascii="宋体" w:hAnsi="宋体" w:cs="宋体"/>
                <w:highlight w:val="none"/>
              </w:rPr>
              <w:t>具有独立承担民事责任的能力</w:t>
            </w:r>
          </w:p>
        </w:tc>
        <w:tc>
          <w:tcPr>
            <w:tcW w:w="2545" w:type="pct"/>
            <w:tcBorders>
              <w:top w:val="outset" w:color="auto" w:sz="6" w:space="0"/>
              <w:left w:val="outset" w:color="auto" w:sz="6" w:space="0"/>
              <w:bottom w:val="outset" w:color="auto" w:sz="6" w:space="0"/>
              <w:right w:val="outset" w:color="auto" w:sz="6" w:space="0"/>
            </w:tcBorders>
            <w:vAlign w:val="center"/>
          </w:tcPr>
          <w:p w14:paraId="119270E8">
            <w:pPr>
              <w:pStyle w:val="60"/>
              <w:spacing w:line="360" w:lineRule="auto"/>
              <w:ind w:left="120" w:leftChars="50"/>
              <w:rPr>
                <w:rFonts w:ascii="宋体" w:hAnsi="宋体" w:cs="宋体"/>
                <w:highlight w:val="none"/>
              </w:rPr>
            </w:pPr>
            <w:r>
              <w:rPr>
                <w:rFonts w:hint="eastAsia" w:ascii="宋体" w:hAnsi="宋体" w:cs="宋体"/>
                <w:highlight w:val="none"/>
              </w:rPr>
              <w:t>投标时，提供在中华人民共和国境内注册的法人或其他组织的营业执照或事业单位法人证书或社会团体法人登记证书复印件</w:t>
            </w:r>
            <w:r>
              <w:rPr>
                <w:rFonts w:ascii="宋体" w:hAnsi="宋体" w:cs="宋体"/>
                <w:highlight w:val="none"/>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3A02261C">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7F7CD1FD">
            <w:pPr>
              <w:spacing w:line="360" w:lineRule="auto"/>
              <w:rPr>
                <w:szCs w:val="24"/>
                <w:highlight w:val="none"/>
              </w:rPr>
            </w:pPr>
          </w:p>
        </w:tc>
      </w:tr>
      <w:tr w14:paraId="426ED02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B9EAE01">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51862FE8">
            <w:pPr>
              <w:pStyle w:val="60"/>
              <w:spacing w:line="360" w:lineRule="auto"/>
              <w:ind w:left="120" w:leftChars="50"/>
              <w:rPr>
                <w:rFonts w:ascii="宋体" w:hAnsi="宋体" w:cs="宋体"/>
                <w:highlight w:val="none"/>
              </w:rPr>
            </w:pPr>
            <w:r>
              <w:rPr>
                <w:rFonts w:hint="eastAsia" w:ascii="宋体" w:hAnsi="宋体" w:cs="宋体"/>
                <w:highlight w:val="none"/>
              </w:rPr>
              <w:t>具有良好的商业信誉和健全的财务会计制度</w:t>
            </w:r>
          </w:p>
        </w:tc>
        <w:tc>
          <w:tcPr>
            <w:tcW w:w="2545" w:type="pct"/>
            <w:tcBorders>
              <w:top w:val="outset" w:color="auto" w:sz="6" w:space="0"/>
              <w:left w:val="outset" w:color="auto" w:sz="6" w:space="0"/>
              <w:bottom w:val="outset" w:color="auto" w:sz="6" w:space="0"/>
              <w:right w:val="outset" w:color="auto" w:sz="6" w:space="0"/>
            </w:tcBorders>
            <w:vAlign w:val="center"/>
          </w:tcPr>
          <w:p w14:paraId="23E8C56E">
            <w:pPr>
              <w:pStyle w:val="60"/>
              <w:spacing w:line="360" w:lineRule="auto"/>
              <w:ind w:left="120" w:leftChars="50"/>
              <w:rPr>
                <w:rFonts w:ascii="宋体" w:hAnsi="宋体" w:cs="宋体"/>
                <w:highlight w:val="none"/>
              </w:rPr>
            </w:pPr>
            <w:r>
              <w:rPr>
                <w:rFonts w:hint="eastAsia" w:ascii="宋体" w:hAnsi="宋体" w:cs="宋体"/>
                <w:highlight w:val="none"/>
              </w:rPr>
              <w:t>若投标人成立超过一年需提供</w:t>
            </w:r>
            <w:r>
              <w:rPr>
                <w:rFonts w:ascii="宋体" w:hAnsi="宋体" w:cs="宋体"/>
                <w:highlight w:val="none"/>
              </w:rPr>
              <w:t>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33EAC0E3">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4FF69995">
            <w:pPr>
              <w:spacing w:line="360" w:lineRule="auto"/>
              <w:rPr>
                <w:szCs w:val="24"/>
                <w:highlight w:val="none"/>
              </w:rPr>
            </w:pPr>
          </w:p>
        </w:tc>
      </w:tr>
      <w:tr w14:paraId="3029ADA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61"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0345F01">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642D8659">
            <w:pPr>
              <w:pStyle w:val="60"/>
              <w:spacing w:line="360" w:lineRule="auto"/>
              <w:ind w:left="120" w:leftChars="50"/>
              <w:rPr>
                <w:rFonts w:ascii="宋体" w:hAnsi="宋体" w:cs="宋体"/>
                <w:highlight w:val="none"/>
              </w:rPr>
            </w:pPr>
            <w:r>
              <w:rPr>
                <w:rFonts w:hint="eastAsia" w:ascii="宋体" w:hAnsi="宋体" w:cs="宋体"/>
                <w:highlight w:val="none"/>
              </w:rPr>
              <w:t>有依法缴纳税收和社会保障资金的良好记录</w:t>
            </w:r>
          </w:p>
        </w:tc>
        <w:tc>
          <w:tcPr>
            <w:tcW w:w="2545" w:type="pct"/>
            <w:tcBorders>
              <w:top w:val="outset" w:color="auto" w:sz="6" w:space="0"/>
              <w:left w:val="outset" w:color="auto" w:sz="6" w:space="0"/>
              <w:bottom w:val="outset" w:color="auto" w:sz="6" w:space="0"/>
              <w:right w:val="outset" w:color="auto" w:sz="6" w:space="0"/>
            </w:tcBorders>
            <w:vAlign w:val="center"/>
          </w:tcPr>
          <w:p w14:paraId="4187EE22">
            <w:pPr>
              <w:pStyle w:val="60"/>
              <w:spacing w:line="360" w:lineRule="auto"/>
              <w:ind w:left="120" w:leftChars="50"/>
              <w:rPr>
                <w:rFonts w:ascii="宋体" w:hAnsi="宋体" w:cs="宋体"/>
                <w:highlight w:val="none"/>
              </w:rPr>
            </w:pPr>
            <w:r>
              <w:rPr>
                <w:rFonts w:hint="eastAsia" w:ascii="宋体" w:hAnsi="宋体" w:cs="宋体"/>
                <w:highlight w:val="none"/>
              </w:rPr>
              <w:t>提供至本项目投标截止日前一年内任意</w:t>
            </w:r>
            <w:r>
              <w:rPr>
                <w:rFonts w:ascii="宋体" w:hAnsi="宋体" w:cs="宋体"/>
                <w:highlight w:val="none"/>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16C7541D">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77F29421">
            <w:pPr>
              <w:spacing w:line="360" w:lineRule="auto"/>
              <w:rPr>
                <w:szCs w:val="24"/>
                <w:highlight w:val="none"/>
              </w:rPr>
            </w:pPr>
          </w:p>
        </w:tc>
      </w:tr>
      <w:tr w14:paraId="708B545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9F7964A">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3A4D7EAF">
            <w:pPr>
              <w:pStyle w:val="60"/>
              <w:spacing w:line="360" w:lineRule="auto"/>
              <w:ind w:left="120" w:leftChars="50"/>
              <w:rPr>
                <w:rFonts w:ascii="宋体" w:hAnsi="宋体" w:cs="宋体"/>
                <w:highlight w:val="none"/>
              </w:rPr>
            </w:pPr>
            <w:r>
              <w:rPr>
                <w:rFonts w:hint="eastAsia" w:ascii="宋体" w:hAnsi="宋体" w:cs="宋体"/>
                <w:highlight w:val="none"/>
              </w:rPr>
              <w:t>具有履行合同所必需的设备和专业技术能力</w:t>
            </w:r>
          </w:p>
        </w:tc>
        <w:tc>
          <w:tcPr>
            <w:tcW w:w="2545" w:type="pct"/>
            <w:tcBorders>
              <w:top w:val="outset" w:color="auto" w:sz="6" w:space="0"/>
              <w:left w:val="outset" w:color="auto" w:sz="6" w:space="0"/>
              <w:bottom w:val="outset" w:color="auto" w:sz="6" w:space="0"/>
              <w:right w:val="outset" w:color="auto" w:sz="6" w:space="0"/>
            </w:tcBorders>
            <w:vAlign w:val="center"/>
          </w:tcPr>
          <w:p w14:paraId="4A01C555">
            <w:pPr>
              <w:pStyle w:val="60"/>
              <w:spacing w:line="360" w:lineRule="auto"/>
              <w:ind w:left="120" w:leftChars="50"/>
              <w:rPr>
                <w:rFonts w:ascii="宋体" w:hAnsi="宋体" w:cs="宋体"/>
                <w:highlight w:val="none"/>
              </w:rPr>
            </w:pPr>
            <w:r>
              <w:rPr>
                <w:rFonts w:hint="eastAsia" w:ascii="宋体" w:hAnsi="宋体" w:cs="宋体"/>
                <w:highlight w:val="none"/>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40FC2BD7">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252AA868">
            <w:pPr>
              <w:spacing w:line="360" w:lineRule="auto"/>
              <w:rPr>
                <w:szCs w:val="24"/>
                <w:highlight w:val="none"/>
              </w:rPr>
            </w:pPr>
          </w:p>
        </w:tc>
      </w:tr>
      <w:tr w14:paraId="02A0947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C2EFD59">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21BA094A">
            <w:pPr>
              <w:pStyle w:val="60"/>
              <w:spacing w:line="360" w:lineRule="auto"/>
              <w:ind w:left="120" w:leftChars="50"/>
              <w:rPr>
                <w:rFonts w:ascii="宋体" w:hAnsi="宋体" w:cs="宋体"/>
                <w:highlight w:val="none"/>
              </w:rPr>
            </w:pPr>
            <w:r>
              <w:rPr>
                <w:rFonts w:hint="eastAsia" w:ascii="宋体" w:hAnsi="宋体" w:cs="宋体"/>
                <w:highlight w:val="none"/>
              </w:rPr>
              <w:t>参加政府采购活动前三年内，在经营活动中没有重大违法记录</w:t>
            </w:r>
          </w:p>
        </w:tc>
        <w:tc>
          <w:tcPr>
            <w:tcW w:w="2545" w:type="pct"/>
            <w:tcBorders>
              <w:top w:val="outset" w:color="auto" w:sz="6" w:space="0"/>
              <w:left w:val="outset" w:color="auto" w:sz="6" w:space="0"/>
              <w:bottom w:val="outset" w:color="auto" w:sz="6" w:space="0"/>
              <w:right w:val="outset" w:color="auto" w:sz="6" w:space="0"/>
            </w:tcBorders>
            <w:vAlign w:val="center"/>
          </w:tcPr>
          <w:p w14:paraId="79031A12">
            <w:pPr>
              <w:pStyle w:val="60"/>
              <w:spacing w:line="360" w:lineRule="auto"/>
              <w:ind w:left="120" w:leftChars="50"/>
              <w:rPr>
                <w:rFonts w:ascii="宋体" w:hAnsi="宋体" w:cs="宋体"/>
                <w:highlight w:val="none"/>
              </w:rPr>
            </w:pPr>
            <w:r>
              <w:rPr>
                <w:rFonts w:hint="eastAsia" w:ascii="宋体" w:hAnsi="宋体" w:cs="宋体"/>
                <w:highlight w:val="none"/>
              </w:rPr>
              <w:t>参加政府采购活动前三年内在经营活动中没有重大违法记录的书面声明。（投标时，投标人出具承诺函，加盖投标人公章。）</w:t>
            </w:r>
          </w:p>
          <w:p w14:paraId="070C1B9B">
            <w:pPr>
              <w:pStyle w:val="60"/>
              <w:spacing w:line="360" w:lineRule="auto"/>
              <w:ind w:left="120" w:leftChars="50"/>
              <w:rPr>
                <w:rFonts w:ascii="宋体" w:hAnsi="宋体" w:cs="宋体"/>
                <w:highlight w:val="none"/>
              </w:rPr>
            </w:pPr>
            <w:r>
              <w:rPr>
                <w:rFonts w:hint="eastAsia" w:ascii="宋体" w:hAnsi="宋体" w:cs="宋体"/>
                <w:highlight w:val="none"/>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768BAE8C">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67B41543">
            <w:pPr>
              <w:spacing w:line="360" w:lineRule="auto"/>
              <w:rPr>
                <w:szCs w:val="24"/>
                <w:highlight w:val="none"/>
              </w:rPr>
            </w:pPr>
          </w:p>
        </w:tc>
      </w:tr>
      <w:tr w14:paraId="3BA8B77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836"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656C6D00">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0B9E75B1">
            <w:pPr>
              <w:pStyle w:val="60"/>
              <w:spacing w:line="360" w:lineRule="auto"/>
              <w:ind w:left="120" w:leftChars="50"/>
              <w:rPr>
                <w:rFonts w:ascii="宋体" w:hAnsi="宋体" w:cs="宋体"/>
                <w:highlight w:val="none"/>
              </w:rPr>
            </w:pPr>
            <w:r>
              <w:rPr>
                <w:rFonts w:hint="eastAsia" w:ascii="宋体" w:hAnsi="宋体" w:cs="宋体"/>
                <w:highlight w:val="none"/>
              </w:rPr>
              <w:t>信用记录</w:t>
            </w:r>
          </w:p>
        </w:tc>
        <w:tc>
          <w:tcPr>
            <w:tcW w:w="2545" w:type="pct"/>
            <w:tcBorders>
              <w:top w:val="outset" w:color="auto" w:sz="6" w:space="0"/>
              <w:left w:val="outset" w:color="auto" w:sz="6" w:space="0"/>
              <w:bottom w:val="outset" w:color="auto" w:sz="6" w:space="0"/>
              <w:right w:val="outset" w:color="auto" w:sz="6" w:space="0"/>
            </w:tcBorders>
            <w:vAlign w:val="center"/>
          </w:tcPr>
          <w:p w14:paraId="5915C5DD">
            <w:pPr>
              <w:pStyle w:val="60"/>
              <w:wordWrap w:val="0"/>
              <w:spacing w:line="360" w:lineRule="auto"/>
              <w:ind w:left="120" w:leftChars="50"/>
              <w:rPr>
                <w:rFonts w:ascii="宋体" w:hAnsi="宋体" w:cs="宋体"/>
                <w:highlight w:val="none"/>
              </w:rPr>
            </w:pPr>
            <w:r>
              <w:rPr>
                <w:rFonts w:hint="eastAsia" w:ascii="宋体" w:hAnsi="宋体" w:cs="宋体"/>
                <w:highlight w:val="none"/>
              </w:rPr>
              <w:t>供应商未被列入“信用中国”网站</w:t>
            </w:r>
            <w:r>
              <w:rPr>
                <w:rFonts w:ascii="宋体" w:hAnsi="宋体" w:cs="宋体"/>
                <w:highlight w:val="none"/>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3354A2D3">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50F755F0">
            <w:pPr>
              <w:spacing w:line="360" w:lineRule="auto"/>
              <w:rPr>
                <w:szCs w:val="24"/>
                <w:highlight w:val="none"/>
              </w:rPr>
            </w:pPr>
          </w:p>
        </w:tc>
      </w:tr>
      <w:tr w14:paraId="3A7FE63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52945EC6">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2104B164">
            <w:pPr>
              <w:pStyle w:val="60"/>
              <w:spacing w:line="360" w:lineRule="auto"/>
              <w:ind w:left="120" w:leftChars="50"/>
              <w:rPr>
                <w:rFonts w:ascii="宋体" w:hAnsi="宋体" w:cs="宋体"/>
                <w:highlight w:val="none"/>
              </w:rPr>
            </w:pPr>
            <w:r>
              <w:rPr>
                <w:rFonts w:hint="eastAsia" w:ascii="宋体" w:hAnsi="宋体" w:cs="宋体"/>
                <w:highlight w:val="none"/>
              </w:rPr>
              <w:t>存在利害关系</w:t>
            </w:r>
          </w:p>
        </w:tc>
        <w:tc>
          <w:tcPr>
            <w:tcW w:w="2545" w:type="pct"/>
            <w:tcBorders>
              <w:top w:val="outset" w:color="auto" w:sz="6" w:space="0"/>
              <w:left w:val="outset" w:color="auto" w:sz="6" w:space="0"/>
              <w:bottom w:val="outset" w:color="auto" w:sz="6" w:space="0"/>
              <w:right w:val="outset" w:color="auto" w:sz="6" w:space="0"/>
            </w:tcBorders>
            <w:vAlign w:val="center"/>
          </w:tcPr>
          <w:p w14:paraId="4C160C8A">
            <w:pPr>
              <w:pStyle w:val="60"/>
              <w:spacing w:line="360" w:lineRule="auto"/>
              <w:ind w:left="120" w:leftChars="50"/>
              <w:rPr>
                <w:rFonts w:ascii="宋体" w:hAnsi="宋体" w:cs="宋体"/>
                <w:highlight w:val="none"/>
              </w:rPr>
            </w:pPr>
            <w:r>
              <w:rPr>
                <w:rFonts w:hint="eastAsia" w:ascii="宋体" w:hAnsi="宋体" w:cs="宋体"/>
                <w:highlight w:val="none"/>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04EBE15A">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6830FDA7">
            <w:pPr>
              <w:spacing w:line="360" w:lineRule="auto"/>
              <w:rPr>
                <w:szCs w:val="24"/>
                <w:highlight w:val="none"/>
              </w:rPr>
            </w:pPr>
          </w:p>
        </w:tc>
      </w:tr>
      <w:tr w14:paraId="10E61AD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57AF405E">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79452A11">
            <w:pPr>
              <w:pStyle w:val="60"/>
              <w:spacing w:line="360" w:lineRule="auto"/>
              <w:ind w:left="120" w:leftChars="50"/>
              <w:rPr>
                <w:rFonts w:ascii="宋体" w:hAnsi="宋体" w:cs="宋体"/>
                <w:highlight w:val="none"/>
              </w:rPr>
            </w:pPr>
            <w:r>
              <w:rPr>
                <w:rFonts w:hint="eastAsia" w:ascii="宋体" w:hAnsi="宋体" w:cs="宋体"/>
                <w:highlight w:val="none"/>
              </w:rPr>
              <w:t>联合体</w:t>
            </w:r>
          </w:p>
        </w:tc>
        <w:tc>
          <w:tcPr>
            <w:tcW w:w="2545" w:type="pct"/>
            <w:tcBorders>
              <w:top w:val="outset" w:color="auto" w:sz="6" w:space="0"/>
              <w:left w:val="outset" w:color="auto" w:sz="6" w:space="0"/>
              <w:bottom w:val="outset" w:color="auto" w:sz="6" w:space="0"/>
              <w:right w:val="outset" w:color="auto" w:sz="6" w:space="0"/>
            </w:tcBorders>
            <w:vAlign w:val="center"/>
          </w:tcPr>
          <w:p w14:paraId="6D6BB8CC">
            <w:pPr>
              <w:pStyle w:val="60"/>
              <w:spacing w:line="360" w:lineRule="auto"/>
              <w:rPr>
                <w:rFonts w:ascii="宋体" w:hAnsi="宋体" w:cs="宋体"/>
                <w:highlight w:val="none"/>
              </w:rPr>
            </w:pPr>
            <w:r>
              <w:rPr>
                <w:rFonts w:hint="eastAsia" w:ascii="宋体" w:hAnsi="宋体" w:cs="宋体"/>
                <w:highlight w:val="none"/>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589D563B">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2701F378">
            <w:pPr>
              <w:spacing w:line="360" w:lineRule="auto"/>
              <w:rPr>
                <w:szCs w:val="24"/>
                <w:highlight w:val="none"/>
              </w:rPr>
            </w:pPr>
          </w:p>
        </w:tc>
      </w:tr>
      <w:tr w14:paraId="6A5D3BD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66A142B6">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53892352">
            <w:pPr>
              <w:pStyle w:val="60"/>
              <w:spacing w:line="360" w:lineRule="auto"/>
              <w:ind w:left="120" w:leftChars="50"/>
              <w:rPr>
                <w:rFonts w:ascii="宋体" w:hAnsi="宋体" w:cs="宋体"/>
                <w:highlight w:val="none"/>
              </w:rPr>
            </w:pPr>
            <w:r>
              <w:rPr>
                <w:rFonts w:hint="eastAsia" w:ascii="宋体" w:hAnsi="宋体" w:cs="宋体"/>
                <w:highlight w:val="none"/>
              </w:rPr>
              <w:t>落实政府采购政策需满足的资格要求</w:t>
            </w:r>
          </w:p>
        </w:tc>
        <w:tc>
          <w:tcPr>
            <w:tcW w:w="2545" w:type="pct"/>
            <w:tcBorders>
              <w:top w:val="outset" w:color="auto" w:sz="6" w:space="0"/>
              <w:left w:val="outset" w:color="auto" w:sz="6" w:space="0"/>
              <w:bottom w:val="outset" w:color="auto" w:sz="6" w:space="0"/>
              <w:right w:val="outset" w:color="auto" w:sz="6" w:space="0"/>
            </w:tcBorders>
            <w:vAlign w:val="center"/>
          </w:tcPr>
          <w:p w14:paraId="4F1CED82">
            <w:pPr>
              <w:pStyle w:val="60"/>
              <w:spacing w:line="360" w:lineRule="auto"/>
              <w:ind w:left="120" w:leftChars="50"/>
              <w:rPr>
                <w:rFonts w:ascii="宋体" w:hAnsi="宋体" w:cs="宋体"/>
                <w:highlight w:val="none"/>
              </w:rPr>
            </w:pPr>
            <w:r>
              <w:rPr>
                <w:rFonts w:hint="eastAsia" w:ascii="宋体" w:hAnsi="宋体" w:cs="宋体"/>
                <w:highlight w:val="none"/>
              </w:rPr>
              <w:t>本项目属于专门面向小微企业采购项目，供应商所投产品的制造商需为小微企业、监狱企业、残疾人福利性单位。按招标文件格式要求提供《中小企业声明函》。</w:t>
            </w:r>
          </w:p>
        </w:tc>
        <w:tc>
          <w:tcPr>
            <w:tcW w:w="470" w:type="pct"/>
            <w:tcBorders>
              <w:top w:val="outset" w:color="auto" w:sz="6" w:space="0"/>
              <w:left w:val="outset" w:color="auto" w:sz="6" w:space="0"/>
              <w:bottom w:val="outset" w:color="auto" w:sz="6" w:space="0"/>
              <w:right w:val="outset" w:color="auto" w:sz="6" w:space="0"/>
            </w:tcBorders>
            <w:vAlign w:val="center"/>
          </w:tcPr>
          <w:p w14:paraId="23D08392">
            <w:pPr>
              <w:pStyle w:val="50"/>
              <w:spacing w:line="360" w:lineRule="auto"/>
              <w:jc w:val="center"/>
              <w:rPr>
                <w:rFonts w:cs="宋体"/>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11544EBC">
            <w:pPr>
              <w:spacing w:line="360" w:lineRule="auto"/>
              <w:rPr>
                <w:szCs w:val="24"/>
                <w:highlight w:val="none"/>
              </w:rPr>
            </w:pPr>
          </w:p>
        </w:tc>
      </w:tr>
    </w:tbl>
    <w:p w14:paraId="15CD9421">
      <w:pPr>
        <w:spacing w:line="360" w:lineRule="auto"/>
        <w:rPr>
          <w:highlight w:val="none"/>
        </w:rPr>
      </w:pPr>
      <w:r>
        <w:rPr>
          <w:rFonts w:hint="eastAsia"/>
          <w:highlight w:val="none"/>
          <w:lang w:bidi="ar"/>
        </w:rPr>
        <w:t xml:space="preserve"> </w:t>
      </w:r>
    </w:p>
    <w:p w14:paraId="0AB8747B">
      <w:pPr>
        <w:spacing w:line="360" w:lineRule="auto"/>
        <w:rPr>
          <w:highlight w:val="none"/>
        </w:rPr>
      </w:pPr>
      <w:r>
        <w:rPr>
          <w:rFonts w:hint="eastAsia"/>
          <w:highlight w:val="none"/>
          <w:lang w:bidi="ar"/>
        </w:rPr>
        <w:t xml:space="preserve"> </w:t>
      </w:r>
    </w:p>
    <w:p w14:paraId="615958E4">
      <w:pPr>
        <w:spacing w:line="360" w:lineRule="auto"/>
        <w:rPr>
          <w:highlight w:val="none"/>
          <w:lang w:bidi="ar"/>
        </w:rPr>
      </w:pPr>
      <w:r>
        <w:rPr>
          <w:rFonts w:hint="eastAsia"/>
          <w:highlight w:val="none"/>
          <w:lang w:bidi="ar"/>
        </w:rPr>
        <w:t xml:space="preserve"> </w:t>
      </w:r>
    </w:p>
    <w:p w14:paraId="3BB4043C">
      <w:pPr>
        <w:spacing w:line="360" w:lineRule="auto"/>
        <w:rPr>
          <w:highlight w:val="none"/>
          <w:lang w:bidi="ar"/>
        </w:rPr>
      </w:pPr>
    </w:p>
    <w:p w14:paraId="041350BC">
      <w:pPr>
        <w:spacing w:line="360" w:lineRule="auto"/>
        <w:rPr>
          <w:highlight w:val="none"/>
          <w:lang w:bidi="ar"/>
        </w:rPr>
      </w:pPr>
    </w:p>
    <w:p w14:paraId="740CF517">
      <w:pPr>
        <w:spacing w:line="360" w:lineRule="auto"/>
        <w:rPr>
          <w:highlight w:val="none"/>
        </w:rPr>
      </w:pPr>
      <w:bookmarkStart w:id="296" w:name="_Toc155185903"/>
      <w:bookmarkStart w:id="297" w:name="_Toc163492899"/>
      <w:r>
        <w:rPr>
          <w:rFonts w:hint="eastAsia"/>
          <w:highlight w:val="none"/>
        </w:rPr>
        <w:br w:type="page"/>
      </w:r>
    </w:p>
    <w:p w14:paraId="3023676C">
      <w:pPr>
        <w:pStyle w:val="2"/>
        <w:spacing w:line="360" w:lineRule="auto"/>
        <w:rPr>
          <w:highlight w:val="none"/>
        </w:rPr>
      </w:pPr>
      <w:bookmarkStart w:id="298" w:name="_Toc229390291"/>
      <w:r>
        <w:rPr>
          <w:rFonts w:hint="eastAsia"/>
          <w:highlight w:val="none"/>
        </w:rPr>
        <w:t>第五章 评标方法</w:t>
      </w:r>
      <w:bookmarkEnd w:id="296"/>
      <w:r>
        <w:rPr>
          <w:rFonts w:hint="eastAsia"/>
          <w:highlight w:val="none"/>
        </w:rPr>
        <w:t>及标准</w:t>
      </w:r>
      <w:bookmarkEnd w:id="297"/>
      <w:r>
        <w:rPr>
          <w:rFonts w:hint="eastAsia"/>
          <w:highlight w:val="none"/>
        </w:rPr>
        <w:t>(综合评分法)</w:t>
      </w:r>
      <w:bookmarkEnd w:id="298"/>
    </w:p>
    <w:p w14:paraId="59435BA5">
      <w:pPr>
        <w:pStyle w:val="38"/>
        <w:spacing w:line="360" w:lineRule="auto"/>
        <w:rPr>
          <w:highlight w:val="none"/>
        </w:rPr>
      </w:pPr>
      <w:r>
        <w:rPr>
          <w:rFonts w:hint="eastAsia"/>
          <w:highlight w:val="none"/>
        </w:rPr>
        <w:t>根据《中华人民共和国政府采购法》及其实施条例、《政府采购货物和服务招标投标管理办法》</w:t>
      </w:r>
      <w:r>
        <w:rPr>
          <w:rFonts w:hint="eastAsia"/>
          <w:highlight w:val="none"/>
          <w:lang w:val="en-US"/>
        </w:rPr>
        <w:t>及</w:t>
      </w:r>
      <w:r>
        <w:rPr>
          <w:rFonts w:hint="eastAsia"/>
          <w:highlight w:val="none"/>
        </w:rPr>
        <w:t>相关法律法规确定以下评标</w:t>
      </w:r>
      <w:r>
        <w:rPr>
          <w:rFonts w:hint="eastAsia"/>
          <w:highlight w:val="none"/>
          <w:lang w:val="en-US"/>
        </w:rPr>
        <w:t>方</w:t>
      </w:r>
      <w:r>
        <w:rPr>
          <w:rFonts w:hint="eastAsia"/>
          <w:highlight w:val="none"/>
        </w:rPr>
        <w:t>法及标准。</w:t>
      </w:r>
    </w:p>
    <w:p w14:paraId="081FB8BD">
      <w:pPr>
        <w:pStyle w:val="3"/>
        <w:spacing w:line="360" w:lineRule="auto"/>
        <w:rPr>
          <w:highlight w:val="none"/>
          <w:lang w:val="zh-CN"/>
        </w:rPr>
      </w:pPr>
      <w:bookmarkStart w:id="299" w:name="_Toc229390292"/>
      <w:bookmarkStart w:id="300" w:name="_Toc163492900"/>
      <w:bookmarkStart w:id="301" w:name="_Toc278891606"/>
      <w:bookmarkStart w:id="302" w:name="_Toc494561962"/>
      <w:bookmarkStart w:id="303" w:name="_Toc61280402"/>
      <w:bookmarkStart w:id="304" w:name="_Toc109900322"/>
      <w:bookmarkStart w:id="305" w:name="_Toc109899484"/>
      <w:bookmarkStart w:id="306" w:name="_Toc511894518"/>
      <w:bookmarkStart w:id="307" w:name="_Toc109899903"/>
      <w:bookmarkStart w:id="308" w:name="_Toc140132826"/>
      <w:bookmarkStart w:id="309" w:name="_Toc155185905"/>
      <w:bookmarkStart w:id="310" w:name="_Toc272247709"/>
      <w:r>
        <w:rPr>
          <w:rFonts w:hint="eastAsia"/>
          <w:highlight w:val="none"/>
          <w:lang w:val="zh-CN"/>
        </w:rPr>
        <w:t>一、评标</w:t>
      </w:r>
      <w:r>
        <w:rPr>
          <w:rFonts w:hint="eastAsia"/>
          <w:highlight w:val="none"/>
        </w:rPr>
        <w:t>方</w:t>
      </w:r>
      <w:r>
        <w:rPr>
          <w:rFonts w:hint="eastAsia"/>
          <w:highlight w:val="none"/>
          <w:lang w:val="zh-CN"/>
        </w:rPr>
        <w:t>法</w:t>
      </w:r>
      <w:bookmarkEnd w:id="299"/>
      <w:bookmarkEnd w:id="300"/>
    </w:p>
    <w:p w14:paraId="43FEDE70">
      <w:pPr>
        <w:pStyle w:val="38"/>
        <w:spacing w:line="360" w:lineRule="auto"/>
        <w:rPr>
          <w:highlight w:val="none"/>
        </w:rPr>
      </w:pPr>
      <w:r>
        <w:rPr>
          <w:rFonts w:hint="eastAsia"/>
          <w:highlight w:val="none"/>
        </w:rPr>
        <w:t>1.</w:t>
      </w:r>
      <w:r>
        <w:rPr>
          <w:rFonts w:hint="eastAsia"/>
          <w:b/>
          <w:bCs/>
          <w:highlight w:val="none"/>
        </w:rPr>
        <w:t>本项目采用综合评分法</w:t>
      </w:r>
      <w:r>
        <w:rPr>
          <w:rFonts w:hint="eastAsia"/>
          <w:highlight w:val="none"/>
        </w:rPr>
        <w:t>。综合评分法，是指投标文件满足招标文件全部实质性要求，且按照评审因素的量化指标评审得分最高的投标人为中标候选人的评标方法。</w:t>
      </w:r>
    </w:p>
    <w:p w14:paraId="23A835DF">
      <w:pPr>
        <w:pStyle w:val="3"/>
        <w:spacing w:line="360" w:lineRule="auto"/>
        <w:rPr>
          <w:highlight w:val="none"/>
          <w:lang w:val="zh-CN"/>
        </w:rPr>
      </w:pPr>
      <w:bookmarkStart w:id="311" w:name="_Toc229390293"/>
      <w:r>
        <w:rPr>
          <w:rFonts w:hint="eastAsia"/>
          <w:highlight w:val="none"/>
        </w:rPr>
        <w:t>二</w:t>
      </w:r>
      <w:r>
        <w:rPr>
          <w:rFonts w:hint="eastAsia"/>
          <w:highlight w:val="none"/>
          <w:lang w:val="zh-CN"/>
        </w:rPr>
        <w:t>、评标程序</w:t>
      </w:r>
      <w:bookmarkEnd w:id="311"/>
    </w:p>
    <w:p w14:paraId="072774EC">
      <w:pPr>
        <w:pStyle w:val="4"/>
        <w:spacing w:line="360" w:lineRule="auto"/>
        <w:rPr>
          <w:highlight w:val="none"/>
          <w:lang w:val="zh-CN"/>
        </w:rPr>
      </w:pPr>
      <w:r>
        <w:rPr>
          <w:rFonts w:hint="eastAsia"/>
          <w:highlight w:val="none"/>
          <w:lang w:val="zh-CN"/>
        </w:rPr>
        <w:t>（一）符合性审查</w:t>
      </w:r>
    </w:p>
    <w:p w14:paraId="0FBD2B19">
      <w:pPr>
        <w:pStyle w:val="38"/>
        <w:spacing w:line="360" w:lineRule="auto"/>
        <w:rPr>
          <w:highlight w:val="none"/>
        </w:rPr>
      </w:pPr>
      <w:r>
        <w:rPr>
          <w:rFonts w:hint="eastAsia"/>
          <w:highlight w:val="none"/>
          <w:lang w:val="en-US"/>
        </w:rPr>
        <w:t>2.</w:t>
      </w:r>
      <w:r>
        <w:rPr>
          <w:rFonts w:hint="eastAsia"/>
          <w:highlight w:val="none"/>
        </w:rPr>
        <w:t>评标委员会应当对</w:t>
      </w:r>
      <w:r>
        <w:rPr>
          <w:rFonts w:hint="eastAsia"/>
          <w:highlight w:val="none"/>
          <w:lang w:val="en-US"/>
        </w:rPr>
        <w:t>通过</w:t>
      </w:r>
      <w:r>
        <w:rPr>
          <w:rFonts w:hint="eastAsia"/>
          <w:highlight w:val="none"/>
        </w:rPr>
        <w:t>资格</w:t>
      </w:r>
      <w:r>
        <w:rPr>
          <w:rFonts w:hint="eastAsia"/>
          <w:highlight w:val="none"/>
          <w:lang w:val="en-US"/>
        </w:rPr>
        <w:t>审查</w:t>
      </w:r>
      <w:r>
        <w:rPr>
          <w:rFonts w:hint="eastAsia"/>
          <w:highlight w:val="none"/>
        </w:rPr>
        <w:t>的投标人的投标文件进行符合性审查，以确定其是否满足招标文件的实质性要求。投标人必须通过符合性审查的全部评审指标，不满足招标文件的实质性要求的，</w:t>
      </w:r>
      <w:r>
        <w:rPr>
          <w:rFonts w:hint="eastAsia"/>
          <w:highlight w:val="none"/>
          <w:lang w:val="en-US"/>
        </w:rPr>
        <w:t>其</w:t>
      </w:r>
      <w:r>
        <w:rPr>
          <w:rFonts w:hint="eastAsia"/>
          <w:b/>
          <w:bCs/>
          <w:highlight w:val="none"/>
        </w:rPr>
        <w:t>投标无效</w:t>
      </w:r>
      <w:r>
        <w:rPr>
          <w:rFonts w:hint="eastAsia"/>
          <w:highlight w:val="none"/>
        </w:rPr>
        <w:t>。</w:t>
      </w:r>
      <w:r>
        <w:rPr>
          <w:rFonts w:hint="eastAsia"/>
          <w:highlight w:val="none"/>
          <w:lang w:val="en-US"/>
        </w:rPr>
        <w:t>具体内容详见</w:t>
      </w:r>
      <w:r>
        <w:rPr>
          <w:rFonts w:hint="eastAsia"/>
          <w:highlight w:val="none"/>
        </w:rPr>
        <w:t>本章“</w:t>
      </w:r>
      <w:r>
        <w:rPr>
          <w:rFonts w:hint="eastAsia"/>
          <w:highlight w:val="none"/>
          <w:lang w:val="en-US"/>
        </w:rPr>
        <w:t>四</w:t>
      </w:r>
      <w:r>
        <w:rPr>
          <w:rFonts w:hint="eastAsia"/>
          <w:highlight w:val="none"/>
        </w:rPr>
        <w:t>、评标标准”中</w:t>
      </w:r>
      <w:r>
        <w:rPr>
          <w:rFonts w:hint="eastAsia"/>
          <w:highlight w:val="none"/>
          <w:lang w:val="en-US"/>
        </w:rPr>
        <w:t>的</w:t>
      </w:r>
      <w:r>
        <w:rPr>
          <w:rFonts w:hint="eastAsia"/>
          <w:highlight w:val="none"/>
        </w:rPr>
        <w:t>“（一）符合性审查”。</w:t>
      </w:r>
    </w:p>
    <w:p w14:paraId="672B1BBF">
      <w:pPr>
        <w:pStyle w:val="38"/>
        <w:spacing w:line="360" w:lineRule="auto"/>
        <w:rPr>
          <w:highlight w:val="none"/>
        </w:rPr>
      </w:pPr>
      <w:r>
        <w:rPr>
          <w:rFonts w:hint="eastAsia"/>
          <w:highlight w:val="none"/>
          <w:lang w:val="en-US"/>
        </w:rPr>
        <w:t>通过</w:t>
      </w:r>
      <w:r>
        <w:rPr>
          <w:rFonts w:hint="eastAsia"/>
          <w:highlight w:val="none"/>
        </w:rPr>
        <w:t>符合性审查</w:t>
      </w:r>
      <w:r>
        <w:rPr>
          <w:rFonts w:hint="eastAsia"/>
          <w:highlight w:val="none"/>
          <w:lang w:val="en-US"/>
        </w:rPr>
        <w:t>的</w:t>
      </w:r>
      <w:r>
        <w:rPr>
          <w:rFonts w:hint="eastAsia"/>
          <w:highlight w:val="none"/>
        </w:rPr>
        <w:t>有效供应商不足3家的应当终止采购活动，发布项目终止公告并说明原因，重新开展采购活动。</w:t>
      </w:r>
    </w:p>
    <w:p w14:paraId="7BD45B08">
      <w:pPr>
        <w:pStyle w:val="4"/>
        <w:spacing w:line="360" w:lineRule="auto"/>
        <w:rPr>
          <w:highlight w:val="none"/>
          <w:lang w:val="zh-CN"/>
        </w:rPr>
      </w:pPr>
      <w:bookmarkStart w:id="312" w:name="_Toc102116048"/>
      <w:bookmarkStart w:id="313" w:name="_Toc155185907"/>
      <w:bookmarkStart w:id="314" w:name="_Toc102114946"/>
      <w:bookmarkStart w:id="315" w:name="_Toc102057744"/>
      <w:bookmarkStart w:id="316" w:name="_Toc102116178"/>
      <w:bookmarkStart w:id="317" w:name="_Toc102056244"/>
      <w:bookmarkStart w:id="318" w:name="_Toc102119879"/>
      <w:bookmarkStart w:id="319" w:name="_Toc163492903"/>
      <w:r>
        <w:rPr>
          <w:rFonts w:hint="eastAsia"/>
          <w:highlight w:val="none"/>
          <w:lang w:val="zh-CN"/>
        </w:rPr>
        <w:t>（</w:t>
      </w:r>
      <w:r>
        <w:rPr>
          <w:rFonts w:hint="eastAsia"/>
          <w:highlight w:val="none"/>
        </w:rPr>
        <w:t>二</w:t>
      </w:r>
      <w:r>
        <w:rPr>
          <w:rFonts w:hint="eastAsia"/>
          <w:highlight w:val="none"/>
          <w:lang w:val="zh-CN"/>
        </w:rPr>
        <w:t>）投标文件澄清</w:t>
      </w:r>
      <w:bookmarkEnd w:id="312"/>
      <w:bookmarkEnd w:id="313"/>
      <w:bookmarkEnd w:id="314"/>
      <w:bookmarkEnd w:id="315"/>
      <w:bookmarkEnd w:id="316"/>
      <w:bookmarkEnd w:id="317"/>
      <w:bookmarkEnd w:id="318"/>
      <w:r>
        <w:rPr>
          <w:rFonts w:hint="eastAsia"/>
          <w:highlight w:val="none"/>
          <w:lang w:val="zh-CN"/>
        </w:rPr>
        <w:t>及修正</w:t>
      </w:r>
      <w:bookmarkEnd w:id="319"/>
    </w:p>
    <w:p w14:paraId="1CB52A49">
      <w:pPr>
        <w:pStyle w:val="38"/>
        <w:spacing w:line="360" w:lineRule="auto"/>
        <w:rPr>
          <w:highlight w:val="none"/>
        </w:rPr>
      </w:pPr>
      <w:r>
        <w:rPr>
          <w:rFonts w:hint="eastAsia"/>
          <w:highlight w:val="none"/>
          <w:lang w:val="en-US"/>
        </w:rPr>
        <w:t>3</w:t>
      </w:r>
      <w:r>
        <w:rPr>
          <w:rFonts w:hint="eastAsia"/>
          <w:highlight w:val="none"/>
        </w:rPr>
        <w:t>.评标期间，对于投标文件中含义不明确、同类问题表述不一致或者有明显文字和计算错误的内容需要投标人作出必要的澄清、说明或者补正的，评标委员会应当在</w:t>
      </w:r>
      <w:r>
        <w:rPr>
          <w:rFonts w:hint="eastAsia"/>
          <w:highlight w:val="none"/>
          <w:lang w:val="en-US"/>
        </w:rPr>
        <w:t>政采云平台评标</w:t>
      </w:r>
      <w:r>
        <w:rPr>
          <w:rFonts w:hint="eastAsia"/>
          <w:highlight w:val="none"/>
        </w:rPr>
        <w:t>系统中以书面形式要求投标人作出必要的澄清、说明或者补正。</w:t>
      </w:r>
    </w:p>
    <w:p w14:paraId="6D23E70B">
      <w:pPr>
        <w:pStyle w:val="38"/>
        <w:spacing w:line="360" w:lineRule="auto"/>
        <w:rPr>
          <w:highlight w:val="none"/>
        </w:rPr>
      </w:pPr>
      <w:r>
        <w:rPr>
          <w:rFonts w:hint="eastAsia"/>
          <w:highlight w:val="none"/>
          <w:lang w:val="en-US"/>
        </w:rPr>
        <w:t>4</w:t>
      </w:r>
      <w:r>
        <w:rPr>
          <w:rFonts w:hint="eastAsia"/>
          <w:highlight w:val="none"/>
        </w:rPr>
        <w:t>.投标人应按照评标委员会要求在规定时间内作出澄清、说明或者补正，澄清、说明或者补正不得超出投标文件的范围或者改变投标文件的实质性内容。</w:t>
      </w:r>
    </w:p>
    <w:p w14:paraId="15637780">
      <w:pPr>
        <w:pStyle w:val="38"/>
        <w:spacing w:line="360" w:lineRule="auto"/>
        <w:rPr>
          <w:highlight w:val="none"/>
        </w:rPr>
      </w:pPr>
      <w:r>
        <w:rPr>
          <w:rFonts w:hint="eastAsia"/>
          <w:highlight w:val="none"/>
          <w:lang w:val="en-US"/>
        </w:rPr>
        <w:t>5</w:t>
      </w:r>
      <w:r>
        <w:rPr>
          <w:rFonts w:hint="eastAsia"/>
          <w:highlight w:val="none"/>
        </w:rPr>
        <w:t>.投标人的澄清、说明或者补正是其投标文件的有效组成部分，澄清、说明或者补正应当在</w:t>
      </w:r>
      <w:r>
        <w:rPr>
          <w:rFonts w:hint="eastAsia"/>
          <w:highlight w:val="none"/>
          <w:lang w:val="en-US"/>
        </w:rPr>
        <w:t>政采云平台评标</w:t>
      </w:r>
      <w:r>
        <w:rPr>
          <w:rFonts w:hint="eastAsia"/>
          <w:highlight w:val="none"/>
        </w:rPr>
        <w:t>系统中加盖电子印章后提交。</w:t>
      </w:r>
    </w:p>
    <w:p w14:paraId="23EC2F8F">
      <w:pPr>
        <w:pStyle w:val="38"/>
        <w:spacing w:line="360" w:lineRule="auto"/>
        <w:rPr>
          <w:highlight w:val="none"/>
        </w:rPr>
      </w:pPr>
      <w:r>
        <w:rPr>
          <w:rFonts w:hint="eastAsia"/>
          <w:highlight w:val="none"/>
          <w:lang w:val="en-US"/>
        </w:rPr>
        <w:t>6</w:t>
      </w:r>
      <w:r>
        <w:rPr>
          <w:rFonts w:hint="eastAsia"/>
          <w:highlight w:val="none"/>
        </w:rPr>
        <w:t>.报价合理性说明：评标委员会认为投标人的报价明显低于其他通过符合性审查投标人的报价，有可能影响</w:t>
      </w:r>
      <w:r>
        <w:rPr>
          <w:rFonts w:hint="eastAsia"/>
          <w:highlight w:val="none"/>
          <w:lang w:val="en-US"/>
        </w:rPr>
        <w:t>货物</w:t>
      </w:r>
      <w:r>
        <w:rPr>
          <w:rFonts w:hint="eastAsia"/>
          <w:highlight w:val="none"/>
        </w:rPr>
        <w:t>质量或者不能诚信履约的，</w:t>
      </w:r>
      <w:r>
        <w:rPr>
          <w:rFonts w:hint="eastAsia"/>
          <w:highlight w:val="none"/>
          <w:lang w:val="en-US"/>
        </w:rPr>
        <w:t>应当</w:t>
      </w:r>
      <w:r>
        <w:rPr>
          <w:rFonts w:hint="eastAsia"/>
          <w:highlight w:val="none"/>
        </w:rPr>
        <w:t>要求</w:t>
      </w:r>
      <w:r>
        <w:rPr>
          <w:rFonts w:hint="eastAsia"/>
          <w:highlight w:val="none"/>
          <w:lang w:val="en-US"/>
        </w:rPr>
        <w:t>该投标人</w:t>
      </w:r>
      <w:r>
        <w:rPr>
          <w:rFonts w:hint="eastAsia"/>
          <w:highlight w:val="none"/>
        </w:rPr>
        <w:t>在合理的时间内提供说明，必要时提交相关证明材料；</w:t>
      </w:r>
      <w:r>
        <w:rPr>
          <w:rFonts w:hint="eastAsia"/>
          <w:highlight w:val="none"/>
          <w:lang w:val="en-US"/>
        </w:rPr>
        <w:t>若</w:t>
      </w:r>
      <w:r>
        <w:rPr>
          <w:rFonts w:hint="eastAsia"/>
          <w:highlight w:val="none"/>
        </w:rPr>
        <w:t>投标人不能证明其报价合理性的，评标委员</w:t>
      </w:r>
      <w:r>
        <w:rPr>
          <w:rFonts w:hint="eastAsia"/>
          <w:highlight w:val="none"/>
          <w:lang w:val="en-US"/>
        </w:rPr>
        <w:t>会应当</w:t>
      </w:r>
      <w:r>
        <w:rPr>
          <w:rFonts w:hint="eastAsia"/>
          <w:highlight w:val="none"/>
        </w:rPr>
        <w:t>将其作</w:t>
      </w:r>
      <w:r>
        <w:rPr>
          <w:rFonts w:hint="eastAsia"/>
          <w:b/>
          <w:bCs/>
          <w:highlight w:val="none"/>
        </w:rPr>
        <w:t>无效投标</w:t>
      </w:r>
      <w:r>
        <w:rPr>
          <w:rFonts w:hint="eastAsia"/>
          <w:highlight w:val="none"/>
        </w:rPr>
        <w:t>处理。</w:t>
      </w:r>
    </w:p>
    <w:p w14:paraId="36E9546C">
      <w:pPr>
        <w:pStyle w:val="38"/>
        <w:spacing w:line="360" w:lineRule="auto"/>
        <w:rPr>
          <w:highlight w:val="none"/>
        </w:rPr>
      </w:pPr>
      <w:r>
        <w:rPr>
          <w:rFonts w:hint="eastAsia"/>
          <w:highlight w:val="none"/>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highlight w:val="none"/>
        </w:rPr>
        <w:t>投标无效</w:t>
      </w:r>
      <w:r>
        <w:rPr>
          <w:rFonts w:hint="eastAsia"/>
          <w:highlight w:val="none"/>
        </w:rPr>
        <w:t>。</w:t>
      </w:r>
    </w:p>
    <w:p w14:paraId="3058740C">
      <w:pPr>
        <w:pStyle w:val="38"/>
        <w:spacing w:line="360" w:lineRule="auto"/>
        <w:rPr>
          <w:highlight w:val="none"/>
        </w:rPr>
      </w:pPr>
      <w:r>
        <w:rPr>
          <w:rFonts w:hint="eastAsia"/>
          <w:highlight w:val="none"/>
        </w:rPr>
        <w:t>8.投标文件报价出现前后不一致的，除招标文件另有规定外，按照下列规定修正：</w:t>
      </w:r>
    </w:p>
    <w:p w14:paraId="4C68CEC5">
      <w:pPr>
        <w:pStyle w:val="38"/>
        <w:spacing w:line="360" w:lineRule="auto"/>
        <w:rPr>
          <w:highlight w:val="none"/>
        </w:rPr>
      </w:pPr>
      <w:r>
        <w:rPr>
          <w:rFonts w:hint="eastAsia"/>
          <w:highlight w:val="none"/>
        </w:rPr>
        <w:t>8.1</w:t>
      </w:r>
      <w:bookmarkStart w:id="320" w:name="OLE_LINK1"/>
      <w:r>
        <w:rPr>
          <w:rFonts w:hint="eastAsia"/>
          <w:highlight w:val="none"/>
        </w:rPr>
        <w:t>投标文件中开标一览表（报价表）内容与投标文件中相应内容不一致的，以开标一览表（报价表）为准；</w:t>
      </w:r>
      <w:bookmarkEnd w:id="320"/>
    </w:p>
    <w:p w14:paraId="6BD1304F">
      <w:pPr>
        <w:pStyle w:val="38"/>
        <w:spacing w:line="360" w:lineRule="auto"/>
        <w:rPr>
          <w:highlight w:val="none"/>
        </w:rPr>
      </w:pPr>
      <w:r>
        <w:rPr>
          <w:rFonts w:hint="eastAsia"/>
          <w:highlight w:val="none"/>
        </w:rPr>
        <w:t>8.2大写金额和小写金额不一致的，以大写金额为准；</w:t>
      </w:r>
    </w:p>
    <w:p w14:paraId="5337313F">
      <w:pPr>
        <w:pStyle w:val="38"/>
        <w:spacing w:line="360" w:lineRule="auto"/>
        <w:rPr>
          <w:highlight w:val="none"/>
        </w:rPr>
      </w:pPr>
      <w:r>
        <w:rPr>
          <w:rFonts w:hint="eastAsia"/>
          <w:highlight w:val="none"/>
        </w:rPr>
        <w:t>8.3单价金额小数点或者百分比有明显错位的，以开标一览表的总价为准，并修改单价；</w:t>
      </w:r>
    </w:p>
    <w:p w14:paraId="0769231E">
      <w:pPr>
        <w:pStyle w:val="38"/>
        <w:spacing w:line="360" w:lineRule="auto"/>
        <w:rPr>
          <w:highlight w:val="none"/>
        </w:rPr>
      </w:pPr>
      <w:r>
        <w:rPr>
          <w:rFonts w:hint="eastAsia"/>
          <w:highlight w:val="none"/>
        </w:rPr>
        <w:t>8.4总价金额与按单价汇总金额不一致的，以单价金额计算结果为准。</w:t>
      </w:r>
    </w:p>
    <w:p w14:paraId="6774F895">
      <w:pPr>
        <w:pStyle w:val="38"/>
        <w:spacing w:line="360" w:lineRule="auto"/>
        <w:rPr>
          <w:highlight w:val="none"/>
        </w:rPr>
      </w:pPr>
      <w:r>
        <w:rPr>
          <w:rFonts w:hint="eastAsia"/>
          <w:highlight w:val="none"/>
        </w:rPr>
        <w:t>同时出现两种以上不一致的，按照8.1—8.4的顺序修正。修正后的报价采用书面形式，并加盖公章，或者由法定代表人或其授权的代表签字，经投标人确认后产生约束力，投标人不确认的，其</w:t>
      </w:r>
      <w:r>
        <w:rPr>
          <w:rFonts w:hint="eastAsia"/>
          <w:b/>
          <w:bCs/>
          <w:highlight w:val="none"/>
        </w:rPr>
        <w:t>投标无效</w:t>
      </w:r>
      <w:r>
        <w:rPr>
          <w:rFonts w:hint="eastAsia"/>
          <w:highlight w:val="none"/>
        </w:rPr>
        <w:t>。</w:t>
      </w:r>
    </w:p>
    <w:p w14:paraId="0D715F4C">
      <w:pPr>
        <w:pStyle w:val="4"/>
        <w:spacing w:line="360" w:lineRule="auto"/>
        <w:rPr>
          <w:highlight w:val="none"/>
          <w:lang w:val="zh-CN"/>
        </w:rPr>
      </w:pPr>
      <w:r>
        <w:rPr>
          <w:rFonts w:hint="eastAsia"/>
          <w:highlight w:val="none"/>
          <w:lang w:val="zh-CN"/>
        </w:rPr>
        <w:t>（</w:t>
      </w:r>
      <w:r>
        <w:rPr>
          <w:rFonts w:hint="eastAsia"/>
          <w:highlight w:val="none"/>
        </w:rPr>
        <w:t>三</w:t>
      </w:r>
      <w:r>
        <w:rPr>
          <w:rFonts w:hint="eastAsia"/>
          <w:highlight w:val="none"/>
          <w:lang w:val="zh-CN"/>
        </w:rPr>
        <w:t>）比较与评价</w:t>
      </w:r>
    </w:p>
    <w:p w14:paraId="5161A10D">
      <w:pPr>
        <w:pStyle w:val="38"/>
        <w:spacing w:line="360" w:lineRule="auto"/>
        <w:rPr>
          <w:highlight w:val="none"/>
        </w:rPr>
      </w:pPr>
      <w:r>
        <w:rPr>
          <w:rFonts w:hint="eastAsia"/>
          <w:highlight w:val="none"/>
          <w:lang w:val="en-US"/>
        </w:rPr>
        <w:t>9.</w:t>
      </w:r>
      <w:r>
        <w:rPr>
          <w:rFonts w:hint="eastAsia"/>
          <w:highlight w:val="none"/>
        </w:rPr>
        <w:t>评标委员会应当按照招标文件中规定的评标方法和标准，对符合性审查合格的投标文件进行商务和技术评</w:t>
      </w:r>
      <w:r>
        <w:rPr>
          <w:rFonts w:hint="eastAsia"/>
          <w:highlight w:val="none"/>
          <w:lang w:val="en-US"/>
        </w:rPr>
        <w:t>估</w:t>
      </w:r>
      <w:r>
        <w:rPr>
          <w:rFonts w:hint="eastAsia"/>
          <w:highlight w:val="none"/>
        </w:rPr>
        <w:t>，综合比较与评价</w:t>
      </w:r>
      <w:r>
        <w:rPr>
          <w:rFonts w:hint="eastAsia"/>
          <w:highlight w:val="none"/>
          <w:lang w:val="en-US"/>
        </w:rPr>
        <w:t>；未通过符合性审查的投标文件不得进入比较与评价</w:t>
      </w:r>
      <w:r>
        <w:rPr>
          <w:rFonts w:hint="eastAsia"/>
          <w:highlight w:val="none"/>
        </w:rPr>
        <w:t>。评审因素包括投标报价、商务技术以及落实政府采购政策。评审因素及标准见本章“</w:t>
      </w:r>
      <w:r>
        <w:rPr>
          <w:rFonts w:hint="eastAsia"/>
          <w:highlight w:val="none"/>
          <w:lang w:val="en-US"/>
        </w:rPr>
        <w:t>四、</w:t>
      </w:r>
      <w:r>
        <w:rPr>
          <w:rFonts w:hint="eastAsia"/>
          <w:highlight w:val="none"/>
        </w:rPr>
        <w:t>评</w:t>
      </w:r>
      <w:r>
        <w:rPr>
          <w:rFonts w:hint="eastAsia"/>
          <w:highlight w:val="none"/>
          <w:lang w:val="en-US"/>
        </w:rPr>
        <w:t>标</w:t>
      </w:r>
      <w:r>
        <w:rPr>
          <w:rFonts w:hint="eastAsia"/>
          <w:highlight w:val="none"/>
        </w:rPr>
        <w:t>标准”。</w:t>
      </w:r>
    </w:p>
    <w:p w14:paraId="296C63A3">
      <w:pPr>
        <w:pStyle w:val="38"/>
        <w:spacing w:line="360" w:lineRule="auto"/>
        <w:rPr>
          <w:highlight w:val="none"/>
        </w:rPr>
      </w:pPr>
      <w:r>
        <w:rPr>
          <w:rFonts w:hint="eastAsia"/>
          <w:highlight w:val="none"/>
        </w:rPr>
        <w:t>10.相同品牌处理原则</w:t>
      </w:r>
    </w:p>
    <w:p w14:paraId="3E373DFB">
      <w:pPr>
        <w:pStyle w:val="38"/>
        <w:spacing w:line="360" w:lineRule="auto"/>
        <w:rPr>
          <w:highlight w:val="none"/>
        </w:rPr>
      </w:pPr>
      <w:r>
        <w:rPr>
          <w:rFonts w:hint="eastAsia"/>
          <w:highlight w:val="none"/>
          <w:lang w:val="en-US"/>
        </w:rPr>
        <w:t>10</w:t>
      </w:r>
      <w:r>
        <w:rPr>
          <w:rFonts w:hint="eastAsia"/>
          <w:highlight w:val="none"/>
        </w:rPr>
        <w:t>.1单一产品采购（或非单一产品采购中的核心产品），提供相同品牌产品且通过资格审查、符合性审查的不同投标人参加同一合同项下投标的，按一家投标人计算。</w:t>
      </w:r>
    </w:p>
    <w:p w14:paraId="685190E3">
      <w:pPr>
        <w:pStyle w:val="38"/>
        <w:spacing w:line="360" w:lineRule="auto"/>
        <w:rPr>
          <w:highlight w:val="none"/>
        </w:rPr>
      </w:pPr>
      <w:r>
        <w:rPr>
          <w:rFonts w:hint="eastAsia"/>
          <w:highlight w:val="none"/>
          <w:lang w:val="en-US"/>
        </w:rPr>
        <w:t>10</w:t>
      </w:r>
      <w:r>
        <w:rPr>
          <w:rFonts w:hint="eastAsia"/>
          <w:highlight w:val="none"/>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1C3031FA">
      <w:pPr>
        <w:pStyle w:val="38"/>
        <w:spacing w:line="360" w:lineRule="auto"/>
        <w:rPr>
          <w:highlight w:val="none"/>
        </w:rPr>
      </w:pPr>
      <w:r>
        <w:rPr>
          <w:rFonts w:hint="eastAsia"/>
          <w:highlight w:val="none"/>
          <w:lang w:val="en-US"/>
        </w:rPr>
        <w:t>10</w:t>
      </w:r>
      <w:r>
        <w:rPr>
          <w:rFonts w:hint="eastAsia"/>
          <w:highlight w:val="none"/>
        </w:rPr>
        <w:t>.3有效投标品牌不足3家的应按</w:t>
      </w:r>
      <w:r>
        <w:rPr>
          <w:rFonts w:hint="eastAsia"/>
          <w:b/>
          <w:bCs/>
          <w:highlight w:val="none"/>
        </w:rPr>
        <w:t>废标</w:t>
      </w:r>
      <w:r>
        <w:rPr>
          <w:rFonts w:hint="eastAsia"/>
          <w:highlight w:val="none"/>
        </w:rPr>
        <w:t>处理。</w:t>
      </w:r>
    </w:p>
    <w:p w14:paraId="7FFA11AB">
      <w:pPr>
        <w:pStyle w:val="4"/>
        <w:spacing w:line="360" w:lineRule="auto"/>
        <w:rPr>
          <w:highlight w:val="none"/>
          <w:lang w:val="zh-CN"/>
        </w:rPr>
      </w:pPr>
      <w:r>
        <w:rPr>
          <w:rFonts w:hint="eastAsia"/>
          <w:highlight w:val="none"/>
          <w:lang w:val="zh-CN"/>
        </w:rPr>
        <w:t>（</w:t>
      </w:r>
      <w:r>
        <w:rPr>
          <w:rFonts w:hint="eastAsia"/>
          <w:highlight w:val="none"/>
        </w:rPr>
        <w:t>四</w:t>
      </w:r>
      <w:r>
        <w:rPr>
          <w:rFonts w:hint="eastAsia"/>
          <w:highlight w:val="none"/>
          <w:lang w:val="zh-CN"/>
        </w:rPr>
        <w:t>）报价评审</w:t>
      </w:r>
    </w:p>
    <w:p w14:paraId="3784C2C2">
      <w:pPr>
        <w:pStyle w:val="38"/>
        <w:spacing w:line="360" w:lineRule="auto"/>
        <w:rPr>
          <w:highlight w:val="none"/>
        </w:rPr>
      </w:pPr>
      <w:r>
        <w:rPr>
          <w:rFonts w:hint="eastAsia"/>
          <w:highlight w:val="none"/>
          <w:lang w:val="en-US"/>
        </w:rPr>
        <w:t>11.</w:t>
      </w:r>
      <w:r>
        <w:rPr>
          <w:rFonts w:hint="eastAsia"/>
          <w:highlight w:val="none"/>
        </w:rPr>
        <w:t>投标报价评审</w:t>
      </w:r>
    </w:p>
    <w:p w14:paraId="7B306D35">
      <w:pPr>
        <w:pStyle w:val="38"/>
        <w:spacing w:line="360" w:lineRule="auto"/>
        <w:rPr>
          <w:highlight w:val="none"/>
        </w:rPr>
      </w:pPr>
      <w:r>
        <w:rPr>
          <w:rFonts w:hint="eastAsia"/>
          <w:highlight w:val="none"/>
          <w:lang w:val="en-US"/>
        </w:rPr>
        <w:t>11.</w:t>
      </w:r>
      <w:r>
        <w:rPr>
          <w:rFonts w:hint="eastAsia"/>
          <w:highlight w:val="none"/>
        </w:rPr>
        <w:t>1</w:t>
      </w:r>
      <w:r>
        <w:rPr>
          <w:rFonts w:hint="eastAsia"/>
          <w:highlight w:val="none"/>
          <w:lang w:val="en-US"/>
        </w:rPr>
        <w:t>货物项目的价格分值占总分值的比重不得低于30%。执行国家统一定价标准和采用固定价格采购的项目，其价格不列为评审因素。</w:t>
      </w:r>
      <w:r>
        <w:rPr>
          <w:rFonts w:hint="eastAsia"/>
          <w:highlight w:val="none"/>
        </w:rPr>
        <w:t>价格分应当采用低价优先法计算，即满足招标文件要求且投标价格最低的投标报价为评标基准价，其价格分为满分。其他投标人的价格分统一按照下列公式计算：</w:t>
      </w:r>
    </w:p>
    <w:p w14:paraId="0BDA7734">
      <w:pPr>
        <w:pStyle w:val="38"/>
        <w:spacing w:line="360" w:lineRule="auto"/>
        <w:rPr>
          <w:highlight w:val="none"/>
        </w:rPr>
      </w:pPr>
      <w:r>
        <w:rPr>
          <w:rFonts w:hint="eastAsia"/>
          <w:highlight w:val="none"/>
        </w:rPr>
        <w:t>投标报价得分=（评标基准价／投标报价)×价格分值</w:t>
      </w:r>
    </w:p>
    <w:p w14:paraId="571BBD90">
      <w:pPr>
        <w:pStyle w:val="38"/>
        <w:spacing w:line="360" w:lineRule="auto"/>
        <w:rPr>
          <w:highlight w:val="none"/>
        </w:rPr>
      </w:pPr>
      <w:r>
        <w:rPr>
          <w:rFonts w:hint="eastAsia"/>
          <w:highlight w:val="none"/>
        </w:rPr>
        <w:t>评标过程中，不得去掉报价中的最高报价和最低报价。</w:t>
      </w:r>
    </w:p>
    <w:p w14:paraId="5E441594">
      <w:pPr>
        <w:pStyle w:val="38"/>
        <w:spacing w:line="360" w:lineRule="auto"/>
        <w:rPr>
          <w:highlight w:val="none"/>
        </w:rPr>
      </w:pPr>
      <w:r>
        <w:rPr>
          <w:rFonts w:hint="eastAsia"/>
          <w:highlight w:val="none"/>
          <w:lang w:val="en-US"/>
        </w:rPr>
        <w:t>11.</w:t>
      </w:r>
      <w:r>
        <w:rPr>
          <w:rFonts w:hint="eastAsia"/>
          <w:highlight w:val="none"/>
        </w:rPr>
        <w:t>2除算术修正和落实政府采购政策的价格扣除外，不对投标报价进行调整；</w:t>
      </w:r>
    </w:p>
    <w:p w14:paraId="74FCA78E">
      <w:pPr>
        <w:pStyle w:val="38"/>
        <w:spacing w:line="360" w:lineRule="auto"/>
        <w:rPr>
          <w:highlight w:val="none"/>
        </w:rPr>
      </w:pPr>
      <w:r>
        <w:rPr>
          <w:rFonts w:hint="eastAsia"/>
          <w:highlight w:val="none"/>
          <w:lang w:val="en-US"/>
        </w:rPr>
        <w:t>11.</w:t>
      </w:r>
      <w:r>
        <w:rPr>
          <w:rFonts w:hint="eastAsia"/>
          <w:highlight w:val="none"/>
        </w:rPr>
        <w:t>3价格分值见本章“</w:t>
      </w:r>
      <w:r>
        <w:rPr>
          <w:rFonts w:hint="eastAsia"/>
          <w:highlight w:val="none"/>
          <w:lang w:val="en-US"/>
        </w:rPr>
        <w:t>四、</w:t>
      </w:r>
      <w:r>
        <w:rPr>
          <w:rFonts w:hint="eastAsia"/>
          <w:highlight w:val="none"/>
        </w:rPr>
        <w:t>评</w:t>
      </w:r>
      <w:r>
        <w:rPr>
          <w:rFonts w:hint="eastAsia"/>
          <w:highlight w:val="none"/>
          <w:lang w:val="en-US"/>
        </w:rPr>
        <w:t>标</w:t>
      </w:r>
      <w:r>
        <w:rPr>
          <w:rFonts w:hint="eastAsia"/>
          <w:highlight w:val="none"/>
        </w:rPr>
        <w:t>标准”。</w:t>
      </w:r>
    </w:p>
    <w:p w14:paraId="1BB4D5CB">
      <w:pPr>
        <w:pStyle w:val="38"/>
        <w:spacing w:line="360" w:lineRule="auto"/>
        <w:rPr>
          <w:highlight w:val="none"/>
          <w:lang w:val="en-US"/>
        </w:rPr>
      </w:pPr>
      <w:r>
        <w:rPr>
          <w:rFonts w:hint="eastAsia"/>
          <w:highlight w:val="none"/>
          <w:lang w:val="en-US"/>
        </w:rPr>
        <w:t>12.</w:t>
      </w:r>
      <w:r>
        <w:rPr>
          <w:rFonts w:hint="eastAsia"/>
          <w:highlight w:val="none"/>
        </w:rPr>
        <w:t>政府采购异常低价审查</w:t>
      </w:r>
    </w:p>
    <w:p w14:paraId="037A931C">
      <w:pPr>
        <w:spacing w:line="360" w:lineRule="auto"/>
        <w:rPr>
          <w:highlight w:val="none"/>
        </w:rPr>
      </w:pPr>
      <w:r>
        <w:rPr>
          <w:rFonts w:hint="eastAsia"/>
          <w:highlight w:val="none"/>
        </w:rPr>
        <w:t>12.1政府采购评审中出现下列情形之一的，评审委员会应当启动异常低价投标（响应）审查程序：</w:t>
      </w:r>
    </w:p>
    <w:p w14:paraId="106A3BCB">
      <w:pPr>
        <w:spacing w:line="360" w:lineRule="auto"/>
        <w:rPr>
          <w:highlight w:val="none"/>
        </w:rPr>
      </w:pPr>
      <w:r>
        <w:rPr>
          <w:rFonts w:hint="eastAsia"/>
          <w:highlight w:val="none"/>
        </w:rPr>
        <w:t>（1）投标（响应）报价低于全部通过符合性审查供应商投标（响应）报价平均值50%的，即投标（响应）报价&lt;全部通过符合性审查供应商投标（响应）报价平均值×50%；</w:t>
      </w:r>
    </w:p>
    <w:p w14:paraId="56848B13">
      <w:pPr>
        <w:spacing w:line="360" w:lineRule="auto"/>
        <w:rPr>
          <w:highlight w:val="none"/>
        </w:rPr>
      </w:pPr>
      <w:r>
        <w:rPr>
          <w:rFonts w:hint="eastAsia"/>
          <w:highlight w:val="none"/>
        </w:rPr>
        <w:t>（2）投标（响应）报价低于通过符合性审查的次低报价供应商投标（响应）报价50%的，即投标（响应）报价&lt;通过符合性审查的次低报价供应商投标（响应）报价×50%；</w:t>
      </w:r>
    </w:p>
    <w:p w14:paraId="35D837D0">
      <w:pPr>
        <w:spacing w:line="360" w:lineRule="auto"/>
        <w:rPr>
          <w:highlight w:val="none"/>
        </w:rPr>
      </w:pPr>
      <w:r>
        <w:rPr>
          <w:rFonts w:hint="eastAsia"/>
          <w:highlight w:val="none"/>
        </w:rPr>
        <w:t>（3）投标（响应）报价低于采购项目最高限价45%的，即投标（响应）报价&lt;采购项目最高限价×45%；</w:t>
      </w:r>
    </w:p>
    <w:p w14:paraId="42E1ED38">
      <w:pPr>
        <w:spacing w:line="360" w:lineRule="auto"/>
        <w:rPr>
          <w:highlight w:val="none"/>
        </w:rPr>
      </w:pPr>
      <w:r>
        <w:rPr>
          <w:rFonts w:hint="eastAsia"/>
          <w:highlight w:val="none"/>
        </w:rPr>
        <w:t>（4）评审委员会基于专业判断，认为供应商报价过低，有可能影响产品质量或者不能诚信履约的其他情形。</w:t>
      </w:r>
    </w:p>
    <w:p w14:paraId="70566232">
      <w:pPr>
        <w:spacing w:line="360" w:lineRule="auto"/>
        <w:rPr>
          <w:highlight w:val="none"/>
        </w:rPr>
      </w:pPr>
      <w:r>
        <w:rPr>
          <w:rFonts w:hint="eastAsia"/>
          <w:highlight w:val="none"/>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D0204BC">
      <w:pPr>
        <w:spacing w:line="360" w:lineRule="auto"/>
        <w:rPr>
          <w:highlight w:val="none"/>
        </w:rPr>
      </w:pPr>
      <w:r>
        <w:rPr>
          <w:rFonts w:hint="eastAsia"/>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17C81C8">
      <w:pPr>
        <w:pStyle w:val="38"/>
        <w:spacing w:line="360" w:lineRule="auto"/>
        <w:rPr>
          <w:highlight w:val="none"/>
        </w:rPr>
      </w:pPr>
      <w:r>
        <w:rPr>
          <w:rFonts w:hint="eastAsia"/>
          <w:highlight w:val="none"/>
        </w:rPr>
        <w:t>1</w:t>
      </w:r>
      <w:r>
        <w:rPr>
          <w:rFonts w:hint="eastAsia"/>
          <w:highlight w:val="none"/>
          <w:lang w:val="en-US"/>
        </w:rPr>
        <w:t>3</w:t>
      </w:r>
      <w:r>
        <w:rPr>
          <w:rFonts w:hint="eastAsia"/>
          <w:highlight w:val="none"/>
        </w:rPr>
        <w:t>.政府采购政策评审</w:t>
      </w:r>
    </w:p>
    <w:p w14:paraId="708B9531">
      <w:pPr>
        <w:pStyle w:val="38"/>
        <w:spacing w:line="360" w:lineRule="auto"/>
        <w:rPr>
          <w:highlight w:val="none"/>
        </w:rPr>
      </w:pPr>
      <w:r>
        <w:rPr>
          <w:rFonts w:hint="eastAsia"/>
          <w:highlight w:val="none"/>
        </w:rPr>
        <w:t>1</w:t>
      </w:r>
      <w:r>
        <w:rPr>
          <w:rFonts w:hint="eastAsia"/>
          <w:highlight w:val="none"/>
          <w:lang w:val="en-US"/>
        </w:rPr>
        <w:t>3</w:t>
      </w:r>
      <w:r>
        <w:rPr>
          <w:rFonts w:hint="eastAsia"/>
          <w:highlight w:val="none"/>
        </w:rPr>
        <w:t>.1非专门面向中小企业的采购项目或采购包，对符合规定的小微企业（</w:t>
      </w:r>
      <w:r>
        <w:rPr>
          <w:rFonts w:hint="eastAsia"/>
          <w:highlight w:val="none"/>
          <w:lang w:val="en-US"/>
        </w:rPr>
        <w:t>含</w:t>
      </w:r>
      <w:r>
        <w:rPr>
          <w:rFonts w:hint="eastAsia"/>
          <w:highlight w:val="none"/>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highlight w:val="none"/>
          <w:lang w:val="en-US"/>
        </w:rPr>
        <w:t>招标</w:t>
      </w:r>
      <w:r>
        <w:rPr>
          <w:rFonts w:hint="eastAsia"/>
          <w:highlight w:val="none"/>
        </w:rPr>
        <w:t>文件“</w:t>
      </w:r>
      <w:r>
        <w:rPr>
          <w:rFonts w:hint="eastAsia"/>
          <w:highlight w:val="none"/>
          <w:lang w:val="en-US"/>
        </w:rPr>
        <w:t>投标人</w:t>
      </w:r>
      <w:r>
        <w:rPr>
          <w:rFonts w:hint="eastAsia"/>
          <w:highlight w:val="none"/>
        </w:rPr>
        <w:t>须知前附表”中的规定扣除，用扣除后的价格</w:t>
      </w:r>
      <w:r>
        <w:rPr>
          <w:rFonts w:hint="eastAsia"/>
          <w:highlight w:val="none"/>
          <w:lang w:val="en-US"/>
        </w:rPr>
        <w:t>参与</w:t>
      </w:r>
      <w:r>
        <w:rPr>
          <w:rFonts w:hint="eastAsia"/>
          <w:highlight w:val="none"/>
        </w:rPr>
        <w:t>评审，采购产品纳入创新产品应用示范推荐目录内企业、采购产品获得节能产品或环境标志产品认证证书</w:t>
      </w:r>
      <w:r>
        <w:rPr>
          <w:rFonts w:hint="eastAsia"/>
          <w:highlight w:val="none"/>
          <w:lang w:val="en-US"/>
        </w:rPr>
        <w:t>的投标人</w:t>
      </w:r>
      <w:r>
        <w:rPr>
          <w:rFonts w:hint="eastAsia"/>
          <w:highlight w:val="none"/>
        </w:rPr>
        <w:t>按照本</w:t>
      </w:r>
      <w:r>
        <w:rPr>
          <w:rFonts w:hint="eastAsia"/>
          <w:highlight w:val="none"/>
          <w:lang w:val="en-US"/>
        </w:rPr>
        <w:t>招标</w:t>
      </w:r>
      <w:r>
        <w:rPr>
          <w:rFonts w:hint="eastAsia"/>
          <w:highlight w:val="none"/>
        </w:rPr>
        <w:t>文件“</w:t>
      </w:r>
      <w:r>
        <w:rPr>
          <w:rFonts w:hint="eastAsia"/>
          <w:highlight w:val="none"/>
          <w:lang w:val="en-US"/>
        </w:rPr>
        <w:t>投标人</w:t>
      </w:r>
      <w:r>
        <w:rPr>
          <w:rFonts w:hint="eastAsia"/>
          <w:highlight w:val="none"/>
        </w:rPr>
        <w:t>须知前附表”中的规定</w:t>
      </w:r>
      <w:r>
        <w:rPr>
          <w:rFonts w:hint="eastAsia"/>
          <w:highlight w:val="none"/>
          <w:lang w:val="en-US"/>
        </w:rPr>
        <w:t>给予评审优惠</w:t>
      </w:r>
      <w:r>
        <w:rPr>
          <w:rFonts w:hint="eastAsia"/>
          <w:highlight w:val="none"/>
        </w:rPr>
        <w:t>。</w:t>
      </w:r>
    </w:p>
    <w:p w14:paraId="35E77A34">
      <w:pPr>
        <w:pStyle w:val="38"/>
        <w:spacing w:line="360" w:lineRule="auto"/>
        <w:rPr>
          <w:highlight w:val="none"/>
        </w:rPr>
      </w:pPr>
      <w:r>
        <w:rPr>
          <w:rFonts w:hint="eastAsia"/>
          <w:highlight w:val="none"/>
          <w:lang w:val="en-US"/>
        </w:rPr>
        <w:t>13.</w:t>
      </w:r>
      <w:r>
        <w:rPr>
          <w:rFonts w:hint="eastAsia"/>
          <w:highlight w:val="none"/>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highlight w:val="none"/>
          <w:lang w:val="en-US"/>
        </w:rPr>
        <w:t>若供应商同时属于小型或微型企业、监狱企业、残疾人福利性单位 中的两种及以上，将不重复享受小微企业价格扣减的优惠政策。</w:t>
      </w:r>
    </w:p>
    <w:p w14:paraId="0C47EB0B">
      <w:pPr>
        <w:pStyle w:val="38"/>
        <w:spacing w:line="360" w:lineRule="auto"/>
        <w:rPr>
          <w:highlight w:val="none"/>
        </w:rPr>
      </w:pPr>
      <w:r>
        <w:rPr>
          <w:rFonts w:hint="eastAsia"/>
          <w:highlight w:val="none"/>
        </w:rPr>
        <w:t>组成联合体或者接受分包的小微企业与联合体内其他企业、分包企业之间存在直接控股、管理关系的，不享受价格扣除优惠政策。</w:t>
      </w:r>
    </w:p>
    <w:p w14:paraId="3E10C9C8">
      <w:pPr>
        <w:pStyle w:val="38"/>
        <w:spacing w:line="360" w:lineRule="auto"/>
        <w:rPr>
          <w:highlight w:val="none"/>
        </w:rPr>
      </w:pPr>
      <w:r>
        <w:rPr>
          <w:rFonts w:hint="eastAsia"/>
          <w:highlight w:val="none"/>
        </w:rPr>
        <w:t>价格扣除比例对小型企业和微型企业同等对待，不作区分。</w:t>
      </w:r>
    </w:p>
    <w:p w14:paraId="2519CDC2">
      <w:pPr>
        <w:pStyle w:val="38"/>
        <w:spacing w:line="360" w:lineRule="auto"/>
        <w:rPr>
          <w:highlight w:val="none"/>
        </w:rPr>
      </w:pPr>
      <w:r>
        <w:rPr>
          <w:rFonts w:hint="eastAsia"/>
          <w:highlight w:val="none"/>
          <w:lang w:val="en-US"/>
        </w:rPr>
        <w:t>13.</w:t>
      </w:r>
      <w:r>
        <w:rPr>
          <w:rFonts w:hint="eastAsia"/>
          <w:highlight w:val="none"/>
        </w:rPr>
        <w:t>3专门面向中小企业、预留部分采购份额面向中小企业采购的项目或采购包，评审时不再进行价格扣除。</w:t>
      </w:r>
    </w:p>
    <w:p w14:paraId="69F7459E">
      <w:pPr>
        <w:pStyle w:val="38"/>
        <w:spacing w:line="360" w:lineRule="auto"/>
        <w:rPr>
          <w:highlight w:val="none"/>
        </w:rPr>
      </w:pPr>
      <w:r>
        <w:rPr>
          <w:rFonts w:hint="eastAsia"/>
          <w:highlight w:val="none"/>
          <w:lang w:val="en-US"/>
        </w:rPr>
        <w:t>13.4</w:t>
      </w:r>
      <w:r>
        <w:rPr>
          <w:rFonts w:hint="eastAsia"/>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或者分包意向协议</w:t>
      </w:r>
      <w:r>
        <w:rPr>
          <w:rFonts w:hint="eastAsia"/>
          <w:highlight w:val="none"/>
          <w:lang w:val="en-US"/>
        </w:rPr>
        <w:t>书</w:t>
      </w:r>
      <w:r>
        <w:rPr>
          <w:rFonts w:hint="eastAsia"/>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4E36BCCD">
      <w:pPr>
        <w:pStyle w:val="38"/>
        <w:spacing w:line="360" w:lineRule="auto"/>
        <w:rPr>
          <w:highlight w:val="none"/>
        </w:rPr>
      </w:pPr>
      <w:r>
        <w:rPr>
          <w:rFonts w:hint="eastAsia"/>
          <w:highlight w:val="none"/>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24F5EEB9">
      <w:pPr>
        <w:pStyle w:val="38"/>
        <w:spacing w:line="360" w:lineRule="auto"/>
        <w:rPr>
          <w:highlight w:val="none"/>
        </w:rPr>
      </w:pPr>
      <w:r>
        <w:rPr>
          <w:rFonts w:hint="eastAsia"/>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9D3F86A">
      <w:pPr>
        <w:pStyle w:val="38"/>
        <w:spacing w:line="360" w:lineRule="auto"/>
        <w:rPr>
          <w:highlight w:val="none"/>
        </w:rPr>
      </w:pPr>
      <w:r>
        <w:rPr>
          <w:rFonts w:hint="eastAsia"/>
          <w:snapToGrid w:val="0"/>
          <w:highlight w:val="none"/>
        </w:rPr>
        <w:t>13.6采购标的仅包含单一产品时，</w:t>
      </w:r>
      <w:r>
        <w:rPr>
          <w:rFonts w:hint="eastAsia"/>
          <w:highlight w:val="none"/>
        </w:rPr>
        <w:t>政府采购活动中既有本国产品又有非本国产品参与竞争的，</w:t>
      </w:r>
      <w:r>
        <w:rPr>
          <w:rFonts w:hint="eastAsia"/>
          <w:snapToGrid w:val="0"/>
          <w:highlight w:val="none"/>
        </w:rPr>
        <w:t>供应商对其提供的产品出具《关于符合本国产品标准的声明函》，</w:t>
      </w:r>
      <w:r>
        <w:rPr>
          <w:rFonts w:hint="eastAsia"/>
          <w:highlight w:val="none"/>
        </w:rPr>
        <w:t>依法对本国产品给予价格评审优惠，对本国产品的报价给予20%的价格扣除，用扣除后的价格参与评审。</w:t>
      </w:r>
    </w:p>
    <w:p w14:paraId="23EDBFBE">
      <w:pPr>
        <w:pStyle w:val="38"/>
        <w:spacing w:line="360" w:lineRule="auto"/>
        <w:rPr>
          <w:snapToGrid w:val="0"/>
          <w:highlight w:val="none"/>
        </w:rPr>
      </w:pPr>
      <w:r>
        <w:rPr>
          <w:rFonts w:hint="eastAsia"/>
          <w:snapToGrid w:val="0"/>
          <w:highlight w:val="none"/>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72E1AF91">
      <w:pPr>
        <w:pStyle w:val="38"/>
        <w:spacing w:line="360" w:lineRule="auto"/>
        <w:rPr>
          <w:snapToGrid w:val="0"/>
          <w:highlight w:val="none"/>
        </w:rPr>
      </w:pPr>
      <w:r>
        <w:rPr>
          <w:rFonts w:hint="eastAsia"/>
          <w:snapToGrid w:val="0"/>
          <w:highlight w:val="none"/>
        </w:rPr>
        <w:t>13.8对于仅有本国产品参与竞争的政府采购项目，本国产品不享受价格扣除评审优惠。</w:t>
      </w:r>
    </w:p>
    <w:p w14:paraId="57193BD2">
      <w:pPr>
        <w:pStyle w:val="38"/>
        <w:spacing w:line="360" w:lineRule="auto"/>
        <w:rPr>
          <w:snapToGrid w:val="0"/>
          <w:highlight w:val="none"/>
        </w:rPr>
      </w:pPr>
      <w:r>
        <w:rPr>
          <w:rFonts w:hint="eastAsia"/>
          <w:snapToGrid w:val="0"/>
          <w:highlight w:val="none"/>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7E18C1B9">
      <w:pPr>
        <w:pStyle w:val="38"/>
        <w:spacing w:line="360" w:lineRule="auto"/>
        <w:rPr>
          <w:snapToGrid w:val="0"/>
          <w:highlight w:val="none"/>
        </w:rPr>
      </w:pPr>
      <w:r>
        <w:rPr>
          <w:rFonts w:hint="eastAsia"/>
          <w:snapToGrid w:val="0"/>
          <w:highlight w:val="none"/>
        </w:rPr>
        <w:t>对医疗器械产品，提供取得药品监督管理部门授予的准字号医疗器械注册证的，视为符合本国产品标准，无须填写《声明函》，</w:t>
      </w:r>
      <w:r>
        <w:rPr>
          <w:rFonts w:hint="eastAsia" w:cs="宋体"/>
          <w:szCs w:val="24"/>
          <w:highlight w:val="none"/>
        </w:rPr>
        <w:t>报价给予20%的价格扣除，用扣除后的价格参与评审。</w:t>
      </w:r>
    </w:p>
    <w:p w14:paraId="16CCDFA1">
      <w:pPr>
        <w:pStyle w:val="38"/>
        <w:spacing w:line="360" w:lineRule="auto"/>
        <w:rPr>
          <w:snapToGrid w:val="0"/>
          <w:highlight w:val="none"/>
        </w:rPr>
      </w:pPr>
      <w:r>
        <w:rPr>
          <w:rFonts w:hint="eastAsia"/>
          <w:snapToGrid w:val="0"/>
          <w:highlight w:val="none"/>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4CABDC0F">
      <w:pPr>
        <w:pStyle w:val="4"/>
        <w:spacing w:line="360" w:lineRule="auto"/>
        <w:rPr>
          <w:highlight w:val="none"/>
          <w:lang w:val="zh-CN"/>
        </w:rPr>
      </w:pPr>
      <w:r>
        <w:rPr>
          <w:rFonts w:hint="eastAsia"/>
          <w:highlight w:val="none"/>
          <w:lang w:val="zh-CN"/>
        </w:rPr>
        <w:t>（</w:t>
      </w:r>
      <w:r>
        <w:rPr>
          <w:rFonts w:hint="eastAsia"/>
          <w:highlight w:val="none"/>
        </w:rPr>
        <w:t>五</w:t>
      </w:r>
      <w:r>
        <w:rPr>
          <w:rFonts w:hint="eastAsia"/>
          <w:highlight w:val="none"/>
          <w:lang w:val="zh-CN"/>
        </w:rPr>
        <w:t>）评标得分及复核</w:t>
      </w:r>
    </w:p>
    <w:p w14:paraId="78260A9B">
      <w:pPr>
        <w:pStyle w:val="38"/>
        <w:spacing w:line="360" w:lineRule="auto"/>
        <w:rPr>
          <w:highlight w:val="none"/>
        </w:rPr>
      </w:pPr>
      <w:r>
        <w:rPr>
          <w:rFonts w:hint="eastAsia"/>
          <w:highlight w:val="none"/>
          <w:lang w:val="en-US"/>
        </w:rPr>
        <w:t>14.</w:t>
      </w:r>
      <w:r>
        <w:rPr>
          <w:rFonts w:hint="eastAsia"/>
          <w:highlight w:val="none"/>
        </w:rPr>
        <w:t>评标过程中，各项分值一般精确到小数点后两位，评标得分应为商务评分、技术评分、报价评分之和。评标委员会各成员应汇总每个投标人的得分。</w:t>
      </w:r>
    </w:p>
    <w:p w14:paraId="6671D05F">
      <w:pPr>
        <w:pStyle w:val="38"/>
        <w:spacing w:line="360" w:lineRule="auto"/>
        <w:rPr>
          <w:highlight w:val="none"/>
        </w:rPr>
      </w:pPr>
      <w:r>
        <w:rPr>
          <w:rFonts w:hint="eastAsia"/>
          <w:highlight w:val="none"/>
          <w:lang w:val="en-US"/>
        </w:rPr>
        <w:t>14.1</w:t>
      </w:r>
      <w:r>
        <w:rPr>
          <w:rFonts w:hint="eastAsia"/>
          <w:highlight w:val="none"/>
        </w:rPr>
        <w:t>评标结果汇总完成后，采购代理机构应对评标结果进行复核。经复核发现存在以下情形之一的，评标委员会应当当场修改评标结果，并在评标报告中记载：</w:t>
      </w:r>
    </w:p>
    <w:p w14:paraId="3753B44A">
      <w:pPr>
        <w:pStyle w:val="38"/>
        <w:spacing w:line="360" w:lineRule="auto"/>
        <w:rPr>
          <w:highlight w:val="none"/>
        </w:rPr>
      </w:pPr>
      <w:r>
        <w:rPr>
          <w:rFonts w:hint="eastAsia"/>
          <w:highlight w:val="none"/>
          <w:lang w:val="en-US"/>
        </w:rPr>
        <w:t>（1）</w:t>
      </w:r>
      <w:r>
        <w:rPr>
          <w:rFonts w:hint="eastAsia"/>
          <w:highlight w:val="none"/>
        </w:rPr>
        <w:t>分值汇总计算错误的；</w:t>
      </w:r>
    </w:p>
    <w:p w14:paraId="21384451">
      <w:pPr>
        <w:pStyle w:val="38"/>
        <w:spacing w:line="360" w:lineRule="auto"/>
        <w:rPr>
          <w:highlight w:val="none"/>
        </w:rPr>
      </w:pPr>
      <w:r>
        <w:rPr>
          <w:rFonts w:hint="eastAsia"/>
          <w:highlight w:val="none"/>
          <w:lang w:val="en-US"/>
        </w:rPr>
        <w:t>（2）</w:t>
      </w:r>
      <w:r>
        <w:rPr>
          <w:rFonts w:hint="eastAsia"/>
          <w:highlight w:val="none"/>
        </w:rPr>
        <w:t>分项评分超出评分标准范围的；</w:t>
      </w:r>
    </w:p>
    <w:p w14:paraId="06A18B34">
      <w:pPr>
        <w:pStyle w:val="38"/>
        <w:spacing w:line="360" w:lineRule="auto"/>
        <w:rPr>
          <w:highlight w:val="none"/>
        </w:rPr>
      </w:pPr>
      <w:r>
        <w:rPr>
          <w:rFonts w:hint="eastAsia"/>
          <w:highlight w:val="none"/>
          <w:lang w:val="en-US"/>
        </w:rPr>
        <w:t>（3）</w:t>
      </w:r>
      <w:r>
        <w:rPr>
          <w:rFonts w:hint="eastAsia"/>
          <w:highlight w:val="none"/>
        </w:rPr>
        <w:t>评标委员会成员对客观评审因素评分不一致的；</w:t>
      </w:r>
    </w:p>
    <w:p w14:paraId="7E661112">
      <w:pPr>
        <w:pStyle w:val="38"/>
        <w:spacing w:line="360" w:lineRule="auto"/>
        <w:rPr>
          <w:highlight w:val="none"/>
        </w:rPr>
      </w:pPr>
      <w:r>
        <w:rPr>
          <w:rFonts w:hint="eastAsia"/>
          <w:highlight w:val="none"/>
          <w:lang w:val="en-US"/>
        </w:rPr>
        <w:t>（4）</w:t>
      </w:r>
      <w:r>
        <w:rPr>
          <w:rFonts w:hint="eastAsia"/>
          <w:highlight w:val="none"/>
        </w:rPr>
        <w:t>经评标委员会认定评分畸高、畸低的。</w:t>
      </w:r>
    </w:p>
    <w:p w14:paraId="2CA9CECF">
      <w:pPr>
        <w:pStyle w:val="38"/>
        <w:spacing w:line="360" w:lineRule="auto"/>
        <w:rPr>
          <w:highlight w:val="none"/>
        </w:rPr>
      </w:pPr>
      <w:r>
        <w:rPr>
          <w:rFonts w:hint="eastAsia"/>
          <w:highlight w:val="none"/>
          <w:lang w:val="en-US"/>
        </w:rPr>
        <w:t>15.</w:t>
      </w:r>
      <w:r>
        <w:rPr>
          <w:rFonts w:hint="eastAsia"/>
          <w:highlight w:val="none"/>
        </w:rPr>
        <w:t>各投标人的最终得分为评标委员会所有成员对各投标人评标得分汇总后的算术平均值。</w:t>
      </w:r>
    </w:p>
    <w:p w14:paraId="096FAB00">
      <w:pPr>
        <w:pStyle w:val="38"/>
        <w:spacing w:line="360" w:lineRule="auto"/>
        <w:rPr>
          <w:highlight w:val="none"/>
        </w:rPr>
      </w:pPr>
      <w:r>
        <w:rPr>
          <w:rFonts w:hint="eastAsia"/>
          <w:highlight w:val="none"/>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BFFE3A3">
      <w:pPr>
        <w:pStyle w:val="38"/>
        <w:spacing w:line="360" w:lineRule="auto"/>
        <w:rPr>
          <w:highlight w:val="none"/>
        </w:rPr>
      </w:pPr>
      <w:r>
        <w:rPr>
          <w:rFonts w:hint="eastAsia"/>
          <w:highlight w:val="none"/>
        </w:rPr>
        <w:t>15.2采购人或者采购代理机构不得通过对样品进行检测、对投标人进行考察等方式改变评审结果。</w:t>
      </w:r>
    </w:p>
    <w:p w14:paraId="42CCA660">
      <w:pPr>
        <w:pStyle w:val="4"/>
        <w:spacing w:line="360" w:lineRule="auto"/>
        <w:rPr>
          <w:highlight w:val="none"/>
          <w:lang w:val="zh-CN"/>
        </w:rPr>
      </w:pPr>
      <w:r>
        <w:rPr>
          <w:rFonts w:hint="eastAsia"/>
          <w:highlight w:val="none"/>
          <w:lang w:val="zh-CN"/>
        </w:rPr>
        <w:t>（</w:t>
      </w:r>
      <w:r>
        <w:rPr>
          <w:rFonts w:hint="eastAsia"/>
          <w:highlight w:val="none"/>
        </w:rPr>
        <w:t>六</w:t>
      </w:r>
      <w:r>
        <w:rPr>
          <w:rFonts w:hint="eastAsia"/>
          <w:highlight w:val="none"/>
          <w:lang w:val="zh-CN"/>
        </w:rPr>
        <w:t>）排序与推荐</w:t>
      </w:r>
    </w:p>
    <w:p w14:paraId="401799A0">
      <w:pPr>
        <w:pStyle w:val="38"/>
        <w:spacing w:line="360" w:lineRule="auto"/>
        <w:rPr>
          <w:highlight w:val="none"/>
        </w:rPr>
      </w:pPr>
      <w:r>
        <w:rPr>
          <w:rFonts w:hint="eastAsia"/>
          <w:highlight w:val="none"/>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646D666A">
      <w:pPr>
        <w:pStyle w:val="38"/>
        <w:spacing w:line="360" w:lineRule="auto"/>
        <w:rPr>
          <w:highlight w:val="none"/>
        </w:rPr>
      </w:pPr>
      <w:r>
        <w:rPr>
          <w:rFonts w:hint="eastAsia"/>
          <w:highlight w:val="none"/>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53FEE1CC">
      <w:pPr>
        <w:pStyle w:val="38"/>
        <w:spacing w:line="360" w:lineRule="auto"/>
        <w:rPr>
          <w:highlight w:val="none"/>
        </w:rPr>
      </w:pPr>
      <w:r>
        <w:rPr>
          <w:rFonts w:hint="eastAsia"/>
          <w:highlight w:val="none"/>
        </w:rPr>
        <w:t>18.中标候选人推荐家数详见“投标人须知前附表”。</w:t>
      </w:r>
    </w:p>
    <w:p w14:paraId="74294186">
      <w:pPr>
        <w:pStyle w:val="4"/>
        <w:spacing w:line="360" w:lineRule="auto"/>
        <w:rPr>
          <w:highlight w:val="none"/>
          <w:lang w:val="zh-CN"/>
        </w:rPr>
      </w:pPr>
      <w:r>
        <w:rPr>
          <w:rFonts w:hint="eastAsia"/>
          <w:highlight w:val="none"/>
          <w:lang w:val="zh-CN"/>
        </w:rPr>
        <w:t>（</w:t>
      </w:r>
      <w:r>
        <w:rPr>
          <w:rFonts w:hint="eastAsia"/>
          <w:highlight w:val="none"/>
        </w:rPr>
        <w:t>七</w:t>
      </w:r>
      <w:r>
        <w:rPr>
          <w:rFonts w:hint="eastAsia"/>
          <w:highlight w:val="none"/>
          <w:lang w:val="zh-CN"/>
        </w:rPr>
        <w:t>）编写评标报告</w:t>
      </w:r>
    </w:p>
    <w:p w14:paraId="6DC39987">
      <w:pPr>
        <w:pStyle w:val="38"/>
        <w:spacing w:line="360" w:lineRule="auto"/>
        <w:rPr>
          <w:highlight w:val="none"/>
        </w:rPr>
      </w:pPr>
      <w:r>
        <w:rPr>
          <w:rFonts w:hint="eastAsia"/>
          <w:highlight w:val="none"/>
          <w:lang w:val="en-US"/>
        </w:rPr>
        <w:t>19.</w:t>
      </w:r>
      <w:r>
        <w:rPr>
          <w:rFonts w:hint="eastAsia"/>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21" w:name="_Toc102057717"/>
      <w:bookmarkStart w:id="322" w:name="_Toc155185913"/>
      <w:bookmarkStart w:id="323" w:name="_Toc102056217"/>
      <w:bookmarkStart w:id="324" w:name="_Toc102119852"/>
      <w:bookmarkStart w:id="325" w:name="_Toc163492906"/>
      <w:bookmarkStart w:id="326" w:name="_Toc102116151"/>
      <w:bookmarkStart w:id="327" w:name="_Toc102116021"/>
      <w:bookmarkStart w:id="328" w:name="_Toc102114919"/>
    </w:p>
    <w:p w14:paraId="03E5C6F5">
      <w:pPr>
        <w:pStyle w:val="4"/>
        <w:spacing w:line="360" w:lineRule="auto"/>
        <w:rPr>
          <w:highlight w:val="none"/>
          <w:lang w:val="zh-CN"/>
        </w:rPr>
      </w:pPr>
      <w:r>
        <w:rPr>
          <w:rFonts w:hint="eastAsia"/>
          <w:highlight w:val="none"/>
          <w:lang w:val="zh-CN"/>
        </w:rPr>
        <w:t>（</w:t>
      </w:r>
      <w:r>
        <w:rPr>
          <w:rFonts w:hint="eastAsia"/>
          <w:highlight w:val="none"/>
        </w:rPr>
        <w:t>八</w:t>
      </w:r>
      <w:r>
        <w:rPr>
          <w:rFonts w:hint="eastAsia"/>
          <w:highlight w:val="none"/>
          <w:lang w:val="zh-CN"/>
        </w:rPr>
        <w:t>）</w:t>
      </w:r>
      <w:r>
        <w:rPr>
          <w:rFonts w:hint="eastAsia"/>
          <w:highlight w:val="none"/>
        </w:rPr>
        <w:t>投标无效及</w:t>
      </w:r>
      <w:r>
        <w:rPr>
          <w:rFonts w:hint="eastAsia"/>
          <w:highlight w:val="none"/>
          <w:lang w:val="zh-CN"/>
        </w:rPr>
        <w:t>应予废标的情形</w:t>
      </w:r>
      <w:bookmarkEnd w:id="321"/>
      <w:bookmarkEnd w:id="322"/>
      <w:bookmarkEnd w:id="323"/>
      <w:bookmarkEnd w:id="324"/>
      <w:bookmarkEnd w:id="325"/>
      <w:bookmarkEnd w:id="326"/>
      <w:bookmarkEnd w:id="327"/>
      <w:bookmarkEnd w:id="328"/>
    </w:p>
    <w:p w14:paraId="210E62AC">
      <w:pPr>
        <w:pStyle w:val="38"/>
        <w:spacing w:line="360" w:lineRule="auto"/>
        <w:rPr>
          <w:highlight w:val="none"/>
        </w:rPr>
      </w:pPr>
      <w:r>
        <w:rPr>
          <w:rFonts w:hint="eastAsia"/>
          <w:highlight w:val="none"/>
        </w:rPr>
        <w:t>20.投标人存在下列情形之一的，</w:t>
      </w:r>
      <w:r>
        <w:rPr>
          <w:rFonts w:hint="eastAsia"/>
          <w:b/>
          <w:bCs/>
          <w:highlight w:val="none"/>
        </w:rPr>
        <w:t>投标无效</w:t>
      </w:r>
      <w:r>
        <w:rPr>
          <w:rFonts w:hint="eastAsia"/>
          <w:highlight w:val="none"/>
        </w:rPr>
        <w:t>：</w:t>
      </w:r>
    </w:p>
    <w:p w14:paraId="3FEC26C4">
      <w:pPr>
        <w:pStyle w:val="38"/>
        <w:spacing w:line="360" w:lineRule="auto"/>
        <w:rPr>
          <w:highlight w:val="none"/>
        </w:rPr>
      </w:pPr>
      <w:r>
        <w:rPr>
          <w:rFonts w:hint="eastAsia"/>
          <w:highlight w:val="none"/>
          <w:lang w:val="en-US"/>
        </w:rPr>
        <w:t>20.</w:t>
      </w:r>
      <w:r>
        <w:rPr>
          <w:rFonts w:hint="eastAsia"/>
          <w:highlight w:val="none"/>
        </w:rPr>
        <w:t>1</w:t>
      </w:r>
      <w:r>
        <w:rPr>
          <w:rFonts w:hint="eastAsia"/>
          <w:highlight w:val="none"/>
          <w:lang w:val="en-US"/>
        </w:rPr>
        <w:t>投标人</w:t>
      </w:r>
      <w:r>
        <w:rPr>
          <w:rFonts w:hint="eastAsia"/>
          <w:highlight w:val="none"/>
        </w:rPr>
        <w:t>不具备《中华人民共和国政府采购法》第二十二条规定条件</w:t>
      </w:r>
      <w:r>
        <w:rPr>
          <w:rFonts w:hint="eastAsia"/>
          <w:highlight w:val="none"/>
          <w:lang w:val="en-US"/>
        </w:rPr>
        <w:t>；</w:t>
      </w:r>
    </w:p>
    <w:p w14:paraId="61981594">
      <w:pPr>
        <w:pStyle w:val="38"/>
        <w:spacing w:line="360" w:lineRule="auto"/>
        <w:rPr>
          <w:highlight w:val="none"/>
          <w:lang w:val="en-US"/>
        </w:rPr>
      </w:pPr>
      <w:r>
        <w:rPr>
          <w:rFonts w:hint="eastAsia"/>
          <w:highlight w:val="none"/>
          <w:lang w:val="en-US"/>
        </w:rPr>
        <w:t>20.</w:t>
      </w:r>
      <w:r>
        <w:rPr>
          <w:rFonts w:hint="eastAsia"/>
          <w:highlight w:val="none"/>
        </w:rPr>
        <w:t>2投标文件未按招标文件要求签署、盖章的</w:t>
      </w:r>
      <w:r>
        <w:rPr>
          <w:rFonts w:hint="eastAsia"/>
          <w:highlight w:val="none"/>
          <w:lang w:val="en-US"/>
        </w:rPr>
        <w:t>；</w:t>
      </w:r>
    </w:p>
    <w:p w14:paraId="2280A995">
      <w:pPr>
        <w:pStyle w:val="38"/>
        <w:spacing w:line="360" w:lineRule="auto"/>
        <w:rPr>
          <w:highlight w:val="none"/>
        </w:rPr>
      </w:pPr>
      <w:r>
        <w:rPr>
          <w:rFonts w:hint="eastAsia"/>
          <w:highlight w:val="none"/>
        </w:rPr>
        <w:t>20.3不具备招标文件中规定的资格要求的（投标人未提供有效资格文件的，视为投标人不具备招标文件中规定的资格要求）；</w:t>
      </w:r>
    </w:p>
    <w:p w14:paraId="3CF6724D">
      <w:pPr>
        <w:pStyle w:val="38"/>
        <w:spacing w:line="360" w:lineRule="auto"/>
        <w:rPr>
          <w:highlight w:val="none"/>
        </w:rPr>
      </w:pPr>
      <w:r>
        <w:rPr>
          <w:rFonts w:hint="eastAsia"/>
          <w:highlight w:val="none"/>
          <w:lang w:val="en-US"/>
        </w:rPr>
        <w:t>20.</w:t>
      </w:r>
      <w:r>
        <w:rPr>
          <w:rFonts w:hint="eastAsia"/>
          <w:highlight w:val="none"/>
        </w:rPr>
        <w:t>4</w:t>
      </w:r>
      <w:r>
        <w:rPr>
          <w:rFonts w:hint="eastAsia"/>
          <w:highlight w:val="none"/>
          <w:lang w:val="en-US"/>
        </w:rPr>
        <w:t>投标</w:t>
      </w:r>
      <w:r>
        <w:rPr>
          <w:rFonts w:hint="eastAsia"/>
          <w:highlight w:val="none"/>
        </w:rPr>
        <w:t>文件提供虚假材料的</w:t>
      </w:r>
      <w:r>
        <w:rPr>
          <w:rFonts w:hint="eastAsia"/>
          <w:highlight w:val="none"/>
          <w:lang w:val="en-US"/>
        </w:rPr>
        <w:t>；</w:t>
      </w:r>
    </w:p>
    <w:p w14:paraId="558BBE27">
      <w:pPr>
        <w:pStyle w:val="38"/>
        <w:spacing w:line="360" w:lineRule="auto"/>
        <w:rPr>
          <w:highlight w:val="none"/>
        </w:rPr>
      </w:pPr>
      <w:r>
        <w:rPr>
          <w:rFonts w:hint="eastAsia"/>
          <w:highlight w:val="none"/>
          <w:lang w:val="en-US"/>
        </w:rPr>
        <w:t>20.</w:t>
      </w:r>
      <w:r>
        <w:rPr>
          <w:rFonts w:hint="eastAsia"/>
          <w:highlight w:val="none"/>
        </w:rPr>
        <w:t>5</w:t>
      </w:r>
      <w:r>
        <w:rPr>
          <w:rFonts w:hint="eastAsia"/>
          <w:highlight w:val="none"/>
          <w:lang w:val="en-US"/>
        </w:rPr>
        <w:t>投标</w:t>
      </w:r>
      <w:r>
        <w:rPr>
          <w:rFonts w:hint="eastAsia"/>
          <w:highlight w:val="none"/>
        </w:rPr>
        <w:t>文件不满足</w:t>
      </w:r>
      <w:r>
        <w:rPr>
          <w:rFonts w:hint="eastAsia"/>
          <w:highlight w:val="none"/>
          <w:lang w:val="en-US"/>
        </w:rPr>
        <w:t>招标</w:t>
      </w:r>
      <w:r>
        <w:rPr>
          <w:rFonts w:hint="eastAsia"/>
          <w:highlight w:val="none"/>
        </w:rPr>
        <w:t>文件中标注“★”号的实质性条款（或指标）要求的</w:t>
      </w:r>
      <w:r>
        <w:rPr>
          <w:rFonts w:hint="eastAsia"/>
          <w:highlight w:val="none"/>
          <w:lang w:val="en-US"/>
        </w:rPr>
        <w:t>；</w:t>
      </w:r>
    </w:p>
    <w:p w14:paraId="6D0AB143">
      <w:pPr>
        <w:pStyle w:val="38"/>
        <w:spacing w:line="360" w:lineRule="auto"/>
        <w:rPr>
          <w:highlight w:val="none"/>
          <w:lang w:val="en-US"/>
        </w:rPr>
      </w:pPr>
      <w:r>
        <w:rPr>
          <w:rFonts w:hint="eastAsia"/>
          <w:highlight w:val="none"/>
          <w:lang w:val="en-US"/>
        </w:rPr>
        <w:t>20.</w:t>
      </w:r>
      <w:r>
        <w:rPr>
          <w:rFonts w:hint="eastAsia"/>
          <w:highlight w:val="none"/>
        </w:rPr>
        <w:t>6</w:t>
      </w:r>
      <w:r>
        <w:rPr>
          <w:rFonts w:hint="eastAsia"/>
          <w:highlight w:val="none"/>
          <w:lang w:val="en-US"/>
        </w:rPr>
        <w:t>投标人</w:t>
      </w:r>
      <w:r>
        <w:rPr>
          <w:rFonts w:hint="eastAsia"/>
          <w:highlight w:val="none"/>
        </w:rPr>
        <w:t>报价超过招标文件中规定的最高限价或者预算金额的</w:t>
      </w:r>
      <w:r>
        <w:rPr>
          <w:rFonts w:hint="eastAsia"/>
          <w:highlight w:val="none"/>
          <w:lang w:val="en-US"/>
        </w:rPr>
        <w:t>；</w:t>
      </w:r>
    </w:p>
    <w:p w14:paraId="4E3F420A">
      <w:pPr>
        <w:pStyle w:val="38"/>
        <w:spacing w:line="360" w:lineRule="auto"/>
        <w:rPr>
          <w:highlight w:val="none"/>
        </w:rPr>
      </w:pPr>
      <w:r>
        <w:rPr>
          <w:rFonts w:hint="eastAsia"/>
          <w:highlight w:val="none"/>
          <w:lang w:val="en-US"/>
        </w:rPr>
        <w:t>20.</w:t>
      </w:r>
      <w:r>
        <w:rPr>
          <w:rFonts w:hint="eastAsia"/>
          <w:highlight w:val="none"/>
        </w:rPr>
        <w:t>7联合体的供应商未提交各方共同签署的</w:t>
      </w:r>
      <w:r>
        <w:rPr>
          <w:rFonts w:hint="eastAsia"/>
          <w:highlight w:val="none"/>
          <w:lang w:val="en-US"/>
        </w:rPr>
        <w:t>联合体</w:t>
      </w:r>
      <w:r>
        <w:rPr>
          <w:rFonts w:hint="eastAsia"/>
          <w:highlight w:val="none"/>
        </w:rPr>
        <w:t>协议</w:t>
      </w:r>
      <w:r>
        <w:rPr>
          <w:rFonts w:hint="eastAsia"/>
          <w:highlight w:val="none"/>
          <w:lang w:val="en-US"/>
        </w:rPr>
        <w:t>的；</w:t>
      </w:r>
    </w:p>
    <w:p w14:paraId="6BD54648">
      <w:pPr>
        <w:pStyle w:val="38"/>
        <w:spacing w:line="360" w:lineRule="auto"/>
        <w:rPr>
          <w:highlight w:val="none"/>
        </w:rPr>
      </w:pPr>
      <w:r>
        <w:rPr>
          <w:rFonts w:hint="eastAsia"/>
          <w:highlight w:val="none"/>
        </w:rPr>
        <w:t>20.8投标人未按招标文件的规定交纳投标保证金的；</w:t>
      </w:r>
    </w:p>
    <w:p w14:paraId="6FF63163">
      <w:pPr>
        <w:pStyle w:val="38"/>
        <w:spacing w:line="360" w:lineRule="auto"/>
        <w:rPr>
          <w:highlight w:val="none"/>
        </w:rPr>
      </w:pPr>
      <w:r>
        <w:rPr>
          <w:rFonts w:hint="eastAsia"/>
          <w:highlight w:val="none"/>
          <w:lang w:val="en-US"/>
        </w:rPr>
        <w:t>20.</w:t>
      </w:r>
      <w:r>
        <w:rPr>
          <w:rFonts w:hint="eastAsia"/>
          <w:highlight w:val="none"/>
        </w:rPr>
        <w:t>9评审期间，</w:t>
      </w:r>
      <w:r>
        <w:rPr>
          <w:rFonts w:hint="eastAsia"/>
          <w:highlight w:val="none"/>
          <w:lang w:val="en-US"/>
        </w:rPr>
        <w:t>投标人</w:t>
      </w:r>
      <w:r>
        <w:rPr>
          <w:rFonts w:hint="eastAsia"/>
          <w:highlight w:val="none"/>
        </w:rPr>
        <w:t>没有按评标委员会的要求提交经授权代表签字的澄清、说明、补正或改变了</w:t>
      </w:r>
      <w:r>
        <w:rPr>
          <w:rFonts w:hint="eastAsia"/>
          <w:highlight w:val="none"/>
          <w:lang w:val="en-US"/>
        </w:rPr>
        <w:t>投标</w:t>
      </w:r>
      <w:r>
        <w:rPr>
          <w:rFonts w:hint="eastAsia"/>
          <w:highlight w:val="none"/>
        </w:rPr>
        <w:t>文件的实质性内容</w:t>
      </w:r>
      <w:r>
        <w:rPr>
          <w:rFonts w:hint="eastAsia"/>
          <w:highlight w:val="none"/>
          <w:lang w:val="en-US"/>
        </w:rPr>
        <w:t>的；</w:t>
      </w:r>
    </w:p>
    <w:p w14:paraId="52D19F45">
      <w:pPr>
        <w:pStyle w:val="38"/>
        <w:spacing w:line="360" w:lineRule="auto"/>
        <w:rPr>
          <w:highlight w:val="none"/>
          <w:lang w:val="en-US"/>
        </w:rPr>
      </w:pPr>
      <w:r>
        <w:rPr>
          <w:rFonts w:hint="eastAsia"/>
          <w:highlight w:val="none"/>
          <w:lang w:val="en-US"/>
        </w:rPr>
        <w:t>20.</w:t>
      </w:r>
      <w:r>
        <w:rPr>
          <w:rFonts w:hint="eastAsia"/>
          <w:highlight w:val="none"/>
        </w:rPr>
        <w:t>10</w:t>
      </w:r>
      <w:r>
        <w:rPr>
          <w:rFonts w:hint="eastAsia"/>
          <w:highlight w:val="none"/>
          <w:lang w:val="en-US"/>
        </w:rPr>
        <w:t>投标人</w:t>
      </w:r>
      <w:r>
        <w:rPr>
          <w:rFonts w:hint="eastAsia"/>
          <w:highlight w:val="none"/>
        </w:rPr>
        <w:t>对采购人、采购代理机构、评标委员会及其工作人员施加影响，有碍公平、公正</w:t>
      </w:r>
      <w:r>
        <w:rPr>
          <w:rFonts w:hint="eastAsia"/>
          <w:highlight w:val="none"/>
          <w:lang w:val="en-US"/>
        </w:rPr>
        <w:t>的；</w:t>
      </w:r>
    </w:p>
    <w:p w14:paraId="4ED80118">
      <w:pPr>
        <w:pStyle w:val="38"/>
        <w:spacing w:line="360" w:lineRule="auto"/>
        <w:rPr>
          <w:highlight w:val="none"/>
        </w:rPr>
      </w:pPr>
      <w:r>
        <w:rPr>
          <w:rFonts w:hint="eastAsia"/>
          <w:highlight w:val="none"/>
        </w:rPr>
        <w:t>20.11投标文件含有采购人不能接受的附加条件的；</w:t>
      </w:r>
    </w:p>
    <w:p w14:paraId="4FAEC631">
      <w:pPr>
        <w:pStyle w:val="38"/>
        <w:spacing w:line="360" w:lineRule="auto"/>
        <w:rPr>
          <w:highlight w:val="none"/>
          <w:lang w:val="en-US"/>
        </w:rPr>
      </w:pPr>
      <w:r>
        <w:rPr>
          <w:rFonts w:hint="eastAsia"/>
          <w:highlight w:val="none"/>
          <w:lang w:val="en-US"/>
        </w:rPr>
        <w:t>20.</w:t>
      </w:r>
      <w:r>
        <w:rPr>
          <w:rFonts w:hint="eastAsia"/>
          <w:highlight w:val="none"/>
        </w:rPr>
        <w:t>1</w:t>
      </w:r>
      <w:r>
        <w:rPr>
          <w:rFonts w:hint="eastAsia"/>
          <w:highlight w:val="none"/>
          <w:lang w:val="en-US"/>
        </w:rPr>
        <w:t>2</w:t>
      </w:r>
      <w:r>
        <w:rPr>
          <w:rFonts w:hint="eastAsia"/>
          <w:highlight w:val="none"/>
        </w:rPr>
        <w:t>法律、法规、规章规定属于</w:t>
      </w:r>
      <w:r>
        <w:rPr>
          <w:rFonts w:hint="eastAsia"/>
          <w:highlight w:val="none"/>
          <w:lang w:val="en-US"/>
        </w:rPr>
        <w:t>投标</w:t>
      </w:r>
      <w:r>
        <w:rPr>
          <w:rFonts w:hint="eastAsia"/>
          <w:highlight w:val="none"/>
        </w:rPr>
        <w:t>无效的其他情形。</w:t>
      </w:r>
    </w:p>
    <w:p w14:paraId="7EF622C9">
      <w:pPr>
        <w:pStyle w:val="38"/>
        <w:spacing w:line="360" w:lineRule="auto"/>
        <w:rPr>
          <w:highlight w:val="none"/>
        </w:rPr>
      </w:pPr>
      <w:r>
        <w:rPr>
          <w:rFonts w:hint="eastAsia"/>
          <w:highlight w:val="none"/>
        </w:rPr>
        <w:t>21.有下列情形之一的，视为投标人串通投标，其</w:t>
      </w:r>
      <w:r>
        <w:rPr>
          <w:rFonts w:hint="eastAsia"/>
          <w:b/>
          <w:bCs/>
          <w:highlight w:val="none"/>
        </w:rPr>
        <w:t>投标无效</w:t>
      </w:r>
      <w:r>
        <w:rPr>
          <w:rFonts w:hint="eastAsia"/>
          <w:highlight w:val="none"/>
        </w:rPr>
        <w:t>：</w:t>
      </w:r>
    </w:p>
    <w:p w14:paraId="43A162D2">
      <w:pPr>
        <w:pStyle w:val="38"/>
        <w:spacing w:line="360" w:lineRule="auto"/>
        <w:rPr>
          <w:highlight w:val="none"/>
        </w:rPr>
      </w:pPr>
      <w:r>
        <w:rPr>
          <w:rFonts w:hint="eastAsia"/>
          <w:highlight w:val="none"/>
        </w:rPr>
        <w:t>21.1不同投标人的投标文件由同一单位或者个人编制；</w:t>
      </w:r>
    </w:p>
    <w:p w14:paraId="2158D80D">
      <w:pPr>
        <w:pStyle w:val="38"/>
        <w:spacing w:line="360" w:lineRule="auto"/>
        <w:rPr>
          <w:highlight w:val="none"/>
        </w:rPr>
      </w:pPr>
      <w:r>
        <w:rPr>
          <w:rFonts w:hint="eastAsia"/>
          <w:highlight w:val="none"/>
        </w:rPr>
        <w:t>21.2不同投标人委托同一单位或者个人办理投标事宜；</w:t>
      </w:r>
    </w:p>
    <w:p w14:paraId="68652251">
      <w:pPr>
        <w:pStyle w:val="38"/>
        <w:spacing w:line="360" w:lineRule="auto"/>
        <w:rPr>
          <w:highlight w:val="none"/>
        </w:rPr>
      </w:pPr>
      <w:r>
        <w:rPr>
          <w:rFonts w:hint="eastAsia"/>
          <w:highlight w:val="none"/>
        </w:rPr>
        <w:t>21.3不同投标人的投标文件载明的项目管理成员或者联系人员为同一人；</w:t>
      </w:r>
    </w:p>
    <w:p w14:paraId="0AE27517">
      <w:pPr>
        <w:pStyle w:val="38"/>
        <w:spacing w:line="360" w:lineRule="auto"/>
        <w:rPr>
          <w:highlight w:val="none"/>
        </w:rPr>
      </w:pPr>
      <w:r>
        <w:rPr>
          <w:rFonts w:hint="eastAsia"/>
          <w:highlight w:val="none"/>
        </w:rPr>
        <w:t>21.4不同投标人的投标文件异常一致或者投标报价呈规律性差异；</w:t>
      </w:r>
    </w:p>
    <w:p w14:paraId="2CB2A9E8">
      <w:pPr>
        <w:pStyle w:val="38"/>
        <w:spacing w:line="360" w:lineRule="auto"/>
        <w:rPr>
          <w:highlight w:val="none"/>
        </w:rPr>
      </w:pPr>
      <w:r>
        <w:rPr>
          <w:rFonts w:hint="eastAsia"/>
          <w:highlight w:val="none"/>
        </w:rPr>
        <w:t>21.5不同投标人的投标文件相互混装；</w:t>
      </w:r>
    </w:p>
    <w:p w14:paraId="5D2CE5BF">
      <w:pPr>
        <w:pStyle w:val="38"/>
        <w:spacing w:line="360" w:lineRule="auto"/>
        <w:rPr>
          <w:highlight w:val="none"/>
        </w:rPr>
      </w:pPr>
      <w:r>
        <w:rPr>
          <w:rFonts w:hint="eastAsia"/>
          <w:highlight w:val="none"/>
        </w:rPr>
        <w:t>21.6不同投标人的投标保证金从同一单位或者个人的账户转出；</w:t>
      </w:r>
    </w:p>
    <w:p w14:paraId="1E76C0A2">
      <w:pPr>
        <w:pStyle w:val="38"/>
        <w:spacing w:line="360" w:lineRule="auto"/>
        <w:rPr>
          <w:highlight w:val="none"/>
          <w:lang w:val="en-US"/>
        </w:rPr>
      </w:pPr>
      <w:r>
        <w:rPr>
          <w:rFonts w:hint="eastAsia"/>
          <w:highlight w:val="none"/>
          <w:lang w:val="en-US"/>
        </w:rPr>
        <w:t>21.7</w:t>
      </w:r>
      <w:r>
        <w:rPr>
          <w:rFonts w:hint="eastAsia"/>
          <w:highlight w:val="none"/>
        </w:rPr>
        <w:t>不同投标人使用同一电脑（机器特征值一致：如MAC地址等）或使用同一电子密钥，编制或上传电子投标文件</w:t>
      </w:r>
      <w:r>
        <w:rPr>
          <w:rFonts w:hint="eastAsia"/>
          <w:highlight w:val="none"/>
          <w:lang w:val="en-US"/>
        </w:rPr>
        <w:t>；</w:t>
      </w:r>
    </w:p>
    <w:p w14:paraId="4CC8BE13">
      <w:pPr>
        <w:pStyle w:val="38"/>
        <w:spacing w:line="360" w:lineRule="auto"/>
        <w:rPr>
          <w:highlight w:val="none"/>
        </w:rPr>
      </w:pPr>
      <w:r>
        <w:rPr>
          <w:rFonts w:hint="eastAsia"/>
          <w:highlight w:val="none"/>
        </w:rPr>
        <w:t>21.8法律、法规、规章规定属于投标人串通投标的其他情形。</w:t>
      </w:r>
    </w:p>
    <w:p w14:paraId="4C30B3B9">
      <w:pPr>
        <w:pStyle w:val="38"/>
        <w:spacing w:line="360" w:lineRule="auto"/>
        <w:rPr>
          <w:highlight w:val="none"/>
        </w:rPr>
      </w:pPr>
      <w:r>
        <w:rPr>
          <w:rFonts w:hint="eastAsia"/>
          <w:highlight w:val="none"/>
          <w:lang w:val="en-US"/>
        </w:rPr>
        <w:t>22</w:t>
      </w:r>
      <w:r>
        <w:rPr>
          <w:rFonts w:hint="eastAsia"/>
          <w:highlight w:val="none"/>
        </w:rPr>
        <w:t>.根据《中华人民共和国政府采购法》第三十六条之规定，在招标采购过程中，出现下列情形之一的，应予</w:t>
      </w:r>
      <w:r>
        <w:rPr>
          <w:rFonts w:hint="eastAsia"/>
          <w:b/>
          <w:bCs/>
          <w:highlight w:val="none"/>
        </w:rPr>
        <w:t>废标</w:t>
      </w:r>
      <w:r>
        <w:rPr>
          <w:rFonts w:hint="eastAsia"/>
          <w:highlight w:val="none"/>
        </w:rPr>
        <w:t>：</w:t>
      </w:r>
    </w:p>
    <w:p w14:paraId="036B8B5D">
      <w:pPr>
        <w:pStyle w:val="38"/>
        <w:spacing w:line="360" w:lineRule="auto"/>
        <w:rPr>
          <w:highlight w:val="none"/>
        </w:rPr>
      </w:pPr>
      <w:r>
        <w:rPr>
          <w:rFonts w:hint="eastAsia"/>
          <w:highlight w:val="none"/>
          <w:lang w:val="en-US"/>
        </w:rPr>
        <w:t>22</w:t>
      </w:r>
      <w:r>
        <w:rPr>
          <w:rFonts w:hint="eastAsia"/>
          <w:highlight w:val="none"/>
        </w:rPr>
        <w:t>.1符合专业条件的供应商或者对招标文件作实质响应的供应商不足3家的；</w:t>
      </w:r>
    </w:p>
    <w:p w14:paraId="4FCE2961">
      <w:pPr>
        <w:pStyle w:val="38"/>
        <w:spacing w:line="360" w:lineRule="auto"/>
        <w:rPr>
          <w:highlight w:val="none"/>
        </w:rPr>
      </w:pPr>
      <w:r>
        <w:rPr>
          <w:rFonts w:hint="eastAsia"/>
          <w:highlight w:val="none"/>
          <w:lang w:val="en-US"/>
        </w:rPr>
        <w:t>22</w:t>
      </w:r>
      <w:r>
        <w:rPr>
          <w:rFonts w:hint="eastAsia"/>
          <w:highlight w:val="none"/>
        </w:rPr>
        <w:t>.2出现影响采购公正的违法、违规行为的；</w:t>
      </w:r>
    </w:p>
    <w:p w14:paraId="331649BA">
      <w:pPr>
        <w:pStyle w:val="38"/>
        <w:spacing w:line="360" w:lineRule="auto"/>
        <w:rPr>
          <w:highlight w:val="none"/>
        </w:rPr>
      </w:pPr>
      <w:r>
        <w:rPr>
          <w:rFonts w:hint="eastAsia"/>
          <w:highlight w:val="none"/>
          <w:lang w:val="en-US"/>
        </w:rPr>
        <w:t>22</w:t>
      </w:r>
      <w:r>
        <w:rPr>
          <w:rFonts w:hint="eastAsia"/>
          <w:highlight w:val="none"/>
        </w:rPr>
        <w:t>.3投标人的报价均超过了采购预算，采购人不能支付的；</w:t>
      </w:r>
    </w:p>
    <w:p w14:paraId="79173617">
      <w:pPr>
        <w:pStyle w:val="38"/>
        <w:spacing w:line="360" w:lineRule="auto"/>
        <w:rPr>
          <w:highlight w:val="none"/>
          <w:lang w:val="en-US"/>
        </w:rPr>
      </w:pPr>
      <w:r>
        <w:rPr>
          <w:rFonts w:hint="eastAsia"/>
          <w:highlight w:val="none"/>
          <w:lang w:val="en-US"/>
        </w:rPr>
        <w:t>22</w:t>
      </w:r>
      <w:r>
        <w:rPr>
          <w:rFonts w:hint="eastAsia"/>
          <w:highlight w:val="none"/>
        </w:rPr>
        <w:t>.4因重大变故，采购任务取消的</w:t>
      </w:r>
      <w:r>
        <w:rPr>
          <w:rFonts w:hint="eastAsia"/>
          <w:highlight w:val="none"/>
          <w:lang w:val="en-US"/>
        </w:rPr>
        <w:t>；</w:t>
      </w:r>
    </w:p>
    <w:p w14:paraId="0A83022D">
      <w:pPr>
        <w:pStyle w:val="38"/>
        <w:spacing w:line="360" w:lineRule="auto"/>
        <w:rPr>
          <w:highlight w:val="none"/>
        </w:rPr>
      </w:pPr>
      <w:r>
        <w:rPr>
          <w:rFonts w:hint="eastAsia"/>
          <w:highlight w:val="none"/>
          <w:lang w:val="en-US"/>
        </w:rPr>
        <w:t xml:space="preserve">22.5 </w:t>
      </w:r>
      <w:r>
        <w:rPr>
          <w:rFonts w:hint="eastAsia"/>
          <w:highlight w:val="none"/>
        </w:rPr>
        <w:t>法律、法规、规章规定属于</w:t>
      </w:r>
      <w:r>
        <w:rPr>
          <w:rFonts w:hint="eastAsia"/>
          <w:highlight w:val="none"/>
          <w:lang w:val="en-US"/>
        </w:rPr>
        <w:t>废标</w:t>
      </w:r>
      <w:r>
        <w:rPr>
          <w:rFonts w:hint="eastAsia"/>
          <w:highlight w:val="none"/>
        </w:rPr>
        <w:t>的其他情形。</w:t>
      </w:r>
    </w:p>
    <w:p w14:paraId="5EF72886">
      <w:pPr>
        <w:pStyle w:val="38"/>
        <w:spacing w:line="360" w:lineRule="auto"/>
        <w:rPr>
          <w:highlight w:val="none"/>
        </w:rPr>
      </w:pPr>
      <w:r>
        <w:rPr>
          <w:rFonts w:hint="eastAsia"/>
          <w:highlight w:val="none"/>
          <w:lang w:val="en-US"/>
        </w:rPr>
        <w:t>23.</w:t>
      </w:r>
      <w:r>
        <w:rPr>
          <w:rFonts w:hint="eastAsia"/>
          <w:highlight w:val="none"/>
        </w:rPr>
        <w:t>废标后，采购人应当将废标理由通知所有投标人。</w:t>
      </w:r>
    </w:p>
    <w:p w14:paraId="4ADA9504">
      <w:pPr>
        <w:pStyle w:val="4"/>
        <w:spacing w:line="360" w:lineRule="auto"/>
        <w:rPr>
          <w:highlight w:val="none"/>
          <w:lang w:val="zh-CN"/>
        </w:rPr>
      </w:pPr>
      <w:bookmarkStart w:id="329" w:name="_Toc163492907"/>
      <w:bookmarkStart w:id="330" w:name="_Toc102114920"/>
      <w:bookmarkStart w:id="331" w:name="_Toc102057718"/>
      <w:bookmarkStart w:id="332" w:name="_Toc102116152"/>
      <w:bookmarkStart w:id="333" w:name="_Toc102056218"/>
      <w:bookmarkStart w:id="334" w:name="_Toc102119853"/>
      <w:bookmarkStart w:id="335" w:name="_Toc102116022"/>
      <w:bookmarkStart w:id="336" w:name="_Toc155185914"/>
      <w:r>
        <w:rPr>
          <w:rFonts w:hint="eastAsia"/>
          <w:highlight w:val="none"/>
          <w:lang w:val="zh-CN"/>
        </w:rPr>
        <w:t>（</w:t>
      </w:r>
      <w:r>
        <w:rPr>
          <w:rFonts w:hint="eastAsia"/>
          <w:highlight w:val="none"/>
        </w:rPr>
        <w:t>九</w:t>
      </w:r>
      <w:r>
        <w:rPr>
          <w:rFonts w:hint="eastAsia"/>
          <w:highlight w:val="none"/>
          <w:lang w:val="zh-CN"/>
        </w:rPr>
        <w:t>）停止评标的情形</w:t>
      </w:r>
      <w:bookmarkEnd w:id="329"/>
      <w:bookmarkEnd w:id="330"/>
      <w:bookmarkEnd w:id="331"/>
      <w:bookmarkEnd w:id="332"/>
      <w:bookmarkEnd w:id="333"/>
      <w:bookmarkEnd w:id="334"/>
      <w:bookmarkEnd w:id="335"/>
      <w:bookmarkEnd w:id="336"/>
    </w:p>
    <w:p w14:paraId="3E93895A">
      <w:pPr>
        <w:pStyle w:val="38"/>
        <w:spacing w:line="360" w:lineRule="auto"/>
        <w:rPr>
          <w:highlight w:val="none"/>
        </w:rPr>
      </w:pPr>
      <w:r>
        <w:rPr>
          <w:rFonts w:hint="eastAsia"/>
          <w:highlight w:val="none"/>
          <w:lang w:val="en-US"/>
        </w:rPr>
        <w:t>24</w:t>
      </w:r>
      <w:r>
        <w:rPr>
          <w:rFonts w:hint="eastAsia"/>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D0925CD">
      <w:pPr>
        <w:pStyle w:val="4"/>
        <w:spacing w:line="360" w:lineRule="auto"/>
        <w:rPr>
          <w:highlight w:val="none"/>
          <w:lang w:val="zh-CN"/>
        </w:rPr>
      </w:pPr>
      <w:r>
        <w:rPr>
          <w:rFonts w:hint="eastAsia"/>
          <w:highlight w:val="none"/>
          <w:lang w:val="zh-CN"/>
        </w:rPr>
        <w:t>（</w:t>
      </w:r>
      <w:r>
        <w:rPr>
          <w:rFonts w:hint="eastAsia"/>
          <w:highlight w:val="none"/>
        </w:rPr>
        <w:t>十</w:t>
      </w:r>
      <w:r>
        <w:rPr>
          <w:rFonts w:hint="eastAsia"/>
          <w:highlight w:val="none"/>
          <w:lang w:val="zh-CN"/>
        </w:rPr>
        <w:t>）重新开展采购</w:t>
      </w:r>
    </w:p>
    <w:p w14:paraId="22FBF6BA">
      <w:pPr>
        <w:pStyle w:val="38"/>
        <w:spacing w:line="360" w:lineRule="auto"/>
        <w:rPr>
          <w:highlight w:val="none"/>
        </w:rPr>
      </w:pPr>
      <w:r>
        <w:rPr>
          <w:rFonts w:hint="eastAsia"/>
          <w:highlight w:val="none"/>
          <w:lang w:val="en-US"/>
        </w:rPr>
        <w:t>25.</w:t>
      </w:r>
      <w:r>
        <w:rPr>
          <w:rFonts w:hint="eastAsia"/>
          <w:highlight w:val="none"/>
        </w:rPr>
        <w:t>有《中华人民共和国政府采购法》第七十一条、第七十二条规定的违法行为之一，影响或者可能影响中标结果的，依照下列规定处理：</w:t>
      </w:r>
    </w:p>
    <w:p w14:paraId="3734FB76">
      <w:pPr>
        <w:pStyle w:val="38"/>
        <w:spacing w:line="360" w:lineRule="auto"/>
        <w:rPr>
          <w:highlight w:val="none"/>
        </w:rPr>
      </w:pPr>
      <w:r>
        <w:rPr>
          <w:rFonts w:hint="eastAsia"/>
          <w:highlight w:val="none"/>
          <w:lang w:val="en-US"/>
        </w:rPr>
        <w:t>25</w:t>
      </w:r>
      <w:r>
        <w:rPr>
          <w:rFonts w:hint="eastAsia"/>
          <w:highlight w:val="none"/>
        </w:rPr>
        <w:t>.1未确定中标供应商的，终止本次政府采购活动，重新开展政府采购活动。</w:t>
      </w:r>
    </w:p>
    <w:p w14:paraId="069FB90F">
      <w:pPr>
        <w:pStyle w:val="38"/>
        <w:spacing w:line="360" w:lineRule="auto"/>
        <w:rPr>
          <w:highlight w:val="none"/>
        </w:rPr>
      </w:pPr>
      <w:r>
        <w:rPr>
          <w:rFonts w:hint="eastAsia"/>
          <w:highlight w:val="none"/>
          <w:lang w:val="en-US"/>
        </w:rPr>
        <w:t>25</w:t>
      </w:r>
      <w:r>
        <w:rPr>
          <w:rFonts w:hint="eastAsia"/>
          <w:highlight w:val="none"/>
        </w:rPr>
        <w:t>.2已确定中标供应商但尚未签订政府采购合同的，中标结果无效，从合格的中标候选人中另行确定中标供应商；没有合格的中标候选人的，重新开展政府采购活动。</w:t>
      </w:r>
    </w:p>
    <w:p w14:paraId="388B2A19">
      <w:pPr>
        <w:pStyle w:val="38"/>
        <w:spacing w:line="360" w:lineRule="auto"/>
        <w:rPr>
          <w:highlight w:val="none"/>
        </w:rPr>
      </w:pPr>
      <w:r>
        <w:rPr>
          <w:rFonts w:hint="eastAsia"/>
          <w:highlight w:val="none"/>
          <w:lang w:val="en-US"/>
        </w:rPr>
        <w:t>25</w:t>
      </w:r>
      <w:r>
        <w:rPr>
          <w:rFonts w:hint="eastAsia"/>
          <w:highlight w:val="none"/>
        </w:rPr>
        <w:t>.3政府采购合同已签订但尚未履行的，撤销合同，从合格的中标候选人中另行确定中标供应商；没有合格的中标候选人的，重新开展政府采购活动。</w:t>
      </w:r>
    </w:p>
    <w:p w14:paraId="4DDADD05">
      <w:pPr>
        <w:pStyle w:val="38"/>
        <w:spacing w:line="360" w:lineRule="auto"/>
        <w:rPr>
          <w:highlight w:val="none"/>
        </w:rPr>
      </w:pPr>
      <w:r>
        <w:rPr>
          <w:rFonts w:hint="eastAsia"/>
          <w:highlight w:val="none"/>
          <w:lang w:val="en-US"/>
        </w:rPr>
        <w:t>25</w:t>
      </w:r>
      <w:r>
        <w:rPr>
          <w:rFonts w:hint="eastAsia"/>
          <w:highlight w:val="none"/>
        </w:rPr>
        <w:t>.4政府采购合同已经履行，给采购人、供应商造成损失的，由责任人承担赔偿责任。</w:t>
      </w:r>
    </w:p>
    <w:p w14:paraId="605DDDC9">
      <w:pPr>
        <w:pStyle w:val="38"/>
        <w:spacing w:line="360" w:lineRule="auto"/>
        <w:rPr>
          <w:highlight w:val="none"/>
        </w:rPr>
      </w:pPr>
      <w:r>
        <w:rPr>
          <w:rFonts w:hint="eastAsia"/>
          <w:highlight w:val="none"/>
          <w:lang w:val="en-US"/>
        </w:rPr>
        <w:t>25</w:t>
      </w:r>
      <w:r>
        <w:rPr>
          <w:rFonts w:hint="eastAsia"/>
          <w:highlight w:val="none"/>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highlight w:val="none"/>
          <w:lang w:val="en-US"/>
        </w:rPr>
        <w:t>25</w:t>
      </w:r>
      <w:r>
        <w:rPr>
          <w:rFonts w:hint="eastAsia"/>
          <w:highlight w:val="none"/>
        </w:rPr>
        <w:t>.1—</w:t>
      </w:r>
      <w:r>
        <w:rPr>
          <w:rFonts w:hint="eastAsia"/>
          <w:highlight w:val="none"/>
          <w:lang w:val="en-US"/>
        </w:rPr>
        <w:t>25</w:t>
      </w:r>
      <w:r>
        <w:rPr>
          <w:rFonts w:hint="eastAsia"/>
          <w:highlight w:val="none"/>
        </w:rPr>
        <w:t>.4规定处理。</w:t>
      </w:r>
    </w:p>
    <w:bookmarkEnd w:id="301"/>
    <w:bookmarkEnd w:id="302"/>
    <w:bookmarkEnd w:id="303"/>
    <w:bookmarkEnd w:id="304"/>
    <w:bookmarkEnd w:id="305"/>
    <w:bookmarkEnd w:id="306"/>
    <w:bookmarkEnd w:id="307"/>
    <w:bookmarkEnd w:id="308"/>
    <w:bookmarkEnd w:id="309"/>
    <w:bookmarkEnd w:id="310"/>
    <w:p w14:paraId="0C12411D">
      <w:pPr>
        <w:pStyle w:val="3"/>
        <w:spacing w:line="360" w:lineRule="auto"/>
        <w:rPr>
          <w:highlight w:val="none"/>
        </w:rPr>
      </w:pPr>
      <w:bookmarkStart w:id="337" w:name="_Toc229390294"/>
      <w:r>
        <w:rPr>
          <w:rFonts w:hint="eastAsia"/>
          <w:highlight w:val="none"/>
          <w:lang w:val="zh-CN"/>
        </w:rPr>
        <w:t>三、评标</w:t>
      </w:r>
      <w:r>
        <w:rPr>
          <w:rFonts w:hint="eastAsia"/>
          <w:highlight w:val="none"/>
        </w:rPr>
        <w:t>其他要求</w:t>
      </w:r>
      <w:bookmarkEnd w:id="337"/>
    </w:p>
    <w:p w14:paraId="3358A7E3">
      <w:pPr>
        <w:pStyle w:val="38"/>
        <w:spacing w:line="360" w:lineRule="auto"/>
        <w:rPr>
          <w:highlight w:val="none"/>
        </w:rPr>
      </w:pPr>
      <w:r>
        <w:rPr>
          <w:rFonts w:hint="eastAsia"/>
          <w:highlight w:val="none"/>
        </w:rPr>
        <w:t>【可根据项目的情况增加上述内容中未包含的要求】</w:t>
      </w:r>
    </w:p>
    <w:p w14:paraId="6B2D8BB3">
      <w:pPr>
        <w:pStyle w:val="3"/>
        <w:spacing w:line="360" w:lineRule="auto"/>
        <w:rPr>
          <w:highlight w:val="none"/>
          <w:lang w:val="zh-CN"/>
        </w:rPr>
      </w:pPr>
      <w:bookmarkStart w:id="338" w:name="_Toc229390295"/>
      <w:bookmarkStart w:id="339" w:name="_Toc163492908"/>
      <w:bookmarkStart w:id="340" w:name="_Toc155185915"/>
      <w:r>
        <w:rPr>
          <w:rFonts w:hint="eastAsia"/>
          <w:highlight w:val="none"/>
        </w:rPr>
        <w:t>四</w:t>
      </w:r>
      <w:r>
        <w:rPr>
          <w:rFonts w:hint="eastAsia"/>
          <w:highlight w:val="none"/>
          <w:lang w:val="zh-CN"/>
        </w:rPr>
        <w:t>、评标标准</w:t>
      </w:r>
      <w:bookmarkEnd w:id="338"/>
      <w:bookmarkEnd w:id="339"/>
      <w:bookmarkEnd w:id="340"/>
    </w:p>
    <w:p w14:paraId="4D5542DE">
      <w:pPr>
        <w:pStyle w:val="4"/>
        <w:spacing w:line="360" w:lineRule="auto"/>
        <w:rPr>
          <w:highlight w:val="none"/>
          <w:lang w:val="zh-CN"/>
        </w:rPr>
      </w:pPr>
      <w:bookmarkStart w:id="341" w:name="_Toc163492909"/>
      <w:r>
        <w:rPr>
          <w:rFonts w:hint="eastAsia"/>
          <w:highlight w:val="none"/>
          <w:lang w:val="zh-CN"/>
        </w:rPr>
        <w:t>（一）符合性审查表</w:t>
      </w:r>
      <w:bookmarkEnd w:id="341"/>
    </w:p>
    <w:tbl>
      <w:tblPr>
        <w:tblStyle w:val="30"/>
        <w:tblW w:w="5818" w:type="pct"/>
        <w:tblInd w:w="-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1712"/>
        <w:gridCol w:w="5737"/>
        <w:gridCol w:w="676"/>
        <w:gridCol w:w="916"/>
      </w:tblGrid>
      <w:tr w14:paraId="10348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441" w:type="pct"/>
            <w:vMerge w:val="restart"/>
            <w:shd w:val="clear" w:color="auto" w:fill="D8D8D8" w:themeFill="background1" w:themeFillShade="D9"/>
            <w:vAlign w:val="center"/>
          </w:tcPr>
          <w:p w14:paraId="5AF32DC4">
            <w:pPr>
              <w:pStyle w:val="50"/>
              <w:spacing w:line="360" w:lineRule="auto"/>
              <w:jc w:val="center"/>
              <w:rPr>
                <w:rFonts w:cs="宋体"/>
                <w:b/>
                <w:bCs/>
                <w:szCs w:val="24"/>
                <w:highlight w:val="none"/>
                <w:lang w:val="zh-CN"/>
              </w:rPr>
            </w:pPr>
            <w:r>
              <w:rPr>
                <w:rFonts w:hint="eastAsia" w:cs="宋体"/>
                <w:b/>
                <w:bCs/>
                <w:szCs w:val="24"/>
                <w:highlight w:val="none"/>
                <w:lang w:val="zh-CN"/>
              </w:rPr>
              <w:t>序号</w:t>
            </w:r>
          </w:p>
        </w:tc>
        <w:tc>
          <w:tcPr>
            <w:tcW w:w="863" w:type="pct"/>
            <w:vMerge w:val="restart"/>
            <w:shd w:val="clear" w:color="auto" w:fill="D8D8D8" w:themeFill="background1" w:themeFillShade="D9"/>
            <w:vAlign w:val="center"/>
          </w:tcPr>
          <w:p w14:paraId="3E2FA05B">
            <w:pPr>
              <w:pStyle w:val="50"/>
              <w:spacing w:line="360" w:lineRule="auto"/>
              <w:jc w:val="center"/>
              <w:rPr>
                <w:rFonts w:cs="宋体"/>
                <w:b/>
                <w:bCs/>
                <w:szCs w:val="24"/>
                <w:highlight w:val="none"/>
                <w:lang w:val="zh-CN"/>
              </w:rPr>
            </w:pPr>
            <w:r>
              <w:rPr>
                <w:rFonts w:hint="eastAsia" w:cs="宋体"/>
                <w:b/>
                <w:bCs/>
                <w:szCs w:val="24"/>
                <w:highlight w:val="none"/>
                <w:lang w:val="zh-CN"/>
              </w:rPr>
              <w:t>审查项名称</w:t>
            </w:r>
          </w:p>
        </w:tc>
        <w:tc>
          <w:tcPr>
            <w:tcW w:w="2893" w:type="pct"/>
            <w:vMerge w:val="restart"/>
            <w:shd w:val="clear" w:color="auto" w:fill="D8D8D8" w:themeFill="background1" w:themeFillShade="D9"/>
            <w:vAlign w:val="center"/>
          </w:tcPr>
          <w:p w14:paraId="442788F7">
            <w:pPr>
              <w:pStyle w:val="50"/>
              <w:spacing w:line="360" w:lineRule="auto"/>
              <w:jc w:val="center"/>
              <w:rPr>
                <w:rFonts w:cs="宋体"/>
                <w:b/>
                <w:bCs/>
                <w:szCs w:val="24"/>
                <w:highlight w:val="none"/>
                <w:lang w:val="zh-CN"/>
              </w:rPr>
            </w:pPr>
            <w:r>
              <w:rPr>
                <w:rFonts w:hint="eastAsia" w:cs="宋体"/>
                <w:b/>
                <w:bCs/>
                <w:szCs w:val="24"/>
                <w:highlight w:val="none"/>
                <w:lang w:val="zh-CN"/>
              </w:rPr>
              <w:t>审查内容</w:t>
            </w:r>
          </w:p>
        </w:tc>
        <w:tc>
          <w:tcPr>
            <w:tcW w:w="803" w:type="pct"/>
            <w:gridSpan w:val="2"/>
            <w:shd w:val="clear" w:color="auto" w:fill="D8D8D8" w:themeFill="background1" w:themeFillShade="D9"/>
            <w:vAlign w:val="center"/>
          </w:tcPr>
          <w:p w14:paraId="3BBE57A1">
            <w:pPr>
              <w:pStyle w:val="50"/>
              <w:spacing w:line="360" w:lineRule="auto"/>
              <w:jc w:val="center"/>
              <w:rPr>
                <w:rFonts w:cs="宋体"/>
                <w:b/>
                <w:bCs/>
                <w:szCs w:val="24"/>
                <w:highlight w:val="none"/>
              </w:rPr>
            </w:pPr>
            <w:r>
              <w:rPr>
                <w:rFonts w:hint="eastAsia" w:cs="宋体"/>
                <w:b/>
                <w:bCs/>
                <w:szCs w:val="24"/>
                <w:highlight w:val="none"/>
              </w:rPr>
              <w:t>审查结果</w:t>
            </w:r>
          </w:p>
        </w:tc>
      </w:tr>
      <w:tr w14:paraId="4CC5B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41" w:type="pct"/>
            <w:vMerge w:val="continue"/>
            <w:shd w:val="clear" w:color="auto" w:fill="D8D8D8" w:themeFill="background1" w:themeFillShade="D9"/>
            <w:vAlign w:val="center"/>
          </w:tcPr>
          <w:p w14:paraId="49CDA628">
            <w:pPr>
              <w:pStyle w:val="50"/>
              <w:spacing w:line="360" w:lineRule="auto"/>
              <w:jc w:val="center"/>
              <w:rPr>
                <w:rFonts w:cs="宋体"/>
                <w:b/>
                <w:bCs/>
                <w:szCs w:val="24"/>
                <w:highlight w:val="none"/>
                <w:lang w:val="zh-CN"/>
              </w:rPr>
            </w:pPr>
          </w:p>
        </w:tc>
        <w:tc>
          <w:tcPr>
            <w:tcW w:w="863" w:type="pct"/>
            <w:vMerge w:val="continue"/>
            <w:shd w:val="clear" w:color="auto" w:fill="D8D8D8" w:themeFill="background1" w:themeFillShade="D9"/>
            <w:vAlign w:val="center"/>
          </w:tcPr>
          <w:p w14:paraId="716C2851">
            <w:pPr>
              <w:pStyle w:val="50"/>
              <w:spacing w:line="360" w:lineRule="auto"/>
              <w:jc w:val="center"/>
              <w:rPr>
                <w:rFonts w:cs="宋体"/>
                <w:b/>
                <w:bCs/>
                <w:szCs w:val="24"/>
                <w:highlight w:val="none"/>
                <w:lang w:val="zh-CN"/>
              </w:rPr>
            </w:pPr>
          </w:p>
        </w:tc>
        <w:tc>
          <w:tcPr>
            <w:tcW w:w="2893" w:type="pct"/>
            <w:vMerge w:val="continue"/>
            <w:shd w:val="clear" w:color="auto" w:fill="D8D8D8" w:themeFill="background1" w:themeFillShade="D9"/>
            <w:vAlign w:val="center"/>
          </w:tcPr>
          <w:p w14:paraId="5D5398D2">
            <w:pPr>
              <w:pStyle w:val="50"/>
              <w:spacing w:line="360" w:lineRule="auto"/>
              <w:jc w:val="center"/>
              <w:rPr>
                <w:rFonts w:cs="宋体"/>
                <w:b/>
                <w:bCs/>
                <w:szCs w:val="24"/>
                <w:highlight w:val="none"/>
                <w:lang w:val="zh-CN"/>
              </w:rPr>
            </w:pPr>
          </w:p>
        </w:tc>
        <w:tc>
          <w:tcPr>
            <w:tcW w:w="341" w:type="pct"/>
            <w:shd w:val="clear" w:color="auto" w:fill="D8D8D8" w:themeFill="background1" w:themeFillShade="D9"/>
            <w:vAlign w:val="center"/>
          </w:tcPr>
          <w:p w14:paraId="6B1A919E">
            <w:pPr>
              <w:pStyle w:val="50"/>
              <w:spacing w:line="360" w:lineRule="auto"/>
              <w:jc w:val="center"/>
              <w:rPr>
                <w:rFonts w:cs="宋体"/>
                <w:b/>
                <w:bCs/>
                <w:szCs w:val="24"/>
                <w:highlight w:val="none"/>
              </w:rPr>
            </w:pPr>
            <w:r>
              <w:rPr>
                <w:rFonts w:hint="eastAsia" w:cs="宋体"/>
                <w:b/>
                <w:bCs/>
                <w:szCs w:val="24"/>
                <w:highlight w:val="none"/>
              </w:rPr>
              <w:t>符合</w:t>
            </w:r>
          </w:p>
        </w:tc>
        <w:tc>
          <w:tcPr>
            <w:tcW w:w="462" w:type="pct"/>
            <w:shd w:val="clear" w:color="auto" w:fill="D8D8D8" w:themeFill="background1" w:themeFillShade="D9"/>
            <w:vAlign w:val="center"/>
          </w:tcPr>
          <w:p w14:paraId="755158BA">
            <w:pPr>
              <w:pStyle w:val="50"/>
              <w:spacing w:line="360" w:lineRule="auto"/>
              <w:jc w:val="center"/>
              <w:rPr>
                <w:rFonts w:cs="宋体"/>
                <w:b/>
                <w:bCs/>
                <w:szCs w:val="24"/>
                <w:highlight w:val="none"/>
              </w:rPr>
            </w:pPr>
            <w:r>
              <w:rPr>
                <w:rFonts w:hint="eastAsia" w:cs="宋体"/>
                <w:b/>
                <w:bCs/>
                <w:szCs w:val="24"/>
                <w:highlight w:val="none"/>
              </w:rPr>
              <w:t>不符合</w:t>
            </w:r>
          </w:p>
        </w:tc>
      </w:tr>
      <w:tr w14:paraId="759A1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441" w:type="pct"/>
            <w:shd w:val="clear" w:color="auto" w:fill="auto"/>
            <w:vAlign w:val="center"/>
          </w:tcPr>
          <w:p w14:paraId="58A3CA56">
            <w:pPr>
              <w:pStyle w:val="50"/>
              <w:spacing w:line="360" w:lineRule="auto"/>
              <w:ind w:left="420" w:hanging="420"/>
              <w:jc w:val="center"/>
              <w:rPr>
                <w:rFonts w:cs="宋体"/>
                <w:szCs w:val="24"/>
                <w:highlight w:val="none"/>
                <w:lang w:val="zh-CN"/>
              </w:rPr>
            </w:pPr>
            <w:r>
              <w:rPr>
                <w:rFonts w:hint="eastAsia" w:cs="宋体"/>
                <w:szCs w:val="24"/>
                <w:highlight w:val="none"/>
                <w:lang w:val="zh-CN"/>
              </w:rPr>
              <w:t>1</w:t>
            </w:r>
          </w:p>
        </w:tc>
        <w:tc>
          <w:tcPr>
            <w:tcW w:w="863" w:type="pct"/>
            <w:vAlign w:val="center"/>
          </w:tcPr>
          <w:p w14:paraId="1E962F31">
            <w:pPr>
              <w:pStyle w:val="50"/>
              <w:spacing w:line="360" w:lineRule="auto"/>
              <w:rPr>
                <w:rFonts w:cs="宋体"/>
                <w:szCs w:val="24"/>
                <w:highlight w:val="none"/>
                <w:lang w:val="zh-CN"/>
              </w:rPr>
            </w:pPr>
            <w:r>
              <w:rPr>
                <w:rFonts w:hint="eastAsia" w:cs="宋体"/>
                <w:szCs w:val="24"/>
                <w:highlight w:val="none"/>
                <w:lang w:val="zh-CN"/>
              </w:rPr>
              <w:t>投标文件</w:t>
            </w:r>
            <w:r>
              <w:rPr>
                <w:rFonts w:hint="eastAsia" w:cs="宋体"/>
                <w:szCs w:val="24"/>
                <w:highlight w:val="none"/>
              </w:rPr>
              <w:t>签署</w:t>
            </w:r>
          </w:p>
        </w:tc>
        <w:tc>
          <w:tcPr>
            <w:tcW w:w="2893" w:type="pct"/>
            <w:shd w:val="clear" w:color="auto" w:fill="auto"/>
            <w:vAlign w:val="center"/>
          </w:tcPr>
          <w:p w14:paraId="029D3E80">
            <w:pPr>
              <w:pStyle w:val="50"/>
              <w:spacing w:line="360" w:lineRule="auto"/>
              <w:rPr>
                <w:rFonts w:cs="宋体"/>
                <w:szCs w:val="24"/>
                <w:highlight w:val="none"/>
                <w:lang w:val="zh-CN"/>
              </w:rPr>
            </w:pPr>
            <w:r>
              <w:rPr>
                <w:rFonts w:hint="eastAsia" w:cs="宋体"/>
                <w:szCs w:val="24"/>
                <w:highlight w:val="none"/>
              </w:rPr>
              <w:t>投标文件按招标文件要求签署、盖章的</w:t>
            </w:r>
          </w:p>
        </w:tc>
        <w:tc>
          <w:tcPr>
            <w:tcW w:w="341" w:type="pct"/>
            <w:shd w:val="clear" w:color="auto" w:fill="auto"/>
            <w:vAlign w:val="center"/>
          </w:tcPr>
          <w:p w14:paraId="657363DA">
            <w:pPr>
              <w:pStyle w:val="50"/>
              <w:spacing w:line="360" w:lineRule="auto"/>
              <w:rPr>
                <w:rFonts w:cs="宋体"/>
                <w:szCs w:val="24"/>
                <w:highlight w:val="none"/>
                <w:lang w:val="zh-CN"/>
              </w:rPr>
            </w:pPr>
          </w:p>
        </w:tc>
        <w:tc>
          <w:tcPr>
            <w:tcW w:w="462" w:type="pct"/>
            <w:shd w:val="clear" w:color="auto" w:fill="auto"/>
            <w:vAlign w:val="center"/>
          </w:tcPr>
          <w:p w14:paraId="16CA9A9C">
            <w:pPr>
              <w:pStyle w:val="50"/>
              <w:spacing w:line="360" w:lineRule="auto"/>
              <w:rPr>
                <w:rFonts w:cs="宋体"/>
                <w:szCs w:val="24"/>
                <w:highlight w:val="none"/>
                <w:lang w:val="zh-CN"/>
              </w:rPr>
            </w:pPr>
          </w:p>
        </w:tc>
      </w:tr>
      <w:tr w14:paraId="65312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441" w:type="pct"/>
            <w:shd w:val="clear" w:color="auto" w:fill="auto"/>
            <w:vAlign w:val="center"/>
          </w:tcPr>
          <w:p w14:paraId="33C4D0A1">
            <w:pPr>
              <w:pStyle w:val="50"/>
              <w:spacing w:line="360" w:lineRule="auto"/>
              <w:ind w:left="420" w:hanging="420"/>
              <w:jc w:val="center"/>
              <w:rPr>
                <w:rFonts w:cs="宋体"/>
                <w:szCs w:val="24"/>
                <w:highlight w:val="none"/>
                <w:lang w:val="zh-CN"/>
              </w:rPr>
            </w:pPr>
            <w:r>
              <w:rPr>
                <w:rFonts w:hint="eastAsia" w:cs="宋体"/>
                <w:szCs w:val="24"/>
                <w:highlight w:val="none"/>
                <w:lang w:val="zh-CN"/>
              </w:rPr>
              <w:t>2</w:t>
            </w:r>
          </w:p>
        </w:tc>
        <w:tc>
          <w:tcPr>
            <w:tcW w:w="863" w:type="pct"/>
            <w:shd w:val="clear" w:color="auto" w:fill="auto"/>
            <w:vAlign w:val="center"/>
          </w:tcPr>
          <w:p w14:paraId="20847EF1">
            <w:pPr>
              <w:pStyle w:val="50"/>
              <w:spacing w:line="276" w:lineRule="auto"/>
              <w:rPr>
                <w:rFonts w:cs="宋体"/>
                <w:szCs w:val="24"/>
                <w:highlight w:val="none"/>
                <w:lang w:val="zh-CN"/>
              </w:rPr>
            </w:pPr>
            <w:r>
              <w:rPr>
                <w:rFonts w:hint="eastAsia" w:cs="宋体"/>
                <w:szCs w:val="24"/>
                <w:highlight w:val="none"/>
                <w:lang w:val="zh-CN"/>
              </w:rPr>
              <w:t>实质性要求</w:t>
            </w:r>
          </w:p>
        </w:tc>
        <w:tc>
          <w:tcPr>
            <w:tcW w:w="2893" w:type="pct"/>
            <w:shd w:val="clear" w:color="auto" w:fill="auto"/>
            <w:vAlign w:val="center"/>
          </w:tcPr>
          <w:p w14:paraId="16069DD9">
            <w:pPr>
              <w:pStyle w:val="50"/>
              <w:spacing w:line="276" w:lineRule="auto"/>
              <w:rPr>
                <w:rFonts w:cs="宋体"/>
                <w:szCs w:val="24"/>
                <w:highlight w:val="none"/>
                <w:lang w:val="zh-CN"/>
              </w:rPr>
            </w:pPr>
            <w:r>
              <w:rPr>
                <w:rFonts w:hint="eastAsia" w:cs="宋体"/>
                <w:szCs w:val="24"/>
                <w:highlight w:val="none"/>
              </w:rPr>
              <w:t>投标</w:t>
            </w:r>
            <w:r>
              <w:rPr>
                <w:rFonts w:hint="eastAsia" w:cs="宋体"/>
                <w:szCs w:val="24"/>
                <w:highlight w:val="none"/>
                <w:lang w:val="zh-CN"/>
              </w:rPr>
              <w:t>文件满足</w:t>
            </w:r>
            <w:r>
              <w:rPr>
                <w:rFonts w:hint="eastAsia" w:cs="宋体"/>
                <w:szCs w:val="24"/>
                <w:highlight w:val="none"/>
              </w:rPr>
              <w:t>招标</w:t>
            </w:r>
            <w:r>
              <w:rPr>
                <w:rFonts w:hint="eastAsia" w:cs="宋体"/>
                <w:szCs w:val="24"/>
                <w:highlight w:val="none"/>
                <w:lang w:val="zh-CN"/>
              </w:rPr>
              <w:t>文件中的实质性条款（或指标）要求的</w:t>
            </w:r>
            <w:r>
              <w:rPr>
                <w:rFonts w:hint="eastAsia" w:cs="宋体"/>
                <w:szCs w:val="24"/>
                <w:highlight w:val="none"/>
              </w:rPr>
              <w:t>，具体详见</w:t>
            </w:r>
            <w:r>
              <w:rPr>
                <w:rFonts w:hint="eastAsia" w:cs="宋体"/>
                <w:szCs w:val="24"/>
                <w:highlight w:val="none"/>
                <w:lang w:val="zh-CN"/>
              </w:rPr>
              <w:t>“实质性响应一览表”</w:t>
            </w:r>
          </w:p>
        </w:tc>
        <w:tc>
          <w:tcPr>
            <w:tcW w:w="341" w:type="pct"/>
            <w:shd w:val="clear" w:color="auto" w:fill="auto"/>
            <w:vAlign w:val="center"/>
          </w:tcPr>
          <w:p w14:paraId="16E24D73">
            <w:pPr>
              <w:pStyle w:val="50"/>
              <w:spacing w:line="360" w:lineRule="auto"/>
              <w:rPr>
                <w:rFonts w:cs="宋体"/>
                <w:szCs w:val="24"/>
                <w:highlight w:val="none"/>
                <w:lang w:val="zh-CN"/>
              </w:rPr>
            </w:pPr>
          </w:p>
        </w:tc>
        <w:tc>
          <w:tcPr>
            <w:tcW w:w="462" w:type="pct"/>
            <w:shd w:val="clear" w:color="auto" w:fill="auto"/>
            <w:vAlign w:val="center"/>
          </w:tcPr>
          <w:p w14:paraId="02C1F06D">
            <w:pPr>
              <w:pStyle w:val="50"/>
              <w:spacing w:line="360" w:lineRule="auto"/>
              <w:rPr>
                <w:rFonts w:cs="宋体"/>
                <w:szCs w:val="24"/>
                <w:highlight w:val="none"/>
                <w:lang w:val="zh-CN"/>
              </w:rPr>
            </w:pPr>
          </w:p>
        </w:tc>
      </w:tr>
      <w:tr w14:paraId="5C98F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441" w:type="pct"/>
            <w:shd w:val="clear" w:color="auto" w:fill="auto"/>
            <w:vAlign w:val="center"/>
          </w:tcPr>
          <w:p w14:paraId="2A05FAFF">
            <w:pPr>
              <w:pStyle w:val="50"/>
              <w:spacing w:line="360" w:lineRule="auto"/>
              <w:ind w:left="420" w:hanging="420"/>
              <w:jc w:val="center"/>
              <w:rPr>
                <w:rFonts w:cs="宋体"/>
                <w:szCs w:val="24"/>
                <w:highlight w:val="none"/>
                <w:lang w:val="zh-CN"/>
              </w:rPr>
            </w:pPr>
            <w:r>
              <w:rPr>
                <w:rFonts w:hint="eastAsia" w:cs="宋体"/>
                <w:szCs w:val="24"/>
                <w:highlight w:val="none"/>
                <w:lang w:val="zh-CN"/>
              </w:rPr>
              <w:t>3</w:t>
            </w:r>
          </w:p>
        </w:tc>
        <w:tc>
          <w:tcPr>
            <w:tcW w:w="863" w:type="pct"/>
            <w:vAlign w:val="center"/>
          </w:tcPr>
          <w:p w14:paraId="427AC9F9">
            <w:pPr>
              <w:pStyle w:val="50"/>
              <w:spacing w:line="360" w:lineRule="auto"/>
              <w:rPr>
                <w:rFonts w:cs="宋体"/>
                <w:szCs w:val="24"/>
                <w:highlight w:val="none"/>
                <w:lang w:val="zh-CN"/>
              </w:rPr>
            </w:pPr>
            <w:r>
              <w:rPr>
                <w:rFonts w:hint="eastAsia" w:cs="宋体"/>
                <w:szCs w:val="24"/>
                <w:highlight w:val="none"/>
                <w:lang w:val="zh-CN"/>
              </w:rPr>
              <w:t>投标报价</w:t>
            </w:r>
          </w:p>
        </w:tc>
        <w:tc>
          <w:tcPr>
            <w:tcW w:w="2893" w:type="pct"/>
            <w:shd w:val="clear" w:color="auto" w:fill="auto"/>
            <w:vAlign w:val="center"/>
          </w:tcPr>
          <w:p w14:paraId="7BA33E47">
            <w:pPr>
              <w:pStyle w:val="50"/>
              <w:spacing w:line="360" w:lineRule="auto"/>
              <w:rPr>
                <w:rFonts w:cs="宋体"/>
                <w:szCs w:val="24"/>
                <w:highlight w:val="none"/>
              </w:rPr>
            </w:pPr>
            <w:r>
              <w:rPr>
                <w:rFonts w:hint="eastAsia" w:cs="宋体"/>
                <w:szCs w:val="24"/>
                <w:highlight w:val="none"/>
              </w:rPr>
              <w:t>投标人报价未超过招标文件中规定的最高限价或者预算金额的；</w:t>
            </w:r>
          </w:p>
        </w:tc>
        <w:tc>
          <w:tcPr>
            <w:tcW w:w="341" w:type="pct"/>
            <w:shd w:val="clear" w:color="auto" w:fill="auto"/>
            <w:vAlign w:val="center"/>
          </w:tcPr>
          <w:p w14:paraId="40992E6B">
            <w:pPr>
              <w:pStyle w:val="50"/>
              <w:spacing w:line="360" w:lineRule="auto"/>
              <w:rPr>
                <w:rFonts w:cs="宋体"/>
                <w:szCs w:val="24"/>
                <w:highlight w:val="none"/>
                <w:lang w:val="zh-CN"/>
              </w:rPr>
            </w:pPr>
          </w:p>
        </w:tc>
        <w:tc>
          <w:tcPr>
            <w:tcW w:w="462" w:type="pct"/>
            <w:shd w:val="clear" w:color="auto" w:fill="auto"/>
            <w:vAlign w:val="center"/>
          </w:tcPr>
          <w:p w14:paraId="4F9685D4">
            <w:pPr>
              <w:pStyle w:val="50"/>
              <w:spacing w:line="360" w:lineRule="auto"/>
              <w:rPr>
                <w:rFonts w:cs="宋体"/>
                <w:szCs w:val="24"/>
                <w:highlight w:val="none"/>
                <w:lang w:val="zh-CN"/>
              </w:rPr>
            </w:pPr>
          </w:p>
        </w:tc>
      </w:tr>
      <w:tr w14:paraId="77FCA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441" w:type="pct"/>
            <w:shd w:val="clear" w:color="auto" w:fill="auto"/>
            <w:vAlign w:val="center"/>
          </w:tcPr>
          <w:p w14:paraId="724A9553">
            <w:pPr>
              <w:pStyle w:val="50"/>
              <w:spacing w:line="360" w:lineRule="auto"/>
              <w:rPr>
                <w:rFonts w:cs="宋体"/>
                <w:szCs w:val="24"/>
                <w:highlight w:val="none"/>
                <w:lang w:val="zh-CN"/>
              </w:rPr>
            </w:pPr>
            <w:r>
              <w:rPr>
                <w:rFonts w:hint="eastAsia" w:cs="宋体"/>
                <w:szCs w:val="24"/>
                <w:highlight w:val="none"/>
              </w:rPr>
              <w:t>4</w:t>
            </w:r>
          </w:p>
        </w:tc>
        <w:tc>
          <w:tcPr>
            <w:tcW w:w="863" w:type="pct"/>
            <w:shd w:val="clear" w:color="auto" w:fill="auto"/>
            <w:vAlign w:val="center"/>
          </w:tcPr>
          <w:p w14:paraId="324F740F">
            <w:pPr>
              <w:pStyle w:val="50"/>
              <w:spacing w:line="360" w:lineRule="auto"/>
              <w:rPr>
                <w:rFonts w:cs="宋体"/>
                <w:szCs w:val="24"/>
                <w:highlight w:val="none"/>
                <w:lang w:val="zh-CN"/>
              </w:rPr>
            </w:pPr>
            <w:r>
              <w:rPr>
                <w:rFonts w:hint="eastAsia" w:cs="宋体"/>
                <w:szCs w:val="24"/>
                <w:highlight w:val="none"/>
              </w:rPr>
              <w:t>采购清单</w:t>
            </w:r>
          </w:p>
        </w:tc>
        <w:tc>
          <w:tcPr>
            <w:tcW w:w="2893" w:type="pct"/>
            <w:shd w:val="clear" w:color="auto" w:fill="auto"/>
            <w:vAlign w:val="center"/>
          </w:tcPr>
          <w:p w14:paraId="2D24344C">
            <w:pPr>
              <w:pStyle w:val="50"/>
              <w:spacing w:line="360" w:lineRule="auto"/>
              <w:rPr>
                <w:rFonts w:cs="宋体"/>
                <w:szCs w:val="24"/>
                <w:highlight w:val="none"/>
              </w:rPr>
            </w:pPr>
            <w:r>
              <w:rPr>
                <w:rFonts w:hint="eastAsia" w:cs="宋体"/>
                <w:szCs w:val="24"/>
                <w:highlight w:val="none"/>
              </w:rPr>
              <w:t>未改变招标文件提供的采购标的清单数量和缺漏项的，</w:t>
            </w:r>
          </w:p>
        </w:tc>
        <w:tc>
          <w:tcPr>
            <w:tcW w:w="341" w:type="pct"/>
            <w:shd w:val="clear" w:color="auto" w:fill="auto"/>
            <w:vAlign w:val="center"/>
          </w:tcPr>
          <w:p w14:paraId="60F72112">
            <w:pPr>
              <w:pStyle w:val="50"/>
              <w:spacing w:line="360" w:lineRule="auto"/>
              <w:rPr>
                <w:rFonts w:cs="宋体"/>
                <w:szCs w:val="24"/>
                <w:highlight w:val="none"/>
                <w:lang w:val="zh-CN"/>
              </w:rPr>
            </w:pPr>
          </w:p>
        </w:tc>
        <w:tc>
          <w:tcPr>
            <w:tcW w:w="462" w:type="pct"/>
            <w:shd w:val="clear" w:color="auto" w:fill="auto"/>
            <w:vAlign w:val="center"/>
          </w:tcPr>
          <w:p w14:paraId="03BCAB1A">
            <w:pPr>
              <w:pStyle w:val="50"/>
              <w:spacing w:line="360" w:lineRule="auto"/>
              <w:rPr>
                <w:rFonts w:cs="宋体"/>
                <w:szCs w:val="24"/>
                <w:highlight w:val="none"/>
                <w:lang w:val="zh-CN"/>
              </w:rPr>
            </w:pPr>
          </w:p>
        </w:tc>
      </w:tr>
      <w:tr w14:paraId="087B3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441" w:type="pct"/>
            <w:shd w:val="clear" w:color="auto" w:fill="auto"/>
            <w:vAlign w:val="center"/>
          </w:tcPr>
          <w:p w14:paraId="326E29D5">
            <w:pPr>
              <w:pStyle w:val="50"/>
              <w:spacing w:line="360" w:lineRule="auto"/>
              <w:ind w:left="420" w:hanging="420"/>
              <w:jc w:val="center"/>
              <w:rPr>
                <w:rFonts w:cs="宋体"/>
                <w:szCs w:val="24"/>
                <w:highlight w:val="none"/>
                <w:lang w:val="zh-CN"/>
              </w:rPr>
            </w:pPr>
            <w:r>
              <w:rPr>
                <w:rFonts w:hint="eastAsia" w:cs="宋体"/>
                <w:szCs w:val="24"/>
                <w:highlight w:val="none"/>
                <w:lang w:val="zh-CN"/>
              </w:rPr>
              <w:t>5</w:t>
            </w:r>
          </w:p>
        </w:tc>
        <w:tc>
          <w:tcPr>
            <w:tcW w:w="863" w:type="pct"/>
            <w:vAlign w:val="center"/>
          </w:tcPr>
          <w:p w14:paraId="4747ADD0">
            <w:pPr>
              <w:pStyle w:val="50"/>
              <w:spacing w:line="360" w:lineRule="auto"/>
              <w:rPr>
                <w:rFonts w:cs="宋体"/>
                <w:szCs w:val="24"/>
                <w:highlight w:val="none"/>
              </w:rPr>
            </w:pPr>
            <w:r>
              <w:rPr>
                <w:rFonts w:hint="eastAsia" w:cs="宋体"/>
                <w:szCs w:val="24"/>
                <w:highlight w:val="none"/>
              </w:rPr>
              <w:t>虚假材料</w:t>
            </w:r>
          </w:p>
        </w:tc>
        <w:tc>
          <w:tcPr>
            <w:tcW w:w="2893" w:type="pct"/>
            <w:shd w:val="clear" w:color="auto" w:fill="auto"/>
            <w:vAlign w:val="center"/>
          </w:tcPr>
          <w:p w14:paraId="23E3F1CF">
            <w:pPr>
              <w:pStyle w:val="50"/>
              <w:spacing w:line="360" w:lineRule="auto"/>
              <w:rPr>
                <w:rFonts w:cs="宋体"/>
                <w:szCs w:val="24"/>
                <w:highlight w:val="none"/>
                <w:lang w:val="zh-CN"/>
              </w:rPr>
            </w:pPr>
            <w:r>
              <w:rPr>
                <w:rFonts w:hint="eastAsia" w:cs="宋体"/>
                <w:szCs w:val="24"/>
                <w:highlight w:val="none"/>
              </w:rPr>
              <w:t>投标</w:t>
            </w:r>
            <w:r>
              <w:rPr>
                <w:rFonts w:hint="eastAsia" w:cs="宋体"/>
                <w:szCs w:val="24"/>
                <w:highlight w:val="none"/>
                <w:lang w:val="zh-CN"/>
              </w:rPr>
              <w:t>文件</w:t>
            </w:r>
            <w:r>
              <w:rPr>
                <w:rFonts w:hint="eastAsia" w:cs="宋体"/>
                <w:szCs w:val="24"/>
                <w:highlight w:val="none"/>
              </w:rPr>
              <w:t>未</w:t>
            </w:r>
            <w:r>
              <w:rPr>
                <w:rFonts w:hint="eastAsia" w:cs="宋体"/>
                <w:szCs w:val="24"/>
                <w:highlight w:val="none"/>
                <w:lang w:val="zh-CN"/>
              </w:rPr>
              <w:t>提供虚假材料的</w:t>
            </w:r>
          </w:p>
        </w:tc>
        <w:tc>
          <w:tcPr>
            <w:tcW w:w="341" w:type="pct"/>
            <w:shd w:val="clear" w:color="auto" w:fill="auto"/>
            <w:vAlign w:val="center"/>
          </w:tcPr>
          <w:p w14:paraId="7AC06597">
            <w:pPr>
              <w:pStyle w:val="50"/>
              <w:spacing w:line="360" w:lineRule="auto"/>
              <w:rPr>
                <w:rFonts w:cs="宋体"/>
                <w:szCs w:val="24"/>
                <w:highlight w:val="none"/>
                <w:lang w:val="zh-CN"/>
              </w:rPr>
            </w:pPr>
          </w:p>
        </w:tc>
        <w:tc>
          <w:tcPr>
            <w:tcW w:w="462" w:type="pct"/>
            <w:shd w:val="clear" w:color="auto" w:fill="auto"/>
            <w:vAlign w:val="center"/>
          </w:tcPr>
          <w:p w14:paraId="4206586D">
            <w:pPr>
              <w:pStyle w:val="50"/>
              <w:spacing w:line="360" w:lineRule="auto"/>
              <w:rPr>
                <w:rFonts w:cs="宋体"/>
                <w:szCs w:val="24"/>
                <w:highlight w:val="none"/>
                <w:lang w:val="zh-CN"/>
              </w:rPr>
            </w:pPr>
          </w:p>
        </w:tc>
      </w:tr>
      <w:tr w14:paraId="04118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441" w:type="pct"/>
            <w:shd w:val="clear" w:color="auto" w:fill="auto"/>
            <w:vAlign w:val="center"/>
          </w:tcPr>
          <w:p w14:paraId="78F2365B">
            <w:pPr>
              <w:pStyle w:val="50"/>
              <w:spacing w:line="360" w:lineRule="auto"/>
              <w:ind w:left="420" w:hanging="420"/>
              <w:jc w:val="center"/>
              <w:rPr>
                <w:rFonts w:cs="宋体"/>
                <w:szCs w:val="24"/>
                <w:highlight w:val="none"/>
                <w:lang w:val="zh-CN"/>
              </w:rPr>
            </w:pPr>
            <w:r>
              <w:rPr>
                <w:rFonts w:hint="eastAsia" w:cs="宋体"/>
                <w:szCs w:val="24"/>
                <w:highlight w:val="none"/>
                <w:lang w:val="zh-CN"/>
              </w:rPr>
              <w:t>6</w:t>
            </w:r>
          </w:p>
        </w:tc>
        <w:tc>
          <w:tcPr>
            <w:tcW w:w="863" w:type="pct"/>
            <w:vAlign w:val="center"/>
          </w:tcPr>
          <w:p w14:paraId="7F1C2F20">
            <w:pPr>
              <w:pStyle w:val="50"/>
              <w:spacing w:line="360" w:lineRule="auto"/>
              <w:rPr>
                <w:rFonts w:cs="宋体"/>
                <w:szCs w:val="24"/>
                <w:highlight w:val="none"/>
              </w:rPr>
            </w:pPr>
            <w:r>
              <w:rPr>
                <w:rFonts w:hint="eastAsia" w:cs="宋体"/>
                <w:szCs w:val="24"/>
                <w:highlight w:val="none"/>
              </w:rPr>
              <w:t>联合体</w:t>
            </w:r>
          </w:p>
        </w:tc>
        <w:tc>
          <w:tcPr>
            <w:tcW w:w="2893" w:type="pct"/>
            <w:shd w:val="clear" w:color="auto" w:fill="auto"/>
            <w:vAlign w:val="center"/>
          </w:tcPr>
          <w:p w14:paraId="7748D861">
            <w:pPr>
              <w:pStyle w:val="50"/>
              <w:spacing w:line="360" w:lineRule="auto"/>
              <w:rPr>
                <w:rFonts w:cs="宋体"/>
                <w:szCs w:val="24"/>
                <w:highlight w:val="none"/>
              </w:rPr>
            </w:pPr>
            <w:r>
              <w:rPr>
                <w:rFonts w:hint="eastAsia" w:cs="宋体"/>
                <w:szCs w:val="24"/>
                <w:highlight w:val="none"/>
                <w:lang w:val="zh-CN"/>
              </w:rPr>
              <w:t>联合体的供应商提交</w:t>
            </w:r>
            <w:r>
              <w:rPr>
                <w:rFonts w:hint="eastAsia" w:cs="宋体"/>
                <w:szCs w:val="24"/>
                <w:highlight w:val="none"/>
              </w:rPr>
              <w:t>了</w:t>
            </w:r>
            <w:r>
              <w:rPr>
                <w:rFonts w:hint="eastAsia" w:cs="宋体"/>
                <w:szCs w:val="24"/>
                <w:highlight w:val="none"/>
                <w:lang w:val="zh-CN"/>
              </w:rPr>
              <w:t>各方共同签署的联合体协议的【</w:t>
            </w:r>
            <w:r>
              <w:rPr>
                <w:rFonts w:hint="eastAsia" w:cs="宋体"/>
                <w:szCs w:val="24"/>
                <w:highlight w:val="none"/>
              </w:rPr>
              <w:t>如允许联合体投标的</w:t>
            </w:r>
            <w:r>
              <w:rPr>
                <w:rFonts w:hint="eastAsia" w:cs="宋体"/>
                <w:szCs w:val="24"/>
                <w:highlight w:val="none"/>
                <w:lang w:val="zh-CN"/>
              </w:rPr>
              <w:t>】</w:t>
            </w:r>
          </w:p>
        </w:tc>
        <w:tc>
          <w:tcPr>
            <w:tcW w:w="341" w:type="pct"/>
            <w:shd w:val="clear" w:color="auto" w:fill="auto"/>
            <w:vAlign w:val="center"/>
          </w:tcPr>
          <w:p w14:paraId="40A207E2">
            <w:pPr>
              <w:pStyle w:val="50"/>
              <w:spacing w:line="360" w:lineRule="auto"/>
              <w:rPr>
                <w:rFonts w:cs="宋体"/>
                <w:szCs w:val="24"/>
                <w:highlight w:val="none"/>
                <w:lang w:val="zh-CN"/>
              </w:rPr>
            </w:pPr>
          </w:p>
        </w:tc>
        <w:tc>
          <w:tcPr>
            <w:tcW w:w="462" w:type="pct"/>
            <w:shd w:val="clear" w:color="auto" w:fill="auto"/>
            <w:vAlign w:val="center"/>
          </w:tcPr>
          <w:p w14:paraId="231552AD">
            <w:pPr>
              <w:pStyle w:val="50"/>
              <w:spacing w:line="360" w:lineRule="auto"/>
              <w:rPr>
                <w:rFonts w:cs="宋体"/>
                <w:szCs w:val="24"/>
                <w:highlight w:val="none"/>
                <w:lang w:val="zh-CN"/>
              </w:rPr>
            </w:pPr>
          </w:p>
        </w:tc>
      </w:tr>
      <w:tr w14:paraId="6EB2E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441" w:type="pct"/>
            <w:shd w:val="clear" w:color="auto" w:fill="auto"/>
            <w:vAlign w:val="center"/>
          </w:tcPr>
          <w:p w14:paraId="3083E623">
            <w:pPr>
              <w:pStyle w:val="50"/>
              <w:spacing w:line="360" w:lineRule="auto"/>
              <w:jc w:val="center"/>
              <w:rPr>
                <w:rFonts w:cs="宋体"/>
                <w:szCs w:val="24"/>
                <w:highlight w:val="none"/>
                <w:lang w:val="zh-CN"/>
              </w:rPr>
            </w:pPr>
            <w:r>
              <w:rPr>
                <w:rFonts w:hint="eastAsia" w:cs="宋体"/>
                <w:szCs w:val="24"/>
                <w:highlight w:val="none"/>
              </w:rPr>
              <w:t>7</w:t>
            </w:r>
          </w:p>
        </w:tc>
        <w:tc>
          <w:tcPr>
            <w:tcW w:w="863" w:type="pct"/>
            <w:vAlign w:val="center"/>
          </w:tcPr>
          <w:p w14:paraId="4F209CE3">
            <w:pPr>
              <w:pStyle w:val="50"/>
              <w:spacing w:line="360" w:lineRule="auto"/>
              <w:rPr>
                <w:rFonts w:cs="宋体"/>
                <w:szCs w:val="24"/>
                <w:highlight w:val="none"/>
              </w:rPr>
            </w:pPr>
            <w:r>
              <w:rPr>
                <w:rFonts w:hint="eastAsia" w:cs="宋体"/>
                <w:szCs w:val="24"/>
                <w:highlight w:val="none"/>
              </w:rPr>
              <w:t>投标保证金</w:t>
            </w:r>
          </w:p>
        </w:tc>
        <w:tc>
          <w:tcPr>
            <w:tcW w:w="2893" w:type="pct"/>
            <w:shd w:val="clear" w:color="auto" w:fill="auto"/>
            <w:vAlign w:val="center"/>
          </w:tcPr>
          <w:p w14:paraId="312F97F1">
            <w:pPr>
              <w:pStyle w:val="50"/>
              <w:spacing w:line="360" w:lineRule="auto"/>
              <w:rPr>
                <w:rFonts w:cs="宋体"/>
                <w:szCs w:val="24"/>
                <w:highlight w:val="none"/>
                <w:lang w:val="zh-CN"/>
              </w:rPr>
            </w:pPr>
            <w:r>
              <w:rPr>
                <w:rFonts w:hint="eastAsia" w:cs="宋体"/>
                <w:szCs w:val="24"/>
                <w:highlight w:val="none"/>
              </w:rPr>
              <w:t>投标人按招标文件的规定交纳投标保证金的</w:t>
            </w:r>
          </w:p>
        </w:tc>
        <w:tc>
          <w:tcPr>
            <w:tcW w:w="341" w:type="pct"/>
            <w:shd w:val="clear" w:color="auto" w:fill="auto"/>
            <w:vAlign w:val="center"/>
          </w:tcPr>
          <w:p w14:paraId="09E4CC79">
            <w:pPr>
              <w:pStyle w:val="50"/>
              <w:spacing w:line="360" w:lineRule="auto"/>
              <w:rPr>
                <w:rFonts w:cs="宋体"/>
                <w:szCs w:val="24"/>
                <w:highlight w:val="none"/>
                <w:lang w:val="zh-CN"/>
              </w:rPr>
            </w:pPr>
          </w:p>
        </w:tc>
        <w:tc>
          <w:tcPr>
            <w:tcW w:w="462" w:type="pct"/>
            <w:shd w:val="clear" w:color="auto" w:fill="auto"/>
            <w:vAlign w:val="center"/>
          </w:tcPr>
          <w:p w14:paraId="29850238">
            <w:pPr>
              <w:pStyle w:val="50"/>
              <w:spacing w:line="360" w:lineRule="auto"/>
              <w:rPr>
                <w:rFonts w:cs="宋体"/>
                <w:szCs w:val="24"/>
                <w:highlight w:val="none"/>
                <w:lang w:val="zh-CN"/>
              </w:rPr>
            </w:pPr>
          </w:p>
        </w:tc>
      </w:tr>
      <w:tr w14:paraId="7B316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441" w:type="pct"/>
            <w:shd w:val="clear" w:color="auto" w:fill="auto"/>
            <w:vAlign w:val="center"/>
          </w:tcPr>
          <w:p w14:paraId="5FE2B788">
            <w:pPr>
              <w:pStyle w:val="50"/>
              <w:spacing w:line="360" w:lineRule="auto"/>
              <w:ind w:left="420" w:hanging="420"/>
              <w:jc w:val="center"/>
              <w:rPr>
                <w:rFonts w:cs="宋体"/>
                <w:szCs w:val="24"/>
                <w:highlight w:val="none"/>
                <w:lang w:val="zh-CN"/>
              </w:rPr>
            </w:pPr>
            <w:r>
              <w:rPr>
                <w:rFonts w:hint="eastAsia" w:cs="宋体"/>
                <w:szCs w:val="24"/>
                <w:highlight w:val="none"/>
              </w:rPr>
              <w:t>8</w:t>
            </w:r>
          </w:p>
        </w:tc>
        <w:tc>
          <w:tcPr>
            <w:tcW w:w="863" w:type="pct"/>
            <w:vAlign w:val="center"/>
          </w:tcPr>
          <w:p w14:paraId="17A7D844">
            <w:pPr>
              <w:pStyle w:val="50"/>
              <w:spacing w:line="360" w:lineRule="auto"/>
              <w:rPr>
                <w:rFonts w:cs="宋体"/>
                <w:szCs w:val="24"/>
                <w:highlight w:val="none"/>
              </w:rPr>
            </w:pPr>
            <w:r>
              <w:rPr>
                <w:rFonts w:hint="eastAsia" w:cs="宋体"/>
                <w:szCs w:val="24"/>
                <w:highlight w:val="none"/>
              </w:rPr>
              <w:t>投标文件的澄清、说明、补正</w:t>
            </w:r>
          </w:p>
        </w:tc>
        <w:tc>
          <w:tcPr>
            <w:tcW w:w="2893" w:type="pct"/>
            <w:shd w:val="clear" w:color="auto" w:fill="auto"/>
            <w:vAlign w:val="center"/>
          </w:tcPr>
          <w:p w14:paraId="1D2065D9">
            <w:pPr>
              <w:pStyle w:val="50"/>
              <w:spacing w:line="360" w:lineRule="auto"/>
              <w:rPr>
                <w:rFonts w:cs="宋体"/>
                <w:szCs w:val="24"/>
                <w:highlight w:val="none"/>
                <w:lang w:val="zh-CN"/>
              </w:rPr>
            </w:pPr>
            <w:r>
              <w:rPr>
                <w:rFonts w:hint="eastAsia" w:cs="宋体"/>
                <w:szCs w:val="24"/>
                <w:highlight w:val="none"/>
                <w:lang w:val="zh-CN"/>
              </w:rPr>
              <w:t>评审期间，</w:t>
            </w:r>
            <w:r>
              <w:rPr>
                <w:rFonts w:hint="eastAsia" w:cs="宋体"/>
                <w:szCs w:val="24"/>
                <w:highlight w:val="none"/>
              </w:rPr>
              <w:t>投标人</w:t>
            </w:r>
            <w:r>
              <w:rPr>
                <w:rFonts w:hint="eastAsia" w:cs="宋体"/>
                <w:szCs w:val="24"/>
                <w:highlight w:val="none"/>
                <w:lang w:val="zh-CN"/>
              </w:rPr>
              <w:t>按评标委员会的要求提交经授权代表签字的澄清、说明、补正或</w:t>
            </w:r>
            <w:r>
              <w:rPr>
                <w:rFonts w:hint="eastAsia" w:cs="宋体"/>
                <w:szCs w:val="24"/>
                <w:highlight w:val="none"/>
              </w:rPr>
              <w:t>未</w:t>
            </w:r>
            <w:r>
              <w:rPr>
                <w:rFonts w:hint="eastAsia" w:cs="宋体"/>
                <w:szCs w:val="24"/>
                <w:highlight w:val="none"/>
                <w:lang w:val="zh-CN"/>
              </w:rPr>
              <w:t>改变</w:t>
            </w:r>
            <w:r>
              <w:rPr>
                <w:rFonts w:hint="eastAsia" w:cs="宋体"/>
                <w:szCs w:val="24"/>
                <w:highlight w:val="none"/>
              </w:rPr>
              <w:t>投标</w:t>
            </w:r>
            <w:r>
              <w:rPr>
                <w:rFonts w:hint="eastAsia" w:cs="宋体"/>
                <w:szCs w:val="24"/>
                <w:highlight w:val="none"/>
                <w:lang w:val="zh-CN"/>
              </w:rPr>
              <w:t>文件的实质性内容</w:t>
            </w:r>
          </w:p>
        </w:tc>
        <w:tc>
          <w:tcPr>
            <w:tcW w:w="341" w:type="pct"/>
            <w:shd w:val="clear" w:color="auto" w:fill="auto"/>
            <w:vAlign w:val="center"/>
          </w:tcPr>
          <w:p w14:paraId="7EEFF1B2">
            <w:pPr>
              <w:pStyle w:val="50"/>
              <w:spacing w:line="360" w:lineRule="auto"/>
              <w:rPr>
                <w:rFonts w:cs="宋体"/>
                <w:szCs w:val="24"/>
                <w:highlight w:val="none"/>
                <w:lang w:val="zh-CN"/>
              </w:rPr>
            </w:pPr>
          </w:p>
        </w:tc>
        <w:tc>
          <w:tcPr>
            <w:tcW w:w="462" w:type="pct"/>
            <w:shd w:val="clear" w:color="auto" w:fill="auto"/>
            <w:vAlign w:val="center"/>
          </w:tcPr>
          <w:p w14:paraId="56183EE3">
            <w:pPr>
              <w:pStyle w:val="50"/>
              <w:spacing w:line="360" w:lineRule="auto"/>
              <w:rPr>
                <w:rFonts w:cs="宋体"/>
                <w:szCs w:val="24"/>
                <w:highlight w:val="none"/>
                <w:lang w:val="zh-CN"/>
              </w:rPr>
            </w:pPr>
          </w:p>
        </w:tc>
      </w:tr>
      <w:tr w14:paraId="094DD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441" w:type="pct"/>
            <w:shd w:val="clear" w:color="auto" w:fill="auto"/>
            <w:vAlign w:val="center"/>
          </w:tcPr>
          <w:p w14:paraId="30A85898">
            <w:pPr>
              <w:pStyle w:val="50"/>
              <w:spacing w:line="360" w:lineRule="auto"/>
              <w:ind w:left="420" w:hanging="420"/>
              <w:jc w:val="center"/>
              <w:rPr>
                <w:rFonts w:cs="宋体"/>
                <w:szCs w:val="24"/>
                <w:highlight w:val="none"/>
                <w:lang w:val="zh-CN"/>
              </w:rPr>
            </w:pPr>
            <w:r>
              <w:rPr>
                <w:rFonts w:hint="eastAsia" w:cs="宋体"/>
                <w:szCs w:val="24"/>
                <w:highlight w:val="none"/>
              </w:rPr>
              <w:t>9</w:t>
            </w:r>
          </w:p>
        </w:tc>
        <w:tc>
          <w:tcPr>
            <w:tcW w:w="863" w:type="pct"/>
            <w:vAlign w:val="center"/>
          </w:tcPr>
          <w:p w14:paraId="455B9E74">
            <w:pPr>
              <w:pStyle w:val="50"/>
              <w:spacing w:line="360" w:lineRule="auto"/>
              <w:rPr>
                <w:rFonts w:cs="宋体"/>
                <w:szCs w:val="24"/>
                <w:highlight w:val="none"/>
              </w:rPr>
            </w:pPr>
            <w:r>
              <w:rPr>
                <w:rFonts w:hint="eastAsia" w:cs="宋体"/>
                <w:szCs w:val="24"/>
                <w:highlight w:val="none"/>
              </w:rPr>
              <w:t>投标人影响评标</w:t>
            </w:r>
          </w:p>
        </w:tc>
        <w:tc>
          <w:tcPr>
            <w:tcW w:w="2893" w:type="pct"/>
            <w:shd w:val="clear" w:color="auto" w:fill="auto"/>
            <w:vAlign w:val="center"/>
          </w:tcPr>
          <w:p w14:paraId="66DA9CCF">
            <w:pPr>
              <w:pStyle w:val="50"/>
              <w:spacing w:line="360" w:lineRule="auto"/>
              <w:rPr>
                <w:rFonts w:cs="宋体"/>
                <w:szCs w:val="24"/>
                <w:highlight w:val="none"/>
              </w:rPr>
            </w:pPr>
            <w:r>
              <w:rPr>
                <w:rFonts w:hint="eastAsia" w:cs="宋体"/>
                <w:szCs w:val="24"/>
                <w:highlight w:val="none"/>
              </w:rPr>
              <w:t>投标人</w:t>
            </w:r>
            <w:r>
              <w:rPr>
                <w:rFonts w:hint="eastAsia" w:cs="宋体"/>
                <w:szCs w:val="24"/>
                <w:highlight w:val="none"/>
                <w:lang w:val="zh-CN"/>
              </w:rPr>
              <w:t>对采购人、采购代理机构、评标委员会及其工作人员</w:t>
            </w:r>
            <w:r>
              <w:rPr>
                <w:rFonts w:hint="eastAsia" w:cs="宋体"/>
                <w:szCs w:val="24"/>
                <w:highlight w:val="none"/>
              </w:rPr>
              <w:t>未</w:t>
            </w:r>
            <w:r>
              <w:rPr>
                <w:rFonts w:hint="eastAsia" w:cs="宋体"/>
                <w:szCs w:val="24"/>
                <w:highlight w:val="none"/>
                <w:lang w:val="zh-CN"/>
              </w:rPr>
              <w:t>施加影响，</w:t>
            </w:r>
            <w:r>
              <w:rPr>
                <w:rFonts w:hint="eastAsia" w:cs="宋体"/>
                <w:szCs w:val="24"/>
                <w:highlight w:val="none"/>
              </w:rPr>
              <w:t>无</w:t>
            </w:r>
            <w:r>
              <w:rPr>
                <w:rFonts w:hint="eastAsia" w:cs="宋体"/>
                <w:szCs w:val="24"/>
                <w:highlight w:val="none"/>
                <w:lang w:val="zh-CN"/>
              </w:rPr>
              <w:t>有碍公平、公正</w:t>
            </w:r>
            <w:r>
              <w:rPr>
                <w:rFonts w:hint="eastAsia" w:cs="宋体"/>
                <w:szCs w:val="24"/>
                <w:highlight w:val="none"/>
              </w:rPr>
              <w:t>的</w:t>
            </w:r>
          </w:p>
        </w:tc>
        <w:tc>
          <w:tcPr>
            <w:tcW w:w="341" w:type="pct"/>
            <w:shd w:val="clear" w:color="auto" w:fill="auto"/>
            <w:vAlign w:val="center"/>
          </w:tcPr>
          <w:p w14:paraId="6BBE94C7">
            <w:pPr>
              <w:pStyle w:val="50"/>
              <w:spacing w:line="360" w:lineRule="auto"/>
              <w:rPr>
                <w:rFonts w:cs="宋体"/>
                <w:szCs w:val="24"/>
                <w:highlight w:val="none"/>
                <w:lang w:val="zh-CN"/>
              </w:rPr>
            </w:pPr>
          </w:p>
        </w:tc>
        <w:tc>
          <w:tcPr>
            <w:tcW w:w="462" w:type="pct"/>
            <w:shd w:val="clear" w:color="auto" w:fill="auto"/>
            <w:vAlign w:val="center"/>
          </w:tcPr>
          <w:p w14:paraId="095E7F7F">
            <w:pPr>
              <w:pStyle w:val="50"/>
              <w:spacing w:line="360" w:lineRule="auto"/>
              <w:rPr>
                <w:rFonts w:cs="宋体"/>
                <w:szCs w:val="24"/>
                <w:highlight w:val="none"/>
                <w:lang w:val="zh-CN"/>
              </w:rPr>
            </w:pPr>
          </w:p>
        </w:tc>
      </w:tr>
      <w:tr w14:paraId="61D75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441" w:type="pct"/>
            <w:shd w:val="clear" w:color="auto" w:fill="auto"/>
            <w:vAlign w:val="center"/>
          </w:tcPr>
          <w:p w14:paraId="0B847D29">
            <w:pPr>
              <w:pStyle w:val="50"/>
              <w:spacing w:line="360" w:lineRule="auto"/>
              <w:ind w:left="420" w:hanging="420"/>
              <w:jc w:val="center"/>
              <w:rPr>
                <w:rFonts w:cs="宋体"/>
                <w:szCs w:val="24"/>
                <w:highlight w:val="none"/>
              </w:rPr>
            </w:pPr>
            <w:r>
              <w:rPr>
                <w:rFonts w:hint="eastAsia" w:cs="宋体"/>
                <w:szCs w:val="24"/>
                <w:highlight w:val="none"/>
              </w:rPr>
              <w:t>10</w:t>
            </w:r>
          </w:p>
        </w:tc>
        <w:tc>
          <w:tcPr>
            <w:tcW w:w="863" w:type="pct"/>
            <w:vAlign w:val="center"/>
          </w:tcPr>
          <w:p w14:paraId="74C235D4">
            <w:pPr>
              <w:pStyle w:val="50"/>
              <w:spacing w:line="360" w:lineRule="auto"/>
              <w:rPr>
                <w:rFonts w:cs="宋体"/>
                <w:szCs w:val="24"/>
                <w:highlight w:val="none"/>
                <w:lang w:val="zh-CN"/>
              </w:rPr>
            </w:pPr>
            <w:r>
              <w:rPr>
                <w:rFonts w:hint="eastAsia" w:cs="宋体"/>
                <w:szCs w:val="24"/>
                <w:highlight w:val="none"/>
              </w:rPr>
              <w:t>围标串标情形</w:t>
            </w:r>
          </w:p>
        </w:tc>
        <w:tc>
          <w:tcPr>
            <w:tcW w:w="2893" w:type="pct"/>
            <w:shd w:val="clear" w:color="auto" w:fill="auto"/>
            <w:vAlign w:val="center"/>
          </w:tcPr>
          <w:p w14:paraId="5997FF19">
            <w:pPr>
              <w:pStyle w:val="50"/>
              <w:spacing w:line="360" w:lineRule="auto"/>
              <w:rPr>
                <w:rFonts w:cs="宋体"/>
                <w:szCs w:val="24"/>
                <w:highlight w:val="none"/>
              </w:rPr>
            </w:pPr>
            <w:r>
              <w:rPr>
                <w:rFonts w:hint="eastAsia" w:cs="宋体"/>
                <w:szCs w:val="24"/>
                <w:highlight w:val="none"/>
              </w:rPr>
              <w:t>没有</w:t>
            </w:r>
            <w:r>
              <w:rPr>
                <w:rFonts w:hint="eastAsia" w:cs="宋体"/>
                <w:szCs w:val="24"/>
                <w:highlight w:val="none"/>
                <w:lang w:val="zh-CN"/>
              </w:rPr>
              <w:t>“第五章 评标方法及标准”</w:t>
            </w:r>
            <w:r>
              <w:rPr>
                <w:rFonts w:hint="eastAsia" w:cs="宋体"/>
                <w:szCs w:val="24"/>
                <w:highlight w:val="none"/>
              </w:rPr>
              <w:t>第21条情形之一的</w:t>
            </w:r>
          </w:p>
        </w:tc>
        <w:tc>
          <w:tcPr>
            <w:tcW w:w="341" w:type="pct"/>
            <w:shd w:val="clear" w:color="auto" w:fill="auto"/>
            <w:vAlign w:val="center"/>
          </w:tcPr>
          <w:p w14:paraId="3722504D">
            <w:pPr>
              <w:pStyle w:val="50"/>
              <w:spacing w:line="360" w:lineRule="auto"/>
              <w:rPr>
                <w:rFonts w:cs="宋体"/>
                <w:szCs w:val="24"/>
                <w:highlight w:val="none"/>
                <w:lang w:val="zh-CN"/>
              </w:rPr>
            </w:pPr>
          </w:p>
        </w:tc>
        <w:tc>
          <w:tcPr>
            <w:tcW w:w="462" w:type="pct"/>
            <w:shd w:val="clear" w:color="auto" w:fill="auto"/>
            <w:vAlign w:val="center"/>
          </w:tcPr>
          <w:p w14:paraId="3A6F7B3B">
            <w:pPr>
              <w:pStyle w:val="50"/>
              <w:spacing w:line="360" w:lineRule="auto"/>
              <w:rPr>
                <w:rFonts w:cs="宋体"/>
                <w:szCs w:val="24"/>
                <w:highlight w:val="none"/>
                <w:lang w:val="zh-CN"/>
              </w:rPr>
            </w:pPr>
          </w:p>
        </w:tc>
      </w:tr>
      <w:tr w14:paraId="48E1B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441" w:type="pct"/>
            <w:shd w:val="clear" w:color="auto" w:fill="auto"/>
            <w:vAlign w:val="center"/>
          </w:tcPr>
          <w:p w14:paraId="1D41FE5D">
            <w:pPr>
              <w:pStyle w:val="50"/>
              <w:spacing w:line="360" w:lineRule="auto"/>
              <w:ind w:left="420" w:hanging="420"/>
              <w:jc w:val="center"/>
              <w:rPr>
                <w:rFonts w:cs="宋体"/>
                <w:szCs w:val="24"/>
                <w:highlight w:val="none"/>
              </w:rPr>
            </w:pPr>
            <w:r>
              <w:rPr>
                <w:rFonts w:hint="eastAsia" w:cs="宋体"/>
                <w:szCs w:val="24"/>
                <w:highlight w:val="none"/>
              </w:rPr>
              <w:t>11</w:t>
            </w:r>
          </w:p>
        </w:tc>
        <w:tc>
          <w:tcPr>
            <w:tcW w:w="863" w:type="pct"/>
            <w:vAlign w:val="center"/>
          </w:tcPr>
          <w:p w14:paraId="07C802BE">
            <w:pPr>
              <w:pStyle w:val="50"/>
              <w:spacing w:line="360" w:lineRule="auto"/>
              <w:rPr>
                <w:rFonts w:cs="宋体"/>
                <w:szCs w:val="24"/>
                <w:highlight w:val="none"/>
              </w:rPr>
            </w:pPr>
            <w:r>
              <w:rPr>
                <w:rFonts w:hint="eastAsia" w:cs="宋体"/>
                <w:szCs w:val="24"/>
                <w:highlight w:val="none"/>
              </w:rPr>
              <w:t>附加条件</w:t>
            </w:r>
          </w:p>
        </w:tc>
        <w:tc>
          <w:tcPr>
            <w:tcW w:w="2893" w:type="pct"/>
            <w:shd w:val="clear" w:color="auto" w:fill="auto"/>
            <w:vAlign w:val="center"/>
          </w:tcPr>
          <w:p w14:paraId="1F1DD50B">
            <w:pPr>
              <w:pStyle w:val="50"/>
              <w:spacing w:line="360" w:lineRule="auto"/>
              <w:rPr>
                <w:rFonts w:cs="宋体"/>
                <w:szCs w:val="24"/>
                <w:highlight w:val="none"/>
              </w:rPr>
            </w:pPr>
            <w:r>
              <w:rPr>
                <w:rFonts w:hint="eastAsia" w:cs="宋体"/>
                <w:szCs w:val="24"/>
                <w:highlight w:val="none"/>
              </w:rPr>
              <w:t>投标文件没有采购人不能接受的附加条件的</w:t>
            </w:r>
          </w:p>
        </w:tc>
        <w:tc>
          <w:tcPr>
            <w:tcW w:w="341" w:type="pct"/>
            <w:shd w:val="clear" w:color="auto" w:fill="auto"/>
            <w:vAlign w:val="center"/>
          </w:tcPr>
          <w:p w14:paraId="5682CC4E">
            <w:pPr>
              <w:pStyle w:val="50"/>
              <w:spacing w:line="360" w:lineRule="auto"/>
              <w:rPr>
                <w:rFonts w:cs="宋体"/>
                <w:szCs w:val="24"/>
                <w:highlight w:val="none"/>
                <w:lang w:val="zh-CN"/>
              </w:rPr>
            </w:pPr>
          </w:p>
        </w:tc>
        <w:tc>
          <w:tcPr>
            <w:tcW w:w="462" w:type="pct"/>
            <w:shd w:val="clear" w:color="auto" w:fill="auto"/>
            <w:vAlign w:val="center"/>
          </w:tcPr>
          <w:p w14:paraId="72E4A6D9">
            <w:pPr>
              <w:pStyle w:val="50"/>
              <w:spacing w:line="360" w:lineRule="auto"/>
              <w:rPr>
                <w:rFonts w:cs="宋体"/>
                <w:szCs w:val="24"/>
                <w:highlight w:val="none"/>
                <w:lang w:val="zh-CN"/>
              </w:rPr>
            </w:pPr>
          </w:p>
        </w:tc>
      </w:tr>
    </w:tbl>
    <w:p w14:paraId="1716F84D">
      <w:pPr>
        <w:spacing w:line="360" w:lineRule="auto"/>
        <w:rPr>
          <w:highlight w:val="none"/>
        </w:rPr>
      </w:pPr>
    </w:p>
    <w:p w14:paraId="6740542C">
      <w:pPr>
        <w:spacing w:line="360" w:lineRule="auto"/>
        <w:rPr>
          <w:highlight w:val="none"/>
        </w:rPr>
      </w:pPr>
      <w:r>
        <w:rPr>
          <w:rFonts w:hint="eastAsia"/>
          <w:highlight w:val="none"/>
        </w:rPr>
        <w:t>符合性审查表－附表</w:t>
      </w:r>
    </w:p>
    <w:p w14:paraId="29EA10A6">
      <w:pPr>
        <w:spacing w:line="360" w:lineRule="auto"/>
        <w:rPr>
          <w:highlight w:val="none"/>
        </w:rPr>
      </w:pPr>
      <w:r>
        <w:rPr>
          <w:rFonts w:hint="eastAsia"/>
          <w:highlight w:val="none"/>
        </w:rPr>
        <w:br w:type="page"/>
      </w:r>
    </w:p>
    <w:p w14:paraId="138D8307">
      <w:pPr>
        <w:pStyle w:val="4"/>
        <w:spacing w:line="360" w:lineRule="auto"/>
        <w:rPr>
          <w:highlight w:val="none"/>
          <w:lang w:val="zh-CN"/>
        </w:rPr>
      </w:pPr>
      <w:r>
        <w:rPr>
          <w:rFonts w:hint="eastAsia"/>
          <w:highlight w:val="none"/>
          <w:lang w:val="zh-CN"/>
        </w:rPr>
        <w:t>实质性响应一览表</w:t>
      </w:r>
    </w:p>
    <w:p w14:paraId="36E86B66">
      <w:pPr>
        <w:spacing w:line="360" w:lineRule="auto"/>
        <w:rPr>
          <w:highlight w:val="none"/>
        </w:rPr>
      </w:pPr>
      <w:r>
        <w:rPr>
          <w:rFonts w:hint="eastAsia"/>
          <w:highlight w:val="none"/>
        </w:rPr>
        <w:t>（投标人须对本附表所有内容逐条响应且无负偏离，否则其</w:t>
      </w:r>
      <w:r>
        <w:rPr>
          <w:rFonts w:hint="eastAsia"/>
          <w:b/>
          <w:highlight w:val="none"/>
        </w:rPr>
        <w:t>投标无效</w:t>
      </w:r>
      <w:r>
        <w:rPr>
          <w:rFonts w:hint="eastAsia"/>
          <w:highlight w:val="none"/>
        </w:rPr>
        <w:t>）</w:t>
      </w:r>
    </w:p>
    <w:p w14:paraId="0D6D0951">
      <w:pPr>
        <w:pStyle w:val="24"/>
        <w:spacing w:line="360" w:lineRule="auto"/>
        <w:rPr>
          <w:highlight w:val="none"/>
        </w:rPr>
      </w:pPr>
    </w:p>
    <w:tbl>
      <w:tblPr>
        <w:tblStyle w:val="30"/>
        <w:tblW w:w="6152" w:type="pct"/>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749"/>
        <w:gridCol w:w="4871"/>
        <w:gridCol w:w="2412"/>
        <w:gridCol w:w="872"/>
      </w:tblGrid>
      <w:tr w14:paraId="46DC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77" w:type="pct"/>
            <w:vMerge w:val="restart"/>
            <w:vAlign w:val="center"/>
          </w:tcPr>
          <w:p w14:paraId="2B0B1310">
            <w:pPr>
              <w:spacing w:line="360" w:lineRule="auto"/>
              <w:rPr>
                <w:highlight w:val="none"/>
              </w:rPr>
            </w:pPr>
            <w:r>
              <w:rPr>
                <w:rFonts w:hint="eastAsia"/>
                <w:highlight w:val="none"/>
              </w:rPr>
              <w:t>序号</w:t>
            </w:r>
          </w:p>
        </w:tc>
        <w:tc>
          <w:tcPr>
            <w:tcW w:w="3157" w:type="pct"/>
            <w:gridSpan w:val="2"/>
            <w:vAlign w:val="center"/>
          </w:tcPr>
          <w:p w14:paraId="62E70DD9">
            <w:pPr>
              <w:spacing w:line="360" w:lineRule="auto"/>
              <w:rPr>
                <w:highlight w:val="none"/>
              </w:rPr>
            </w:pPr>
            <w:r>
              <w:rPr>
                <w:rFonts w:hint="eastAsia"/>
                <w:highlight w:val="none"/>
              </w:rPr>
              <w:t>招标文件要求的实质性响应内容</w:t>
            </w:r>
          </w:p>
        </w:tc>
        <w:tc>
          <w:tcPr>
            <w:tcW w:w="1150" w:type="pct"/>
            <w:vMerge w:val="restart"/>
            <w:vAlign w:val="center"/>
          </w:tcPr>
          <w:p w14:paraId="550B3125">
            <w:pPr>
              <w:spacing w:line="360" w:lineRule="auto"/>
              <w:rPr>
                <w:highlight w:val="none"/>
              </w:rPr>
            </w:pPr>
            <w:r>
              <w:rPr>
                <w:rFonts w:hint="eastAsia"/>
                <w:highlight w:val="none"/>
              </w:rPr>
              <w:t>投标文件响应的具体内容</w:t>
            </w:r>
          </w:p>
        </w:tc>
        <w:tc>
          <w:tcPr>
            <w:tcW w:w="416" w:type="pct"/>
            <w:vMerge w:val="restart"/>
            <w:vAlign w:val="center"/>
          </w:tcPr>
          <w:p w14:paraId="29694730">
            <w:pPr>
              <w:spacing w:line="360" w:lineRule="auto"/>
              <w:rPr>
                <w:highlight w:val="none"/>
              </w:rPr>
            </w:pPr>
            <w:r>
              <w:rPr>
                <w:rFonts w:hint="eastAsia"/>
                <w:highlight w:val="none"/>
              </w:rPr>
              <w:t>备注</w:t>
            </w:r>
          </w:p>
        </w:tc>
      </w:tr>
      <w:tr w14:paraId="302A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77" w:type="pct"/>
            <w:vMerge w:val="continue"/>
            <w:vAlign w:val="center"/>
          </w:tcPr>
          <w:p w14:paraId="1E0196E7">
            <w:pPr>
              <w:spacing w:line="360" w:lineRule="auto"/>
              <w:rPr>
                <w:highlight w:val="none"/>
              </w:rPr>
            </w:pPr>
          </w:p>
        </w:tc>
        <w:tc>
          <w:tcPr>
            <w:tcW w:w="834" w:type="pct"/>
            <w:shd w:val="clear" w:color="auto" w:fill="auto"/>
            <w:vAlign w:val="center"/>
          </w:tcPr>
          <w:p w14:paraId="3E06DF94">
            <w:pPr>
              <w:spacing w:line="360" w:lineRule="auto"/>
              <w:rPr>
                <w:highlight w:val="none"/>
              </w:rPr>
            </w:pPr>
            <w:r>
              <w:rPr>
                <w:rFonts w:hint="eastAsia"/>
                <w:highlight w:val="none"/>
              </w:rPr>
              <w:t>实质性要求</w:t>
            </w:r>
          </w:p>
        </w:tc>
        <w:tc>
          <w:tcPr>
            <w:tcW w:w="2323" w:type="pct"/>
            <w:shd w:val="clear" w:color="auto" w:fill="auto"/>
            <w:vAlign w:val="center"/>
          </w:tcPr>
          <w:p w14:paraId="28BC0B6E">
            <w:pPr>
              <w:spacing w:line="360" w:lineRule="auto"/>
              <w:rPr>
                <w:highlight w:val="none"/>
              </w:rPr>
            </w:pPr>
            <w:r>
              <w:rPr>
                <w:rFonts w:hint="eastAsia"/>
                <w:highlight w:val="none"/>
              </w:rPr>
              <w:t>招标文件中的规定</w:t>
            </w:r>
          </w:p>
        </w:tc>
        <w:tc>
          <w:tcPr>
            <w:tcW w:w="1150" w:type="pct"/>
            <w:vMerge w:val="continue"/>
            <w:vAlign w:val="center"/>
          </w:tcPr>
          <w:p w14:paraId="510F4C8F">
            <w:pPr>
              <w:spacing w:line="360" w:lineRule="auto"/>
              <w:rPr>
                <w:highlight w:val="none"/>
              </w:rPr>
            </w:pPr>
          </w:p>
        </w:tc>
        <w:tc>
          <w:tcPr>
            <w:tcW w:w="416" w:type="pct"/>
            <w:vMerge w:val="continue"/>
            <w:vAlign w:val="center"/>
          </w:tcPr>
          <w:p w14:paraId="52F8DC5F">
            <w:pPr>
              <w:spacing w:line="360" w:lineRule="auto"/>
              <w:rPr>
                <w:highlight w:val="none"/>
              </w:rPr>
            </w:pPr>
          </w:p>
        </w:tc>
      </w:tr>
      <w:tr w14:paraId="31E2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77" w:type="pct"/>
            <w:vAlign w:val="center"/>
          </w:tcPr>
          <w:p w14:paraId="7BE6954C">
            <w:pPr>
              <w:spacing w:line="360" w:lineRule="auto"/>
              <w:rPr>
                <w:highlight w:val="none"/>
              </w:rPr>
            </w:pPr>
            <w:r>
              <w:rPr>
                <w:rFonts w:hint="eastAsia"/>
                <w:highlight w:val="none"/>
              </w:rPr>
              <w:t>1</w:t>
            </w:r>
          </w:p>
        </w:tc>
        <w:tc>
          <w:tcPr>
            <w:tcW w:w="834" w:type="pct"/>
            <w:shd w:val="clear" w:color="auto" w:fill="auto"/>
            <w:vAlign w:val="center"/>
          </w:tcPr>
          <w:p w14:paraId="57FA7A78">
            <w:pPr>
              <w:spacing w:line="360" w:lineRule="auto"/>
              <w:rPr>
                <w:highlight w:val="none"/>
              </w:rPr>
            </w:pPr>
            <w:r>
              <w:rPr>
                <w:rFonts w:hint="eastAsia"/>
                <w:highlight w:val="none"/>
              </w:rPr>
              <w:t>投标内容</w:t>
            </w:r>
          </w:p>
        </w:tc>
        <w:tc>
          <w:tcPr>
            <w:tcW w:w="2323" w:type="pct"/>
            <w:shd w:val="clear" w:color="auto" w:fill="auto"/>
            <w:vAlign w:val="center"/>
          </w:tcPr>
          <w:p w14:paraId="3F394328">
            <w:pPr>
              <w:spacing w:line="360" w:lineRule="auto"/>
              <w:rPr>
                <w:highlight w:val="none"/>
              </w:rPr>
            </w:pPr>
            <w:r>
              <w:rPr>
                <w:rFonts w:hint="eastAsia"/>
                <w:highlight w:val="none"/>
              </w:rPr>
              <w:t>对采购标的全部报价，无缺项漏项或改变清单数量</w:t>
            </w:r>
          </w:p>
        </w:tc>
        <w:tc>
          <w:tcPr>
            <w:tcW w:w="1150" w:type="pct"/>
            <w:vAlign w:val="center"/>
          </w:tcPr>
          <w:p w14:paraId="12D22F26">
            <w:pPr>
              <w:spacing w:line="360" w:lineRule="auto"/>
              <w:rPr>
                <w:highlight w:val="none"/>
              </w:rPr>
            </w:pPr>
            <w:r>
              <w:rPr>
                <w:rFonts w:hint="eastAsia"/>
                <w:highlight w:val="none"/>
              </w:rPr>
              <w:t>【投标人在此处填写投标文件的相关内容】</w:t>
            </w:r>
          </w:p>
        </w:tc>
        <w:tc>
          <w:tcPr>
            <w:tcW w:w="416" w:type="pct"/>
            <w:vAlign w:val="center"/>
          </w:tcPr>
          <w:p w14:paraId="24678193">
            <w:pPr>
              <w:spacing w:line="360" w:lineRule="auto"/>
              <w:rPr>
                <w:highlight w:val="none"/>
              </w:rPr>
            </w:pPr>
          </w:p>
        </w:tc>
      </w:tr>
      <w:tr w14:paraId="3A69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7" w:type="pct"/>
            <w:vAlign w:val="center"/>
          </w:tcPr>
          <w:p w14:paraId="5EB26FD9">
            <w:pPr>
              <w:spacing w:line="360" w:lineRule="auto"/>
              <w:rPr>
                <w:highlight w:val="none"/>
              </w:rPr>
            </w:pPr>
            <w:r>
              <w:rPr>
                <w:highlight w:val="none"/>
              </w:rPr>
              <w:t>2</w:t>
            </w:r>
          </w:p>
        </w:tc>
        <w:tc>
          <w:tcPr>
            <w:tcW w:w="834" w:type="pct"/>
            <w:shd w:val="clear" w:color="auto" w:fill="auto"/>
            <w:vAlign w:val="center"/>
          </w:tcPr>
          <w:p w14:paraId="7E79AE25">
            <w:pPr>
              <w:spacing w:line="360" w:lineRule="auto"/>
              <w:rPr>
                <w:highlight w:val="none"/>
              </w:rPr>
            </w:pPr>
            <w:r>
              <w:rPr>
                <w:rFonts w:hint="eastAsia"/>
                <w:highlight w:val="none"/>
              </w:rPr>
              <w:t>投标有效期</w:t>
            </w:r>
          </w:p>
        </w:tc>
        <w:tc>
          <w:tcPr>
            <w:tcW w:w="2323" w:type="pct"/>
            <w:shd w:val="clear" w:color="auto" w:fill="auto"/>
            <w:vAlign w:val="center"/>
          </w:tcPr>
          <w:p w14:paraId="1D1ACB3D">
            <w:pPr>
              <w:spacing w:line="360" w:lineRule="auto"/>
              <w:rPr>
                <w:highlight w:val="none"/>
              </w:rPr>
            </w:pPr>
            <w:r>
              <w:rPr>
                <w:rFonts w:hint="eastAsia"/>
                <w:highlight w:val="none"/>
              </w:rPr>
              <w:t>招标文件“第二章 投标须知”关于投标有效期的规定</w:t>
            </w:r>
          </w:p>
        </w:tc>
        <w:tc>
          <w:tcPr>
            <w:tcW w:w="1150" w:type="pct"/>
            <w:shd w:val="clear" w:color="auto" w:fill="auto"/>
            <w:vAlign w:val="center"/>
          </w:tcPr>
          <w:p w14:paraId="27F39823">
            <w:pPr>
              <w:spacing w:line="360" w:lineRule="auto"/>
              <w:rPr>
                <w:highlight w:val="none"/>
              </w:rPr>
            </w:pPr>
          </w:p>
        </w:tc>
        <w:tc>
          <w:tcPr>
            <w:tcW w:w="416" w:type="pct"/>
            <w:vAlign w:val="center"/>
          </w:tcPr>
          <w:p w14:paraId="47203A4D">
            <w:pPr>
              <w:spacing w:line="360" w:lineRule="auto"/>
              <w:rPr>
                <w:highlight w:val="none"/>
              </w:rPr>
            </w:pPr>
          </w:p>
        </w:tc>
      </w:tr>
      <w:tr w14:paraId="1B8F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77" w:type="pct"/>
            <w:vAlign w:val="center"/>
          </w:tcPr>
          <w:p w14:paraId="79EDC8D6">
            <w:pPr>
              <w:spacing w:line="360" w:lineRule="auto"/>
              <w:rPr>
                <w:highlight w:val="none"/>
              </w:rPr>
            </w:pPr>
            <w:r>
              <w:rPr>
                <w:highlight w:val="none"/>
              </w:rPr>
              <w:t>3</w:t>
            </w:r>
          </w:p>
        </w:tc>
        <w:tc>
          <w:tcPr>
            <w:tcW w:w="834" w:type="pct"/>
            <w:shd w:val="clear" w:color="auto" w:fill="auto"/>
            <w:vAlign w:val="center"/>
          </w:tcPr>
          <w:p w14:paraId="323EB227">
            <w:pPr>
              <w:spacing w:line="360" w:lineRule="auto"/>
              <w:rPr>
                <w:highlight w:val="none"/>
              </w:rPr>
            </w:pPr>
            <w:r>
              <w:rPr>
                <w:rFonts w:hint="eastAsia"/>
                <w:highlight w:val="none"/>
              </w:rPr>
              <w:t>交货期</w:t>
            </w:r>
          </w:p>
        </w:tc>
        <w:tc>
          <w:tcPr>
            <w:tcW w:w="2323" w:type="pct"/>
            <w:shd w:val="clear" w:color="auto" w:fill="auto"/>
            <w:vAlign w:val="center"/>
          </w:tcPr>
          <w:p w14:paraId="2A45581D">
            <w:pPr>
              <w:spacing w:line="360" w:lineRule="auto"/>
              <w:rPr>
                <w:highlight w:val="none"/>
              </w:rPr>
            </w:pPr>
            <w:r>
              <w:rPr>
                <w:rFonts w:hint="eastAsia"/>
                <w:highlight w:val="none"/>
              </w:rPr>
              <w:t>招标文件“第三章 采购需求”-商务要求关于交货期的规定</w:t>
            </w:r>
          </w:p>
        </w:tc>
        <w:tc>
          <w:tcPr>
            <w:tcW w:w="1150" w:type="pct"/>
            <w:shd w:val="clear" w:color="auto" w:fill="auto"/>
            <w:vAlign w:val="center"/>
          </w:tcPr>
          <w:p w14:paraId="41521120">
            <w:pPr>
              <w:spacing w:line="360" w:lineRule="auto"/>
              <w:rPr>
                <w:highlight w:val="none"/>
              </w:rPr>
            </w:pPr>
          </w:p>
        </w:tc>
        <w:tc>
          <w:tcPr>
            <w:tcW w:w="416" w:type="pct"/>
            <w:vAlign w:val="center"/>
          </w:tcPr>
          <w:p w14:paraId="0467C222">
            <w:pPr>
              <w:spacing w:line="360" w:lineRule="auto"/>
              <w:rPr>
                <w:highlight w:val="none"/>
              </w:rPr>
            </w:pPr>
          </w:p>
        </w:tc>
      </w:tr>
      <w:tr w14:paraId="1F8D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77" w:type="pct"/>
            <w:shd w:val="clear" w:color="auto" w:fill="auto"/>
            <w:vAlign w:val="center"/>
          </w:tcPr>
          <w:p w14:paraId="638D7B24">
            <w:pPr>
              <w:spacing w:line="360" w:lineRule="auto"/>
              <w:rPr>
                <w:highlight w:val="none"/>
              </w:rPr>
            </w:pPr>
            <w:r>
              <w:rPr>
                <w:highlight w:val="none"/>
              </w:rPr>
              <w:t>4</w:t>
            </w:r>
          </w:p>
        </w:tc>
        <w:tc>
          <w:tcPr>
            <w:tcW w:w="834" w:type="pct"/>
            <w:shd w:val="clear" w:color="auto" w:fill="auto"/>
            <w:vAlign w:val="center"/>
          </w:tcPr>
          <w:p w14:paraId="45BA03B9">
            <w:pPr>
              <w:spacing w:line="360" w:lineRule="auto"/>
              <w:rPr>
                <w:highlight w:val="none"/>
              </w:rPr>
            </w:pPr>
            <w:r>
              <w:rPr>
                <w:rFonts w:hint="eastAsia"/>
                <w:highlight w:val="none"/>
              </w:rPr>
              <w:t>交货地点</w:t>
            </w:r>
          </w:p>
        </w:tc>
        <w:tc>
          <w:tcPr>
            <w:tcW w:w="2323" w:type="pct"/>
            <w:shd w:val="clear" w:color="auto" w:fill="auto"/>
            <w:vAlign w:val="center"/>
          </w:tcPr>
          <w:p w14:paraId="0C2D9C6A">
            <w:pPr>
              <w:pStyle w:val="50"/>
              <w:spacing w:line="360" w:lineRule="auto"/>
              <w:rPr>
                <w:highlight w:val="none"/>
              </w:rPr>
            </w:pPr>
            <w:r>
              <w:rPr>
                <w:rFonts w:hint="eastAsia"/>
                <w:highlight w:val="none"/>
              </w:rPr>
              <w:t>招标文件“第三章 采购需求”-商务要求关于交货地点的规定</w:t>
            </w:r>
          </w:p>
        </w:tc>
        <w:tc>
          <w:tcPr>
            <w:tcW w:w="1150" w:type="pct"/>
            <w:shd w:val="clear" w:color="auto" w:fill="auto"/>
            <w:vAlign w:val="center"/>
          </w:tcPr>
          <w:p w14:paraId="4CD63791">
            <w:pPr>
              <w:spacing w:line="360" w:lineRule="auto"/>
              <w:rPr>
                <w:highlight w:val="none"/>
              </w:rPr>
            </w:pPr>
          </w:p>
        </w:tc>
        <w:tc>
          <w:tcPr>
            <w:tcW w:w="416" w:type="pct"/>
            <w:vAlign w:val="center"/>
          </w:tcPr>
          <w:p w14:paraId="511EA432">
            <w:pPr>
              <w:spacing w:line="360" w:lineRule="auto"/>
              <w:rPr>
                <w:highlight w:val="none"/>
              </w:rPr>
            </w:pPr>
          </w:p>
        </w:tc>
      </w:tr>
      <w:tr w14:paraId="42A2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77" w:type="pct"/>
            <w:shd w:val="clear" w:color="auto" w:fill="auto"/>
            <w:vAlign w:val="center"/>
          </w:tcPr>
          <w:p w14:paraId="222DD957">
            <w:pPr>
              <w:spacing w:line="360" w:lineRule="auto"/>
              <w:rPr>
                <w:highlight w:val="none"/>
              </w:rPr>
            </w:pPr>
            <w:r>
              <w:rPr>
                <w:highlight w:val="none"/>
              </w:rPr>
              <w:t>5</w:t>
            </w:r>
          </w:p>
        </w:tc>
        <w:tc>
          <w:tcPr>
            <w:tcW w:w="834" w:type="pct"/>
            <w:shd w:val="clear" w:color="auto" w:fill="auto"/>
            <w:vAlign w:val="center"/>
          </w:tcPr>
          <w:p w14:paraId="53F7A124">
            <w:pPr>
              <w:spacing w:line="360" w:lineRule="auto"/>
              <w:rPr>
                <w:highlight w:val="none"/>
              </w:rPr>
            </w:pPr>
            <w:r>
              <w:rPr>
                <w:rFonts w:hint="eastAsia"/>
                <w:highlight w:val="none"/>
              </w:rPr>
              <w:t>付款方式</w:t>
            </w:r>
          </w:p>
        </w:tc>
        <w:tc>
          <w:tcPr>
            <w:tcW w:w="2323" w:type="pct"/>
            <w:shd w:val="clear" w:color="auto" w:fill="auto"/>
            <w:vAlign w:val="center"/>
          </w:tcPr>
          <w:p w14:paraId="5DEDC74E">
            <w:pPr>
              <w:pStyle w:val="50"/>
              <w:spacing w:line="360" w:lineRule="auto"/>
              <w:rPr>
                <w:highlight w:val="none"/>
              </w:rPr>
            </w:pPr>
            <w:r>
              <w:rPr>
                <w:rFonts w:hint="eastAsia"/>
                <w:highlight w:val="none"/>
              </w:rPr>
              <w:t>招标文件“第三章 采购需求”-商务要求关于付款方式的规定</w:t>
            </w:r>
          </w:p>
        </w:tc>
        <w:tc>
          <w:tcPr>
            <w:tcW w:w="1150" w:type="pct"/>
            <w:shd w:val="clear" w:color="auto" w:fill="auto"/>
            <w:vAlign w:val="center"/>
          </w:tcPr>
          <w:p w14:paraId="0603E464">
            <w:pPr>
              <w:spacing w:line="360" w:lineRule="auto"/>
              <w:rPr>
                <w:highlight w:val="none"/>
              </w:rPr>
            </w:pPr>
          </w:p>
        </w:tc>
        <w:tc>
          <w:tcPr>
            <w:tcW w:w="416" w:type="pct"/>
            <w:vAlign w:val="center"/>
          </w:tcPr>
          <w:p w14:paraId="5E5D76C4">
            <w:pPr>
              <w:spacing w:line="360" w:lineRule="auto"/>
              <w:rPr>
                <w:highlight w:val="none"/>
              </w:rPr>
            </w:pPr>
          </w:p>
        </w:tc>
      </w:tr>
      <w:tr w14:paraId="53A1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77" w:type="pct"/>
            <w:shd w:val="clear" w:color="auto" w:fill="auto"/>
            <w:vAlign w:val="center"/>
          </w:tcPr>
          <w:p w14:paraId="606626A4">
            <w:pPr>
              <w:spacing w:line="360" w:lineRule="auto"/>
              <w:rPr>
                <w:highlight w:val="none"/>
              </w:rPr>
            </w:pPr>
            <w:r>
              <w:rPr>
                <w:highlight w:val="none"/>
              </w:rPr>
              <w:t>6</w:t>
            </w:r>
          </w:p>
        </w:tc>
        <w:tc>
          <w:tcPr>
            <w:tcW w:w="834" w:type="pct"/>
            <w:shd w:val="clear" w:color="auto" w:fill="auto"/>
            <w:vAlign w:val="center"/>
          </w:tcPr>
          <w:p w14:paraId="49E53B58">
            <w:pPr>
              <w:spacing w:line="360" w:lineRule="auto"/>
              <w:rPr>
                <w:highlight w:val="none"/>
              </w:rPr>
            </w:pPr>
            <w:r>
              <w:rPr>
                <w:rFonts w:hint="eastAsia"/>
                <w:highlight w:val="none"/>
              </w:rPr>
              <w:t>履约保证金</w:t>
            </w:r>
          </w:p>
        </w:tc>
        <w:tc>
          <w:tcPr>
            <w:tcW w:w="2323" w:type="pct"/>
            <w:shd w:val="clear" w:color="auto" w:fill="auto"/>
            <w:vAlign w:val="center"/>
          </w:tcPr>
          <w:p w14:paraId="7A2269AB">
            <w:pPr>
              <w:pStyle w:val="50"/>
              <w:spacing w:line="360" w:lineRule="auto"/>
              <w:rPr>
                <w:highlight w:val="none"/>
              </w:rPr>
            </w:pPr>
            <w:r>
              <w:rPr>
                <w:rFonts w:hint="eastAsia"/>
                <w:highlight w:val="none"/>
              </w:rPr>
              <w:t>如有，招标文件“第三章 采购需求”-商务要求关于履约保证金的规定</w:t>
            </w:r>
          </w:p>
        </w:tc>
        <w:tc>
          <w:tcPr>
            <w:tcW w:w="1150" w:type="pct"/>
            <w:shd w:val="clear" w:color="auto" w:fill="auto"/>
            <w:vAlign w:val="center"/>
          </w:tcPr>
          <w:p w14:paraId="153CC8FF">
            <w:pPr>
              <w:spacing w:line="360" w:lineRule="auto"/>
              <w:rPr>
                <w:highlight w:val="none"/>
              </w:rPr>
            </w:pPr>
          </w:p>
        </w:tc>
        <w:tc>
          <w:tcPr>
            <w:tcW w:w="416" w:type="pct"/>
            <w:vAlign w:val="center"/>
          </w:tcPr>
          <w:p w14:paraId="57F7AC7C">
            <w:pPr>
              <w:spacing w:line="360" w:lineRule="auto"/>
              <w:rPr>
                <w:highlight w:val="none"/>
              </w:rPr>
            </w:pPr>
          </w:p>
        </w:tc>
      </w:tr>
      <w:tr w14:paraId="6063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638A4828">
            <w:pPr>
              <w:spacing w:line="360" w:lineRule="auto"/>
              <w:rPr>
                <w:highlight w:val="none"/>
              </w:rPr>
            </w:pPr>
            <w:r>
              <w:rPr>
                <w:highlight w:val="none"/>
              </w:rPr>
              <w:t>7</w:t>
            </w:r>
          </w:p>
        </w:tc>
        <w:tc>
          <w:tcPr>
            <w:tcW w:w="834" w:type="pct"/>
            <w:shd w:val="clear" w:color="auto" w:fill="auto"/>
            <w:vAlign w:val="center"/>
          </w:tcPr>
          <w:p w14:paraId="4AFF058A">
            <w:pPr>
              <w:spacing w:line="360" w:lineRule="auto"/>
              <w:rPr>
                <w:highlight w:val="none"/>
              </w:rPr>
            </w:pPr>
            <w:r>
              <w:rPr>
                <w:rFonts w:hint="eastAsia"/>
                <w:highlight w:val="none"/>
              </w:rPr>
              <w:t>技术要求</w:t>
            </w:r>
          </w:p>
        </w:tc>
        <w:tc>
          <w:tcPr>
            <w:tcW w:w="2323" w:type="pct"/>
            <w:shd w:val="clear" w:color="auto" w:fill="auto"/>
            <w:vAlign w:val="center"/>
          </w:tcPr>
          <w:p w14:paraId="34846543">
            <w:pPr>
              <w:spacing w:line="360" w:lineRule="auto"/>
              <w:rPr>
                <w:highlight w:val="none"/>
              </w:rPr>
            </w:pPr>
            <w:r>
              <w:rPr>
                <w:rFonts w:hint="eastAsia"/>
                <w:highlight w:val="none"/>
              </w:rPr>
              <w:t>如有，详见招标文件“第三章 采购需求”关于技术要求★的规定，以及非★条款重大偏差的规定</w:t>
            </w:r>
          </w:p>
        </w:tc>
        <w:tc>
          <w:tcPr>
            <w:tcW w:w="1150" w:type="pct"/>
            <w:shd w:val="clear" w:color="auto" w:fill="auto"/>
            <w:vAlign w:val="center"/>
          </w:tcPr>
          <w:p w14:paraId="562D84EB">
            <w:pPr>
              <w:spacing w:line="360" w:lineRule="auto"/>
              <w:rPr>
                <w:highlight w:val="none"/>
              </w:rPr>
            </w:pPr>
          </w:p>
        </w:tc>
        <w:tc>
          <w:tcPr>
            <w:tcW w:w="416" w:type="pct"/>
            <w:vAlign w:val="center"/>
          </w:tcPr>
          <w:p w14:paraId="2B511373">
            <w:pPr>
              <w:spacing w:line="360" w:lineRule="auto"/>
              <w:rPr>
                <w:highlight w:val="none"/>
              </w:rPr>
            </w:pPr>
          </w:p>
        </w:tc>
      </w:tr>
      <w:tr w14:paraId="656C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77" w:type="pct"/>
            <w:vAlign w:val="center"/>
          </w:tcPr>
          <w:p w14:paraId="72D7197F">
            <w:pPr>
              <w:spacing w:line="360" w:lineRule="auto"/>
              <w:jc w:val="center"/>
              <w:rPr>
                <w:highlight w:val="none"/>
              </w:rPr>
            </w:pPr>
            <w:r>
              <w:rPr>
                <w:rFonts w:hint="eastAsia"/>
                <w:highlight w:val="none"/>
              </w:rPr>
              <w:t>8</w:t>
            </w:r>
          </w:p>
        </w:tc>
        <w:tc>
          <w:tcPr>
            <w:tcW w:w="834" w:type="pct"/>
            <w:shd w:val="clear" w:color="auto" w:fill="auto"/>
            <w:vAlign w:val="center"/>
          </w:tcPr>
          <w:p w14:paraId="40FA0C2E">
            <w:pPr>
              <w:spacing w:line="360" w:lineRule="auto"/>
              <w:rPr>
                <w:highlight w:val="none"/>
                <w:lang w:val="zh-CN"/>
              </w:rPr>
            </w:pPr>
            <w:r>
              <w:rPr>
                <w:rFonts w:hint="eastAsia"/>
                <w:highlight w:val="none"/>
                <w:lang w:val="zh-CN"/>
              </w:rPr>
              <w:t>其他实质性要求</w:t>
            </w:r>
          </w:p>
        </w:tc>
        <w:tc>
          <w:tcPr>
            <w:tcW w:w="2323" w:type="pct"/>
            <w:vAlign w:val="center"/>
          </w:tcPr>
          <w:p w14:paraId="53B2220B">
            <w:pPr>
              <w:spacing w:line="360" w:lineRule="auto"/>
              <w:rPr>
                <w:highlight w:val="none"/>
              </w:rPr>
            </w:pPr>
            <w:r>
              <w:rPr>
                <w:highlight w:val="none"/>
              </w:rPr>
              <w:t>详见招标文件中明确投标无效的条款规定</w:t>
            </w:r>
          </w:p>
        </w:tc>
        <w:tc>
          <w:tcPr>
            <w:tcW w:w="1150" w:type="pct"/>
            <w:vAlign w:val="center"/>
          </w:tcPr>
          <w:p w14:paraId="73D0D7F6">
            <w:pPr>
              <w:spacing w:line="360" w:lineRule="auto"/>
              <w:rPr>
                <w:highlight w:val="none"/>
              </w:rPr>
            </w:pPr>
          </w:p>
        </w:tc>
        <w:tc>
          <w:tcPr>
            <w:tcW w:w="416" w:type="pct"/>
            <w:vAlign w:val="center"/>
          </w:tcPr>
          <w:p w14:paraId="2DF9DBA6">
            <w:pPr>
              <w:spacing w:line="360" w:lineRule="auto"/>
              <w:rPr>
                <w:highlight w:val="none"/>
              </w:rPr>
            </w:pPr>
          </w:p>
        </w:tc>
      </w:tr>
    </w:tbl>
    <w:p w14:paraId="0461B796">
      <w:pPr>
        <w:spacing w:line="360" w:lineRule="auto"/>
        <w:rPr>
          <w:highlight w:val="none"/>
        </w:rPr>
      </w:pPr>
      <w:r>
        <w:rPr>
          <w:rFonts w:hint="eastAsia"/>
          <w:highlight w:val="none"/>
        </w:rPr>
        <w:t>注：“实质性响应一览表”中的内容为参考，可根据项目情况自行设置。</w:t>
      </w:r>
    </w:p>
    <w:p w14:paraId="33CCA213">
      <w:pPr>
        <w:spacing w:line="360" w:lineRule="auto"/>
        <w:rPr>
          <w:highlight w:val="none"/>
          <w:lang w:val="zh-CN"/>
        </w:rPr>
      </w:pPr>
      <w:bookmarkStart w:id="342" w:name="_Toc155185917"/>
      <w:bookmarkStart w:id="343" w:name="_Toc163492910"/>
      <w:r>
        <w:rPr>
          <w:rFonts w:hint="eastAsia"/>
          <w:highlight w:val="none"/>
          <w:lang w:val="zh-CN"/>
        </w:rPr>
        <w:br w:type="page"/>
      </w:r>
    </w:p>
    <w:p w14:paraId="4C728FAA">
      <w:pPr>
        <w:pStyle w:val="4"/>
        <w:spacing w:line="360" w:lineRule="auto"/>
        <w:rPr>
          <w:highlight w:val="none"/>
          <w:lang w:val="zh-CN"/>
        </w:rPr>
      </w:pPr>
      <w:r>
        <w:rPr>
          <w:rFonts w:hint="eastAsia"/>
          <w:highlight w:val="none"/>
          <w:lang w:val="zh-CN"/>
        </w:rPr>
        <w:t>（二）评分标准</w:t>
      </w:r>
      <w:bookmarkEnd w:id="342"/>
      <w:bookmarkEnd w:id="343"/>
    </w:p>
    <w:tbl>
      <w:tblPr>
        <w:tblStyle w:val="30"/>
        <w:tblW w:w="10062" w:type="dxa"/>
        <w:jc w:val="center"/>
        <w:tblLayout w:type="autofit"/>
        <w:tblCellMar>
          <w:top w:w="0" w:type="dxa"/>
          <w:left w:w="108" w:type="dxa"/>
          <w:bottom w:w="0" w:type="dxa"/>
          <w:right w:w="108" w:type="dxa"/>
        </w:tblCellMar>
      </w:tblPr>
      <w:tblGrid>
        <w:gridCol w:w="1271"/>
        <w:gridCol w:w="2196"/>
        <w:gridCol w:w="1345"/>
        <w:gridCol w:w="4550"/>
        <w:gridCol w:w="700"/>
      </w:tblGrid>
      <w:tr w14:paraId="317EDA20">
        <w:tblPrEx>
          <w:tblCellMar>
            <w:top w:w="0" w:type="dxa"/>
            <w:left w:w="108" w:type="dxa"/>
            <w:bottom w:w="0" w:type="dxa"/>
            <w:right w:w="108" w:type="dxa"/>
          </w:tblCellMar>
        </w:tblPrEx>
        <w:trPr>
          <w:trHeight w:val="310" w:hRule="atLeast"/>
          <w:jc w:val="center"/>
        </w:trPr>
        <w:tc>
          <w:tcPr>
            <w:tcW w:w="3467" w:type="dxa"/>
            <w:gridSpan w:val="2"/>
            <w:tcBorders>
              <w:top w:val="single" w:color="000000" w:sz="4" w:space="0"/>
              <w:left w:val="single" w:color="000000" w:sz="4" w:space="0"/>
              <w:bottom w:val="single" w:color="000000" w:sz="4" w:space="0"/>
              <w:right w:val="single" w:color="000000" w:sz="4" w:space="0"/>
            </w:tcBorders>
            <w:vAlign w:val="center"/>
          </w:tcPr>
          <w:p w14:paraId="61FE41A6">
            <w:pPr>
              <w:spacing w:line="360" w:lineRule="auto"/>
              <w:rPr>
                <w:szCs w:val="24"/>
                <w:highlight w:val="none"/>
              </w:rPr>
            </w:pPr>
            <w:r>
              <w:rPr>
                <w:rFonts w:hint="eastAsia"/>
                <w:szCs w:val="24"/>
                <w:highlight w:val="none"/>
                <w:lang w:bidi="ar"/>
              </w:rPr>
              <w:t>评分因素</w:t>
            </w:r>
          </w:p>
        </w:tc>
        <w:tc>
          <w:tcPr>
            <w:tcW w:w="1345" w:type="dxa"/>
            <w:tcBorders>
              <w:top w:val="single" w:color="000000" w:sz="4" w:space="0"/>
              <w:left w:val="single" w:color="000000" w:sz="4" w:space="0"/>
              <w:bottom w:val="single" w:color="000000" w:sz="4" w:space="0"/>
              <w:right w:val="single" w:color="000000" w:sz="4" w:space="0"/>
            </w:tcBorders>
            <w:vAlign w:val="center"/>
          </w:tcPr>
          <w:p w14:paraId="722975C9">
            <w:pPr>
              <w:spacing w:line="360" w:lineRule="auto"/>
              <w:rPr>
                <w:szCs w:val="24"/>
                <w:highlight w:val="none"/>
              </w:rPr>
            </w:pPr>
            <w:r>
              <w:rPr>
                <w:rFonts w:hint="eastAsia"/>
                <w:szCs w:val="24"/>
                <w:highlight w:val="none"/>
                <w:lang w:bidi="ar"/>
              </w:rPr>
              <w:t>评分点</w:t>
            </w:r>
          </w:p>
        </w:tc>
        <w:tc>
          <w:tcPr>
            <w:tcW w:w="4550" w:type="dxa"/>
            <w:tcBorders>
              <w:top w:val="single" w:color="000000" w:sz="4" w:space="0"/>
              <w:left w:val="single" w:color="000000" w:sz="4" w:space="0"/>
              <w:bottom w:val="single" w:color="000000" w:sz="4" w:space="0"/>
              <w:right w:val="single" w:color="000000" w:sz="4" w:space="0"/>
            </w:tcBorders>
            <w:vAlign w:val="center"/>
          </w:tcPr>
          <w:p w14:paraId="3B98A338">
            <w:pPr>
              <w:spacing w:line="360" w:lineRule="auto"/>
              <w:rPr>
                <w:szCs w:val="24"/>
                <w:highlight w:val="none"/>
              </w:rPr>
            </w:pPr>
            <w:r>
              <w:rPr>
                <w:rFonts w:hint="eastAsia"/>
                <w:szCs w:val="24"/>
                <w:highlight w:val="none"/>
                <w:lang w:bidi="ar"/>
              </w:rPr>
              <w:t>评分标准</w:t>
            </w:r>
          </w:p>
        </w:tc>
        <w:tc>
          <w:tcPr>
            <w:tcW w:w="700" w:type="dxa"/>
            <w:tcBorders>
              <w:top w:val="single" w:color="000000" w:sz="4" w:space="0"/>
              <w:left w:val="single" w:color="000000" w:sz="4" w:space="0"/>
              <w:bottom w:val="single" w:color="000000" w:sz="4" w:space="0"/>
              <w:right w:val="single" w:color="000000" w:sz="4" w:space="0"/>
            </w:tcBorders>
            <w:vAlign w:val="center"/>
          </w:tcPr>
          <w:p w14:paraId="69BA7747">
            <w:pPr>
              <w:spacing w:line="360" w:lineRule="auto"/>
              <w:rPr>
                <w:szCs w:val="24"/>
                <w:highlight w:val="none"/>
              </w:rPr>
            </w:pPr>
            <w:r>
              <w:rPr>
                <w:rFonts w:hint="eastAsia"/>
                <w:szCs w:val="24"/>
                <w:highlight w:val="none"/>
                <w:lang w:bidi="ar"/>
              </w:rPr>
              <w:t>分值</w:t>
            </w:r>
          </w:p>
        </w:tc>
      </w:tr>
      <w:tr w14:paraId="530CD1F0">
        <w:tblPrEx>
          <w:tblCellMar>
            <w:top w:w="0" w:type="dxa"/>
            <w:left w:w="108" w:type="dxa"/>
            <w:bottom w:w="0" w:type="dxa"/>
            <w:right w:w="108" w:type="dxa"/>
          </w:tblCellMar>
        </w:tblPrEx>
        <w:trPr>
          <w:trHeight w:val="1160" w:hRule="atLeast"/>
          <w:jc w:val="center"/>
        </w:trPr>
        <w:tc>
          <w:tcPr>
            <w:tcW w:w="1271" w:type="dxa"/>
            <w:vMerge w:val="restart"/>
            <w:tcBorders>
              <w:top w:val="single" w:color="000000" w:sz="4" w:space="0"/>
              <w:left w:val="single" w:color="000000" w:sz="4" w:space="0"/>
              <w:bottom w:val="single" w:color="000000" w:sz="4" w:space="0"/>
              <w:right w:val="single" w:color="000000" w:sz="4" w:space="0"/>
            </w:tcBorders>
            <w:vAlign w:val="center"/>
          </w:tcPr>
          <w:p w14:paraId="6A82D6B6">
            <w:pPr>
              <w:spacing w:line="360" w:lineRule="auto"/>
              <w:rPr>
                <w:szCs w:val="24"/>
                <w:highlight w:val="none"/>
              </w:rPr>
            </w:pPr>
            <w:r>
              <w:rPr>
                <w:rFonts w:hint="eastAsia"/>
                <w:szCs w:val="24"/>
                <w:highlight w:val="none"/>
                <w:lang w:bidi="ar"/>
              </w:rPr>
              <w:t>详细评审</w:t>
            </w:r>
          </w:p>
        </w:tc>
        <w:tc>
          <w:tcPr>
            <w:tcW w:w="2196" w:type="dxa"/>
            <w:tcBorders>
              <w:top w:val="single" w:color="000000" w:sz="4" w:space="0"/>
              <w:left w:val="single" w:color="000000" w:sz="4" w:space="0"/>
              <w:bottom w:val="single" w:color="000000" w:sz="4" w:space="0"/>
              <w:right w:val="single" w:color="000000" w:sz="4" w:space="0"/>
            </w:tcBorders>
            <w:vAlign w:val="center"/>
          </w:tcPr>
          <w:p w14:paraId="38740332">
            <w:pPr>
              <w:spacing w:line="360" w:lineRule="auto"/>
              <w:rPr>
                <w:szCs w:val="24"/>
                <w:highlight w:val="none"/>
              </w:rPr>
            </w:pPr>
            <w:r>
              <w:rPr>
                <w:rFonts w:hint="eastAsia"/>
                <w:szCs w:val="24"/>
                <w:highlight w:val="none"/>
                <w:lang w:bidi="ar"/>
              </w:rPr>
              <w:t>价格评审（</w:t>
            </w:r>
            <w:r>
              <w:rPr>
                <w:szCs w:val="24"/>
                <w:highlight w:val="none"/>
                <w:lang w:bidi="ar"/>
              </w:rPr>
              <w:t>48</w:t>
            </w:r>
            <w:r>
              <w:rPr>
                <w:rFonts w:hint="eastAsia"/>
                <w:szCs w:val="24"/>
                <w:highlight w:val="none"/>
                <w:lang w:bidi="ar"/>
              </w:rPr>
              <w:t>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2D2A46E6">
            <w:pPr>
              <w:spacing w:line="360" w:lineRule="auto"/>
              <w:rPr>
                <w:szCs w:val="24"/>
                <w:highlight w:val="none"/>
                <w:lang w:bidi="ar"/>
              </w:rPr>
            </w:pPr>
            <w:r>
              <w:rPr>
                <w:rFonts w:hint="eastAsia"/>
                <w:szCs w:val="24"/>
                <w:highlight w:val="none"/>
                <w:lang w:bidi="ar"/>
              </w:rPr>
              <w:t>投标报价</w:t>
            </w:r>
          </w:p>
        </w:tc>
        <w:tc>
          <w:tcPr>
            <w:tcW w:w="4550" w:type="dxa"/>
            <w:tcBorders>
              <w:top w:val="single" w:color="000000" w:sz="4" w:space="0"/>
              <w:left w:val="single" w:color="000000" w:sz="4" w:space="0"/>
              <w:bottom w:val="single" w:color="000000" w:sz="4" w:space="0"/>
              <w:right w:val="single" w:color="000000" w:sz="4" w:space="0"/>
            </w:tcBorders>
            <w:vAlign w:val="center"/>
          </w:tcPr>
          <w:p w14:paraId="49EEAE29">
            <w:pPr>
              <w:pStyle w:val="60"/>
              <w:spacing w:line="360" w:lineRule="auto"/>
              <w:rPr>
                <w:rFonts w:ascii="宋体" w:hAnsi="宋体" w:cs="宋体"/>
                <w:highlight w:val="none"/>
              </w:rPr>
            </w:pPr>
            <w:r>
              <w:rPr>
                <w:rFonts w:hint="eastAsia" w:ascii="宋体" w:hAnsi="宋体" w:cs="宋体"/>
                <w:highlight w:val="none"/>
              </w:rPr>
              <w:t>供应商的价格分统一按照下列公式计算：</w:t>
            </w:r>
          </w:p>
          <w:p w14:paraId="30BDFE66">
            <w:pPr>
              <w:pStyle w:val="60"/>
              <w:spacing w:line="360" w:lineRule="auto"/>
              <w:rPr>
                <w:rFonts w:ascii="宋体" w:hAnsi="宋体"/>
                <w:highlight w:val="none"/>
              </w:rPr>
            </w:pPr>
            <w:r>
              <w:rPr>
                <w:rFonts w:ascii="宋体" w:hAnsi="宋体" w:cs="宋体"/>
                <w:highlight w:val="none"/>
              </w:rPr>
              <w:t>1.</w:t>
            </w:r>
            <w:r>
              <w:rPr>
                <w:rFonts w:hint="eastAsia" w:ascii="宋体" w:hAnsi="宋体"/>
                <w:highlight w:val="none"/>
              </w:rPr>
              <w:t xml:space="preserve"> 三去鱼类、</w:t>
            </w:r>
            <w:r>
              <w:rPr>
                <w:rFonts w:ascii="宋体" w:hAnsi="宋体"/>
                <w:highlight w:val="none"/>
              </w:rPr>
              <w:t>两去鱼类：</w:t>
            </w:r>
          </w:p>
          <w:p w14:paraId="373DFE7D">
            <w:pPr>
              <w:pStyle w:val="60"/>
              <w:spacing w:line="360" w:lineRule="auto"/>
              <w:rPr>
                <w:rFonts w:ascii="宋体" w:hAnsi="宋体" w:cs="宋体"/>
                <w:highlight w:val="none"/>
              </w:rPr>
            </w:pPr>
            <w:r>
              <w:rPr>
                <w:rFonts w:hint="eastAsia" w:ascii="宋体" w:hAnsi="宋体" w:cs="宋体"/>
                <w:highlight w:val="none"/>
              </w:rPr>
              <w:t>投标报价得分=(评标基准价／</w:t>
            </w:r>
            <w:r>
              <w:rPr>
                <w:rFonts w:hint="eastAsia" w:ascii="宋体" w:hAnsi="宋体" w:cs="宋体"/>
                <w:highlight w:val="none"/>
                <w:lang w:val="en-US" w:eastAsia="zh-CN"/>
              </w:rPr>
              <w:t>各投标人评审价</w:t>
            </w:r>
            <w:r>
              <w:rPr>
                <w:rFonts w:hint="eastAsia" w:ascii="宋体" w:hAnsi="宋体" w:cs="宋体"/>
                <w:highlight w:val="none"/>
              </w:rPr>
              <w:t>)×价格分值×100%，小数点保留2位。</w:t>
            </w:r>
          </w:p>
          <w:p w14:paraId="2C0F1769">
            <w:pPr>
              <w:pStyle w:val="60"/>
              <w:spacing w:line="360" w:lineRule="auto"/>
              <w:rPr>
                <w:rFonts w:hint="eastAsia" w:ascii="宋体" w:hAnsi="宋体" w:cs="宋体"/>
                <w:highlight w:val="none"/>
              </w:rPr>
            </w:pPr>
            <w:r>
              <w:rPr>
                <w:rFonts w:hint="eastAsia" w:ascii="宋体" w:hAnsi="宋体" w:cs="宋体"/>
                <w:highlight w:val="none"/>
              </w:rPr>
              <w:t>评标基准价=</w:t>
            </w:r>
            <w:r>
              <w:rPr>
                <w:rFonts w:hint="eastAsia" w:ascii="宋体" w:hAnsi="宋体" w:cs="宋体"/>
                <w:highlight w:val="none"/>
                <w:lang w:val="en-US" w:eastAsia="zh-CN"/>
              </w:rPr>
              <w:t>1+</w:t>
            </w:r>
            <w:r>
              <w:rPr>
                <w:rFonts w:hint="eastAsia" w:ascii="宋体" w:hAnsi="宋体" w:cs="宋体"/>
                <w:highlight w:val="none"/>
              </w:rPr>
              <w:t>所有有效供应商中上浮率最</w:t>
            </w:r>
            <w:r>
              <w:rPr>
                <w:rFonts w:hint="eastAsia" w:ascii="宋体" w:hAnsi="宋体" w:cs="宋体"/>
                <w:highlight w:val="none"/>
                <w:lang w:val="en-US" w:eastAsia="zh-CN"/>
              </w:rPr>
              <w:t>少</w:t>
            </w:r>
            <w:r>
              <w:rPr>
                <w:rFonts w:hint="eastAsia" w:ascii="宋体" w:hAnsi="宋体" w:cs="宋体"/>
                <w:highlight w:val="none"/>
              </w:rPr>
              <w:t>的报价。</w:t>
            </w:r>
          </w:p>
          <w:p w14:paraId="063C39FA">
            <w:pPr>
              <w:pStyle w:val="60"/>
              <w:spacing w:line="360" w:lineRule="auto"/>
              <w:rPr>
                <w:rFonts w:hint="default" w:ascii="宋体" w:hAnsi="宋体" w:cs="宋体"/>
                <w:highlight w:val="none"/>
                <w:lang w:val="en-US"/>
              </w:rPr>
            </w:pPr>
            <w:r>
              <w:rPr>
                <w:rFonts w:hint="eastAsia" w:ascii="宋体" w:hAnsi="宋体" w:cs="宋体"/>
                <w:highlight w:val="none"/>
                <w:lang w:val="en-US" w:eastAsia="zh-CN"/>
              </w:rPr>
              <w:t>各投标人评审价=1+投标上浮率报价</w:t>
            </w:r>
          </w:p>
          <w:p w14:paraId="7CDE9B92">
            <w:pPr>
              <w:pStyle w:val="60"/>
              <w:spacing w:line="360" w:lineRule="auto"/>
              <w:rPr>
                <w:rFonts w:ascii="宋体" w:hAnsi="宋体"/>
                <w:highlight w:val="none"/>
              </w:rPr>
            </w:pPr>
            <w:r>
              <w:rPr>
                <w:rFonts w:hint="eastAsia" w:ascii="宋体" w:hAnsi="宋体" w:cs="宋体"/>
                <w:highlight w:val="none"/>
              </w:rPr>
              <w:t>2</w:t>
            </w:r>
            <w:r>
              <w:rPr>
                <w:rFonts w:ascii="宋体" w:hAnsi="宋体" w:cs="宋体"/>
                <w:highlight w:val="none"/>
              </w:rPr>
              <w:t>.</w:t>
            </w:r>
            <w:r>
              <w:rPr>
                <w:rFonts w:ascii="宋体" w:hAnsi="宋体"/>
                <w:highlight w:val="none"/>
              </w:rPr>
              <w:t xml:space="preserve"> 其他水产，白条鸡：</w:t>
            </w:r>
          </w:p>
          <w:p w14:paraId="2CF1B7AC">
            <w:pPr>
              <w:pStyle w:val="60"/>
              <w:spacing w:line="360" w:lineRule="auto"/>
              <w:rPr>
                <w:rFonts w:ascii="宋体" w:hAnsi="宋体" w:cs="宋体"/>
                <w:highlight w:val="none"/>
              </w:rPr>
            </w:pPr>
            <w:r>
              <w:rPr>
                <w:rFonts w:hint="eastAsia" w:ascii="宋体" w:hAnsi="宋体" w:cs="宋体"/>
                <w:highlight w:val="none"/>
              </w:rPr>
              <w:t>投标报价得分=(评标基准价／各投标人评</w:t>
            </w:r>
            <w:r>
              <w:rPr>
                <w:rFonts w:hint="eastAsia" w:ascii="宋体" w:hAnsi="宋体" w:cs="宋体"/>
                <w:highlight w:val="none"/>
                <w:lang w:val="en-US" w:eastAsia="zh-CN"/>
              </w:rPr>
              <w:t>审</w:t>
            </w:r>
            <w:r>
              <w:rPr>
                <w:rFonts w:hint="eastAsia" w:ascii="宋体" w:hAnsi="宋体" w:cs="宋体"/>
                <w:highlight w:val="none"/>
              </w:rPr>
              <w:t>价)×价格分值×100%，小数点保留2位。</w:t>
            </w:r>
          </w:p>
          <w:p w14:paraId="21574B55">
            <w:pPr>
              <w:pStyle w:val="60"/>
              <w:spacing w:line="360" w:lineRule="auto"/>
              <w:rPr>
                <w:rFonts w:hint="eastAsia" w:ascii="宋体" w:hAnsi="宋体" w:cs="宋体"/>
                <w:highlight w:val="none"/>
              </w:rPr>
            </w:pPr>
            <w:r>
              <w:rPr>
                <w:rFonts w:hint="eastAsia" w:ascii="宋体" w:hAnsi="宋体" w:cs="宋体"/>
                <w:highlight w:val="none"/>
              </w:rPr>
              <w:t>评标基准价=</w:t>
            </w:r>
            <w:r>
              <w:rPr>
                <w:rFonts w:hint="eastAsia" w:ascii="宋体" w:hAnsi="宋体" w:cs="宋体"/>
                <w:highlight w:val="none"/>
                <w:lang w:val="en-US" w:eastAsia="zh-CN"/>
              </w:rPr>
              <w:t>1-</w:t>
            </w:r>
            <w:r>
              <w:rPr>
                <w:rFonts w:hint="eastAsia" w:ascii="宋体" w:hAnsi="宋体" w:cs="宋体"/>
                <w:highlight w:val="none"/>
              </w:rPr>
              <w:t>所有有效供应商中报价</w:t>
            </w:r>
            <w:r>
              <w:rPr>
                <w:rFonts w:hint="eastAsia" w:ascii="宋体" w:hAnsi="宋体" w:cs="宋体"/>
                <w:highlight w:val="none"/>
                <w:lang w:val="en-US" w:eastAsia="zh-CN"/>
              </w:rPr>
              <w:t>下浮最多的报价</w:t>
            </w:r>
            <w:r>
              <w:rPr>
                <w:rFonts w:hint="eastAsia" w:ascii="宋体" w:hAnsi="宋体" w:cs="宋体"/>
                <w:highlight w:val="none"/>
              </w:rPr>
              <w:t>。</w:t>
            </w:r>
          </w:p>
          <w:p w14:paraId="7BA1DEFE">
            <w:pPr>
              <w:pStyle w:val="60"/>
              <w:spacing w:line="360" w:lineRule="auto"/>
              <w:rPr>
                <w:rFonts w:hint="eastAsia" w:ascii="宋体" w:hAnsi="宋体" w:cs="宋体"/>
                <w:highlight w:val="none"/>
                <w:lang w:val="en-US" w:eastAsia="zh-CN"/>
              </w:rPr>
            </w:pPr>
            <w:r>
              <w:rPr>
                <w:rFonts w:hint="eastAsia" w:ascii="宋体" w:hAnsi="宋体" w:cs="宋体"/>
                <w:highlight w:val="none"/>
                <w:lang w:val="en-US" w:eastAsia="zh-CN"/>
              </w:rPr>
              <w:t>各投标人评审价=1-投标下浮率报价</w:t>
            </w:r>
          </w:p>
          <w:p w14:paraId="4683790F">
            <w:pPr>
              <w:pStyle w:val="60"/>
              <w:numPr>
                <w:ilvl w:val="0"/>
                <w:numId w:val="3"/>
              </w:numPr>
              <w:spacing w:line="360" w:lineRule="auto"/>
              <w:rPr>
                <w:rFonts w:hint="eastAsia" w:ascii="宋体" w:hAnsi="宋体" w:cs="宋体"/>
                <w:highlight w:val="none"/>
                <w:lang w:val="en-US" w:eastAsia="zh-CN"/>
              </w:rPr>
            </w:pPr>
            <w:r>
              <w:rPr>
                <w:rFonts w:hint="eastAsia" w:ascii="宋体" w:hAnsi="宋体" w:cs="宋体"/>
                <w:highlight w:val="none"/>
                <w:lang w:val="en-US" w:eastAsia="zh-CN"/>
              </w:rPr>
              <w:t>鱿鱼：</w:t>
            </w:r>
          </w:p>
          <w:p w14:paraId="1D2E9828">
            <w:pPr>
              <w:pStyle w:val="60"/>
              <w:numPr>
                <w:ilvl w:val="0"/>
                <w:numId w:val="0"/>
              </w:numPr>
              <w:spacing w:line="360" w:lineRule="auto"/>
              <w:rPr>
                <w:rFonts w:hint="eastAsia" w:ascii="宋体" w:hAnsi="宋体" w:cs="宋体"/>
                <w:highlight w:val="none"/>
              </w:rPr>
            </w:pPr>
            <w:r>
              <w:rPr>
                <w:rFonts w:hint="eastAsia" w:ascii="宋体" w:hAnsi="宋体" w:cs="宋体"/>
                <w:highlight w:val="none"/>
              </w:rPr>
              <w:t>投标报价得分=(</w:t>
            </w:r>
            <w:r>
              <w:rPr>
                <w:rFonts w:hint="eastAsia" w:ascii="宋体" w:hAnsi="宋体" w:cs="宋体"/>
                <w:highlight w:val="none"/>
                <w:lang w:val="en-US" w:eastAsia="zh-CN"/>
              </w:rPr>
              <w:t>评标基准价</w:t>
            </w:r>
            <w:r>
              <w:rPr>
                <w:rFonts w:hint="eastAsia" w:ascii="宋体" w:hAnsi="宋体" w:cs="宋体"/>
                <w:highlight w:val="none"/>
              </w:rPr>
              <w:t>／</w:t>
            </w:r>
            <w:r>
              <w:rPr>
                <w:rFonts w:hint="eastAsia" w:ascii="宋体" w:hAnsi="宋体" w:cs="宋体"/>
                <w:highlight w:val="none"/>
                <w:lang w:val="en-US" w:eastAsia="zh-CN"/>
              </w:rPr>
              <w:t>投标报价单价</w:t>
            </w:r>
            <w:r>
              <w:rPr>
                <w:rFonts w:hint="eastAsia" w:ascii="宋体" w:hAnsi="宋体" w:cs="宋体"/>
                <w:highlight w:val="none"/>
              </w:rPr>
              <w:t>)×价格分值×100%，小数点保留2位。</w:t>
            </w:r>
          </w:p>
          <w:p w14:paraId="56B60DE1">
            <w:pPr>
              <w:pStyle w:val="60"/>
              <w:numPr>
                <w:ilvl w:val="0"/>
                <w:numId w:val="0"/>
              </w:numPr>
              <w:spacing w:line="360" w:lineRule="auto"/>
              <w:rPr>
                <w:rFonts w:hint="default" w:ascii="宋体" w:hAnsi="宋体" w:cs="宋体"/>
                <w:highlight w:val="none"/>
                <w:lang w:val="en-US" w:eastAsia="zh-CN"/>
              </w:rPr>
            </w:pPr>
            <w:r>
              <w:rPr>
                <w:rFonts w:hint="eastAsia" w:ascii="宋体" w:hAnsi="宋体" w:cs="宋体"/>
                <w:highlight w:val="none"/>
                <w:lang w:val="en-US" w:eastAsia="zh-CN"/>
              </w:rPr>
              <w:t>评标基准价=所有有效投标人中最低的投标报价</w:t>
            </w:r>
          </w:p>
          <w:p w14:paraId="0ACA2737">
            <w:pPr>
              <w:pStyle w:val="60"/>
              <w:spacing w:line="360" w:lineRule="auto"/>
              <w:rPr>
                <w:rFonts w:ascii="宋体" w:hAnsi="宋体" w:cs="宋体"/>
                <w:highlight w:val="none"/>
              </w:rPr>
            </w:pPr>
            <w:r>
              <w:rPr>
                <w:rFonts w:ascii="宋体" w:hAnsi="宋体" w:cs="宋体"/>
                <w:highlight w:val="none"/>
              </w:rPr>
              <w:t>价格部分总得分</w:t>
            </w:r>
            <w:r>
              <w:rPr>
                <w:rFonts w:hint="eastAsia" w:ascii="宋体" w:hAnsi="宋体" w:cs="宋体"/>
                <w:highlight w:val="none"/>
              </w:rPr>
              <w:t>=</w:t>
            </w:r>
            <w:r>
              <w:rPr>
                <w:rFonts w:hint="eastAsia" w:ascii="宋体" w:hAnsi="宋体"/>
                <w:highlight w:val="none"/>
              </w:rPr>
              <w:t>三去鱼类得分+</w:t>
            </w:r>
            <w:r>
              <w:rPr>
                <w:rFonts w:ascii="宋体" w:hAnsi="宋体"/>
                <w:highlight w:val="none"/>
              </w:rPr>
              <w:t>两去鱼类</w:t>
            </w:r>
            <w:r>
              <w:rPr>
                <w:rFonts w:hint="eastAsia" w:ascii="宋体" w:hAnsi="宋体"/>
                <w:highlight w:val="none"/>
              </w:rPr>
              <w:t>得分+</w:t>
            </w:r>
            <w:r>
              <w:rPr>
                <w:rFonts w:ascii="宋体" w:hAnsi="宋体"/>
                <w:highlight w:val="none"/>
              </w:rPr>
              <w:t>其他水产</w:t>
            </w:r>
            <w:r>
              <w:rPr>
                <w:rFonts w:hint="eastAsia" w:ascii="宋体" w:hAnsi="宋体"/>
                <w:highlight w:val="none"/>
              </w:rPr>
              <w:t>得分+</w:t>
            </w:r>
            <w:r>
              <w:rPr>
                <w:rFonts w:ascii="宋体" w:hAnsi="宋体"/>
                <w:highlight w:val="none"/>
              </w:rPr>
              <w:t>白条鸡</w:t>
            </w:r>
            <w:r>
              <w:rPr>
                <w:rFonts w:hint="eastAsia" w:ascii="宋体" w:hAnsi="宋体"/>
                <w:highlight w:val="none"/>
              </w:rPr>
              <w:t>得分+</w:t>
            </w:r>
            <w:r>
              <w:rPr>
                <w:rFonts w:ascii="宋体" w:hAnsi="宋体"/>
                <w:highlight w:val="none"/>
              </w:rPr>
              <w:t>鱿鱼</w:t>
            </w:r>
            <w:r>
              <w:rPr>
                <w:rFonts w:hint="eastAsia" w:ascii="宋体" w:hAnsi="宋体"/>
                <w:highlight w:val="none"/>
              </w:rPr>
              <w:t>得分</w:t>
            </w:r>
          </w:p>
          <w:p w14:paraId="649C351B">
            <w:pPr>
              <w:pStyle w:val="60"/>
              <w:spacing w:line="360" w:lineRule="auto"/>
              <w:rPr>
                <w:rFonts w:ascii="宋体" w:hAnsi="宋体"/>
                <w:highlight w:val="none"/>
              </w:rPr>
            </w:pPr>
            <w:r>
              <w:rPr>
                <w:rFonts w:hint="eastAsia" w:ascii="宋体" w:hAnsi="宋体"/>
                <w:highlight w:val="none"/>
              </w:rPr>
              <w:t>注：各部分报价得分占比：三去鱼类</w:t>
            </w:r>
            <w:r>
              <w:rPr>
                <w:rFonts w:ascii="宋体" w:hAnsi="宋体"/>
                <w:highlight w:val="none"/>
              </w:rPr>
              <w:t>12分，两去鱼类12分，其他水产6分，白条鸡12分，鱿鱼6分。</w:t>
            </w:r>
          </w:p>
        </w:tc>
        <w:tc>
          <w:tcPr>
            <w:tcW w:w="700" w:type="dxa"/>
            <w:tcBorders>
              <w:top w:val="single" w:color="000000" w:sz="4" w:space="0"/>
              <w:left w:val="single" w:color="000000" w:sz="4" w:space="0"/>
              <w:bottom w:val="single" w:color="000000" w:sz="4" w:space="0"/>
              <w:right w:val="single" w:color="000000" w:sz="4" w:space="0"/>
            </w:tcBorders>
            <w:vAlign w:val="center"/>
          </w:tcPr>
          <w:p w14:paraId="57AE4152">
            <w:pPr>
              <w:spacing w:line="360" w:lineRule="auto"/>
              <w:jc w:val="center"/>
              <w:rPr>
                <w:szCs w:val="24"/>
                <w:highlight w:val="none"/>
              </w:rPr>
            </w:pPr>
            <w:r>
              <w:rPr>
                <w:szCs w:val="24"/>
                <w:highlight w:val="none"/>
                <w:lang w:bidi="ar"/>
              </w:rPr>
              <w:t>48</w:t>
            </w:r>
          </w:p>
        </w:tc>
      </w:tr>
      <w:tr w14:paraId="5E641CFA">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2DDEB44A">
            <w:pPr>
              <w:spacing w:line="360" w:lineRule="auto"/>
              <w:rPr>
                <w:szCs w:val="24"/>
                <w:highlight w:val="none"/>
              </w:rPr>
            </w:pPr>
          </w:p>
        </w:tc>
        <w:tc>
          <w:tcPr>
            <w:tcW w:w="2196" w:type="dxa"/>
            <w:vMerge w:val="restart"/>
            <w:tcBorders>
              <w:top w:val="single" w:color="000000" w:sz="4" w:space="0"/>
              <w:left w:val="single" w:color="000000" w:sz="4" w:space="0"/>
              <w:right w:val="single" w:color="000000" w:sz="4" w:space="0"/>
            </w:tcBorders>
            <w:vAlign w:val="center"/>
          </w:tcPr>
          <w:p w14:paraId="53B73507">
            <w:pPr>
              <w:spacing w:line="360" w:lineRule="auto"/>
              <w:rPr>
                <w:szCs w:val="24"/>
                <w:highlight w:val="none"/>
                <w:lang w:bidi="ar"/>
              </w:rPr>
            </w:pPr>
            <w:r>
              <w:rPr>
                <w:rFonts w:hint="eastAsia"/>
                <w:szCs w:val="24"/>
                <w:highlight w:val="none"/>
                <w:lang w:bidi="ar"/>
              </w:rPr>
              <w:t>商务标评审</w:t>
            </w:r>
          </w:p>
          <w:p w14:paraId="367A2596">
            <w:pPr>
              <w:spacing w:line="360" w:lineRule="auto"/>
              <w:rPr>
                <w:szCs w:val="24"/>
                <w:highlight w:val="none"/>
              </w:rPr>
            </w:pPr>
            <w:r>
              <w:rPr>
                <w:rFonts w:hint="eastAsia"/>
                <w:szCs w:val="24"/>
                <w:highlight w:val="none"/>
                <w:lang w:bidi="ar"/>
              </w:rPr>
              <w:t>（</w:t>
            </w:r>
            <w:r>
              <w:rPr>
                <w:rFonts w:hint="eastAsia"/>
                <w:szCs w:val="24"/>
                <w:highlight w:val="none"/>
                <w:lang w:val="en-US" w:eastAsia="zh-CN" w:bidi="ar"/>
              </w:rPr>
              <w:t>26</w:t>
            </w:r>
            <w:r>
              <w:rPr>
                <w:rFonts w:hint="eastAsia"/>
                <w:szCs w:val="24"/>
                <w:highlight w:val="none"/>
                <w:lang w:bidi="ar"/>
              </w:rPr>
              <w:t>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0700AF62">
            <w:pPr>
              <w:spacing w:line="360" w:lineRule="auto"/>
              <w:jc w:val="center"/>
              <w:rPr>
                <w:szCs w:val="24"/>
                <w:highlight w:val="none"/>
              </w:rPr>
            </w:pPr>
            <w:r>
              <w:rPr>
                <w:rFonts w:hint="eastAsia"/>
                <w:szCs w:val="24"/>
                <w:highlight w:val="none"/>
              </w:rPr>
              <w:t>业绩</w:t>
            </w:r>
          </w:p>
        </w:tc>
        <w:tc>
          <w:tcPr>
            <w:tcW w:w="4550" w:type="dxa"/>
            <w:tcBorders>
              <w:top w:val="single" w:color="000000" w:sz="4" w:space="0"/>
              <w:left w:val="single" w:color="000000" w:sz="4" w:space="0"/>
              <w:bottom w:val="single" w:color="000000" w:sz="4" w:space="0"/>
              <w:right w:val="single" w:color="000000" w:sz="4" w:space="0"/>
            </w:tcBorders>
            <w:vAlign w:val="center"/>
          </w:tcPr>
          <w:p w14:paraId="4054E572">
            <w:pPr>
              <w:spacing w:line="360" w:lineRule="auto"/>
              <w:rPr>
                <w:szCs w:val="24"/>
                <w:highlight w:val="none"/>
              </w:rPr>
            </w:pPr>
            <w:r>
              <w:rPr>
                <w:rFonts w:hint="eastAsia"/>
                <w:szCs w:val="24"/>
                <w:highlight w:val="none"/>
              </w:rPr>
              <w:t>投标人提供近三年（响应截止日前三年）已完成或正在进行的同类项目业绩情况，每提供一项得2分，满分</w:t>
            </w:r>
            <w:r>
              <w:rPr>
                <w:rFonts w:hint="eastAsia"/>
                <w:szCs w:val="24"/>
                <w:highlight w:val="none"/>
                <w:lang w:val="en-US" w:eastAsia="zh-CN"/>
              </w:rPr>
              <w:t>10</w:t>
            </w:r>
            <w:r>
              <w:rPr>
                <w:rFonts w:hint="eastAsia"/>
                <w:szCs w:val="24"/>
                <w:highlight w:val="none"/>
              </w:rPr>
              <w:t>分。</w:t>
            </w:r>
          </w:p>
          <w:p w14:paraId="13F30BA7">
            <w:pPr>
              <w:spacing w:line="360" w:lineRule="auto"/>
              <w:rPr>
                <w:szCs w:val="24"/>
                <w:highlight w:val="none"/>
              </w:rPr>
            </w:pPr>
            <w:r>
              <w:rPr>
                <w:rFonts w:hint="eastAsia" w:cs="方正中等线_GBK"/>
                <w:szCs w:val="24"/>
                <w:highlight w:val="none"/>
                <w:lang w:eastAsia="zh-Hans"/>
              </w:rPr>
              <w:t>注：业绩证明材料需符合以下要求，否则不予计分：</w:t>
            </w:r>
            <w:r>
              <w:rPr>
                <w:rFonts w:cs="方正中等线_GBK"/>
                <w:szCs w:val="24"/>
                <w:highlight w:val="none"/>
                <w:lang w:eastAsia="zh-Hans"/>
              </w:rPr>
              <w:t>①提供中标（成交）通知书、合同复印件</w:t>
            </w:r>
            <w:r>
              <w:rPr>
                <w:rFonts w:hint="eastAsia" w:cs="方正中等线_GBK"/>
                <w:szCs w:val="24"/>
                <w:highlight w:val="none"/>
              </w:rPr>
              <w:t>/</w:t>
            </w:r>
            <w:r>
              <w:rPr>
                <w:rFonts w:cs="方正中等线_GBK"/>
                <w:szCs w:val="24"/>
                <w:highlight w:val="none"/>
              </w:rPr>
              <w:t>扫描件</w:t>
            </w:r>
            <w:r>
              <w:rPr>
                <w:rFonts w:hint="eastAsia" w:cs="方正中等线_GBK"/>
                <w:szCs w:val="24"/>
                <w:highlight w:val="none"/>
              </w:rPr>
              <w:t>和</w:t>
            </w:r>
            <w:r>
              <w:rPr>
                <w:rFonts w:cs="方正中等线_GBK"/>
                <w:szCs w:val="24"/>
                <w:highlight w:val="none"/>
              </w:rPr>
              <w:t>至少一张与合同对应的发票</w:t>
            </w:r>
            <w:r>
              <w:rPr>
                <w:rFonts w:hint="eastAsia" w:cs="方正中等线_GBK"/>
                <w:szCs w:val="24"/>
                <w:highlight w:val="none"/>
              </w:rPr>
              <w:t>（需显示出相关名目）</w:t>
            </w:r>
            <w:r>
              <w:rPr>
                <w:rFonts w:cs="方正中等线_GBK"/>
                <w:szCs w:val="24"/>
                <w:highlight w:val="none"/>
              </w:rPr>
              <w:t>；</w:t>
            </w:r>
            <w:r>
              <w:rPr>
                <w:rFonts w:hint="eastAsia" w:cs="方正中等线_GBK"/>
                <w:szCs w:val="24"/>
                <w:highlight w:val="none"/>
              </w:rPr>
              <w:t>②</w:t>
            </w:r>
            <w:r>
              <w:rPr>
                <w:rFonts w:hint="eastAsia" w:cs="方正中等线_GBK"/>
                <w:szCs w:val="24"/>
                <w:highlight w:val="none"/>
                <w:lang w:eastAsia="zh-Hans"/>
              </w:rPr>
              <w:t>业绩时间以合同签订日期为准；</w:t>
            </w:r>
            <w:r>
              <w:rPr>
                <w:rFonts w:hint="eastAsia" w:cs="方正中等线_GBK"/>
                <w:szCs w:val="24"/>
                <w:highlight w:val="none"/>
              </w:rPr>
              <w:t>③</w:t>
            </w:r>
            <w:r>
              <w:rPr>
                <w:rFonts w:hint="eastAsia" w:cs="方正中等线_GBK"/>
                <w:szCs w:val="24"/>
                <w:highlight w:val="none"/>
                <w:lang w:eastAsia="zh-Hans"/>
              </w:rPr>
              <w:t>合同需完整体现签订双方信息、签订时间、服务内容及双方盖章等核心要素，缺失任一要素均不计分；</w:t>
            </w:r>
            <w:r>
              <w:rPr>
                <w:rFonts w:hint="eastAsia" w:cs="方正中等线_GBK"/>
                <w:szCs w:val="24"/>
                <w:highlight w:val="none"/>
              </w:rPr>
              <w:t>④</w:t>
            </w:r>
            <w:r>
              <w:rPr>
                <w:rFonts w:hint="eastAsia" w:cs="宋体"/>
                <w:color w:val="000000"/>
                <w:kern w:val="0"/>
                <w:highlight w:val="none"/>
                <w:lang w:bidi="ar"/>
              </w:rPr>
              <w:t>同一采购人同一年内多个业绩合同视为一个业绩；⑤</w:t>
            </w:r>
            <w:r>
              <w:rPr>
                <w:rFonts w:hint="eastAsia" w:cs="方正中等线_GBK"/>
                <w:szCs w:val="24"/>
                <w:highlight w:val="none"/>
                <w:lang w:eastAsia="zh-Hans"/>
              </w:rPr>
              <w:t>业绩关键信息存在模糊不清、无法辨识情形的，该业绩不予认可。</w:t>
            </w:r>
          </w:p>
        </w:tc>
        <w:tc>
          <w:tcPr>
            <w:tcW w:w="700" w:type="dxa"/>
            <w:tcBorders>
              <w:top w:val="single" w:color="000000" w:sz="4" w:space="0"/>
              <w:left w:val="single" w:color="000000" w:sz="4" w:space="0"/>
              <w:bottom w:val="single" w:color="000000" w:sz="4" w:space="0"/>
              <w:right w:val="single" w:color="000000" w:sz="4" w:space="0"/>
            </w:tcBorders>
            <w:vAlign w:val="center"/>
          </w:tcPr>
          <w:p w14:paraId="6E12B2D9">
            <w:pPr>
              <w:spacing w:line="360" w:lineRule="auto"/>
              <w:jc w:val="center"/>
              <w:rPr>
                <w:rFonts w:hint="eastAsia" w:eastAsia="宋体"/>
                <w:szCs w:val="24"/>
                <w:highlight w:val="none"/>
                <w:lang w:eastAsia="zh-CN"/>
              </w:rPr>
            </w:pPr>
            <w:r>
              <w:rPr>
                <w:rFonts w:hint="eastAsia"/>
                <w:szCs w:val="24"/>
                <w:highlight w:val="none"/>
              </w:rPr>
              <w:t>1</w:t>
            </w:r>
            <w:r>
              <w:rPr>
                <w:rFonts w:hint="eastAsia"/>
                <w:szCs w:val="24"/>
                <w:highlight w:val="none"/>
                <w:lang w:val="en-US" w:eastAsia="zh-CN"/>
              </w:rPr>
              <w:t>0</w:t>
            </w:r>
          </w:p>
        </w:tc>
      </w:tr>
      <w:tr w14:paraId="17C390B7">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41B87D42">
            <w:pPr>
              <w:spacing w:line="360" w:lineRule="auto"/>
              <w:rPr>
                <w:szCs w:val="24"/>
                <w:highlight w:val="none"/>
              </w:rPr>
            </w:pPr>
          </w:p>
        </w:tc>
        <w:tc>
          <w:tcPr>
            <w:tcW w:w="2196" w:type="dxa"/>
            <w:vMerge w:val="continue"/>
            <w:tcBorders>
              <w:top w:val="single" w:color="000000" w:sz="4" w:space="0"/>
              <w:left w:val="single" w:color="000000" w:sz="4" w:space="0"/>
              <w:right w:val="single" w:color="000000" w:sz="4" w:space="0"/>
            </w:tcBorders>
            <w:vAlign w:val="center"/>
          </w:tcPr>
          <w:p w14:paraId="5DAA3008">
            <w:pPr>
              <w:spacing w:line="360" w:lineRule="auto"/>
              <w:rPr>
                <w:szCs w:val="24"/>
                <w:highlight w:val="none"/>
                <w:lang w:bidi="ar"/>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650181B0">
            <w:pPr>
              <w:spacing w:line="360" w:lineRule="auto"/>
              <w:jc w:val="center"/>
              <w:rPr>
                <w:rFonts w:cs="宋体"/>
                <w:kern w:val="0"/>
                <w:highlight w:val="none"/>
              </w:rPr>
            </w:pPr>
            <w:r>
              <w:rPr>
                <w:rFonts w:hint="eastAsia" w:cs="宋体"/>
                <w:kern w:val="0"/>
                <w:highlight w:val="none"/>
              </w:rPr>
              <w:t>服务人员</w:t>
            </w:r>
          </w:p>
        </w:tc>
        <w:tc>
          <w:tcPr>
            <w:tcW w:w="4550" w:type="dxa"/>
            <w:tcBorders>
              <w:top w:val="single" w:color="000000" w:sz="4" w:space="0"/>
              <w:left w:val="single" w:color="000000" w:sz="4" w:space="0"/>
              <w:bottom w:val="single" w:color="000000" w:sz="4" w:space="0"/>
              <w:right w:val="single" w:color="000000" w:sz="4" w:space="0"/>
            </w:tcBorders>
            <w:vAlign w:val="center"/>
          </w:tcPr>
          <w:p w14:paraId="05D93487">
            <w:pPr>
              <w:spacing w:line="360" w:lineRule="auto"/>
              <w:rPr>
                <w:rFonts w:cs="宋体"/>
                <w:color w:val="000000"/>
                <w:kern w:val="0"/>
                <w:highlight w:val="none"/>
              </w:rPr>
            </w:pPr>
            <w:r>
              <w:rPr>
                <w:rFonts w:hint="eastAsia" w:cs="宋体"/>
                <w:color w:val="000000"/>
                <w:kern w:val="0"/>
                <w:highlight w:val="none"/>
              </w:rPr>
              <w:t>服务本项目人员不少于</w:t>
            </w:r>
            <w:r>
              <w:rPr>
                <w:rFonts w:cs="宋体"/>
                <w:color w:val="000000"/>
                <w:kern w:val="0"/>
                <w:highlight w:val="none"/>
              </w:rPr>
              <w:t>3</w:t>
            </w:r>
            <w:r>
              <w:rPr>
                <w:rFonts w:hint="eastAsia" w:cs="宋体"/>
                <w:color w:val="000000"/>
                <w:kern w:val="0"/>
                <w:highlight w:val="none"/>
              </w:rPr>
              <w:t>人（含）得3分，每增加1人加</w:t>
            </w:r>
            <w:r>
              <w:rPr>
                <w:rFonts w:cs="宋体"/>
                <w:color w:val="000000"/>
                <w:kern w:val="0"/>
                <w:highlight w:val="none"/>
              </w:rPr>
              <w:t>3</w:t>
            </w:r>
            <w:r>
              <w:rPr>
                <w:rFonts w:hint="eastAsia" w:cs="宋体"/>
                <w:color w:val="000000"/>
                <w:kern w:val="0"/>
                <w:highlight w:val="none"/>
              </w:rPr>
              <w:t>分，满分</w:t>
            </w:r>
            <w:r>
              <w:rPr>
                <w:rFonts w:cs="宋体"/>
                <w:color w:val="000000"/>
                <w:kern w:val="0"/>
                <w:highlight w:val="none"/>
              </w:rPr>
              <w:t>6</w:t>
            </w:r>
            <w:r>
              <w:rPr>
                <w:rFonts w:hint="eastAsia" w:cs="宋体"/>
                <w:color w:val="000000"/>
                <w:kern w:val="0"/>
                <w:highlight w:val="none"/>
              </w:rPr>
              <w:t>分。3人以下不得分。须提供项目人员有效身份证、有效健康证、与本单位签订的劳动合同，提供上述材料原件彩色扫描件加盖公章。（提供上述材料原件彩色扫描件加盖公章，所提供材料残缺不全、模糊难辨或未提供不得分）</w:t>
            </w:r>
          </w:p>
        </w:tc>
        <w:tc>
          <w:tcPr>
            <w:tcW w:w="700" w:type="dxa"/>
            <w:tcBorders>
              <w:top w:val="single" w:color="000000" w:sz="4" w:space="0"/>
              <w:left w:val="single" w:color="000000" w:sz="4" w:space="0"/>
              <w:bottom w:val="single" w:color="000000" w:sz="4" w:space="0"/>
              <w:right w:val="single" w:color="000000" w:sz="4" w:space="0"/>
            </w:tcBorders>
            <w:vAlign w:val="center"/>
          </w:tcPr>
          <w:p w14:paraId="78C0CE9F">
            <w:pPr>
              <w:spacing w:line="360" w:lineRule="auto"/>
              <w:jc w:val="center"/>
              <w:rPr>
                <w:rFonts w:cs="宋体"/>
                <w:color w:val="000000"/>
                <w:kern w:val="0"/>
                <w:highlight w:val="none"/>
              </w:rPr>
            </w:pPr>
            <w:r>
              <w:rPr>
                <w:rFonts w:cs="宋体"/>
                <w:color w:val="000000"/>
                <w:kern w:val="0"/>
                <w:highlight w:val="none"/>
              </w:rPr>
              <w:t>6</w:t>
            </w:r>
          </w:p>
        </w:tc>
      </w:tr>
      <w:tr w14:paraId="05A1BB66">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44938623">
            <w:pPr>
              <w:spacing w:line="360" w:lineRule="auto"/>
              <w:rPr>
                <w:szCs w:val="24"/>
                <w:highlight w:val="none"/>
              </w:rPr>
            </w:pPr>
          </w:p>
        </w:tc>
        <w:tc>
          <w:tcPr>
            <w:tcW w:w="2196" w:type="dxa"/>
            <w:vMerge w:val="continue"/>
            <w:tcBorders>
              <w:top w:val="single" w:color="000000" w:sz="4" w:space="0"/>
              <w:left w:val="single" w:color="000000" w:sz="4" w:space="0"/>
              <w:right w:val="single" w:color="000000" w:sz="4" w:space="0"/>
            </w:tcBorders>
            <w:vAlign w:val="center"/>
          </w:tcPr>
          <w:p w14:paraId="6A8DB565">
            <w:pPr>
              <w:spacing w:line="360" w:lineRule="auto"/>
              <w:rPr>
                <w:szCs w:val="24"/>
                <w:highlight w:val="none"/>
                <w:lang w:bidi="ar"/>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5974C4DF">
            <w:pPr>
              <w:spacing w:line="360" w:lineRule="auto"/>
              <w:jc w:val="center"/>
              <w:rPr>
                <w:rFonts w:cs="宋体"/>
                <w:kern w:val="0"/>
                <w:highlight w:val="none"/>
              </w:rPr>
            </w:pPr>
            <w:r>
              <w:rPr>
                <w:rFonts w:hint="eastAsia" w:cs="宋体"/>
                <w:kern w:val="0"/>
                <w:highlight w:val="none"/>
              </w:rPr>
              <w:t>配送车辆</w:t>
            </w:r>
          </w:p>
        </w:tc>
        <w:tc>
          <w:tcPr>
            <w:tcW w:w="4550" w:type="dxa"/>
            <w:tcBorders>
              <w:top w:val="single" w:color="000000" w:sz="4" w:space="0"/>
              <w:left w:val="single" w:color="000000" w:sz="4" w:space="0"/>
              <w:bottom w:val="single" w:color="000000" w:sz="4" w:space="0"/>
              <w:right w:val="single" w:color="000000" w:sz="4" w:space="0"/>
            </w:tcBorders>
            <w:vAlign w:val="center"/>
          </w:tcPr>
          <w:p w14:paraId="318F2566">
            <w:pPr>
              <w:pStyle w:val="10"/>
              <w:spacing w:line="360" w:lineRule="auto"/>
              <w:ind w:firstLine="0" w:firstLineChars="0"/>
              <w:rPr>
                <w:highlight w:val="none"/>
              </w:rPr>
            </w:pPr>
            <w:r>
              <w:rPr>
                <w:rFonts w:hint="eastAsia" w:hAnsi="宋体" w:cs="宋体"/>
                <w:color w:val="000000"/>
                <w:kern w:val="0"/>
                <w:szCs w:val="24"/>
                <w:highlight w:val="none"/>
              </w:rPr>
              <w:t>供应商至少提供</w:t>
            </w:r>
            <w:r>
              <w:rPr>
                <w:rFonts w:hAnsi="宋体" w:cs="宋体"/>
                <w:color w:val="000000"/>
                <w:kern w:val="0"/>
                <w:szCs w:val="24"/>
                <w:highlight w:val="none"/>
              </w:rPr>
              <w:t>2</w:t>
            </w:r>
            <w:r>
              <w:rPr>
                <w:rFonts w:hint="eastAsia" w:hAnsi="宋体" w:cs="宋体"/>
                <w:color w:val="000000"/>
                <w:kern w:val="0"/>
                <w:szCs w:val="24"/>
                <w:highlight w:val="none"/>
              </w:rPr>
              <w:t>辆配送车辆（全部为货车），需提供车辆证明材料或加盖单位公章的承诺函。满足要求的得</w:t>
            </w:r>
            <w:r>
              <w:rPr>
                <w:rFonts w:hAnsi="宋体" w:cs="宋体"/>
                <w:color w:val="000000"/>
                <w:kern w:val="0"/>
                <w:szCs w:val="24"/>
                <w:highlight w:val="none"/>
              </w:rPr>
              <w:t>5</w:t>
            </w:r>
            <w:r>
              <w:rPr>
                <w:rFonts w:hint="eastAsia" w:hAnsi="宋体" w:cs="宋体"/>
                <w:color w:val="000000"/>
                <w:kern w:val="0"/>
                <w:szCs w:val="24"/>
                <w:highlight w:val="none"/>
              </w:rPr>
              <w:t>分；否则不得分。</w:t>
            </w:r>
          </w:p>
          <w:p w14:paraId="538D50D9">
            <w:pPr>
              <w:spacing w:line="360" w:lineRule="auto"/>
              <w:rPr>
                <w:rFonts w:cs="宋体"/>
                <w:color w:val="000000"/>
                <w:kern w:val="0"/>
                <w:highlight w:val="none"/>
              </w:rPr>
            </w:pPr>
            <w:r>
              <w:rPr>
                <w:rFonts w:hint="eastAsia" w:cs="宋体"/>
                <w:color w:val="000000"/>
                <w:kern w:val="0"/>
                <w:highlight w:val="none"/>
              </w:rPr>
              <w:t>注：1</w:t>
            </w:r>
            <w:r>
              <w:rPr>
                <w:rFonts w:cs="宋体"/>
                <w:color w:val="000000"/>
                <w:kern w:val="0"/>
                <w:highlight w:val="none"/>
              </w:rPr>
              <w:t>.</w:t>
            </w:r>
            <w:r>
              <w:rPr>
                <w:rFonts w:hint="eastAsia" w:cs="宋体"/>
                <w:color w:val="000000"/>
                <w:kern w:val="0"/>
                <w:highlight w:val="none"/>
              </w:rPr>
              <w:t>车辆证明材料：供应商法人或公司拥有车辆的须提供有效机动车行驶证及可以看清车牌的车辆彩色照片；租赁车辆的须提供租赁合同、机动车行驶证及可以看清车牌的车辆彩色照片；上述材料原件彩色扫描件加盖公章，如所提供材料残缺不全、模糊难辨或未提供的不得分。</w:t>
            </w:r>
          </w:p>
          <w:p w14:paraId="6F636694">
            <w:pPr>
              <w:spacing w:line="360" w:lineRule="auto"/>
              <w:rPr>
                <w:rFonts w:cs="宋体"/>
                <w:color w:val="000000"/>
                <w:kern w:val="0"/>
                <w:highlight w:val="none"/>
              </w:rPr>
            </w:pPr>
            <w:r>
              <w:rPr>
                <w:rFonts w:hint="eastAsia" w:cs="宋体"/>
                <w:color w:val="000000"/>
                <w:kern w:val="0"/>
                <w:highlight w:val="none"/>
              </w:rPr>
              <w:t>2</w:t>
            </w:r>
            <w:r>
              <w:rPr>
                <w:rFonts w:cs="宋体"/>
                <w:color w:val="000000"/>
                <w:kern w:val="0"/>
                <w:highlight w:val="none"/>
              </w:rPr>
              <w:t>.</w:t>
            </w:r>
            <w:r>
              <w:rPr>
                <w:rFonts w:hint="eastAsia" w:cs="宋体"/>
                <w:color w:val="000000"/>
                <w:kern w:val="0"/>
                <w:highlight w:val="none"/>
              </w:rPr>
              <w:t>承诺函中需包含中标后拟派送车辆的数量，车型符合评审要求，且需明确在合同签订前车辆配置到位。</w:t>
            </w:r>
          </w:p>
          <w:p w14:paraId="697B52A1">
            <w:pPr>
              <w:spacing w:line="360" w:lineRule="auto"/>
              <w:rPr>
                <w:rFonts w:cs="宋体"/>
                <w:color w:val="000000"/>
                <w:kern w:val="0"/>
                <w:highlight w:val="none"/>
              </w:rPr>
            </w:pPr>
            <w:r>
              <w:rPr>
                <w:rFonts w:hint="eastAsia" w:cs="宋体"/>
                <w:color w:val="000000"/>
                <w:kern w:val="0"/>
                <w:highlight w:val="none"/>
              </w:rPr>
              <w:t>未提供证明材料或证明材料提供不全或未提供承诺书或承诺书内容不符合上述要求不得分。</w:t>
            </w:r>
          </w:p>
        </w:tc>
        <w:tc>
          <w:tcPr>
            <w:tcW w:w="700" w:type="dxa"/>
            <w:tcBorders>
              <w:top w:val="single" w:color="000000" w:sz="4" w:space="0"/>
              <w:left w:val="single" w:color="000000" w:sz="4" w:space="0"/>
              <w:bottom w:val="single" w:color="000000" w:sz="4" w:space="0"/>
              <w:right w:val="single" w:color="000000" w:sz="4" w:space="0"/>
            </w:tcBorders>
            <w:vAlign w:val="center"/>
          </w:tcPr>
          <w:p w14:paraId="3B1DE9DE">
            <w:pPr>
              <w:spacing w:line="360" w:lineRule="auto"/>
              <w:jc w:val="center"/>
              <w:rPr>
                <w:rFonts w:cs="宋体"/>
                <w:color w:val="000000"/>
                <w:kern w:val="0"/>
                <w:highlight w:val="none"/>
              </w:rPr>
            </w:pPr>
            <w:r>
              <w:rPr>
                <w:rFonts w:cs="宋体"/>
                <w:color w:val="000000"/>
                <w:kern w:val="0"/>
                <w:highlight w:val="none"/>
              </w:rPr>
              <w:t>5</w:t>
            </w:r>
          </w:p>
        </w:tc>
      </w:tr>
      <w:tr w14:paraId="4AEDAC0B">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289EF20D">
            <w:pPr>
              <w:spacing w:line="360" w:lineRule="auto"/>
              <w:rPr>
                <w:szCs w:val="24"/>
                <w:highlight w:val="none"/>
              </w:rPr>
            </w:pPr>
          </w:p>
        </w:tc>
        <w:tc>
          <w:tcPr>
            <w:tcW w:w="2196" w:type="dxa"/>
            <w:vMerge w:val="continue"/>
            <w:tcBorders>
              <w:top w:val="single" w:color="000000" w:sz="4" w:space="0"/>
              <w:left w:val="single" w:color="000000" w:sz="4" w:space="0"/>
              <w:right w:val="single" w:color="000000" w:sz="4" w:space="0"/>
            </w:tcBorders>
            <w:vAlign w:val="center"/>
          </w:tcPr>
          <w:p w14:paraId="74B8A6D3">
            <w:pPr>
              <w:spacing w:line="360" w:lineRule="auto"/>
              <w:rPr>
                <w:szCs w:val="24"/>
                <w:highlight w:val="none"/>
                <w:lang w:bidi="ar"/>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6AE4DF24">
            <w:pPr>
              <w:spacing w:line="360" w:lineRule="auto"/>
              <w:jc w:val="center"/>
              <w:rPr>
                <w:rFonts w:cs="宋体"/>
                <w:kern w:val="0"/>
                <w:highlight w:val="none"/>
              </w:rPr>
            </w:pPr>
            <w:r>
              <w:rPr>
                <w:rFonts w:hint="eastAsia" w:cs="宋体"/>
                <w:kern w:val="0"/>
                <w:highlight w:val="none"/>
              </w:rPr>
              <w:t>仓储能力</w:t>
            </w:r>
          </w:p>
        </w:tc>
        <w:tc>
          <w:tcPr>
            <w:tcW w:w="4550" w:type="dxa"/>
            <w:tcBorders>
              <w:top w:val="single" w:color="000000" w:sz="4" w:space="0"/>
              <w:left w:val="single" w:color="000000" w:sz="4" w:space="0"/>
              <w:bottom w:val="single" w:color="000000" w:sz="4" w:space="0"/>
              <w:right w:val="single" w:color="000000" w:sz="4" w:space="0"/>
            </w:tcBorders>
            <w:vAlign w:val="center"/>
          </w:tcPr>
          <w:p w14:paraId="00D17B56">
            <w:pPr>
              <w:spacing w:line="360" w:lineRule="auto"/>
              <w:rPr>
                <w:rFonts w:cs="宋体"/>
                <w:kern w:val="0"/>
                <w:highlight w:val="none"/>
              </w:rPr>
            </w:pPr>
            <w:r>
              <w:rPr>
                <w:rFonts w:hint="eastAsia" w:cs="宋体"/>
                <w:kern w:val="0"/>
                <w:highlight w:val="none"/>
              </w:rPr>
              <w:t>供应商具备符合本项目要求的仓储能力，</w:t>
            </w:r>
            <w:r>
              <w:rPr>
                <w:rFonts w:hint="eastAsia" w:cs="宋体"/>
                <w:highlight w:val="none"/>
              </w:rPr>
              <w:t>提供库房使用产权或租赁合同的相关证明材料彩色扫描件，用途须显示为库房, 且有库容容积量显示，满足得5分，否则不得分。</w:t>
            </w:r>
          </w:p>
          <w:p w14:paraId="7F753F45">
            <w:pPr>
              <w:spacing w:line="360" w:lineRule="auto"/>
              <w:rPr>
                <w:rFonts w:cs="宋体"/>
                <w:color w:val="000000"/>
                <w:kern w:val="0"/>
                <w:highlight w:val="none"/>
                <w:lang w:bidi="ar"/>
              </w:rPr>
            </w:pPr>
            <w:r>
              <w:rPr>
                <w:rFonts w:hint="eastAsia" w:cs="宋体"/>
                <w:color w:val="000000"/>
                <w:kern w:val="0"/>
                <w:highlight w:val="none"/>
                <w:lang w:bidi="ar"/>
              </w:rPr>
              <w:t>注：</w:t>
            </w:r>
          </w:p>
          <w:p w14:paraId="500940A3">
            <w:pPr>
              <w:spacing w:line="360" w:lineRule="auto"/>
              <w:rPr>
                <w:rFonts w:cs="宋体"/>
                <w:color w:val="000000"/>
                <w:kern w:val="0"/>
                <w:highlight w:val="none"/>
                <w:lang w:bidi="ar"/>
              </w:rPr>
            </w:pPr>
            <w:r>
              <w:rPr>
                <w:rFonts w:hint="eastAsia" w:cs="宋体"/>
                <w:color w:val="000000"/>
                <w:kern w:val="0"/>
                <w:highlight w:val="none"/>
                <w:lang w:bidi="ar"/>
              </w:rPr>
              <w:t>1</w:t>
            </w:r>
            <w:r>
              <w:rPr>
                <w:rFonts w:cs="宋体"/>
                <w:color w:val="000000"/>
                <w:kern w:val="0"/>
                <w:highlight w:val="none"/>
                <w:lang w:bidi="ar"/>
              </w:rPr>
              <w:t>.</w:t>
            </w:r>
            <w:r>
              <w:rPr>
                <w:rFonts w:hint="eastAsia" w:cs="宋体"/>
                <w:color w:val="000000"/>
                <w:kern w:val="0"/>
                <w:highlight w:val="none"/>
                <w:lang w:bidi="ar"/>
              </w:rPr>
              <w:t>自有库房的提供房屋所有权的证明材料彩色扫描件并加盖单位公章；</w:t>
            </w:r>
          </w:p>
          <w:p w14:paraId="0E019B4A">
            <w:pPr>
              <w:spacing w:line="360" w:lineRule="auto"/>
              <w:rPr>
                <w:rFonts w:cs="宋体"/>
                <w:color w:val="000000"/>
                <w:kern w:val="0"/>
                <w:highlight w:val="none"/>
                <w:lang w:bidi="ar"/>
              </w:rPr>
            </w:pPr>
            <w:r>
              <w:rPr>
                <w:rFonts w:cs="宋体"/>
                <w:color w:val="000000"/>
                <w:kern w:val="0"/>
                <w:highlight w:val="none"/>
                <w:lang w:bidi="ar"/>
              </w:rPr>
              <w:t>2.</w:t>
            </w:r>
            <w:r>
              <w:rPr>
                <w:rFonts w:hint="eastAsia" w:cs="宋体"/>
                <w:color w:val="000000"/>
                <w:kern w:val="0"/>
                <w:highlight w:val="none"/>
                <w:lang w:bidi="ar"/>
              </w:rPr>
              <w:t>租赁库房的，提供租赁协议彩色扫描件并加盖单位公章，未提供不得分。</w:t>
            </w:r>
          </w:p>
          <w:p w14:paraId="15BF6885">
            <w:pPr>
              <w:spacing w:line="360" w:lineRule="auto"/>
              <w:rPr>
                <w:rFonts w:cs="宋体"/>
                <w:kern w:val="0"/>
                <w:highlight w:val="none"/>
              </w:rPr>
            </w:pPr>
            <w:r>
              <w:rPr>
                <w:rFonts w:hint="eastAsia" w:cs="宋体"/>
                <w:color w:val="000000"/>
                <w:kern w:val="0"/>
                <w:highlight w:val="none"/>
              </w:rPr>
              <w:t>未提供证明材料或证明材料提供不全的不得分。</w:t>
            </w:r>
          </w:p>
        </w:tc>
        <w:tc>
          <w:tcPr>
            <w:tcW w:w="700" w:type="dxa"/>
            <w:tcBorders>
              <w:top w:val="single" w:color="000000" w:sz="4" w:space="0"/>
              <w:left w:val="single" w:color="000000" w:sz="4" w:space="0"/>
              <w:bottom w:val="single" w:color="000000" w:sz="4" w:space="0"/>
              <w:right w:val="single" w:color="000000" w:sz="4" w:space="0"/>
            </w:tcBorders>
            <w:vAlign w:val="center"/>
          </w:tcPr>
          <w:p w14:paraId="6B1976C1">
            <w:pPr>
              <w:spacing w:line="360" w:lineRule="auto"/>
              <w:jc w:val="center"/>
              <w:rPr>
                <w:rFonts w:cs="宋体"/>
                <w:kern w:val="0"/>
                <w:highlight w:val="none"/>
              </w:rPr>
            </w:pPr>
            <w:r>
              <w:rPr>
                <w:rFonts w:hint="eastAsia" w:cs="宋体"/>
                <w:kern w:val="0"/>
                <w:highlight w:val="none"/>
              </w:rPr>
              <w:t>5</w:t>
            </w:r>
          </w:p>
        </w:tc>
      </w:tr>
      <w:tr w14:paraId="369BE82F">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1AEE0B6C">
            <w:pPr>
              <w:spacing w:line="360" w:lineRule="auto"/>
              <w:rPr>
                <w:szCs w:val="24"/>
                <w:highlight w:val="none"/>
              </w:rPr>
            </w:pPr>
          </w:p>
        </w:tc>
        <w:tc>
          <w:tcPr>
            <w:tcW w:w="2196" w:type="dxa"/>
            <w:vMerge w:val="restart"/>
            <w:tcBorders>
              <w:top w:val="single" w:color="000000" w:sz="4" w:space="0"/>
              <w:left w:val="single" w:color="000000" w:sz="4" w:space="0"/>
              <w:bottom w:val="single" w:color="000000" w:sz="4" w:space="0"/>
              <w:right w:val="single" w:color="000000" w:sz="4" w:space="0"/>
            </w:tcBorders>
            <w:vAlign w:val="center"/>
          </w:tcPr>
          <w:p w14:paraId="3938F784">
            <w:pPr>
              <w:spacing w:line="360" w:lineRule="auto"/>
              <w:rPr>
                <w:szCs w:val="24"/>
                <w:highlight w:val="none"/>
              </w:rPr>
            </w:pPr>
            <w:r>
              <w:rPr>
                <w:rFonts w:hint="eastAsia"/>
                <w:szCs w:val="24"/>
                <w:highlight w:val="none"/>
                <w:lang w:bidi="ar"/>
              </w:rPr>
              <w:t>技术标评审</w:t>
            </w:r>
            <w:r>
              <w:rPr>
                <w:rFonts w:hint="eastAsia"/>
                <w:szCs w:val="24"/>
                <w:highlight w:val="none"/>
                <w:lang w:bidi="ar"/>
              </w:rPr>
              <w:br w:type="textWrapping"/>
            </w:r>
            <w:r>
              <w:rPr>
                <w:rFonts w:hint="eastAsia"/>
                <w:szCs w:val="24"/>
                <w:highlight w:val="none"/>
                <w:lang w:bidi="ar"/>
              </w:rPr>
              <w:t>（</w:t>
            </w:r>
            <w:r>
              <w:rPr>
                <w:szCs w:val="24"/>
                <w:highlight w:val="none"/>
                <w:lang w:bidi="ar"/>
              </w:rPr>
              <w:t>2</w:t>
            </w:r>
            <w:r>
              <w:rPr>
                <w:rFonts w:hint="eastAsia"/>
                <w:szCs w:val="24"/>
                <w:highlight w:val="none"/>
                <w:lang w:val="en-US" w:eastAsia="zh-CN" w:bidi="ar"/>
              </w:rPr>
              <w:t>6</w:t>
            </w:r>
            <w:r>
              <w:rPr>
                <w:rFonts w:hint="eastAsia"/>
                <w:szCs w:val="24"/>
                <w:highlight w:val="none"/>
                <w:lang w:bidi="ar"/>
              </w:rPr>
              <w:t>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597C4F27">
            <w:pPr>
              <w:spacing w:line="360" w:lineRule="auto"/>
              <w:jc w:val="center"/>
              <w:rPr>
                <w:rFonts w:cs="宋体"/>
                <w:kern w:val="0"/>
                <w:highlight w:val="none"/>
              </w:rPr>
            </w:pPr>
            <w:r>
              <w:rPr>
                <w:rFonts w:hint="eastAsia" w:cs="宋体"/>
                <w:kern w:val="0"/>
                <w:highlight w:val="none"/>
              </w:rPr>
              <w:t>服务方案</w:t>
            </w:r>
          </w:p>
        </w:tc>
        <w:tc>
          <w:tcPr>
            <w:tcW w:w="4550" w:type="dxa"/>
            <w:tcBorders>
              <w:top w:val="single" w:color="000000" w:sz="4" w:space="0"/>
              <w:left w:val="single" w:color="000000" w:sz="4" w:space="0"/>
              <w:bottom w:val="single" w:color="auto" w:sz="4" w:space="0"/>
              <w:right w:val="single" w:color="000000" w:sz="4" w:space="0"/>
            </w:tcBorders>
            <w:vAlign w:val="center"/>
          </w:tcPr>
          <w:p w14:paraId="10F580F5">
            <w:pPr>
              <w:spacing w:line="360" w:lineRule="auto"/>
              <w:rPr>
                <w:rFonts w:cs="宋体"/>
                <w:kern w:val="0"/>
                <w:highlight w:val="none"/>
              </w:rPr>
            </w:pPr>
            <w:r>
              <w:rPr>
                <w:rFonts w:hint="eastAsia" w:cs="宋体"/>
                <w:kern w:val="0"/>
                <w:highlight w:val="none"/>
              </w:rPr>
              <w:t>（一）根据本项目需求提供具有可操作性的服务方案，内容包含但不限于：</w:t>
            </w:r>
          </w:p>
          <w:p w14:paraId="65299EA9">
            <w:pPr>
              <w:spacing w:line="360" w:lineRule="auto"/>
              <w:rPr>
                <w:rFonts w:cs="宋体"/>
                <w:kern w:val="0"/>
                <w:highlight w:val="none"/>
              </w:rPr>
            </w:pPr>
            <w:r>
              <w:rPr>
                <w:rFonts w:hint="eastAsia" w:cs="宋体"/>
                <w:kern w:val="0"/>
                <w:highlight w:val="none"/>
              </w:rPr>
              <w:t>1.车辆通行保障；多校区同时配送准时方案；</w:t>
            </w:r>
          </w:p>
          <w:p w14:paraId="08B8A046">
            <w:pPr>
              <w:spacing w:line="360" w:lineRule="auto"/>
              <w:rPr>
                <w:rFonts w:cs="宋体"/>
                <w:kern w:val="0"/>
                <w:highlight w:val="none"/>
              </w:rPr>
            </w:pPr>
            <w:r>
              <w:rPr>
                <w:rFonts w:hint="eastAsia" w:cs="宋体"/>
                <w:kern w:val="0"/>
                <w:highlight w:val="none"/>
                <w:lang w:val="en-US" w:eastAsia="zh-CN"/>
              </w:rPr>
              <w:t>2</w:t>
            </w:r>
            <w:r>
              <w:rPr>
                <w:rFonts w:hint="eastAsia" w:cs="宋体"/>
                <w:kern w:val="0"/>
                <w:highlight w:val="none"/>
              </w:rPr>
              <w:t>.缺送漏送的解决、退换货的处理方案；</w:t>
            </w:r>
          </w:p>
          <w:p w14:paraId="2DE95FF8">
            <w:pPr>
              <w:spacing w:line="360" w:lineRule="auto"/>
              <w:rPr>
                <w:rFonts w:cs="宋体"/>
                <w:kern w:val="0"/>
                <w:highlight w:val="none"/>
              </w:rPr>
            </w:pPr>
            <w:r>
              <w:rPr>
                <w:rFonts w:hint="eastAsia" w:cs="宋体"/>
                <w:kern w:val="0"/>
                <w:highlight w:val="none"/>
                <w:lang w:val="en-US" w:eastAsia="zh-CN"/>
              </w:rPr>
              <w:t>3.</w:t>
            </w:r>
            <w:r>
              <w:rPr>
                <w:rFonts w:hint="eastAsia" w:cs="宋体"/>
                <w:kern w:val="0"/>
                <w:highlight w:val="none"/>
              </w:rPr>
              <w:t>车辆运输安全和卫生安全保障方案；</w:t>
            </w:r>
          </w:p>
          <w:p w14:paraId="6D136BF5">
            <w:pPr>
              <w:spacing w:line="360" w:lineRule="auto"/>
              <w:rPr>
                <w:rFonts w:cs="宋体"/>
                <w:kern w:val="0"/>
                <w:highlight w:val="none"/>
              </w:rPr>
            </w:pPr>
            <w:r>
              <w:rPr>
                <w:rFonts w:hint="eastAsia" w:cs="宋体"/>
                <w:kern w:val="0"/>
                <w:highlight w:val="none"/>
                <w:lang w:val="en-US" w:eastAsia="zh-CN"/>
              </w:rPr>
              <w:t>4</w:t>
            </w:r>
            <w:r>
              <w:rPr>
                <w:rFonts w:hint="eastAsia" w:cs="宋体"/>
                <w:kern w:val="0"/>
                <w:highlight w:val="none"/>
              </w:rPr>
              <w:t>.食品安全保障措施及应急预案；</w:t>
            </w:r>
          </w:p>
          <w:p w14:paraId="1D217F0E">
            <w:pPr>
              <w:spacing w:line="360" w:lineRule="auto"/>
              <w:rPr>
                <w:rFonts w:cs="宋体"/>
                <w:kern w:val="0"/>
                <w:highlight w:val="none"/>
              </w:rPr>
            </w:pPr>
            <w:r>
              <w:rPr>
                <w:rFonts w:hint="eastAsia" w:cs="宋体"/>
                <w:kern w:val="0"/>
                <w:highlight w:val="none"/>
                <w:lang w:val="en-US" w:eastAsia="zh-CN"/>
              </w:rPr>
              <w:t>5</w:t>
            </w:r>
            <w:r>
              <w:rPr>
                <w:rFonts w:hint="eastAsia" w:cs="宋体"/>
                <w:kern w:val="0"/>
                <w:highlight w:val="none"/>
              </w:rPr>
              <w:t>.食品投诉处理方案；</w:t>
            </w:r>
          </w:p>
          <w:p w14:paraId="2914090A">
            <w:pPr>
              <w:spacing w:line="360" w:lineRule="auto"/>
              <w:rPr>
                <w:rFonts w:cs="宋体"/>
                <w:kern w:val="0"/>
                <w:highlight w:val="none"/>
              </w:rPr>
            </w:pPr>
            <w:r>
              <w:rPr>
                <w:rFonts w:hint="eastAsia" w:cs="宋体"/>
                <w:kern w:val="0"/>
                <w:highlight w:val="none"/>
              </w:rPr>
              <w:t>以上内容每提供1项内容并满足需求的得</w:t>
            </w:r>
            <w:r>
              <w:rPr>
                <w:rFonts w:hint="eastAsia" w:cs="宋体"/>
                <w:kern w:val="0"/>
                <w:highlight w:val="none"/>
                <w:lang w:val="en-US" w:eastAsia="zh-CN"/>
              </w:rPr>
              <w:t>1</w:t>
            </w:r>
            <w:r>
              <w:rPr>
                <w:rFonts w:hint="eastAsia" w:cs="宋体"/>
                <w:kern w:val="0"/>
                <w:highlight w:val="none"/>
              </w:rPr>
              <w:t>分，满分</w:t>
            </w:r>
            <w:r>
              <w:rPr>
                <w:rFonts w:hint="eastAsia" w:cs="宋体"/>
                <w:kern w:val="0"/>
                <w:highlight w:val="none"/>
                <w:lang w:val="en-US" w:eastAsia="zh-CN"/>
              </w:rPr>
              <w:t>5</w:t>
            </w:r>
            <w:r>
              <w:rPr>
                <w:rFonts w:hint="eastAsia" w:cs="宋体"/>
                <w:kern w:val="0"/>
                <w:highlight w:val="none"/>
              </w:rPr>
              <w:t>分，每有一处不足或缺陷的扣0.5分，每项最多扣</w:t>
            </w:r>
            <w:r>
              <w:rPr>
                <w:rFonts w:hint="eastAsia" w:cs="宋体"/>
                <w:kern w:val="0"/>
                <w:highlight w:val="none"/>
                <w:lang w:val="en-US" w:eastAsia="zh-CN"/>
              </w:rPr>
              <w:t>1</w:t>
            </w:r>
            <w:r>
              <w:rPr>
                <w:rFonts w:cs="宋体"/>
                <w:kern w:val="0"/>
                <w:highlight w:val="none"/>
              </w:rPr>
              <w:t>分，</w:t>
            </w:r>
            <w:r>
              <w:rPr>
                <w:rFonts w:hint="eastAsia" w:cs="宋体"/>
                <w:kern w:val="0"/>
                <w:highlight w:val="none"/>
              </w:rPr>
              <w:t>未提供不得分。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00AB8D05">
            <w:pPr>
              <w:spacing w:line="360" w:lineRule="auto"/>
              <w:rPr>
                <w:rFonts w:cs="宋体"/>
                <w:kern w:val="0"/>
                <w:highlight w:val="none"/>
              </w:rPr>
            </w:pPr>
            <w:r>
              <w:rPr>
                <w:rFonts w:hint="eastAsia" w:cs="宋体"/>
                <w:kern w:val="0"/>
                <w:highlight w:val="none"/>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p w14:paraId="504D97C3">
            <w:pPr>
              <w:spacing w:line="360" w:lineRule="auto"/>
              <w:rPr>
                <w:rFonts w:cs="宋体"/>
                <w:kern w:val="0"/>
                <w:highlight w:val="none"/>
              </w:rPr>
            </w:pPr>
            <w:r>
              <w:rPr>
                <w:rFonts w:hint="eastAsia" w:cs="宋体"/>
                <w:kern w:val="0"/>
                <w:highlight w:val="none"/>
              </w:rPr>
              <w:t>（二）投标人承诺建立配送采购人食材的追踪溯源体系及专门台账档案，提供承诺函加盖公章得2分，未提供不得分。</w:t>
            </w:r>
          </w:p>
        </w:tc>
        <w:tc>
          <w:tcPr>
            <w:tcW w:w="700" w:type="dxa"/>
            <w:tcBorders>
              <w:top w:val="single" w:color="000000" w:sz="4" w:space="0"/>
              <w:left w:val="single" w:color="000000" w:sz="4" w:space="0"/>
              <w:bottom w:val="single" w:color="auto" w:sz="4" w:space="0"/>
              <w:right w:val="single" w:color="000000" w:sz="4" w:space="0"/>
            </w:tcBorders>
            <w:vAlign w:val="center"/>
          </w:tcPr>
          <w:p w14:paraId="4BC3EE5B">
            <w:pPr>
              <w:spacing w:line="360" w:lineRule="auto"/>
              <w:jc w:val="center"/>
              <w:rPr>
                <w:rFonts w:hint="eastAsia" w:eastAsia="宋体" w:cs="宋体"/>
                <w:color w:val="000000"/>
                <w:kern w:val="0"/>
                <w:highlight w:val="none"/>
                <w:lang w:eastAsia="zh-CN"/>
              </w:rPr>
            </w:pPr>
            <w:r>
              <w:rPr>
                <w:rFonts w:hint="eastAsia" w:cs="宋体"/>
                <w:color w:val="000000"/>
                <w:kern w:val="0"/>
                <w:highlight w:val="none"/>
                <w:lang w:val="en-US" w:eastAsia="zh-CN"/>
              </w:rPr>
              <w:t>7</w:t>
            </w:r>
          </w:p>
        </w:tc>
      </w:tr>
      <w:tr w14:paraId="533ACC8C">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162725B9">
            <w:pPr>
              <w:spacing w:line="360" w:lineRule="auto"/>
              <w:rPr>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76DEEB18">
            <w:pPr>
              <w:spacing w:line="360" w:lineRule="auto"/>
              <w:rPr>
                <w:szCs w:val="24"/>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60EDDD18">
            <w:pPr>
              <w:spacing w:line="360" w:lineRule="auto"/>
              <w:jc w:val="center"/>
              <w:rPr>
                <w:rFonts w:cs="宋体"/>
                <w:kern w:val="0"/>
                <w:highlight w:val="none"/>
              </w:rPr>
            </w:pPr>
            <w:r>
              <w:rPr>
                <w:rFonts w:hint="eastAsia" w:cs="宋体"/>
                <w:kern w:val="0"/>
                <w:highlight w:val="none"/>
                <w:lang w:bidi="ar"/>
              </w:rPr>
              <w:t>产品安全性</w:t>
            </w:r>
          </w:p>
        </w:tc>
        <w:tc>
          <w:tcPr>
            <w:tcW w:w="4550" w:type="dxa"/>
            <w:tcBorders>
              <w:top w:val="single" w:color="auto" w:sz="4" w:space="0"/>
              <w:left w:val="single" w:color="000000" w:sz="4" w:space="0"/>
              <w:bottom w:val="single" w:color="auto" w:sz="4" w:space="0"/>
              <w:right w:val="single" w:color="000000" w:sz="4" w:space="0"/>
            </w:tcBorders>
            <w:vAlign w:val="center"/>
          </w:tcPr>
          <w:p w14:paraId="1A262428">
            <w:pPr>
              <w:spacing w:line="360" w:lineRule="auto"/>
              <w:rPr>
                <w:rFonts w:cs="宋体"/>
                <w:color w:val="000000"/>
                <w:kern w:val="0"/>
                <w:highlight w:val="none"/>
              </w:rPr>
            </w:pPr>
            <w:r>
              <w:rPr>
                <w:rFonts w:hint="eastAsia" w:cs="宋体"/>
                <w:bCs/>
                <w:color w:val="000000"/>
                <w:kern w:val="0"/>
                <w:highlight w:val="none"/>
              </w:rPr>
              <w:t>供应商须提供市场监督管理部门直属质检机构，或经市场监督管理部门资质认定并取得</w:t>
            </w:r>
            <w:r>
              <w:rPr>
                <w:rFonts w:cs="宋体"/>
                <w:bCs/>
                <w:color w:val="000000"/>
                <w:kern w:val="0"/>
                <w:highlight w:val="none"/>
              </w:rPr>
              <w:t>CMA检验检测资质的第三方检测机构出具的有效期内检测报告；报告页面须加盖清晰、有效的CMA资质认定印章；检测所依据的标准须为现行有效、未废止的国家标准或行业标准，引用已废止标准出具的检测报告一律不予认可。</w:t>
            </w:r>
            <w:r>
              <w:rPr>
                <w:rFonts w:hint="eastAsia" w:cs="宋体"/>
                <w:b/>
                <w:bCs/>
                <w:color w:val="000000"/>
                <w:kern w:val="0"/>
                <w:highlight w:val="none"/>
              </w:rPr>
              <w:t>按活禽肉水产的常用品种提供检测报告，</w:t>
            </w:r>
            <w:r>
              <w:rPr>
                <w:rFonts w:cs="宋体"/>
                <w:bCs/>
                <w:color w:val="000000"/>
                <w:kern w:val="0"/>
                <w:highlight w:val="none"/>
              </w:rPr>
              <w:t>检测报告须清晰载明对应投标产品名称信息，所投标品牌或生产厂家，</w:t>
            </w:r>
            <w:r>
              <w:rPr>
                <w:rFonts w:hint="eastAsia" w:cs="宋体"/>
                <w:color w:val="000000"/>
                <w:kern w:val="0"/>
                <w:highlight w:val="none"/>
              </w:rPr>
              <w:t>检测项目中至少有兽药/渔药/重金属残留检测项目。</w:t>
            </w:r>
            <w:r>
              <w:rPr>
                <w:rFonts w:cs="宋体"/>
                <w:bCs/>
                <w:color w:val="000000"/>
                <w:kern w:val="0"/>
                <w:highlight w:val="none"/>
              </w:rPr>
              <w:t>否则不得分。</w:t>
            </w:r>
            <w:r>
              <w:rPr>
                <w:rFonts w:hint="eastAsia" w:cs="宋体"/>
                <w:color w:val="000000"/>
                <w:kern w:val="0"/>
                <w:highlight w:val="none"/>
              </w:rPr>
              <w:t>检测时间须为开标日期前一年内。</w:t>
            </w:r>
          </w:p>
          <w:p w14:paraId="28082755">
            <w:pPr>
              <w:spacing w:line="360" w:lineRule="auto"/>
              <w:rPr>
                <w:rFonts w:cs="宋体"/>
                <w:color w:val="000000"/>
                <w:kern w:val="0"/>
                <w:highlight w:val="none"/>
              </w:rPr>
            </w:pPr>
            <w:r>
              <w:rPr>
                <w:rFonts w:hint="eastAsia" w:cs="宋体"/>
                <w:color w:val="000000"/>
                <w:kern w:val="0"/>
                <w:highlight w:val="none"/>
              </w:rPr>
              <w:t>提供有白条鸡的得</w:t>
            </w:r>
            <w:r>
              <w:rPr>
                <w:rFonts w:cs="宋体"/>
                <w:color w:val="000000"/>
                <w:kern w:val="0"/>
                <w:highlight w:val="none"/>
              </w:rPr>
              <w:t>2</w:t>
            </w:r>
            <w:r>
              <w:rPr>
                <w:rFonts w:hint="eastAsia" w:cs="宋体"/>
                <w:color w:val="000000"/>
                <w:kern w:val="0"/>
                <w:highlight w:val="none"/>
              </w:rPr>
              <w:t>分；水产类每提供一份得</w:t>
            </w:r>
            <w:r>
              <w:rPr>
                <w:rFonts w:cs="宋体"/>
                <w:color w:val="000000"/>
                <w:kern w:val="0"/>
                <w:highlight w:val="none"/>
              </w:rPr>
              <w:t>2</w:t>
            </w:r>
            <w:r>
              <w:rPr>
                <w:rFonts w:hint="eastAsia" w:cs="宋体"/>
                <w:color w:val="000000"/>
                <w:kern w:val="0"/>
                <w:highlight w:val="none"/>
              </w:rPr>
              <w:t>分，最多得</w:t>
            </w:r>
            <w:r>
              <w:rPr>
                <w:rFonts w:cs="宋体"/>
                <w:color w:val="000000"/>
                <w:kern w:val="0"/>
                <w:highlight w:val="none"/>
              </w:rPr>
              <w:t>12</w:t>
            </w:r>
            <w:r>
              <w:rPr>
                <w:rFonts w:hint="eastAsia" w:cs="宋体"/>
                <w:color w:val="000000"/>
                <w:kern w:val="0"/>
                <w:highlight w:val="none"/>
              </w:rPr>
              <w:t>分；本项满分</w:t>
            </w:r>
            <w:r>
              <w:rPr>
                <w:rFonts w:cs="宋体"/>
                <w:color w:val="000000"/>
                <w:kern w:val="0"/>
                <w:highlight w:val="none"/>
              </w:rPr>
              <w:t>14</w:t>
            </w:r>
            <w:r>
              <w:rPr>
                <w:rFonts w:hint="eastAsia" w:cs="宋体"/>
                <w:color w:val="000000"/>
                <w:kern w:val="0"/>
                <w:highlight w:val="none"/>
              </w:rPr>
              <w:t>分。</w:t>
            </w:r>
          </w:p>
          <w:p w14:paraId="7F543C2E">
            <w:pPr>
              <w:spacing w:line="360" w:lineRule="auto"/>
              <w:rPr>
                <w:rFonts w:cs="宋体"/>
                <w:color w:val="000000"/>
                <w:kern w:val="0"/>
                <w:highlight w:val="none"/>
              </w:rPr>
            </w:pPr>
            <w:r>
              <w:rPr>
                <w:rFonts w:hint="eastAsia" w:cs="宋体"/>
                <w:color w:val="000000"/>
                <w:kern w:val="0"/>
                <w:highlight w:val="none"/>
              </w:rPr>
              <w:t>不符合要求或不提供不得分。提供冷冻禽肉水产的检测报告不得分。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5D95B482">
            <w:pPr>
              <w:spacing w:line="360" w:lineRule="auto"/>
              <w:jc w:val="center"/>
              <w:rPr>
                <w:rFonts w:cs="宋体"/>
                <w:color w:val="000000"/>
                <w:kern w:val="0"/>
                <w:highlight w:val="none"/>
              </w:rPr>
            </w:pPr>
            <w:r>
              <w:rPr>
                <w:rFonts w:cs="宋体"/>
                <w:color w:val="000000"/>
                <w:kern w:val="0"/>
                <w:highlight w:val="none"/>
              </w:rPr>
              <w:t>14</w:t>
            </w:r>
          </w:p>
        </w:tc>
      </w:tr>
      <w:tr w14:paraId="041B251C">
        <w:tblPrEx>
          <w:tblCellMar>
            <w:top w:w="0" w:type="dxa"/>
            <w:left w:w="108" w:type="dxa"/>
            <w:bottom w:w="0" w:type="dxa"/>
            <w:right w:w="108" w:type="dxa"/>
          </w:tblCellMar>
        </w:tblPrEx>
        <w:trPr>
          <w:trHeight w:val="145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11C5F13A">
            <w:pPr>
              <w:spacing w:line="360" w:lineRule="auto"/>
              <w:rPr>
                <w:szCs w:val="24"/>
                <w:highlight w:val="none"/>
              </w:rPr>
            </w:pPr>
            <w:bookmarkStart w:id="445" w:name="_GoBack" w:colFirst="2" w:colLast="3"/>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71C3F3CB">
            <w:pPr>
              <w:spacing w:line="360" w:lineRule="auto"/>
              <w:rPr>
                <w:szCs w:val="24"/>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056C95A8">
            <w:pPr>
              <w:spacing w:line="360" w:lineRule="auto"/>
              <w:jc w:val="center"/>
              <w:rPr>
                <w:rFonts w:cs="宋体"/>
                <w:kern w:val="0"/>
                <w:highlight w:val="none"/>
              </w:rPr>
            </w:pPr>
            <w:r>
              <w:rPr>
                <w:rFonts w:hint="eastAsia" w:cs="宋体"/>
                <w:kern w:val="0"/>
                <w:highlight w:val="none"/>
              </w:rPr>
              <w:t>应急保障</w:t>
            </w:r>
          </w:p>
        </w:tc>
        <w:tc>
          <w:tcPr>
            <w:tcW w:w="4550" w:type="dxa"/>
            <w:tcBorders>
              <w:top w:val="single" w:color="auto" w:sz="4" w:space="0"/>
              <w:left w:val="single" w:color="000000" w:sz="4" w:space="0"/>
              <w:bottom w:val="single" w:color="auto" w:sz="4" w:space="0"/>
              <w:right w:val="single" w:color="000000" w:sz="4" w:space="0"/>
            </w:tcBorders>
            <w:vAlign w:val="center"/>
          </w:tcPr>
          <w:p w14:paraId="31B5F884">
            <w:pPr>
              <w:spacing w:line="360" w:lineRule="auto"/>
              <w:rPr>
                <w:rFonts w:cs="宋体"/>
                <w:color w:val="000000"/>
                <w:kern w:val="0"/>
                <w:highlight w:val="none"/>
              </w:rPr>
            </w:pPr>
            <w:r>
              <w:rPr>
                <w:rFonts w:hint="eastAsia" w:cs="宋体"/>
                <w:color w:val="000000"/>
                <w:kern w:val="0"/>
                <w:highlight w:val="none"/>
              </w:rPr>
              <w:t>根据供应商对紧急事件处理预案进行评审，至少包含：</w:t>
            </w:r>
          </w:p>
          <w:p w14:paraId="2D0BB96B">
            <w:pPr>
              <w:spacing w:line="360" w:lineRule="auto"/>
              <w:rPr>
                <w:rFonts w:cs="宋体"/>
                <w:color w:val="000000"/>
                <w:kern w:val="0"/>
                <w:highlight w:val="none"/>
              </w:rPr>
            </w:pPr>
            <w:r>
              <w:rPr>
                <w:rFonts w:hint="eastAsia" w:cs="宋体"/>
                <w:color w:val="000000"/>
                <w:kern w:val="0"/>
                <w:highlight w:val="none"/>
              </w:rPr>
              <w:t>1.问题产品召回；</w:t>
            </w:r>
          </w:p>
          <w:p w14:paraId="35D51311">
            <w:pPr>
              <w:spacing w:line="360" w:lineRule="auto"/>
              <w:rPr>
                <w:rFonts w:cs="宋体"/>
                <w:color w:val="000000"/>
                <w:kern w:val="0"/>
                <w:highlight w:val="none"/>
              </w:rPr>
            </w:pPr>
            <w:r>
              <w:rPr>
                <w:rFonts w:hint="eastAsia" w:cs="宋体"/>
                <w:color w:val="000000"/>
                <w:kern w:val="0"/>
                <w:highlight w:val="none"/>
              </w:rPr>
              <w:t>2.货源短缺时的解决方案；</w:t>
            </w:r>
          </w:p>
          <w:p w14:paraId="4A493ACF">
            <w:pPr>
              <w:spacing w:line="360" w:lineRule="auto"/>
              <w:rPr>
                <w:rFonts w:cs="宋体"/>
                <w:color w:val="000000"/>
                <w:kern w:val="0"/>
                <w:highlight w:val="none"/>
              </w:rPr>
            </w:pPr>
            <w:r>
              <w:rPr>
                <w:rFonts w:hint="eastAsia" w:cs="宋体"/>
                <w:color w:val="000000"/>
                <w:kern w:val="0"/>
                <w:highlight w:val="none"/>
              </w:rPr>
              <w:t>3.恶劣天气等情况的应急措施；</w:t>
            </w:r>
          </w:p>
          <w:p w14:paraId="7661E38C">
            <w:pPr>
              <w:spacing w:line="360" w:lineRule="auto"/>
              <w:rPr>
                <w:rFonts w:cs="宋体"/>
                <w:color w:val="000000"/>
                <w:kern w:val="0"/>
                <w:highlight w:val="none"/>
              </w:rPr>
            </w:pPr>
            <w:r>
              <w:rPr>
                <w:rFonts w:hint="eastAsia" w:cs="宋体"/>
                <w:color w:val="000000"/>
                <w:kern w:val="0"/>
                <w:highlight w:val="none"/>
              </w:rPr>
              <w:t>4.遇突发安全事件</w:t>
            </w:r>
            <w:r>
              <w:rPr>
                <w:rFonts w:hint="eastAsia" w:cs="宋体"/>
                <w:color w:val="000000"/>
                <w:kern w:val="0"/>
                <w:highlight w:val="none"/>
                <w:lang w:eastAsia="zh-CN"/>
              </w:rPr>
              <w:t>、</w:t>
            </w:r>
            <w:r>
              <w:rPr>
                <w:rFonts w:hint="eastAsia" w:cs="宋体"/>
                <w:color w:val="000000"/>
                <w:kern w:val="0"/>
                <w:highlight w:val="none"/>
              </w:rPr>
              <w:t>突发疫情的应急预案和处理；</w:t>
            </w:r>
          </w:p>
          <w:p w14:paraId="16A2BB8F">
            <w:pPr>
              <w:spacing w:line="360" w:lineRule="auto"/>
              <w:rPr>
                <w:rFonts w:cs="宋体"/>
                <w:color w:val="000000"/>
                <w:kern w:val="0"/>
                <w:highlight w:val="none"/>
              </w:rPr>
            </w:pPr>
            <w:r>
              <w:rPr>
                <w:rFonts w:cs="宋体"/>
                <w:color w:val="000000"/>
                <w:kern w:val="0"/>
                <w:highlight w:val="none"/>
              </w:rPr>
              <w:t>5</w:t>
            </w:r>
            <w:r>
              <w:rPr>
                <w:rFonts w:hint="eastAsia" w:cs="宋体"/>
                <w:color w:val="000000"/>
                <w:kern w:val="0"/>
                <w:highlight w:val="none"/>
              </w:rPr>
              <w:t>.</w:t>
            </w:r>
            <w:r>
              <w:rPr>
                <w:rFonts w:cs="宋体"/>
                <w:color w:val="000000"/>
                <w:kern w:val="0"/>
                <w:highlight w:val="none"/>
              </w:rPr>
              <w:t>遇突发临时紧急供货的应急措施</w:t>
            </w:r>
            <w:r>
              <w:rPr>
                <w:rFonts w:hint="eastAsia" w:cs="宋体"/>
                <w:color w:val="000000"/>
                <w:kern w:val="0"/>
                <w:highlight w:val="none"/>
              </w:rPr>
              <w:t>；</w:t>
            </w:r>
          </w:p>
          <w:p w14:paraId="7C021C09">
            <w:pPr>
              <w:spacing w:line="360" w:lineRule="auto"/>
              <w:rPr>
                <w:rFonts w:cs="宋体"/>
                <w:color w:val="000000"/>
                <w:kern w:val="0"/>
                <w:highlight w:val="none"/>
              </w:rPr>
            </w:pPr>
            <w:r>
              <w:rPr>
                <w:rFonts w:hint="eastAsia" w:cs="宋体"/>
                <w:color w:val="000000"/>
                <w:kern w:val="0"/>
                <w:highlight w:val="none"/>
              </w:rPr>
              <w:t>以上内容每提供1项内容的得</w:t>
            </w:r>
            <w:r>
              <w:rPr>
                <w:rFonts w:hint="eastAsia" w:cs="宋体"/>
                <w:color w:val="000000"/>
                <w:kern w:val="0"/>
                <w:highlight w:val="none"/>
                <w:lang w:val="en-US" w:eastAsia="zh-CN"/>
              </w:rPr>
              <w:t>1</w:t>
            </w:r>
            <w:r>
              <w:rPr>
                <w:rFonts w:hint="eastAsia" w:cs="宋体"/>
                <w:color w:val="000000"/>
                <w:kern w:val="0"/>
                <w:highlight w:val="none"/>
              </w:rPr>
              <w:t>分，满分</w:t>
            </w:r>
            <w:r>
              <w:rPr>
                <w:rFonts w:hint="eastAsia" w:cs="宋体"/>
                <w:color w:val="000000"/>
                <w:kern w:val="0"/>
                <w:highlight w:val="none"/>
                <w:lang w:val="en-US" w:eastAsia="zh-CN"/>
              </w:rPr>
              <w:t>5</w:t>
            </w:r>
            <w:r>
              <w:rPr>
                <w:rFonts w:hint="eastAsia" w:cs="宋体"/>
                <w:color w:val="000000"/>
                <w:kern w:val="0"/>
                <w:highlight w:val="none"/>
              </w:rPr>
              <w:t>分，每有一处不足或缺陷的扣0.5分，每项最多扣</w:t>
            </w:r>
            <w:r>
              <w:rPr>
                <w:rFonts w:hint="eastAsia" w:cs="宋体"/>
                <w:color w:val="000000"/>
                <w:kern w:val="0"/>
                <w:highlight w:val="none"/>
                <w:lang w:val="en-US" w:eastAsia="zh-CN"/>
              </w:rPr>
              <w:t>1</w:t>
            </w:r>
            <w:r>
              <w:rPr>
                <w:rFonts w:cs="宋体"/>
                <w:color w:val="000000"/>
                <w:kern w:val="0"/>
                <w:highlight w:val="none"/>
              </w:rPr>
              <w:t>分，</w:t>
            </w:r>
            <w:r>
              <w:rPr>
                <w:rFonts w:hint="eastAsia" w:cs="宋体"/>
                <w:color w:val="000000"/>
                <w:kern w:val="0"/>
                <w:highlight w:val="none"/>
              </w:rPr>
              <w:t>未提供不得分。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77FA8339">
            <w:pPr>
              <w:spacing w:line="360" w:lineRule="auto"/>
              <w:rPr>
                <w:highlight w:val="none"/>
              </w:rPr>
            </w:pPr>
            <w:r>
              <w:rPr>
                <w:rFonts w:hint="eastAsia" w:cs="宋体"/>
                <w:color w:val="000000"/>
                <w:kern w:val="0"/>
                <w:highlight w:val="none"/>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tcBorders>
              <w:top w:val="single" w:color="auto" w:sz="4" w:space="0"/>
              <w:left w:val="single" w:color="000000" w:sz="4" w:space="0"/>
              <w:bottom w:val="single" w:color="auto" w:sz="4" w:space="0"/>
              <w:right w:val="single" w:color="000000" w:sz="4" w:space="0"/>
            </w:tcBorders>
            <w:vAlign w:val="center"/>
          </w:tcPr>
          <w:p w14:paraId="60890895">
            <w:pPr>
              <w:spacing w:line="360" w:lineRule="auto"/>
              <w:jc w:val="center"/>
              <w:rPr>
                <w:rFonts w:hint="eastAsia" w:eastAsia="宋体"/>
                <w:highlight w:val="none"/>
                <w:lang w:eastAsia="zh-CN"/>
              </w:rPr>
            </w:pPr>
            <w:r>
              <w:rPr>
                <w:rFonts w:hint="eastAsia"/>
                <w:highlight w:val="none"/>
                <w:lang w:val="en-US" w:eastAsia="zh-CN"/>
              </w:rPr>
              <w:t>5</w:t>
            </w:r>
          </w:p>
        </w:tc>
      </w:tr>
      <w:bookmarkEnd w:id="445"/>
      <w:tr w14:paraId="1631F6B5">
        <w:tblPrEx>
          <w:tblCellMar>
            <w:top w:w="0" w:type="dxa"/>
            <w:left w:w="108" w:type="dxa"/>
            <w:bottom w:w="0" w:type="dxa"/>
            <w:right w:w="108" w:type="dxa"/>
          </w:tblCellMar>
        </w:tblPrEx>
        <w:trPr>
          <w:trHeight w:val="310" w:hRule="atLeast"/>
          <w:jc w:val="center"/>
        </w:trPr>
        <w:tc>
          <w:tcPr>
            <w:tcW w:w="1271" w:type="dxa"/>
            <w:vMerge w:val="restart"/>
            <w:tcBorders>
              <w:top w:val="single" w:color="000000" w:sz="4" w:space="0"/>
              <w:left w:val="single" w:color="000000" w:sz="4" w:space="0"/>
              <w:bottom w:val="single" w:color="000000" w:sz="4" w:space="0"/>
              <w:right w:val="single" w:color="000000" w:sz="4" w:space="0"/>
            </w:tcBorders>
            <w:vAlign w:val="center"/>
          </w:tcPr>
          <w:p w14:paraId="206B42A5">
            <w:pPr>
              <w:spacing w:line="360" w:lineRule="auto"/>
              <w:rPr>
                <w:szCs w:val="24"/>
                <w:highlight w:val="none"/>
              </w:rPr>
            </w:pPr>
          </w:p>
        </w:tc>
        <w:tc>
          <w:tcPr>
            <w:tcW w:w="8091" w:type="dxa"/>
            <w:gridSpan w:val="3"/>
            <w:tcBorders>
              <w:top w:val="single" w:color="000000" w:sz="4" w:space="0"/>
              <w:left w:val="single" w:color="000000" w:sz="4" w:space="0"/>
              <w:bottom w:val="single" w:color="000000" w:sz="4" w:space="0"/>
              <w:right w:val="single" w:color="000000" w:sz="4" w:space="0"/>
            </w:tcBorders>
            <w:vAlign w:val="center"/>
          </w:tcPr>
          <w:p w14:paraId="4DE87282">
            <w:pPr>
              <w:spacing w:line="360" w:lineRule="auto"/>
              <w:rPr>
                <w:szCs w:val="24"/>
                <w:highlight w:val="none"/>
              </w:rPr>
            </w:pPr>
            <w:r>
              <w:rPr>
                <w:rFonts w:hint="eastAsia"/>
                <w:szCs w:val="24"/>
                <w:highlight w:val="none"/>
                <w:lang w:bidi="ar"/>
              </w:rPr>
              <w:t>合计</w:t>
            </w:r>
          </w:p>
        </w:tc>
        <w:tc>
          <w:tcPr>
            <w:tcW w:w="700" w:type="dxa"/>
            <w:tcBorders>
              <w:top w:val="single" w:color="000000" w:sz="4" w:space="0"/>
              <w:left w:val="single" w:color="000000" w:sz="4" w:space="0"/>
              <w:bottom w:val="single" w:color="000000" w:sz="4" w:space="0"/>
              <w:right w:val="single" w:color="000000" w:sz="4" w:space="0"/>
            </w:tcBorders>
            <w:vAlign w:val="center"/>
          </w:tcPr>
          <w:p w14:paraId="697DB267">
            <w:pPr>
              <w:spacing w:line="360" w:lineRule="auto"/>
              <w:rPr>
                <w:szCs w:val="24"/>
                <w:highlight w:val="none"/>
              </w:rPr>
            </w:pPr>
            <w:r>
              <w:rPr>
                <w:rFonts w:hint="eastAsia"/>
                <w:szCs w:val="24"/>
                <w:highlight w:val="none"/>
                <w:lang w:bidi="ar"/>
              </w:rPr>
              <w:t>100</w:t>
            </w:r>
          </w:p>
        </w:tc>
      </w:tr>
      <w:tr w14:paraId="7A4EF537">
        <w:tblPrEx>
          <w:tblCellMar>
            <w:top w:w="0" w:type="dxa"/>
            <w:left w:w="108" w:type="dxa"/>
            <w:bottom w:w="0" w:type="dxa"/>
            <w:right w:w="108" w:type="dxa"/>
          </w:tblCellMar>
        </w:tblPrEx>
        <w:trPr>
          <w:trHeight w:val="555" w:hRule="atLeast"/>
          <w:jc w:val="center"/>
        </w:trPr>
        <w:tc>
          <w:tcPr>
            <w:tcW w:w="1271" w:type="dxa"/>
            <w:vMerge w:val="continue"/>
            <w:tcBorders>
              <w:top w:val="single" w:color="000000" w:sz="4" w:space="0"/>
              <w:left w:val="single" w:color="000000" w:sz="4" w:space="0"/>
              <w:bottom w:val="single" w:color="auto" w:sz="4" w:space="0"/>
              <w:right w:val="single" w:color="000000" w:sz="4" w:space="0"/>
            </w:tcBorders>
            <w:vAlign w:val="center"/>
          </w:tcPr>
          <w:p w14:paraId="15D236B4">
            <w:pPr>
              <w:spacing w:line="360" w:lineRule="auto"/>
              <w:rPr>
                <w:szCs w:val="24"/>
                <w:highlight w:val="none"/>
              </w:rPr>
            </w:pPr>
          </w:p>
        </w:tc>
        <w:tc>
          <w:tcPr>
            <w:tcW w:w="8791" w:type="dxa"/>
            <w:gridSpan w:val="4"/>
            <w:tcBorders>
              <w:top w:val="single" w:color="000000" w:sz="4" w:space="0"/>
              <w:left w:val="single" w:color="000000" w:sz="4" w:space="0"/>
              <w:bottom w:val="single" w:color="auto" w:sz="4" w:space="0"/>
              <w:right w:val="single" w:color="000000" w:sz="4" w:space="0"/>
            </w:tcBorders>
            <w:vAlign w:val="center"/>
          </w:tcPr>
          <w:p w14:paraId="3C894CAA">
            <w:pPr>
              <w:spacing w:line="360" w:lineRule="auto"/>
              <w:rPr>
                <w:szCs w:val="24"/>
                <w:highlight w:val="none"/>
              </w:rPr>
            </w:pPr>
            <w:r>
              <w:rPr>
                <w:rFonts w:hint="eastAsia"/>
                <w:szCs w:val="24"/>
                <w:highlight w:val="none"/>
                <w:lang w:bidi="ar"/>
              </w:rPr>
              <w:t>注：评分分值计算保留小数点后两位，小数点后第三位“四舍五入”</w:t>
            </w:r>
          </w:p>
        </w:tc>
      </w:tr>
      <w:tr w14:paraId="0360D0AC">
        <w:tblPrEx>
          <w:tblCellMar>
            <w:top w:w="0" w:type="dxa"/>
            <w:left w:w="108" w:type="dxa"/>
            <w:bottom w:w="0" w:type="dxa"/>
            <w:right w:w="108" w:type="dxa"/>
          </w:tblCellMar>
        </w:tblPrEx>
        <w:trPr>
          <w:trHeight w:val="680" w:hRule="atLeast"/>
          <w:jc w:val="center"/>
        </w:trPr>
        <w:tc>
          <w:tcPr>
            <w:tcW w:w="3467" w:type="dxa"/>
            <w:gridSpan w:val="2"/>
            <w:tcBorders>
              <w:top w:val="single" w:color="auto" w:sz="4" w:space="0"/>
              <w:left w:val="single" w:color="auto" w:sz="4" w:space="0"/>
              <w:bottom w:val="single" w:color="auto" w:sz="4" w:space="0"/>
              <w:right w:val="single" w:color="auto" w:sz="4" w:space="0"/>
            </w:tcBorders>
            <w:vAlign w:val="center"/>
          </w:tcPr>
          <w:p w14:paraId="4222288E">
            <w:pPr>
              <w:spacing w:line="360" w:lineRule="auto"/>
              <w:rPr>
                <w:szCs w:val="24"/>
                <w:highlight w:val="none"/>
              </w:rPr>
            </w:pPr>
            <w:r>
              <w:rPr>
                <w:rFonts w:hint="eastAsia"/>
                <w:szCs w:val="24"/>
                <w:highlight w:val="none"/>
                <w:lang w:bidi="ar"/>
              </w:rPr>
              <w:t>备注</w:t>
            </w:r>
          </w:p>
        </w:tc>
        <w:tc>
          <w:tcPr>
            <w:tcW w:w="6595" w:type="dxa"/>
            <w:gridSpan w:val="3"/>
            <w:tcBorders>
              <w:top w:val="single" w:color="auto" w:sz="4" w:space="0"/>
              <w:left w:val="single" w:color="auto" w:sz="4" w:space="0"/>
              <w:bottom w:val="single" w:color="auto" w:sz="4" w:space="0"/>
              <w:right w:val="single" w:color="auto" w:sz="4" w:space="0"/>
            </w:tcBorders>
            <w:vAlign w:val="center"/>
          </w:tcPr>
          <w:p w14:paraId="337AA6E1">
            <w:pPr>
              <w:spacing w:line="360" w:lineRule="auto"/>
              <w:rPr>
                <w:szCs w:val="24"/>
                <w:highlight w:val="none"/>
              </w:rPr>
            </w:pPr>
            <w:r>
              <w:rPr>
                <w:rFonts w:hint="eastAsia"/>
                <w:szCs w:val="24"/>
                <w:highlight w:val="none"/>
                <w:lang w:bidi="ar"/>
              </w:rPr>
              <w:t>1.供应商提供的所有数据及材料，必须真实有效，如发现弄虚作假，取消中标资格，并上报上级财政主管部门。</w:t>
            </w:r>
          </w:p>
        </w:tc>
      </w:tr>
    </w:tbl>
    <w:p w14:paraId="51D7F82C">
      <w:pPr>
        <w:rPr>
          <w:rFonts w:eastAsia="黑体"/>
          <w:b/>
          <w:bCs/>
          <w:kern w:val="44"/>
          <w:sz w:val="44"/>
          <w:szCs w:val="44"/>
          <w:highlight w:val="none"/>
          <w:lang w:val="zh-CN"/>
        </w:rPr>
      </w:pPr>
      <w:bookmarkStart w:id="344" w:name="_Toc155185918"/>
      <w:bookmarkStart w:id="345" w:name="_Toc163492912"/>
      <w:r>
        <w:rPr>
          <w:highlight w:val="none"/>
          <w:lang w:val="zh-CN"/>
        </w:rPr>
        <w:br w:type="page"/>
      </w:r>
    </w:p>
    <w:p w14:paraId="65587E82">
      <w:pPr>
        <w:pStyle w:val="2"/>
        <w:spacing w:line="360" w:lineRule="auto"/>
        <w:rPr>
          <w:highlight w:val="none"/>
          <w:lang w:val="zh-CN"/>
        </w:rPr>
      </w:pPr>
      <w:bookmarkStart w:id="346" w:name="_Toc229390296"/>
      <w:r>
        <w:rPr>
          <w:rFonts w:hint="eastAsia"/>
          <w:highlight w:val="none"/>
          <w:lang w:val="zh-CN"/>
        </w:rPr>
        <w:t>第六章 合同</w:t>
      </w:r>
      <w:bookmarkEnd w:id="344"/>
      <w:r>
        <w:rPr>
          <w:rFonts w:hint="eastAsia"/>
          <w:highlight w:val="none"/>
          <w:lang w:val="zh-CN"/>
        </w:rPr>
        <w:t>草案</w:t>
      </w:r>
      <w:bookmarkEnd w:id="345"/>
      <w:bookmarkEnd w:id="346"/>
    </w:p>
    <w:p w14:paraId="0EFA28DB">
      <w:pPr>
        <w:spacing w:line="360" w:lineRule="auto"/>
        <w:rPr>
          <w:bCs/>
          <w:highlight w:val="none"/>
        </w:rPr>
      </w:pPr>
      <w:r>
        <w:rPr>
          <w:rFonts w:hint="eastAsia"/>
          <w:highlight w:val="none"/>
        </w:rPr>
        <w:t>【此合同为模板，具体签订合同依照采购文件及投标文件，甲乙双方协商为准】</w:t>
      </w:r>
    </w:p>
    <w:p w14:paraId="2DFE150E">
      <w:pPr>
        <w:widowControl w:val="0"/>
        <w:spacing w:line="360" w:lineRule="auto"/>
        <w:ind w:firstLine="601"/>
        <w:jc w:val="center"/>
        <w:rPr>
          <w:rFonts w:cs="Times New Roman"/>
          <w:b/>
          <w:sz w:val="44"/>
          <w:szCs w:val="44"/>
          <w:highlight w:val="none"/>
        </w:rPr>
      </w:pPr>
      <w:r>
        <w:rPr>
          <w:rFonts w:hint="eastAsia" w:cs="Times New Roman"/>
          <w:b/>
          <w:sz w:val="44"/>
          <w:szCs w:val="44"/>
          <w:highlight w:val="none"/>
        </w:rPr>
        <w:t>新疆医科大学（</w:t>
      </w:r>
      <w:r>
        <w:rPr>
          <w:rFonts w:cs="Times New Roman"/>
          <w:b/>
          <w:sz w:val="44"/>
          <w:szCs w:val="44"/>
          <w:highlight w:val="none"/>
        </w:rPr>
        <w:t>2026年</w:t>
      </w:r>
      <w:r>
        <w:rPr>
          <w:rFonts w:hint="eastAsia" w:cs="Times New Roman"/>
          <w:b/>
          <w:sz w:val="44"/>
          <w:szCs w:val="44"/>
          <w:highlight w:val="none"/>
        </w:rPr>
        <w:t>活禽水产</w:t>
      </w:r>
      <w:r>
        <w:rPr>
          <w:rFonts w:cs="Times New Roman"/>
          <w:b/>
          <w:sz w:val="44"/>
          <w:szCs w:val="44"/>
          <w:highlight w:val="none"/>
        </w:rPr>
        <w:t>采购项目</w:t>
      </w:r>
      <w:r>
        <w:rPr>
          <w:rFonts w:hint="eastAsia" w:cs="Times New Roman"/>
          <w:b/>
          <w:sz w:val="44"/>
          <w:szCs w:val="44"/>
          <w:highlight w:val="none"/>
        </w:rPr>
        <w:t>）采购合同书</w:t>
      </w:r>
    </w:p>
    <w:p w14:paraId="077A761B">
      <w:pPr>
        <w:widowControl w:val="0"/>
        <w:spacing w:line="360" w:lineRule="auto"/>
        <w:ind w:firstLine="601"/>
        <w:jc w:val="center"/>
        <w:rPr>
          <w:rFonts w:cs="Times New Roman"/>
          <w:b/>
          <w:sz w:val="32"/>
          <w:szCs w:val="32"/>
          <w:highlight w:val="none"/>
        </w:rPr>
      </w:pPr>
    </w:p>
    <w:p w14:paraId="0011B03F">
      <w:pPr>
        <w:widowControl w:val="0"/>
        <w:spacing w:line="360" w:lineRule="auto"/>
        <w:ind w:firstLine="1350" w:firstLineChars="450"/>
        <w:rPr>
          <w:rFonts w:cs="Times New Roman"/>
          <w:sz w:val="30"/>
          <w:szCs w:val="30"/>
          <w:highlight w:val="none"/>
        </w:rPr>
      </w:pPr>
    </w:p>
    <w:p w14:paraId="41A30A79">
      <w:pPr>
        <w:widowControl w:val="0"/>
        <w:spacing w:line="360" w:lineRule="auto"/>
        <w:ind w:firstLine="1350" w:firstLineChars="450"/>
        <w:rPr>
          <w:rFonts w:cs="Times New Roman"/>
          <w:sz w:val="30"/>
          <w:szCs w:val="30"/>
          <w:highlight w:val="none"/>
        </w:rPr>
      </w:pPr>
    </w:p>
    <w:p w14:paraId="26D59688">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买    方：新疆医科大学</w:t>
      </w:r>
    </w:p>
    <w:p w14:paraId="6AFCA6F6">
      <w:pPr>
        <w:widowControl w:val="0"/>
        <w:spacing w:line="360" w:lineRule="auto"/>
        <w:ind w:firstLine="1350" w:firstLineChars="450"/>
        <w:rPr>
          <w:rFonts w:cs="Times New Roman"/>
          <w:sz w:val="30"/>
          <w:szCs w:val="30"/>
          <w:highlight w:val="none"/>
        </w:rPr>
      </w:pPr>
    </w:p>
    <w:p w14:paraId="799E171C">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卖    方：</w:t>
      </w:r>
    </w:p>
    <w:p w14:paraId="40E9952B">
      <w:pPr>
        <w:widowControl w:val="0"/>
        <w:spacing w:line="360" w:lineRule="auto"/>
        <w:ind w:firstLine="1350" w:firstLineChars="450"/>
        <w:rPr>
          <w:rFonts w:cs="Times New Roman"/>
          <w:sz w:val="30"/>
          <w:szCs w:val="30"/>
          <w:highlight w:val="none"/>
        </w:rPr>
      </w:pPr>
    </w:p>
    <w:p w14:paraId="5C0C602C">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签约地点：新疆乌鲁木齐市</w:t>
      </w:r>
    </w:p>
    <w:p w14:paraId="61D251BF">
      <w:pPr>
        <w:widowControl w:val="0"/>
        <w:spacing w:line="360" w:lineRule="auto"/>
        <w:ind w:firstLine="1350" w:firstLineChars="450"/>
        <w:rPr>
          <w:rFonts w:cs="Times New Roman"/>
          <w:sz w:val="30"/>
          <w:szCs w:val="30"/>
          <w:highlight w:val="none"/>
        </w:rPr>
      </w:pPr>
    </w:p>
    <w:p w14:paraId="5C96FD74">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 xml:space="preserve">签约日期：  </w:t>
      </w:r>
    </w:p>
    <w:p w14:paraId="278628A7">
      <w:pPr>
        <w:widowControl w:val="0"/>
        <w:autoSpaceDE w:val="0"/>
        <w:autoSpaceDN w:val="0"/>
        <w:spacing w:line="360" w:lineRule="auto"/>
        <w:ind w:left="181" w:firstLine="420"/>
        <w:jc w:val="both"/>
        <w:rPr>
          <w:rFonts w:cs="Times New Roman"/>
          <w:szCs w:val="24"/>
          <w:highlight w:val="none"/>
        </w:rPr>
      </w:pPr>
    </w:p>
    <w:p w14:paraId="60D25C84">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律审编号：</w:t>
      </w:r>
      <w:r>
        <w:rPr>
          <w:rFonts w:cs="仿宋"/>
          <w:b/>
          <w:bCs/>
          <w:sz w:val="30"/>
          <w:szCs w:val="30"/>
          <w:highlight w:val="none"/>
        </w:rPr>
        <w:t>XJMU</w:t>
      </w:r>
      <w:r>
        <w:rPr>
          <w:rFonts w:hint="eastAsia" w:cs="仿宋"/>
          <w:b/>
          <w:bCs/>
          <w:sz w:val="30"/>
          <w:szCs w:val="30"/>
          <w:highlight w:val="none"/>
        </w:rPr>
        <w:t xml:space="preserve">-202  - </w:t>
      </w:r>
    </w:p>
    <w:p w14:paraId="01342998">
      <w:pPr>
        <w:widowControl w:val="0"/>
        <w:spacing w:line="360" w:lineRule="auto"/>
        <w:jc w:val="both"/>
        <w:rPr>
          <w:rFonts w:cs="Times New Roman"/>
          <w:szCs w:val="24"/>
          <w:highlight w:val="none"/>
        </w:rPr>
      </w:pPr>
    </w:p>
    <w:p w14:paraId="492C6670">
      <w:pPr>
        <w:widowControl w:val="0"/>
        <w:spacing w:line="360" w:lineRule="auto"/>
        <w:ind w:firstLine="2520" w:firstLineChars="700"/>
        <w:jc w:val="both"/>
        <w:rPr>
          <w:rFonts w:cs="宋体"/>
          <w:sz w:val="36"/>
          <w:szCs w:val="36"/>
          <w:highlight w:val="none"/>
        </w:rPr>
      </w:pPr>
    </w:p>
    <w:p w14:paraId="4762B5B3">
      <w:pPr>
        <w:widowControl w:val="0"/>
        <w:spacing w:line="360" w:lineRule="auto"/>
        <w:ind w:firstLine="2520" w:firstLineChars="700"/>
        <w:jc w:val="both"/>
        <w:rPr>
          <w:rFonts w:cs="宋体"/>
          <w:sz w:val="36"/>
          <w:szCs w:val="36"/>
          <w:highlight w:val="none"/>
        </w:rPr>
      </w:pPr>
      <w:r>
        <w:rPr>
          <w:rFonts w:hint="eastAsia" w:cs="宋体"/>
          <w:sz w:val="36"/>
          <w:szCs w:val="36"/>
          <w:highlight w:val="none"/>
        </w:rPr>
        <w:t>二〇二  年  月</w:t>
      </w:r>
    </w:p>
    <w:p w14:paraId="30E15F42">
      <w:pPr>
        <w:widowControl w:val="0"/>
        <w:spacing w:line="360" w:lineRule="auto"/>
        <w:jc w:val="both"/>
        <w:rPr>
          <w:rFonts w:cs="Times New Roman"/>
          <w:szCs w:val="24"/>
          <w:highlight w:val="none"/>
        </w:rPr>
      </w:pPr>
    </w:p>
    <w:p w14:paraId="5110288A">
      <w:pPr>
        <w:spacing w:line="360" w:lineRule="auto"/>
        <w:rPr>
          <w:rFonts w:cs="Times New Roman"/>
          <w:szCs w:val="24"/>
          <w:highlight w:val="none"/>
        </w:rPr>
      </w:pPr>
      <w:r>
        <w:rPr>
          <w:rFonts w:cs="Times New Roman"/>
          <w:szCs w:val="24"/>
          <w:highlight w:val="none"/>
        </w:rPr>
        <w:br w:type="page"/>
      </w:r>
    </w:p>
    <w:p w14:paraId="73F00D7F">
      <w:pPr>
        <w:widowControl w:val="0"/>
        <w:spacing w:line="360" w:lineRule="auto"/>
        <w:jc w:val="both"/>
        <w:rPr>
          <w:rFonts w:cs="Times New Roman"/>
          <w:szCs w:val="24"/>
          <w:highlight w:val="none"/>
        </w:rPr>
      </w:pPr>
      <w:r>
        <w:rPr>
          <w:rFonts w:hint="eastAsia" w:cs="Times New Roman"/>
          <w:szCs w:val="24"/>
          <w:highlight w:val="none"/>
        </w:rPr>
        <w:t>甲方（买方）：新疆医科大学</w:t>
      </w:r>
    </w:p>
    <w:p w14:paraId="5B42B965">
      <w:pPr>
        <w:widowControl w:val="0"/>
        <w:spacing w:line="360" w:lineRule="auto"/>
        <w:jc w:val="both"/>
        <w:rPr>
          <w:rFonts w:cs="Times New Roman"/>
          <w:szCs w:val="24"/>
          <w:highlight w:val="none"/>
        </w:rPr>
      </w:pPr>
      <w:r>
        <w:rPr>
          <w:rFonts w:hint="eastAsia" w:cs="Times New Roman"/>
          <w:szCs w:val="24"/>
          <w:highlight w:val="none"/>
        </w:rPr>
        <w:t>地址：乌鲁木齐市水磨沟区尚德北路567号</w:t>
      </w:r>
    </w:p>
    <w:p w14:paraId="29CF4610">
      <w:pPr>
        <w:widowControl w:val="0"/>
        <w:spacing w:line="360" w:lineRule="auto"/>
        <w:jc w:val="both"/>
        <w:rPr>
          <w:rFonts w:cs="Times New Roman"/>
          <w:szCs w:val="24"/>
          <w:highlight w:val="none"/>
        </w:rPr>
      </w:pPr>
    </w:p>
    <w:p w14:paraId="0FBF9CA5">
      <w:pPr>
        <w:widowControl w:val="0"/>
        <w:spacing w:line="360" w:lineRule="auto"/>
        <w:jc w:val="both"/>
        <w:rPr>
          <w:rFonts w:cs="Times New Roman"/>
          <w:szCs w:val="24"/>
          <w:highlight w:val="none"/>
        </w:rPr>
      </w:pPr>
      <w:r>
        <w:rPr>
          <w:rFonts w:hint="eastAsia" w:cs="Times New Roman"/>
          <w:szCs w:val="24"/>
          <w:highlight w:val="none"/>
        </w:rPr>
        <w:t>乙方（卖方）：</w:t>
      </w:r>
    </w:p>
    <w:p w14:paraId="44E92EB2">
      <w:pPr>
        <w:widowControl w:val="0"/>
        <w:spacing w:line="360" w:lineRule="auto"/>
        <w:jc w:val="both"/>
        <w:rPr>
          <w:rFonts w:cs="Times New Roman"/>
          <w:szCs w:val="24"/>
          <w:highlight w:val="none"/>
        </w:rPr>
      </w:pPr>
      <w:r>
        <w:rPr>
          <w:rFonts w:hint="eastAsia" w:cs="Times New Roman"/>
          <w:szCs w:val="24"/>
          <w:highlight w:val="none"/>
        </w:rPr>
        <w:t>地址：</w:t>
      </w:r>
    </w:p>
    <w:p w14:paraId="40B14AD1">
      <w:pPr>
        <w:widowControl w:val="0"/>
        <w:spacing w:line="360" w:lineRule="auto"/>
        <w:jc w:val="both"/>
        <w:rPr>
          <w:rFonts w:cs="Times New Roman"/>
          <w:szCs w:val="24"/>
          <w:highlight w:val="none"/>
        </w:rPr>
      </w:pPr>
      <w:r>
        <w:rPr>
          <w:rFonts w:hint="eastAsia" w:cs="Times New Roman"/>
          <w:szCs w:val="24"/>
          <w:highlight w:val="none"/>
        </w:rPr>
        <w:t>电话：</w:t>
      </w:r>
    </w:p>
    <w:p w14:paraId="6C8FF9D5">
      <w:pPr>
        <w:widowControl w:val="0"/>
        <w:spacing w:line="360" w:lineRule="auto"/>
        <w:ind w:firstLine="480" w:firstLineChars="200"/>
        <w:jc w:val="both"/>
        <w:rPr>
          <w:rFonts w:cs="Times New Roman"/>
          <w:szCs w:val="24"/>
          <w:highlight w:val="none"/>
        </w:rPr>
      </w:pPr>
      <w:r>
        <w:rPr>
          <w:rFonts w:hint="eastAsia" w:cs="Times New Roman"/>
          <w:szCs w:val="24"/>
          <w:highlight w:val="none"/>
        </w:rPr>
        <w:t>新疆医科大学（以下简称甲方）与</w:t>
      </w:r>
      <w:r>
        <w:rPr>
          <w:rFonts w:hint="eastAsia" w:cs="Times New Roman"/>
          <w:szCs w:val="24"/>
          <w:highlight w:val="none"/>
          <w:u w:val="single"/>
        </w:rPr>
        <w:t xml:space="preserve">           </w:t>
      </w:r>
      <w:r>
        <w:rPr>
          <w:rFonts w:hint="eastAsia" w:cs="Times New Roman"/>
          <w:szCs w:val="24"/>
          <w:highlight w:val="none"/>
        </w:rPr>
        <w:t>（以下简称乙方）就 （项目名称）</w:t>
      </w:r>
      <w:r>
        <w:rPr>
          <w:rFonts w:hint="eastAsia" w:cs="Times New Roman"/>
          <w:szCs w:val="24"/>
          <w:highlight w:val="none"/>
          <w:u w:val="single"/>
        </w:rPr>
        <w:t xml:space="preserve">   新疆医科大学2026年活禽肉水产采购项目  </w:t>
      </w:r>
      <w:r>
        <w:rPr>
          <w:rFonts w:hint="eastAsia" w:cs="Times New Roman"/>
          <w:szCs w:val="24"/>
          <w:highlight w:val="none"/>
        </w:rPr>
        <w:t>，（项目编号）</w:t>
      </w:r>
      <w:r>
        <w:rPr>
          <w:rFonts w:hint="eastAsia" w:cs="Times New Roman"/>
          <w:szCs w:val="24"/>
          <w:highlight w:val="none"/>
          <w:u w:val="single"/>
        </w:rPr>
        <w:t xml:space="preserve">              </w:t>
      </w:r>
      <w:r>
        <w:rPr>
          <w:rFonts w:hint="eastAsia" w:cs="Times New Roman"/>
          <w:szCs w:val="24"/>
          <w:highlight w:val="none"/>
        </w:rPr>
        <w:t>采购安装事宜，根据《中华人民共和国民法典》《中华人民共和国政府采购法》以及本采购项目的招标/谈判文件等采购文件、乙方的《投标（响应）文件》及《中标（成交）通</w:t>
      </w:r>
      <w:r>
        <w:rPr>
          <w:rFonts w:hint="eastAsia" w:cs="Times New Roman"/>
          <w:color w:val="000000"/>
          <w:szCs w:val="24"/>
          <w:highlight w:val="none"/>
        </w:rPr>
        <w:t>知书》等，本着平等、自愿、互利、互惠的原则，经各方协</w:t>
      </w:r>
      <w:r>
        <w:rPr>
          <w:rFonts w:hint="eastAsia" w:cs="Times New Roman"/>
          <w:szCs w:val="24"/>
          <w:highlight w:val="none"/>
        </w:rPr>
        <w:t>商一致，订立本合同。</w:t>
      </w:r>
    </w:p>
    <w:p w14:paraId="6A704C46">
      <w:pPr>
        <w:widowControl w:val="0"/>
        <w:spacing w:line="360" w:lineRule="auto"/>
        <w:ind w:firstLine="480" w:firstLineChars="200"/>
        <w:jc w:val="center"/>
        <w:rPr>
          <w:rFonts w:cs="Times New Roman"/>
          <w:szCs w:val="24"/>
          <w:highlight w:val="none"/>
        </w:rPr>
      </w:pPr>
    </w:p>
    <w:p w14:paraId="712B08D8">
      <w:pPr>
        <w:widowControl w:val="0"/>
        <w:tabs>
          <w:tab w:val="center" w:pos="4394"/>
          <w:tab w:val="left" w:pos="6889"/>
        </w:tabs>
        <w:spacing w:line="360" w:lineRule="auto"/>
        <w:ind w:firstLine="482" w:firstLineChars="200"/>
        <w:rPr>
          <w:rFonts w:cs="Times New Roman"/>
          <w:b/>
          <w:szCs w:val="24"/>
          <w:highlight w:val="none"/>
        </w:rPr>
      </w:pPr>
      <w:r>
        <w:rPr>
          <w:rFonts w:hint="eastAsia" w:cs="Times New Roman"/>
          <w:b/>
          <w:szCs w:val="24"/>
          <w:highlight w:val="none"/>
        </w:rPr>
        <w:tab/>
      </w:r>
      <w:r>
        <w:rPr>
          <w:rFonts w:hint="eastAsia" w:cs="Times New Roman"/>
          <w:b/>
          <w:szCs w:val="24"/>
          <w:highlight w:val="none"/>
        </w:rPr>
        <w:t>第一部分 通用条款</w:t>
      </w:r>
      <w:r>
        <w:rPr>
          <w:rFonts w:hint="eastAsia" w:cs="Times New Roman"/>
          <w:b/>
          <w:szCs w:val="24"/>
          <w:highlight w:val="none"/>
        </w:rPr>
        <w:tab/>
      </w:r>
    </w:p>
    <w:p w14:paraId="1AFF4A7F">
      <w:pPr>
        <w:widowControl w:val="0"/>
        <w:spacing w:line="360" w:lineRule="auto"/>
        <w:ind w:firstLine="360" w:firstLineChars="150"/>
        <w:rPr>
          <w:rFonts w:cs="Times New Roman"/>
          <w:szCs w:val="24"/>
          <w:highlight w:val="none"/>
        </w:rPr>
      </w:pPr>
      <w:r>
        <w:rPr>
          <w:rFonts w:hint="eastAsia" w:cs="Times New Roman"/>
          <w:szCs w:val="24"/>
          <w:highlight w:val="none"/>
        </w:rPr>
        <w:t>在此供应的货物，乙方同意做如下保证：</w:t>
      </w:r>
    </w:p>
    <w:p w14:paraId="4ED99FB6">
      <w:pPr>
        <w:widowControl w:val="0"/>
        <w:spacing w:line="360" w:lineRule="auto"/>
        <w:ind w:firstLine="360" w:firstLineChars="150"/>
        <w:rPr>
          <w:rFonts w:cs="Times New Roman"/>
          <w:szCs w:val="24"/>
          <w:highlight w:val="none"/>
        </w:rPr>
      </w:pPr>
      <w:r>
        <w:rPr>
          <w:rFonts w:hint="eastAsia" w:cs="Times New Roman"/>
          <w:szCs w:val="24"/>
          <w:highlight w:val="none"/>
        </w:rPr>
        <w:t>一、乙方供应的全部货物，必须在不涉及任何担保、留置权、专利权使用费的情况下，交付与本合同规定完全相同的货物。</w:t>
      </w:r>
    </w:p>
    <w:p w14:paraId="0DD0DE17">
      <w:pPr>
        <w:widowControl w:val="0"/>
        <w:spacing w:line="360" w:lineRule="auto"/>
        <w:ind w:firstLine="360" w:firstLineChars="150"/>
        <w:rPr>
          <w:rFonts w:cs="Times New Roman"/>
          <w:szCs w:val="24"/>
          <w:highlight w:val="none"/>
        </w:rPr>
      </w:pPr>
      <w:r>
        <w:rPr>
          <w:rFonts w:hint="eastAsia" w:cs="Times New Roman"/>
          <w:szCs w:val="24"/>
          <w:highlight w:val="none"/>
        </w:rPr>
        <w:t>二、不能将甲方全部或部分付款看作是对有缺陷的工艺或不合格货物的认可。</w:t>
      </w:r>
    </w:p>
    <w:p w14:paraId="20E4CB16">
      <w:pPr>
        <w:widowControl w:val="0"/>
        <w:spacing w:line="360" w:lineRule="auto"/>
        <w:ind w:firstLine="360" w:firstLineChars="150"/>
        <w:rPr>
          <w:rFonts w:cs="Times New Roman"/>
          <w:szCs w:val="24"/>
          <w:highlight w:val="none"/>
        </w:rPr>
      </w:pPr>
      <w:r>
        <w:rPr>
          <w:rFonts w:hint="eastAsia" w:cs="Times New Roman"/>
          <w:szCs w:val="24"/>
          <w:highlight w:val="none"/>
        </w:rPr>
        <w:t>三、所供货物均须符合相应图纸和技术规范中的相关规定，并且不涉及任何侵权行为或任何索赔。</w:t>
      </w:r>
    </w:p>
    <w:p w14:paraId="044FBD59">
      <w:pPr>
        <w:widowControl w:val="0"/>
        <w:spacing w:line="360" w:lineRule="auto"/>
        <w:ind w:firstLine="360" w:firstLineChars="150"/>
        <w:rPr>
          <w:rFonts w:cs="Times New Roman"/>
          <w:szCs w:val="24"/>
          <w:highlight w:val="none"/>
        </w:rPr>
      </w:pPr>
      <w:r>
        <w:rPr>
          <w:rFonts w:hint="eastAsia" w:cs="Times New Roman"/>
          <w:szCs w:val="24"/>
          <w:highlight w:val="none"/>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021FB536">
      <w:pPr>
        <w:widowControl w:val="0"/>
        <w:spacing w:line="360" w:lineRule="auto"/>
        <w:ind w:firstLine="360" w:firstLineChars="150"/>
        <w:rPr>
          <w:rFonts w:cs="Times New Roman"/>
          <w:szCs w:val="24"/>
          <w:highlight w:val="none"/>
        </w:rPr>
      </w:pPr>
      <w:r>
        <w:rPr>
          <w:rFonts w:hint="eastAsia" w:cs="Times New Roman"/>
          <w:szCs w:val="24"/>
          <w:highlight w:val="none"/>
        </w:rPr>
        <w:t>甲方未提出异议的，乙方仍应于货物质保期内承担保固责任。甲方对货物的验收手续仅仅证明乙方交货的行为，并不能免除乙方应当承担的货物质量责任。</w:t>
      </w:r>
    </w:p>
    <w:p w14:paraId="15777CBC">
      <w:pPr>
        <w:widowControl w:val="0"/>
        <w:spacing w:line="360" w:lineRule="auto"/>
        <w:ind w:firstLine="360" w:firstLineChars="150"/>
        <w:rPr>
          <w:rFonts w:cs="Times New Roman"/>
          <w:szCs w:val="24"/>
          <w:highlight w:val="none"/>
        </w:rPr>
      </w:pPr>
      <w:r>
        <w:rPr>
          <w:rFonts w:hint="eastAsia" w:cs="Times New Roman"/>
          <w:szCs w:val="24"/>
          <w:highlight w:val="none"/>
        </w:rPr>
        <w:t>因乙方货物质量瑕疵原因导致甲方对其他第三方承担的违约金、损失赔偿等任何赔偿责任，</w:t>
      </w:r>
      <w:r>
        <w:rPr>
          <w:rFonts w:hint="eastAsia" w:cs="Times New Roman"/>
          <w:color w:val="000000"/>
          <w:szCs w:val="24"/>
          <w:highlight w:val="none"/>
        </w:rPr>
        <w:t>全部由乙方承担，且</w:t>
      </w:r>
      <w:r>
        <w:rPr>
          <w:rFonts w:hint="eastAsia" w:cs="Times New Roman"/>
          <w:szCs w:val="24"/>
          <w:highlight w:val="none"/>
        </w:rPr>
        <w:t xml:space="preserve">乙方对此无异议。 </w:t>
      </w:r>
    </w:p>
    <w:p w14:paraId="23F900E8">
      <w:pPr>
        <w:widowControl w:val="0"/>
        <w:spacing w:line="360" w:lineRule="auto"/>
        <w:ind w:firstLine="360" w:firstLineChars="150"/>
        <w:rPr>
          <w:rFonts w:cs="Times New Roman"/>
          <w:szCs w:val="24"/>
          <w:highlight w:val="none"/>
        </w:rPr>
      </w:pPr>
      <w:r>
        <w:rPr>
          <w:rFonts w:hint="eastAsia" w:cs="Times New Roman"/>
          <w:szCs w:val="24"/>
          <w:highlight w:val="none"/>
        </w:rPr>
        <w:t xml:space="preserve">五、甲方有要求乙方延迟一段合理时间再行交货的权利。     </w:t>
      </w:r>
    </w:p>
    <w:p w14:paraId="22A48F23">
      <w:pPr>
        <w:widowControl w:val="0"/>
        <w:spacing w:line="360" w:lineRule="auto"/>
        <w:ind w:firstLine="360" w:firstLineChars="150"/>
        <w:rPr>
          <w:rFonts w:cs="Times New Roman"/>
          <w:szCs w:val="24"/>
          <w:highlight w:val="none"/>
        </w:rPr>
      </w:pPr>
      <w:r>
        <w:rPr>
          <w:rFonts w:hint="eastAsia" w:cs="Times New Roman"/>
          <w:szCs w:val="24"/>
          <w:highlight w:val="none"/>
        </w:rPr>
        <w:t xml:space="preserve">六、除非甲方要求，乙方必须在本合同规定时间内进行交货。乙方同意偿付甲方可能因无法按照本合同约定时间进行交货而引起的所有额外的违约金、赔偿金以及其他费用。 </w:t>
      </w:r>
    </w:p>
    <w:p w14:paraId="1E13F6CD">
      <w:pPr>
        <w:widowControl w:val="0"/>
        <w:spacing w:line="360" w:lineRule="auto"/>
        <w:ind w:firstLine="360" w:firstLineChars="150"/>
        <w:rPr>
          <w:rFonts w:cs="Times New Roman"/>
          <w:szCs w:val="24"/>
          <w:highlight w:val="none"/>
        </w:rPr>
      </w:pPr>
      <w:r>
        <w:rPr>
          <w:rFonts w:hint="eastAsia" w:cs="Times New Roman"/>
          <w:szCs w:val="24"/>
          <w:highlight w:val="none"/>
        </w:rPr>
        <w:t>七、在项目终止或甲方订立本合同所依据的项目需求终止时，甲方经书面通知可解除本合同，此种情况不做违约处理。甲方仅需按乙方实际已交付且验收合格的货物数量据实结算款项，无需承担其他任何责任。</w:t>
      </w:r>
    </w:p>
    <w:p w14:paraId="7EEFDC14">
      <w:pPr>
        <w:widowControl w:val="0"/>
        <w:spacing w:line="360" w:lineRule="auto"/>
        <w:ind w:firstLine="360" w:firstLineChars="150"/>
        <w:rPr>
          <w:rFonts w:cs="Times New Roman"/>
          <w:szCs w:val="24"/>
          <w:highlight w:val="none"/>
        </w:rPr>
      </w:pPr>
      <w:r>
        <w:rPr>
          <w:rFonts w:hint="eastAsia" w:cs="Times New Roman"/>
          <w:szCs w:val="24"/>
          <w:highlight w:val="none"/>
        </w:rPr>
        <w:t xml:space="preserve">八、所有交付到甲方现场的货物必须附有交货单。签字的交货单必须附在所有发票上作为本合同付款的前提条件。    </w:t>
      </w:r>
    </w:p>
    <w:p w14:paraId="52DAE1A7">
      <w:pPr>
        <w:widowControl w:val="0"/>
        <w:spacing w:line="360" w:lineRule="auto"/>
        <w:ind w:firstLine="360" w:firstLineChars="150"/>
        <w:rPr>
          <w:rFonts w:cs="Times New Roman"/>
          <w:szCs w:val="24"/>
          <w:highlight w:val="none"/>
        </w:rPr>
      </w:pPr>
      <w:r>
        <w:rPr>
          <w:rFonts w:hint="eastAsia" w:cs="Times New Roman"/>
          <w:szCs w:val="24"/>
          <w:highlight w:val="none"/>
        </w:rPr>
        <w:t xml:space="preserve">九、所有交货费用均由乙方承担，乙方保证使甲方免于承担全部运费、快递费、保险费、装卸费、其他杂费以及由此带来的任何索赔，本合同专用条款有特别约定的，从特别约定。    </w:t>
      </w:r>
    </w:p>
    <w:p w14:paraId="320F9D35">
      <w:pPr>
        <w:widowControl w:val="0"/>
        <w:spacing w:line="360" w:lineRule="auto"/>
        <w:ind w:firstLine="360" w:firstLineChars="150"/>
        <w:rPr>
          <w:rFonts w:cs="Times New Roman"/>
          <w:szCs w:val="24"/>
          <w:highlight w:val="none"/>
        </w:rPr>
      </w:pPr>
      <w:r>
        <w:rPr>
          <w:rFonts w:hint="eastAsia" w:cs="Times New Roman"/>
          <w:szCs w:val="24"/>
          <w:highlight w:val="none"/>
        </w:rPr>
        <w:t xml:space="preserve">十、乙方分批供应货物的，甲方有权对任何一批货物的数量进行抽查核实，如果实际数量与乙方所提供的数量有短缺的，则乙方此前所供货物的全部数量均应按本批货物短缺比例作相应减少计算。 </w:t>
      </w:r>
    </w:p>
    <w:p w14:paraId="1C0ED66B">
      <w:pPr>
        <w:widowControl w:val="0"/>
        <w:spacing w:line="360" w:lineRule="auto"/>
        <w:ind w:firstLine="360" w:firstLineChars="150"/>
        <w:rPr>
          <w:rFonts w:cs="Times New Roman"/>
          <w:szCs w:val="24"/>
          <w:highlight w:val="none"/>
        </w:rPr>
      </w:pPr>
      <w:r>
        <w:rPr>
          <w:rFonts w:hint="eastAsia" w:cs="Times New Roman"/>
          <w:szCs w:val="24"/>
          <w:highlight w:val="none"/>
        </w:rPr>
        <w:t>十一、</w:t>
      </w:r>
      <w:r>
        <w:rPr>
          <w:rFonts w:cs="Times New Roman"/>
          <w:szCs w:val="24"/>
          <w:highlight w:val="none"/>
        </w:rPr>
        <w:t>因乙方所交货物的权利瑕疵、品质瑕疵等导致甲方遭受任何损失的，乙方保证承担全部赔偿责任。鉴于上述缺陷导致甲方面临索赔争议或诉讼，甲方有权延迟支付合同价款，直至索赔争议或诉讼依法依规得以全部解决为止。</w:t>
      </w:r>
      <w:r>
        <w:rPr>
          <w:rFonts w:hint="eastAsia" w:cs="Times New Roman"/>
          <w:szCs w:val="24"/>
          <w:highlight w:val="none"/>
        </w:rPr>
        <w:t xml:space="preserve"> </w:t>
      </w:r>
    </w:p>
    <w:p w14:paraId="00448A63">
      <w:pPr>
        <w:widowControl w:val="0"/>
        <w:spacing w:line="360" w:lineRule="auto"/>
        <w:ind w:firstLine="360" w:firstLineChars="150"/>
        <w:rPr>
          <w:rFonts w:cs="Times New Roman"/>
          <w:szCs w:val="24"/>
          <w:highlight w:val="none"/>
        </w:rPr>
      </w:pPr>
      <w:r>
        <w:rPr>
          <w:rFonts w:hint="eastAsia" w:cs="Times New Roman"/>
          <w:szCs w:val="24"/>
          <w:highlight w:val="none"/>
        </w:rPr>
        <w:t xml:space="preserve">十二、因乙方全部或部分违约导致双方发生的诉讼/仲裁或甲方与第三方发生的诉讼/仲裁，乙方同意承担甲方因此而支出的全部诉讼费、律师费、调查费、保全费、保全保险费、交通费及其他合理费用。    </w:t>
      </w:r>
    </w:p>
    <w:p w14:paraId="607D9E54">
      <w:pPr>
        <w:widowControl w:val="0"/>
        <w:spacing w:line="360" w:lineRule="auto"/>
        <w:ind w:firstLine="360" w:firstLineChars="150"/>
        <w:rPr>
          <w:rFonts w:cs="Times New Roman"/>
          <w:szCs w:val="24"/>
          <w:highlight w:val="none"/>
        </w:rPr>
      </w:pPr>
      <w:r>
        <w:rPr>
          <w:rFonts w:hint="eastAsia" w:cs="Times New Roman"/>
          <w:szCs w:val="24"/>
          <w:highlight w:val="none"/>
        </w:rPr>
        <w:t xml:space="preserve">十三、未经甲方书面同意，乙方不得将本合同的工作内容全部或部分转让给任何第三人。 </w:t>
      </w:r>
    </w:p>
    <w:p w14:paraId="4E2FD65B">
      <w:pPr>
        <w:widowControl w:val="0"/>
        <w:spacing w:line="360" w:lineRule="auto"/>
        <w:ind w:firstLine="360" w:firstLineChars="150"/>
        <w:rPr>
          <w:rFonts w:cs="Times New Roman"/>
          <w:szCs w:val="24"/>
          <w:highlight w:val="none"/>
        </w:rPr>
      </w:pPr>
      <w:r>
        <w:rPr>
          <w:rFonts w:hint="eastAsia" w:cs="Times New Roman"/>
          <w:szCs w:val="24"/>
          <w:highlight w:val="none"/>
        </w:rPr>
        <w:t>十四、乙方声明、陈述和保证其是合法设立并有效存续的独立法人，其授权代表已获得法人授权可代表其签署合同。</w:t>
      </w:r>
    </w:p>
    <w:p w14:paraId="1C3F411F">
      <w:pPr>
        <w:widowControl w:val="0"/>
        <w:spacing w:line="360" w:lineRule="auto"/>
        <w:ind w:firstLine="360" w:firstLineChars="150"/>
        <w:rPr>
          <w:rFonts w:cs="Times New Roman"/>
          <w:szCs w:val="24"/>
          <w:highlight w:val="none"/>
        </w:rPr>
      </w:pPr>
      <w:r>
        <w:rPr>
          <w:rFonts w:hint="eastAsia" w:cs="Times New Roman"/>
          <w:szCs w:val="24"/>
          <w:highlight w:val="none"/>
        </w:rPr>
        <w:t xml:space="preserve">十五、甲方作为提供本合同的一方，已经郑重提醒乙方注意本合同的所有条款，并且甲方已经按照乙方的要求，对每一条款均予以了说明。本合同通用条款与专用条款约定不一致的，应以专用条款约定为准。 </w:t>
      </w:r>
    </w:p>
    <w:p w14:paraId="41B1F07E">
      <w:pPr>
        <w:widowControl w:val="0"/>
        <w:spacing w:line="360" w:lineRule="auto"/>
        <w:ind w:firstLine="482" w:firstLineChars="200"/>
        <w:jc w:val="center"/>
        <w:rPr>
          <w:rFonts w:cs="Times New Roman"/>
          <w:b/>
          <w:szCs w:val="24"/>
          <w:highlight w:val="none"/>
        </w:rPr>
      </w:pPr>
      <w:r>
        <w:rPr>
          <w:rFonts w:hint="eastAsia" w:cs="Times New Roman"/>
          <w:b/>
          <w:szCs w:val="24"/>
          <w:highlight w:val="none"/>
        </w:rPr>
        <w:t>第二部分 专用条款</w:t>
      </w:r>
    </w:p>
    <w:p w14:paraId="6263EE62">
      <w:pPr>
        <w:widowControl w:val="0"/>
        <w:spacing w:line="360" w:lineRule="auto"/>
        <w:ind w:firstLine="361" w:firstLineChars="150"/>
        <w:rPr>
          <w:rFonts w:cs="Times New Roman"/>
          <w:b/>
          <w:szCs w:val="24"/>
          <w:highlight w:val="none"/>
        </w:rPr>
      </w:pPr>
      <w:r>
        <w:rPr>
          <w:rFonts w:hint="eastAsia" w:cs="Times New Roman"/>
          <w:b/>
          <w:szCs w:val="24"/>
          <w:highlight w:val="none"/>
        </w:rPr>
        <w:t xml:space="preserve">一、 合同标的 </w:t>
      </w:r>
    </w:p>
    <w:p w14:paraId="2EBD12EC">
      <w:pPr>
        <w:widowControl w:val="0"/>
        <w:spacing w:line="360" w:lineRule="auto"/>
        <w:ind w:firstLine="360" w:firstLineChars="150"/>
        <w:rPr>
          <w:rFonts w:cs="Times New Roman"/>
          <w:szCs w:val="24"/>
          <w:highlight w:val="none"/>
        </w:rPr>
      </w:pPr>
      <w:r>
        <w:rPr>
          <w:rFonts w:hint="eastAsia" w:cs="Times New Roman"/>
          <w:szCs w:val="24"/>
          <w:highlight w:val="none"/>
        </w:rPr>
        <w:t xml:space="preserve">1、货物 </w:t>
      </w:r>
    </w:p>
    <w:p w14:paraId="268BC21A">
      <w:pPr>
        <w:widowControl w:val="0"/>
        <w:spacing w:line="360" w:lineRule="auto"/>
        <w:ind w:firstLine="360" w:firstLineChars="150"/>
        <w:rPr>
          <w:rFonts w:cs="Times New Roman"/>
          <w:szCs w:val="24"/>
          <w:highlight w:val="none"/>
        </w:rPr>
      </w:pPr>
      <w:r>
        <w:rPr>
          <w:rFonts w:hint="eastAsia" w:cs="Times New Roman"/>
          <w:szCs w:val="24"/>
          <w:highlight w:val="none"/>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5AA2152B">
      <w:pPr>
        <w:widowControl w:val="0"/>
        <w:spacing w:line="360" w:lineRule="auto"/>
        <w:ind w:firstLine="360" w:firstLineChars="150"/>
        <w:rPr>
          <w:rFonts w:cs="Times New Roman"/>
          <w:szCs w:val="24"/>
          <w:highlight w:val="none"/>
        </w:rPr>
      </w:pPr>
      <w:r>
        <w:rPr>
          <w:rFonts w:hint="eastAsia" w:cs="Times New Roman"/>
          <w:szCs w:val="24"/>
          <w:highlight w:val="none"/>
        </w:rPr>
        <w:t>注：乙方应保证，甲方在中华人民共和国使用该货物或货物的任何一部分时，免受第三方提出的侵犯其专利权、商标权、工业设计权或其他知识产权的起诉。</w:t>
      </w:r>
    </w:p>
    <w:p w14:paraId="1712F587">
      <w:pPr>
        <w:widowControl w:val="0"/>
        <w:spacing w:line="360" w:lineRule="auto"/>
        <w:ind w:firstLine="480" w:firstLineChars="200"/>
        <w:rPr>
          <w:rFonts w:cs="Times New Roman"/>
          <w:szCs w:val="24"/>
          <w:highlight w:val="none"/>
        </w:rPr>
      </w:pPr>
      <w:r>
        <w:rPr>
          <w:rFonts w:hint="eastAsia" w:cs="Times New Roman"/>
          <w:szCs w:val="24"/>
          <w:highlight w:val="none"/>
        </w:rPr>
        <w:t>2、采购项目</w:t>
      </w:r>
    </w:p>
    <w:p w14:paraId="4D620CE4">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（1）采购组织形式：</w:t>
      </w:r>
      <w:r>
        <w:rPr>
          <w:rFonts w:hint="eastAsia" w:cs="Times New Roman"/>
          <w:szCs w:val="24"/>
          <w:highlight w:val="none"/>
        </w:rPr>
        <w:sym w:font="Wingdings" w:char="00A8"/>
      </w:r>
      <w:r>
        <w:rPr>
          <w:rFonts w:hint="eastAsia" w:cs="Times New Roman"/>
          <w:szCs w:val="24"/>
          <w:highlight w:val="none"/>
        </w:rPr>
        <w:t xml:space="preserve">政府集中采购  </w:t>
      </w:r>
      <w:r>
        <w:rPr>
          <w:rFonts w:hint="eastAsia" w:cs="Times New Roman"/>
          <w:szCs w:val="24"/>
          <w:highlight w:val="none"/>
        </w:rPr>
        <w:sym w:font="Wingdings" w:char="00A8"/>
      </w:r>
      <w:r>
        <w:rPr>
          <w:rFonts w:hint="eastAsia" w:cs="Times New Roman"/>
          <w:szCs w:val="24"/>
          <w:highlight w:val="none"/>
        </w:rPr>
        <w:t xml:space="preserve">学校集中采购 </w:t>
      </w:r>
      <w:r>
        <w:rPr>
          <w:rFonts w:hint="eastAsia" w:cs="Times New Roman"/>
          <w:szCs w:val="24"/>
          <w:highlight w:val="none"/>
        </w:rPr>
        <w:sym w:font="Wingdings" w:char="00A8"/>
      </w:r>
      <w:r>
        <w:rPr>
          <w:rFonts w:hint="eastAsia" w:cs="Times New Roman"/>
          <w:szCs w:val="24"/>
          <w:highlight w:val="none"/>
        </w:rPr>
        <w:t xml:space="preserve">学校分散采购 </w:t>
      </w:r>
    </w:p>
    <w:p w14:paraId="4595604B">
      <w:pPr>
        <w:autoSpaceDE w:val="0"/>
        <w:autoSpaceDN w:val="0"/>
        <w:adjustRightInd w:val="0"/>
        <w:snapToGrid w:val="0"/>
        <w:spacing w:line="360" w:lineRule="auto"/>
        <w:ind w:firstLine="240" w:firstLineChars="100"/>
        <w:rPr>
          <w:rFonts w:cs="Times New Roman"/>
          <w:szCs w:val="24"/>
          <w:highlight w:val="none"/>
          <w:u w:val="single"/>
        </w:rPr>
      </w:pPr>
      <w:r>
        <w:rPr>
          <w:rFonts w:hint="eastAsia" w:cs="Times New Roman"/>
          <w:szCs w:val="24"/>
          <w:highlight w:val="none"/>
        </w:rPr>
        <w:t>（2）采购方式：</w:t>
      </w:r>
      <w:r>
        <w:rPr>
          <w:rFonts w:hint="eastAsia" w:cs="Times New Roman"/>
          <w:szCs w:val="24"/>
          <w:highlight w:val="none"/>
        </w:rPr>
        <w:sym w:font="Wingdings" w:char="00A8"/>
      </w:r>
      <w:r>
        <w:rPr>
          <w:rFonts w:hint="eastAsia" w:cs="Times New Roman"/>
          <w:szCs w:val="24"/>
          <w:highlight w:val="none"/>
        </w:rPr>
        <w:t xml:space="preserve">公开招标 </w:t>
      </w:r>
      <w:r>
        <w:rPr>
          <w:rFonts w:hint="eastAsia" w:cs="Times New Roman"/>
          <w:szCs w:val="24"/>
          <w:highlight w:val="none"/>
        </w:rPr>
        <w:sym w:font="Wingdings" w:char="00A8"/>
      </w:r>
      <w:r>
        <w:rPr>
          <w:rFonts w:hint="eastAsia" w:cs="Times New Roman"/>
          <w:szCs w:val="24"/>
          <w:highlight w:val="none"/>
        </w:rPr>
        <w:t xml:space="preserve">竞争性谈判 </w:t>
      </w:r>
      <w:r>
        <w:rPr>
          <w:rFonts w:hint="eastAsia" w:cs="Times New Roman"/>
          <w:szCs w:val="24"/>
          <w:highlight w:val="none"/>
        </w:rPr>
        <w:sym w:font="Wingdings" w:char="00A8"/>
      </w:r>
      <w:r>
        <w:rPr>
          <w:rFonts w:hint="eastAsia" w:cs="Times New Roman"/>
          <w:szCs w:val="24"/>
          <w:highlight w:val="none"/>
        </w:rPr>
        <w:t xml:space="preserve">竞争性磋商  </w:t>
      </w:r>
      <w:r>
        <w:rPr>
          <w:rFonts w:hint="eastAsia" w:cs="Times New Roman"/>
          <w:szCs w:val="24"/>
          <w:highlight w:val="none"/>
        </w:rPr>
        <w:sym w:font="Wingdings" w:char="00A8"/>
      </w:r>
      <w:r>
        <w:rPr>
          <w:rFonts w:hint="eastAsia" w:cs="Times New Roman"/>
          <w:szCs w:val="24"/>
          <w:highlight w:val="none"/>
        </w:rPr>
        <w:t xml:space="preserve">询价        </w:t>
      </w:r>
      <w:r>
        <w:rPr>
          <w:rFonts w:hint="eastAsia" w:cs="Times New Roman"/>
          <w:szCs w:val="24"/>
          <w:highlight w:val="none"/>
        </w:rPr>
        <w:sym w:font="Wingdings" w:char="00A8"/>
      </w:r>
      <w:r>
        <w:rPr>
          <w:rFonts w:hint="eastAsia" w:cs="Times New Roman"/>
          <w:szCs w:val="24"/>
          <w:highlight w:val="none"/>
        </w:rPr>
        <w:t xml:space="preserve">单一来源 </w:t>
      </w:r>
      <w:r>
        <w:rPr>
          <w:rFonts w:hint="eastAsia" w:cs="Times New Roman"/>
          <w:szCs w:val="24"/>
          <w:highlight w:val="none"/>
        </w:rPr>
        <w:sym w:font="Wingdings" w:char="00A8"/>
      </w:r>
      <w:r>
        <w:rPr>
          <w:rFonts w:hint="eastAsia" w:cs="Times New Roman"/>
          <w:szCs w:val="24"/>
          <w:highlight w:val="none"/>
        </w:rPr>
        <w:t xml:space="preserve">框架协议 </w:t>
      </w:r>
      <w:r>
        <w:rPr>
          <w:rFonts w:hint="eastAsia" w:cs="Times New Roman"/>
          <w:szCs w:val="24"/>
          <w:highlight w:val="none"/>
        </w:rPr>
        <w:sym w:font="Wingdings" w:char="00A8"/>
      </w:r>
      <w:r>
        <w:rPr>
          <w:rFonts w:hint="eastAsia" w:cs="Times New Roman"/>
          <w:szCs w:val="24"/>
          <w:highlight w:val="none"/>
        </w:rPr>
        <w:t xml:space="preserve">邀请招标 </w:t>
      </w:r>
      <w:r>
        <w:rPr>
          <w:rFonts w:hint="eastAsia" w:cs="Times New Roman"/>
          <w:szCs w:val="24"/>
          <w:highlight w:val="none"/>
        </w:rPr>
        <w:sym w:font="Wingdings" w:char="00A8"/>
      </w:r>
      <w:r>
        <w:rPr>
          <w:rFonts w:hint="eastAsia" w:cs="Times New Roman"/>
          <w:szCs w:val="24"/>
          <w:highlight w:val="none"/>
        </w:rPr>
        <w:t>其他：</w:t>
      </w:r>
      <w:r>
        <w:rPr>
          <w:rFonts w:hint="eastAsia" w:cs="Times New Roman"/>
          <w:szCs w:val="24"/>
          <w:highlight w:val="none"/>
          <w:u w:val="single"/>
        </w:rPr>
        <w:t xml:space="preserve">            </w:t>
      </w:r>
      <w:r>
        <w:rPr>
          <w:rFonts w:hint="eastAsia" w:cs="Times New Roman"/>
          <w:szCs w:val="24"/>
          <w:highlight w:val="none"/>
        </w:rPr>
        <w:t xml:space="preserve">         </w:t>
      </w:r>
    </w:p>
    <w:p w14:paraId="0E9BF271">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（3）中标（成交）采购标的制造商是否为中小企业：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0FB0A0AF">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本合同是否为专门面向中小企业的采购合同（中小企业预留合同）：</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061125EE">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若本项目不专门面向中小企业采购，是否给予小微企业评审优惠：</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5AE8D275">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中标（成交）采购标的制造商是否为残疾人福利性单位：</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30DEB8C8">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中标（成交）采购标的制造商是否为监狱企业：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6B63A82C">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（4）合同是否分包：</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69377FD1">
      <w:pPr>
        <w:autoSpaceDE w:val="0"/>
        <w:autoSpaceDN w:val="0"/>
        <w:adjustRightInd w:val="0"/>
        <w:snapToGrid w:val="0"/>
        <w:spacing w:line="360" w:lineRule="auto"/>
        <w:rPr>
          <w:rFonts w:cs="Times New Roman"/>
          <w:szCs w:val="24"/>
          <w:highlight w:val="none"/>
          <w:u w:val="single"/>
        </w:rPr>
      </w:pPr>
      <w:r>
        <w:rPr>
          <w:rFonts w:hint="eastAsia" w:cs="Times New Roman"/>
          <w:szCs w:val="24"/>
          <w:highlight w:val="none"/>
        </w:rPr>
        <w:t>分包主要内容：</w:t>
      </w:r>
      <w:r>
        <w:rPr>
          <w:rFonts w:hint="eastAsia" w:cs="Times New Roman"/>
          <w:szCs w:val="24"/>
          <w:highlight w:val="none"/>
          <w:u w:val="single"/>
        </w:rPr>
        <w:t xml:space="preserve">                                            </w:t>
      </w:r>
    </w:p>
    <w:p w14:paraId="112F5B0E">
      <w:pPr>
        <w:autoSpaceDE w:val="0"/>
        <w:autoSpaceDN w:val="0"/>
        <w:adjustRightInd w:val="0"/>
        <w:snapToGrid w:val="0"/>
        <w:spacing w:line="360" w:lineRule="auto"/>
        <w:rPr>
          <w:rFonts w:cs="Times New Roman"/>
          <w:szCs w:val="24"/>
          <w:highlight w:val="none"/>
          <w:u w:val="single"/>
        </w:rPr>
      </w:pPr>
      <w:r>
        <w:rPr>
          <w:rFonts w:hint="eastAsia" w:cs="Times New Roman"/>
          <w:szCs w:val="24"/>
          <w:highlight w:val="none"/>
        </w:rPr>
        <w:t>分包供应商/制造商名称（如供应商和制造商不同，请分别填写）：</w:t>
      </w:r>
    </w:p>
    <w:p w14:paraId="60C4F1AA">
      <w:pPr>
        <w:autoSpaceDE w:val="0"/>
        <w:autoSpaceDN w:val="0"/>
        <w:adjustRightInd w:val="0"/>
        <w:snapToGrid w:val="0"/>
        <w:spacing w:line="360" w:lineRule="auto"/>
        <w:rPr>
          <w:rFonts w:cs="Times New Roman"/>
          <w:szCs w:val="24"/>
          <w:highlight w:val="none"/>
          <w:u w:val="single"/>
        </w:rPr>
      </w:pPr>
      <w:r>
        <w:rPr>
          <w:rFonts w:hint="eastAsia" w:cs="Times New Roman"/>
          <w:szCs w:val="24"/>
          <w:highlight w:val="none"/>
          <w:u w:val="single"/>
        </w:rPr>
        <w:t xml:space="preserve">                                                           </w:t>
      </w:r>
    </w:p>
    <w:p w14:paraId="7E77EED4">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分包供应商/制造商类型（如果供应商和制造商不同，只填写制造商类型）：</w:t>
      </w:r>
    </w:p>
    <w:p w14:paraId="5A1246AE">
      <w:pPr>
        <w:autoSpaceDE w:val="0"/>
        <w:autoSpaceDN w:val="0"/>
        <w:adjustRightInd w:val="0"/>
        <w:snapToGrid w:val="0"/>
        <w:spacing w:line="360" w:lineRule="auto"/>
        <w:rPr>
          <w:rFonts w:cs="Times New Roman"/>
          <w:szCs w:val="24"/>
          <w:highlight w:val="none"/>
        </w:rPr>
      </w:pPr>
      <w:r>
        <w:rPr>
          <w:rFonts w:hint="eastAsia" w:cs="Times New Roman"/>
          <w:szCs w:val="24"/>
          <w:highlight w:val="none"/>
        </w:rPr>
        <w:sym w:font="Wingdings" w:char="00A8"/>
      </w:r>
      <w:r>
        <w:rPr>
          <w:rFonts w:hint="eastAsia" w:cs="Times New Roman"/>
          <w:szCs w:val="24"/>
          <w:highlight w:val="none"/>
        </w:rPr>
        <w:t xml:space="preserve">大型企业  </w:t>
      </w:r>
      <w:r>
        <w:rPr>
          <w:rFonts w:hint="eastAsia" w:cs="Times New Roman"/>
          <w:szCs w:val="24"/>
          <w:highlight w:val="none"/>
        </w:rPr>
        <w:sym w:font="Wingdings" w:char="00A8"/>
      </w:r>
      <w:r>
        <w:rPr>
          <w:rFonts w:hint="eastAsia" w:cs="Times New Roman"/>
          <w:szCs w:val="24"/>
          <w:highlight w:val="none"/>
        </w:rPr>
        <w:t xml:space="preserve">中型企业  </w:t>
      </w:r>
      <w:r>
        <w:rPr>
          <w:rFonts w:hint="eastAsia" w:cs="Times New Roman"/>
          <w:szCs w:val="24"/>
          <w:highlight w:val="none"/>
        </w:rPr>
        <w:sym w:font="Wingdings" w:char="00A8"/>
      </w:r>
      <w:r>
        <w:rPr>
          <w:rFonts w:hint="eastAsia" w:cs="Times New Roman"/>
          <w:szCs w:val="24"/>
          <w:highlight w:val="none"/>
        </w:rPr>
        <w:t xml:space="preserve">小微型企业 </w:t>
      </w:r>
      <w:r>
        <w:rPr>
          <w:rFonts w:hint="eastAsia" w:cs="Times New Roman"/>
          <w:szCs w:val="24"/>
          <w:highlight w:val="none"/>
        </w:rPr>
        <w:sym w:font="Wingdings" w:char="00A8"/>
      </w:r>
      <w:r>
        <w:rPr>
          <w:rFonts w:hint="eastAsia" w:cs="Times New Roman"/>
          <w:szCs w:val="24"/>
          <w:highlight w:val="none"/>
        </w:rPr>
        <w:t xml:space="preserve">残疾人福利性单位 </w:t>
      </w:r>
      <w:r>
        <w:rPr>
          <w:rFonts w:hint="eastAsia" w:cs="Times New Roman"/>
          <w:szCs w:val="24"/>
          <w:highlight w:val="none"/>
        </w:rPr>
        <w:sym w:font="Wingdings" w:char="00A8"/>
      </w:r>
      <w:r>
        <w:rPr>
          <w:rFonts w:hint="eastAsia" w:cs="Times New Roman"/>
          <w:szCs w:val="24"/>
          <w:highlight w:val="none"/>
        </w:rPr>
        <w:t xml:space="preserve">监狱企业 </w:t>
      </w:r>
    </w:p>
    <w:p w14:paraId="0A2E713B">
      <w:pPr>
        <w:autoSpaceDE w:val="0"/>
        <w:autoSpaceDN w:val="0"/>
        <w:adjustRightInd w:val="0"/>
        <w:snapToGrid w:val="0"/>
        <w:spacing w:line="360" w:lineRule="auto"/>
        <w:rPr>
          <w:rFonts w:cs="Times New Roman"/>
          <w:szCs w:val="24"/>
          <w:highlight w:val="none"/>
        </w:rPr>
      </w:pPr>
      <w:r>
        <w:rPr>
          <w:rFonts w:hint="eastAsia" w:cs="Times New Roman"/>
          <w:szCs w:val="24"/>
          <w:highlight w:val="none"/>
        </w:rPr>
        <w:sym w:font="Wingdings" w:char="00A8"/>
      </w:r>
      <w:r>
        <w:rPr>
          <w:rFonts w:hint="eastAsia" w:cs="Times New Roman"/>
          <w:szCs w:val="24"/>
          <w:highlight w:val="none"/>
        </w:rPr>
        <w:t>其他</w:t>
      </w:r>
    </w:p>
    <w:p w14:paraId="32BAAD1D">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（5）中标（成交）供应商是否为外商投资企业：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3E9012B8">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外商投资企业类型：</w:t>
      </w:r>
      <w:r>
        <w:rPr>
          <w:rFonts w:hint="eastAsia" w:cs="Times New Roman"/>
          <w:szCs w:val="24"/>
          <w:highlight w:val="none"/>
        </w:rPr>
        <w:sym w:font="Wingdings" w:char="00A8"/>
      </w:r>
      <w:r>
        <w:rPr>
          <w:rFonts w:hint="eastAsia" w:cs="Times New Roman"/>
          <w:szCs w:val="24"/>
          <w:highlight w:val="none"/>
        </w:rPr>
        <w:t xml:space="preserve">全部由外国投资者投资  </w:t>
      </w:r>
      <w:r>
        <w:rPr>
          <w:rFonts w:hint="eastAsia" w:cs="Times New Roman"/>
          <w:szCs w:val="24"/>
          <w:highlight w:val="none"/>
        </w:rPr>
        <w:sym w:font="Wingdings" w:char="00A8"/>
      </w:r>
      <w:r>
        <w:rPr>
          <w:rFonts w:hint="eastAsia" w:cs="Times New Roman"/>
          <w:szCs w:val="24"/>
          <w:highlight w:val="none"/>
        </w:rPr>
        <w:t>部分由外国投资者投资</w:t>
      </w:r>
    </w:p>
    <w:p w14:paraId="382AE6E0">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 xml:space="preserve">（6）是否涉及进口产品： </w:t>
      </w:r>
      <w:r>
        <w:rPr>
          <w:rFonts w:hint="eastAsia" w:cs="Times New Roman"/>
          <w:szCs w:val="24"/>
          <w:highlight w:val="none"/>
        </w:rPr>
        <w:sym w:font="Wingdings" w:char="00A8"/>
      </w:r>
      <w:r>
        <w:rPr>
          <w:rFonts w:hint="eastAsia" w:cs="Times New Roman"/>
          <w:szCs w:val="24"/>
          <w:highlight w:val="none"/>
        </w:rPr>
        <w:t>是，</w:t>
      </w:r>
    </w:p>
    <w:p w14:paraId="60E7E488">
      <w:pPr>
        <w:autoSpaceDE w:val="0"/>
        <w:autoSpaceDN w:val="0"/>
        <w:adjustRightInd w:val="0"/>
        <w:snapToGrid w:val="0"/>
        <w:spacing w:line="360" w:lineRule="auto"/>
        <w:rPr>
          <w:rFonts w:cs="Times New Roman"/>
          <w:szCs w:val="24"/>
          <w:highlight w:val="none"/>
          <w:u w:val="single"/>
        </w:rPr>
      </w:pPr>
      <w:r>
        <w:rPr>
          <w:rFonts w:hint="eastAsia" w:cs="Times New Roman"/>
          <w:szCs w:val="24"/>
          <w:highlight w:val="none"/>
        </w:rPr>
        <w:t>《政府采购品目分类目录》底级品目名称：</w:t>
      </w:r>
      <w:r>
        <w:rPr>
          <w:rFonts w:hint="eastAsia" w:cs="Times New Roman"/>
          <w:szCs w:val="24"/>
          <w:highlight w:val="none"/>
          <w:u w:val="single"/>
        </w:rPr>
        <w:t xml:space="preserve">          </w:t>
      </w:r>
      <w:r>
        <w:rPr>
          <w:rFonts w:hint="eastAsia" w:cs="Times New Roman"/>
          <w:szCs w:val="24"/>
          <w:highlight w:val="none"/>
        </w:rPr>
        <w:t>金额：</w:t>
      </w:r>
      <w:r>
        <w:rPr>
          <w:rFonts w:hint="eastAsia" w:cs="Times New Roman"/>
          <w:szCs w:val="24"/>
          <w:highlight w:val="none"/>
          <w:u w:val="single"/>
        </w:rPr>
        <w:t xml:space="preserve">          </w:t>
      </w:r>
    </w:p>
    <w:p w14:paraId="3B372859">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国别：</w:t>
      </w:r>
      <w:r>
        <w:rPr>
          <w:rFonts w:hint="eastAsia" w:cs="Times New Roman"/>
          <w:szCs w:val="24"/>
          <w:highlight w:val="none"/>
          <w:u w:val="single"/>
        </w:rPr>
        <w:t xml:space="preserve">         </w:t>
      </w:r>
      <w:r>
        <w:rPr>
          <w:rFonts w:hint="eastAsia" w:cs="Times New Roman"/>
          <w:szCs w:val="24"/>
          <w:highlight w:val="none"/>
        </w:rPr>
        <w:t>品牌：</w:t>
      </w:r>
      <w:r>
        <w:rPr>
          <w:rFonts w:hint="eastAsia" w:cs="Times New Roman"/>
          <w:szCs w:val="24"/>
          <w:highlight w:val="none"/>
          <w:u w:val="single"/>
        </w:rPr>
        <w:t xml:space="preserve">         </w:t>
      </w:r>
      <w:r>
        <w:rPr>
          <w:rFonts w:hint="eastAsia" w:cs="Times New Roman"/>
          <w:szCs w:val="24"/>
          <w:highlight w:val="none"/>
        </w:rPr>
        <w:t>规格型号：</w:t>
      </w:r>
      <w:r>
        <w:rPr>
          <w:rFonts w:hint="eastAsia" w:cs="Times New Roman"/>
          <w:szCs w:val="24"/>
          <w:highlight w:val="none"/>
          <w:u w:val="single"/>
        </w:rPr>
        <w:t xml:space="preserve">          </w:t>
      </w: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否</w:t>
      </w:r>
    </w:p>
    <w:p w14:paraId="4E13AA3C">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（7）是否涉及节能产品：</w:t>
      </w:r>
    </w:p>
    <w:p w14:paraId="637699B6">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是，《节能产品政府采购品目清单》的底级品目名称：</w:t>
      </w:r>
      <w:r>
        <w:rPr>
          <w:rFonts w:hint="eastAsia" w:cs="Times New Roman"/>
          <w:szCs w:val="24"/>
          <w:highlight w:val="none"/>
          <w:u w:val="single"/>
        </w:rPr>
        <w:t xml:space="preserve">               </w:t>
      </w:r>
    </w:p>
    <w:p w14:paraId="57F3B3C2">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3B43EEBF">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（8）是否涉及环境标志产品：</w:t>
      </w:r>
    </w:p>
    <w:p w14:paraId="382AE3FD">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是，《环境标志产品政府采购品目清单》的底级品目名称：</w:t>
      </w:r>
      <w:r>
        <w:rPr>
          <w:rFonts w:hint="eastAsia" w:cs="Times New Roman"/>
          <w:szCs w:val="24"/>
          <w:highlight w:val="none"/>
          <w:u w:val="single"/>
        </w:rPr>
        <w:t xml:space="preserve">          </w:t>
      </w:r>
    </w:p>
    <w:p w14:paraId="60792924">
      <w:pPr>
        <w:autoSpaceDE w:val="0"/>
        <w:autoSpaceDN w:val="0"/>
        <w:adjustRightInd w:val="0"/>
        <w:snapToGrid w:val="0"/>
        <w:spacing w:line="360" w:lineRule="auto"/>
        <w:rPr>
          <w:rFonts w:cs="Times New Roman"/>
          <w:szCs w:val="24"/>
          <w:highlight w:val="none"/>
        </w:rPr>
      </w:pP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232C27D1">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 xml:space="preserve">（9）是否涉及绿色产品： </w:t>
      </w:r>
    </w:p>
    <w:p w14:paraId="70003951">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是，绿色产品政府采购相关政策确定的底级品目名称：</w:t>
      </w:r>
      <w:r>
        <w:rPr>
          <w:rFonts w:hint="eastAsia" w:cs="Times New Roman"/>
          <w:szCs w:val="24"/>
          <w:highlight w:val="none"/>
          <w:u w:val="single"/>
        </w:rPr>
        <w:t xml:space="preserve">              </w:t>
      </w:r>
    </w:p>
    <w:p w14:paraId="53A3C1B3">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4C4AD1CF">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 xml:space="preserve">（10）涉及商品包装和快递包装的，是否参考《商品包装政府采购需求标准（试行）》《快递包装政府采购需求标准（试行）》明确产品及相关快递服务的具体包装要求：     </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 xml:space="preserve">否      </w:t>
      </w:r>
      <w:r>
        <w:rPr>
          <w:rFonts w:hint="eastAsia" w:cs="Times New Roman"/>
          <w:szCs w:val="24"/>
          <w:highlight w:val="none"/>
        </w:rPr>
        <w:sym w:font="Wingdings" w:char="00A8"/>
      </w:r>
      <w:r>
        <w:rPr>
          <w:rFonts w:hint="eastAsia" w:cs="Times New Roman"/>
          <w:szCs w:val="24"/>
          <w:highlight w:val="none"/>
        </w:rPr>
        <w:t>不涉及</w:t>
      </w:r>
    </w:p>
    <w:p w14:paraId="6D5FCD9C">
      <w:pPr>
        <w:widowControl w:val="0"/>
        <w:spacing w:line="360" w:lineRule="auto"/>
        <w:ind w:firstLine="480" w:firstLineChars="200"/>
        <w:rPr>
          <w:rFonts w:cs="Times New Roman"/>
          <w:szCs w:val="24"/>
          <w:highlight w:val="none"/>
        </w:rPr>
      </w:pPr>
      <w:r>
        <w:rPr>
          <w:rFonts w:hint="eastAsia" w:cs="Times New Roman"/>
          <w:szCs w:val="24"/>
          <w:highlight w:val="none"/>
        </w:rPr>
        <w:t>（11）数量及价格：</w:t>
      </w:r>
    </w:p>
    <w:tbl>
      <w:tblPr>
        <w:tblStyle w:val="30"/>
        <w:tblW w:w="96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0"/>
        <w:gridCol w:w="1061"/>
        <w:gridCol w:w="840"/>
        <w:gridCol w:w="1117"/>
        <w:gridCol w:w="895"/>
        <w:gridCol w:w="721"/>
        <w:gridCol w:w="667"/>
        <w:gridCol w:w="840"/>
        <w:gridCol w:w="936"/>
        <w:gridCol w:w="936"/>
        <w:gridCol w:w="887"/>
      </w:tblGrid>
      <w:tr w14:paraId="17056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9"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F5FCA98">
            <w:pPr>
              <w:autoSpaceDE w:val="0"/>
              <w:autoSpaceDN w:val="0"/>
              <w:spacing w:line="360" w:lineRule="auto"/>
              <w:jc w:val="center"/>
              <w:rPr>
                <w:rFonts w:cs="Times New Roman"/>
                <w:szCs w:val="24"/>
                <w:highlight w:val="none"/>
              </w:rPr>
            </w:pPr>
            <w:r>
              <w:rPr>
                <w:rFonts w:hint="eastAsia" w:cs="Times New Roman"/>
                <w:szCs w:val="24"/>
                <w:highlight w:val="none"/>
              </w:rPr>
              <w:t>序号</w:t>
            </w:r>
          </w:p>
        </w:tc>
        <w:tc>
          <w:tcPr>
            <w:tcW w:w="1077" w:type="dxa"/>
            <w:tcBorders>
              <w:top w:val="single" w:color="auto" w:sz="4" w:space="0"/>
              <w:left w:val="single" w:color="auto" w:sz="4" w:space="0"/>
              <w:bottom w:val="single" w:color="auto" w:sz="4" w:space="0"/>
              <w:right w:val="single" w:color="auto" w:sz="4" w:space="0"/>
            </w:tcBorders>
            <w:vAlign w:val="center"/>
          </w:tcPr>
          <w:p w14:paraId="68EBD281">
            <w:pPr>
              <w:autoSpaceDE w:val="0"/>
              <w:autoSpaceDN w:val="0"/>
              <w:spacing w:line="360" w:lineRule="auto"/>
              <w:jc w:val="center"/>
              <w:rPr>
                <w:rFonts w:cs="Times New Roman"/>
                <w:szCs w:val="24"/>
                <w:highlight w:val="none"/>
              </w:rPr>
            </w:pPr>
            <w:r>
              <w:rPr>
                <w:rFonts w:hint="eastAsia" w:cs="Times New Roman"/>
                <w:szCs w:val="24"/>
                <w:highlight w:val="none"/>
              </w:rPr>
              <w:t>物品名称</w:t>
            </w:r>
          </w:p>
        </w:tc>
        <w:tc>
          <w:tcPr>
            <w:tcW w:w="850" w:type="dxa"/>
            <w:tcBorders>
              <w:top w:val="single" w:color="auto" w:sz="4" w:space="0"/>
              <w:left w:val="single" w:color="auto" w:sz="4" w:space="0"/>
              <w:bottom w:val="single" w:color="auto" w:sz="4" w:space="0"/>
              <w:right w:val="single" w:color="auto" w:sz="4" w:space="0"/>
            </w:tcBorders>
            <w:vAlign w:val="center"/>
          </w:tcPr>
          <w:p w14:paraId="39F77BED">
            <w:pPr>
              <w:spacing w:line="360" w:lineRule="auto"/>
              <w:jc w:val="center"/>
              <w:rPr>
                <w:rFonts w:cs="Times New Roman"/>
                <w:szCs w:val="24"/>
                <w:highlight w:val="none"/>
              </w:rPr>
            </w:pPr>
            <w:r>
              <w:rPr>
                <w:rFonts w:hint="eastAsia" w:cs="Times New Roman"/>
                <w:szCs w:val="24"/>
                <w:highlight w:val="none"/>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6659FD80">
            <w:pPr>
              <w:spacing w:line="360" w:lineRule="auto"/>
              <w:jc w:val="center"/>
              <w:rPr>
                <w:rFonts w:cs="Times New Roman"/>
                <w:szCs w:val="24"/>
                <w:highlight w:val="none"/>
              </w:rPr>
            </w:pPr>
            <w:r>
              <w:rPr>
                <w:rFonts w:hint="eastAsia" w:cs="Times New Roman"/>
                <w:szCs w:val="24"/>
                <w:highlight w:val="none"/>
              </w:rPr>
              <w:t>生产厂家或产地</w:t>
            </w:r>
          </w:p>
        </w:tc>
        <w:tc>
          <w:tcPr>
            <w:tcW w:w="907" w:type="dxa"/>
            <w:tcBorders>
              <w:top w:val="single" w:color="auto" w:sz="4" w:space="0"/>
              <w:left w:val="single" w:color="auto" w:sz="4" w:space="0"/>
              <w:bottom w:val="single" w:color="auto" w:sz="4" w:space="0"/>
              <w:right w:val="single" w:color="auto" w:sz="4" w:space="0"/>
            </w:tcBorders>
            <w:vAlign w:val="center"/>
          </w:tcPr>
          <w:p w14:paraId="255EFF81">
            <w:pPr>
              <w:spacing w:line="360" w:lineRule="auto"/>
              <w:jc w:val="center"/>
              <w:rPr>
                <w:rFonts w:cs="Times New Roman"/>
                <w:szCs w:val="24"/>
                <w:highlight w:val="none"/>
              </w:rPr>
            </w:pPr>
            <w:r>
              <w:rPr>
                <w:rFonts w:hint="eastAsia" w:cs="Times New Roman"/>
                <w:szCs w:val="24"/>
                <w:highlight w:val="none"/>
              </w:rPr>
              <w:t>规格</w:t>
            </w:r>
          </w:p>
          <w:p w14:paraId="487CAFD6">
            <w:pPr>
              <w:spacing w:line="360" w:lineRule="auto"/>
              <w:jc w:val="center"/>
              <w:rPr>
                <w:rFonts w:cs="Times New Roman"/>
                <w:szCs w:val="24"/>
                <w:highlight w:val="none"/>
              </w:rPr>
            </w:pPr>
            <w:r>
              <w:rPr>
                <w:rFonts w:hint="eastAsia" w:cs="Times New Roman"/>
                <w:szCs w:val="24"/>
                <w:highlight w:val="none"/>
              </w:rPr>
              <w:t>型号</w:t>
            </w:r>
          </w:p>
        </w:tc>
        <w:tc>
          <w:tcPr>
            <w:tcW w:w="728" w:type="dxa"/>
            <w:tcBorders>
              <w:top w:val="single" w:color="auto" w:sz="4" w:space="0"/>
              <w:left w:val="single" w:color="auto" w:sz="4" w:space="0"/>
              <w:bottom w:val="single" w:color="auto" w:sz="4" w:space="0"/>
              <w:right w:val="single" w:color="auto" w:sz="4" w:space="0"/>
            </w:tcBorders>
            <w:vAlign w:val="center"/>
          </w:tcPr>
          <w:p w14:paraId="72727284">
            <w:pPr>
              <w:spacing w:line="360" w:lineRule="auto"/>
              <w:jc w:val="center"/>
              <w:rPr>
                <w:rFonts w:cs="Times New Roman"/>
                <w:szCs w:val="24"/>
                <w:highlight w:val="none"/>
              </w:rPr>
            </w:pPr>
            <w:r>
              <w:rPr>
                <w:rFonts w:hint="eastAsia" w:cs="Times New Roman"/>
                <w:szCs w:val="24"/>
                <w:highlight w:val="none"/>
              </w:rPr>
              <w:t>技术</w:t>
            </w:r>
          </w:p>
          <w:p w14:paraId="2BA020A0">
            <w:pPr>
              <w:spacing w:line="360" w:lineRule="auto"/>
              <w:jc w:val="center"/>
              <w:rPr>
                <w:rFonts w:cs="Times New Roman"/>
                <w:szCs w:val="24"/>
                <w:highlight w:val="none"/>
              </w:rPr>
            </w:pPr>
            <w:r>
              <w:rPr>
                <w:rFonts w:hint="eastAsia" w:cs="Times New Roman"/>
                <w:szCs w:val="24"/>
                <w:highlight w:val="none"/>
              </w:rPr>
              <w:t>参数</w:t>
            </w:r>
          </w:p>
        </w:tc>
        <w:tc>
          <w:tcPr>
            <w:tcW w:w="673" w:type="dxa"/>
            <w:tcBorders>
              <w:top w:val="single" w:color="auto" w:sz="4" w:space="0"/>
              <w:left w:val="single" w:color="auto" w:sz="4" w:space="0"/>
              <w:bottom w:val="single" w:color="auto" w:sz="4" w:space="0"/>
              <w:right w:val="single" w:color="auto" w:sz="4" w:space="0"/>
            </w:tcBorders>
          </w:tcPr>
          <w:p w14:paraId="3910588B">
            <w:pPr>
              <w:spacing w:line="360" w:lineRule="auto"/>
              <w:rPr>
                <w:rFonts w:cs="Times New Roman"/>
                <w:szCs w:val="24"/>
                <w:highlight w:val="none"/>
              </w:rPr>
            </w:pPr>
          </w:p>
          <w:p w14:paraId="43218BBC">
            <w:pPr>
              <w:spacing w:line="360" w:lineRule="auto"/>
              <w:rPr>
                <w:rFonts w:cs="Times New Roman"/>
                <w:szCs w:val="24"/>
                <w:highlight w:val="none"/>
              </w:rPr>
            </w:pPr>
            <w:r>
              <w:rPr>
                <w:rFonts w:hint="eastAsia" w:cs="Times New Roman"/>
                <w:szCs w:val="24"/>
                <w:highlight w:val="none"/>
              </w:rPr>
              <w:t>单位</w:t>
            </w:r>
          </w:p>
        </w:tc>
        <w:tc>
          <w:tcPr>
            <w:tcW w:w="850" w:type="dxa"/>
            <w:tcBorders>
              <w:top w:val="single" w:color="auto" w:sz="4" w:space="0"/>
              <w:left w:val="single" w:color="auto" w:sz="4" w:space="0"/>
              <w:bottom w:val="single" w:color="auto" w:sz="4" w:space="0"/>
              <w:right w:val="single" w:color="auto" w:sz="4" w:space="0"/>
            </w:tcBorders>
            <w:vAlign w:val="center"/>
          </w:tcPr>
          <w:p w14:paraId="78FA90D2">
            <w:pPr>
              <w:spacing w:line="360" w:lineRule="auto"/>
              <w:jc w:val="center"/>
              <w:rPr>
                <w:rFonts w:cs="Times New Roman"/>
                <w:szCs w:val="24"/>
                <w:highlight w:val="none"/>
              </w:rPr>
            </w:pPr>
            <w:r>
              <w:rPr>
                <w:rFonts w:hint="eastAsia" w:cs="Times New Roman"/>
                <w:szCs w:val="24"/>
                <w:highlight w:val="none"/>
              </w:rPr>
              <w:t>数量</w:t>
            </w:r>
          </w:p>
        </w:tc>
        <w:tc>
          <w:tcPr>
            <w:tcW w:w="884" w:type="dxa"/>
            <w:tcBorders>
              <w:top w:val="single" w:color="auto" w:sz="4" w:space="0"/>
              <w:left w:val="single" w:color="auto" w:sz="4" w:space="0"/>
              <w:bottom w:val="single" w:color="auto" w:sz="4" w:space="0"/>
              <w:right w:val="single" w:color="auto" w:sz="4" w:space="0"/>
            </w:tcBorders>
            <w:vAlign w:val="center"/>
          </w:tcPr>
          <w:p w14:paraId="3F92CD36">
            <w:pPr>
              <w:spacing w:line="360" w:lineRule="auto"/>
              <w:jc w:val="center"/>
              <w:rPr>
                <w:rFonts w:cs="Times New Roman"/>
                <w:szCs w:val="24"/>
                <w:highlight w:val="none"/>
              </w:rPr>
            </w:pPr>
            <w:r>
              <w:rPr>
                <w:rFonts w:hint="eastAsia" w:cs="Times New Roman"/>
                <w:szCs w:val="24"/>
                <w:highlight w:val="none"/>
              </w:rPr>
              <w:t>含税</w:t>
            </w:r>
          </w:p>
          <w:p w14:paraId="7DD77372">
            <w:pPr>
              <w:spacing w:line="360" w:lineRule="auto"/>
              <w:jc w:val="center"/>
              <w:rPr>
                <w:rFonts w:cs="Times New Roman"/>
                <w:szCs w:val="24"/>
                <w:highlight w:val="none"/>
              </w:rPr>
            </w:pPr>
            <w:r>
              <w:rPr>
                <w:rFonts w:hint="eastAsia" w:cs="Times New Roman"/>
                <w:szCs w:val="24"/>
                <w:highlight w:val="none"/>
              </w:rPr>
              <w:t>单价</w:t>
            </w:r>
          </w:p>
          <w:p w14:paraId="4D74CCA8">
            <w:pPr>
              <w:spacing w:line="360" w:lineRule="auto"/>
              <w:jc w:val="center"/>
              <w:rPr>
                <w:rFonts w:cs="Times New Roman"/>
                <w:szCs w:val="24"/>
                <w:highlight w:val="none"/>
              </w:rPr>
            </w:pPr>
            <w:r>
              <w:rPr>
                <w:rFonts w:hint="eastAsia" w:cs="Times New Roman"/>
                <w:szCs w:val="24"/>
                <w:highlight w:val="none"/>
              </w:rPr>
              <w:t>（元）</w:t>
            </w:r>
          </w:p>
        </w:tc>
        <w:tc>
          <w:tcPr>
            <w:tcW w:w="895" w:type="dxa"/>
            <w:tcBorders>
              <w:top w:val="single" w:color="auto" w:sz="4" w:space="0"/>
              <w:left w:val="single" w:color="auto" w:sz="4" w:space="0"/>
              <w:bottom w:val="single" w:color="auto" w:sz="4" w:space="0"/>
              <w:right w:val="single" w:color="auto" w:sz="4" w:space="0"/>
            </w:tcBorders>
            <w:vAlign w:val="center"/>
          </w:tcPr>
          <w:p w14:paraId="14DC26C5">
            <w:pPr>
              <w:spacing w:line="360" w:lineRule="auto"/>
              <w:rPr>
                <w:rFonts w:cs="Times New Roman"/>
                <w:szCs w:val="24"/>
                <w:highlight w:val="none"/>
              </w:rPr>
            </w:pPr>
            <w:r>
              <w:rPr>
                <w:rFonts w:hint="eastAsia" w:cs="Times New Roman"/>
                <w:szCs w:val="24"/>
                <w:highlight w:val="none"/>
              </w:rPr>
              <w:t>合计（元）</w:t>
            </w:r>
          </w:p>
        </w:tc>
        <w:tc>
          <w:tcPr>
            <w:tcW w:w="895" w:type="dxa"/>
            <w:tcBorders>
              <w:top w:val="single" w:color="auto" w:sz="4" w:space="0"/>
              <w:left w:val="single" w:color="auto" w:sz="4" w:space="0"/>
              <w:bottom w:val="single" w:color="auto" w:sz="4" w:space="0"/>
              <w:right w:val="single" w:color="auto" w:sz="4" w:space="0"/>
            </w:tcBorders>
          </w:tcPr>
          <w:p w14:paraId="5CC80FF5">
            <w:pPr>
              <w:spacing w:line="360" w:lineRule="auto"/>
              <w:ind w:firstLine="120" w:firstLineChars="50"/>
              <w:rPr>
                <w:rFonts w:cs="Times New Roman"/>
                <w:szCs w:val="24"/>
                <w:highlight w:val="none"/>
              </w:rPr>
            </w:pPr>
          </w:p>
          <w:p w14:paraId="02191348">
            <w:pPr>
              <w:spacing w:line="360" w:lineRule="auto"/>
              <w:ind w:firstLine="120" w:firstLineChars="50"/>
              <w:rPr>
                <w:rFonts w:cs="Times New Roman"/>
                <w:szCs w:val="24"/>
                <w:highlight w:val="none"/>
              </w:rPr>
            </w:pPr>
            <w:r>
              <w:rPr>
                <w:rFonts w:hint="eastAsia" w:cs="Times New Roman"/>
                <w:szCs w:val="24"/>
                <w:highlight w:val="none"/>
              </w:rPr>
              <w:t>备注</w:t>
            </w:r>
          </w:p>
        </w:tc>
      </w:tr>
      <w:tr w14:paraId="15B29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6203EF2">
            <w:pPr>
              <w:autoSpaceDE w:val="0"/>
              <w:autoSpaceDN w:val="0"/>
              <w:spacing w:line="360" w:lineRule="auto"/>
              <w:jc w:val="center"/>
              <w:rPr>
                <w:rFonts w:cs="Times New Roman"/>
                <w:szCs w:val="24"/>
                <w:highlight w:val="none"/>
              </w:rPr>
            </w:pPr>
            <w:r>
              <w:rPr>
                <w:rFonts w:hint="eastAsia" w:cs="Times New Roman"/>
                <w:szCs w:val="24"/>
                <w:highlight w:val="none"/>
              </w:rPr>
              <w:t>1</w:t>
            </w:r>
          </w:p>
        </w:tc>
        <w:tc>
          <w:tcPr>
            <w:tcW w:w="1077" w:type="dxa"/>
            <w:tcBorders>
              <w:top w:val="single" w:color="auto" w:sz="4" w:space="0"/>
              <w:left w:val="single" w:color="auto" w:sz="4" w:space="0"/>
              <w:bottom w:val="single" w:color="auto" w:sz="4" w:space="0"/>
              <w:right w:val="single" w:color="auto" w:sz="4" w:space="0"/>
            </w:tcBorders>
            <w:vAlign w:val="center"/>
          </w:tcPr>
          <w:p w14:paraId="5E1BAF97">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72C2059">
            <w:pPr>
              <w:spacing w:line="360" w:lineRule="auto"/>
              <w:jc w:val="center"/>
              <w:rPr>
                <w:rFonts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22E1F723">
            <w:pPr>
              <w:spacing w:line="360" w:lineRule="auto"/>
              <w:jc w:val="center"/>
              <w:rPr>
                <w:rFonts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51D2B668">
            <w:pPr>
              <w:spacing w:line="360" w:lineRule="auto"/>
              <w:jc w:val="center"/>
              <w:rPr>
                <w:rFonts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1BAC9291">
            <w:pPr>
              <w:spacing w:line="360" w:lineRule="auto"/>
              <w:jc w:val="center"/>
              <w:rPr>
                <w:rFonts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467F95E6">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7A66E80">
            <w:pPr>
              <w:spacing w:line="360" w:lineRule="auto"/>
              <w:jc w:val="center"/>
              <w:rPr>
                <w:rFonts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36E9E517">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46066CDC">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7F8B1506">
            <w:pPr>
              <w:spacing w:line="360" w:lineRule="auto"/>
              <w:jc w:val="center"/>
              <w:rPr>
                <w:rFonts w:cs="Times New Roman"/>
                <w:szCs w:val="24"/>
                <w:highlight w:val="none"/>
              </w:rPr>
            </w:pPr>
          </w:p>
        </w:tc>
      </w:tr>
      <w:tr w14:paraId="75FE1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F567172">
            <w:pPr>
              <w:autoSpaceDE w:val="0"/>
              <w:autoSpaceDN w:val="0"/>
              <w:spacing w:line="360" w:lineRule="auto"/>
              <w:jc w:val="center"/>
              <w:rPr>
                <w:rFonts w:cs="Times New Roman"/>
                <w:szCs w:val="24"/>
                <w:highlight w:val="none"/>
              </w:rPr>
            </w:pPr>
            <w:r>
              <w:rPr>
                <w:rFonts w:hint="eastAsia" w:cs="Times New Roman"/>
                <w:szCs w:val="24"/>
                <w:highlight w:val="none"/>
              </w:rPr>
              <w:t>2</w:t>
            </w:r>
          </w:p>
        </w:tc>
        <w:tc>
          <w:tcPr>
            <w:tcW w:w="1077" w:type="dxa"/>
            <w:tcBorders>
              <w:top w:val="single" w:color="auto" w:sz="4" w:space="0"/>
              <w:left w:val="single" w:color="auto" w:sz="4" w:space="0"/>
              <w:bottom w:val="single" w:color="auto" w:sz="4" w:space="0"/>
              <w:right w:val="single" w:color="auto" w:sz="4" w:space="0"/>
            </w:tcBorders>
            <w:vAlign w:val="center"/>
          </w:tcPr>
          <w:p w14:paraId="324B1BF3">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67C04BC">
            <w:pPr>
              <w:spacing w:line="360" w:lineRule="auto"/>
              <w:jc w:val="center"/>
              <w:rPr>
                <w:rFonts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5ECE5066">
            <w:pPr>
              <w:spacing w:line="360" w:lineRule="auto"/>
              <w:jc w:val="center"/>
              <w:rPr>
                <w:rFonts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2BEF4A6C">
            <w:pPr>
              <w:spacing w:line="360" w:lineRule="auto"/>
              <w:jc w:val="center"/>
              <w:rPr>
                <w:rFonts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1606E442">
            <w:pPr>
              <w:spacing w:line="360" w:lineRule="auto"/>
              <w:jc w:val="center"/>
              <w:rPr>
                <w:rFonts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216F7558">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BF581BE">
            <w:pPr>
              <w:spacing w:line="360" w:lineRule="auto"/>
              <w:jc w:val="center"/>
              <w:rPr>
                <w:rFonts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247F2886">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3D424FA2">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33F5C11C">
            <w:pPr>
              <w:spacing w:line="360" w:lineRule="auto"/>
              <w:jc w:val="center"/>
              <w:rPr>
                <w:rFonts w:cs="Times New Roman"/>
                <w:szCs w:val="24"/>
                <w:highlight w:val="none"/>
              </w:rPr>
            </w:pPr>
          </w:p>
        </w:tc>
      </w:tr>
      <w:tr w14:paraId="053D2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0F9DAF7">
            <w:pPr>
              <w:autoSpaceDE w:val="0"/>
              <w:autoSpaceDN w:val="0"/>
              <w:spacing w:line="360" w:lineRule="auto"/>
              <w:jc w:val="center"/>
              <w:rPr>
                <w:rFonts w:cs="Times New Roman"/>
                <w:szCs w:val="24"/>
                <w:highlight w:val="none"/>
              </w:rPr>
            </w:pPr>
            <w:r>
              <w:rPr>
                <w:rFonts w:hint="eastAsia" w:cs="Times New Roman"/>
                <w:szCs w:val="24"/>
                <w:highlight w:val="none"/>
              </w:rPr>
              <w:t>3</w:t>
            </w:r>
          </w:p>
        </w:tc>
        <w:tc>
          <w:tcPr>
            <w:tcW w:w="1077" w:type="dxa"/>
            <w:tcBorders>
              <w:top w:val="single" w:color="auto" w:sz="4" w:space="0"/>
              <w:left w:val="single" w:color="auto" w:sz="4" w:space="0"/>
              <w:bottom w:val="single" w:color="auto" w:sz="4" w:space="0"/>
              <w:right w:val="single" w:color="auto" w:sz="4" w:space="0"/>
            </w:tcBorders>
            <w:vAlign w:val="center"/>
          </w:tcPr>
          <w:p w14:paraId="7C51F3D8">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F04958F">
            <w:pPr>
              <w:spacing w:line="360" w:lineRule="auto"/>
              <w:jc w:val="center"/>
              <w:rPr>
                <w:rFonts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1DEA84F7">
            <w:pPr>
              <w:spacing w:line="360" w:lineRule="auto"/>
              <w:jc w:val="center"/>
              <w:rPr>
                <w:rFonts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48FBAE81">
            <w:pPr>
              <w:spacing w:line="360" w:lineRule="auto"/>
              <w:jc w:val="center"/>
              <w:rPr>
                <w:rFonts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7A625C3B">
            <w:pPr>
              <w:spacing w:line="360" w:lineRule="auto"/>
              <w:jc w:val="center"/>
              <w:rPr>
                <w:rFonts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2A794DAE">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AA5C4A3">
            <w:pPr>
              <w:spacing w:line="360" w:lineRule="auto"/>
              <w:jc w:val="center"/>
              <w:rPr>
                <w:rFonts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14754C14">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72F44AD8">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20E8276C">
            <w:pPr>
              <w:spacing w:line="360" w:lineRule="auto"/>
              <w:jc w:val="center"/>
              <w:rPr>
                <w:rFonts w:cs="Times New Roman"/>
                <w:szCs w:val="24"/>
                <w:highlight w:val="none"/>
              </w:rPr>
            </w:pPr>
          </w:p>
        </w:tc>
      </w:tr>
      <w:tr w14:paraId="50181E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1596AA83">
            <w:pPr>
              <w:spacing w:line="360" w:lineRule="auto"/>
              <w:ind w:firstLine="120" w:firstLineChars="50"/>
              <w:rPr>
                <w:rFonts w:cs="Times New Roman"/>
                <w:szCs w:val="24"/>
                <w:highlight w:val="none"/>
              </w:rPr>
            </w:pPr>
            <w:r>
              <w:rPr>
                <w:rFonts w:hint="eastAsia" w:cs="Times New Roman"/>
                <w:szCs w:val="24"/>
                <w:highlight w:val="none"/>
              </w:rPr>
              <w:t>总计：人民币（大写）                               小写：￥          元</w:t>
            </w:r>
          </w:p>
        </w:tc>
      </w:tr>
      <w:tr w14:paraId="4369BF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48536C2C">
            <w:pPr>
              <w:spacing w:line="360" w:lineRule="auto"/>
              <w:rPr>
                <w:rFonts w:cs="Times New Roman"/>
                <w:szCs w:val="24"/>
                <w:highlight w:val="none"/>
              </w:rPr>
            </w:pPr>
            <w:r>
              <w:rPr>
                <w:rFonts w:hint="eastAsia" w:cs="Times New Roman"/>
                <w:szCs w:val="24"/>
                <w:highlight w:val="none"/>
              </w:rPr>
              <w:t>说明：该总价</w:t>
            </w:r>
            <w:r>
              <w:rPr>
                <w:rFonts w:hint="eastAsia" w:cs="宋体"/>
                <w:szCs w:val="24"/>
                <w:highlight w:val="none"/>
              </w:rPr>
              <w:t>包括但不限于全部设备价、税费、包装费、运输、调试、安装费、装卸费、必不可少的部件等费用，以及已支付或将支付的增值税和其它税费等所有费用。</w:t>
            </w:r>
          </w:p>
        </w:tc>
      </w:tr>
      <w:tr w14:paraId="41796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4AE4AACE">
            <w:pPr>
              <w:snapToGrid w:val="0"/>
              <w:spacing w:line="360" w:lineRule="auto"/>
              <w:ind w:firstLine="480" w:firstLineChars="200"/>
              <w:rPr>
                <w:rFonts w:cs="Times New Roman"/>
                <w:szCs w:val="24"/>
                <w:highlight w:val="none"/>
              </w:rPr>
            </w:pPr>
            <w:r>
              <w:rPr>
                <w:rFonts w:hint="eastAsia" w:cs="Times New Roman"/>
                <w:szCs w:val="24"/>
                <w:highlight w:val="none"/>
              </w:rPr>
              <w:t>价格形式：</w:t>
            </w:r>
            <w:r>
              <w:rPr>
                <w:rFonts w:hint="eastAsia" w:cs="Times New Roman"/>
                <w:szCs w:val="24"/>
                <w:highlight w:val="none"/>
              </w:rPr>
              <w:sym w:font="Wingdings" w:char="00A8"/>
            </w:r>
            <w:r>
              <w:rPr>
                <w:rFonts w:hint="eastAsia" w:cs="Times New Roman"/>
                <w:szCs w:val="24"/>
                <w:highlight w:val="none"/>
              </w:rPr>
              <w:t xml:space="preserve">固定总价 </w:t>
            </w:r>
            <w:r>
              <w:rPr>
                <w:rFonts w:hint="eastAsia" w:cs="Times New Roman"/>
                <w:szCs w:val="24"/>
                <w:highlight w:val="none"/>
              </w:rPr>
              <w:sym w:font="Wingdings" w:char="00A8"/>
            </w:r>
            <w:r>
              <w:rPr>
                <w:rFonts w:hint="eastAsia" w:cs="Times New Roman"/>
                <w:szCs w:val="24"/>
                <w:highlight w:val="none"/>
              </w:rPr>
              <w:t xml:space="preserve">固定单价 </w:t>
            </w:r>
            <w:r>
              <w:rPr>
                <w:rFonts w:hint="eastAsia" w:cs="Times New Roman"/>
                <w:szCs w:val="24"/>
                <w:highlight w:val="none"/>
              </w:rPr>
              <w:sym w:font="Wingdings" w:char="00A8"/>
            </w:r>
            <w:r>
              <w:rPr>
                <w:rFonts w:hint="eastAsia" w:cs="Times New Roman"/>
                <w:szCs w:val="24"/>
                <w:highlight w:val="none"/>
              </w:rPr>
              <w:t xml:space="preserve">固定费率 </w:t>
            </w:r>
            <w:r>
              <w:rPr>
                <w:rFonts w:hint="eastAsia" w:cs="Times New Roman"/>
                <w:szCs w:val="24"/>
                <w:highlight w:val="none"/>
              </w:rPr>
              <w:sym w:font="Wingdings" w:char="00A8"/>
            </w:r>
            <w:r>
              <w:rPr>
                <w:rFonts w:hint="eastAsia" w:cs="Times New Roman"/>
                <w:szCs w:val="24"/>
                <w:highlight w:val="none"/>
              </w:rPr>
              <w:t xml:space="preserve">成本补偿 </w:t>
            </w:r>
            <w:r>
              <w:rPr>
                <w:rFonts w:hint="eastAsia" w:cs="Times New Roman"/>
                <w:szCs w:val="24"/>
                <w:highlight w:val="none"/>
              </w:rPr>
              <w:sym w:font="Wingdings" w:char="00A8"/>
            </w:r>
            <w:r>
              <w:rPr>
                <w:rFonts w:hint="eastAsia" w:cs="Times New Roman"/>
                <w:szCs w:val="24"/>
                <w:highlight w:val="none"/>
              </w:rPr>
              <w:t xml:space="preserve">绩效激励 </w:t>
            </w:r>
            <w:r>
              <w:rPr>
                <w:rFonts w:hint="eastAsia" w:cs="Times New Roman"/>
                <w:szCs w:val="24"/>
                <w:highlight w:val="none"/>
              </w:rPr>
              <w:sym w:font="Wingdings" w:char="00A8"/>
            </w:r>
            <w:r>
              <w:rPr>
                <w:rFonts w:hint="eastAsia" w:cs="Times New Roman"/>
                <w:szCs w:val="24"/>
                <w:highlight w:val="none"/>
              </w:rPr>
              <w:t>其他</w:t>
            </w:r>
            <w:r>
              <w:rPr>
                <w:rFonts w:hint="eastAsia" w:cs="Times New Roman"/>
                <w:szCs w:val="24"/>
                <w:highlight w:val="none"/>
                <w:u w:val="single"/>
              </w:rPr>
              <w:t xml:space="preserve">      </w:t>
            </w:r>
          </w:p>
        </w:tc>
      </w:tr>
    </w:tbl>
    <w:p w14:paraId="36B1A80B">
      <w:pPr>
        <w:widowControl w:val="0"/>
        <w:spacing w:line="360" w:lineRule="auto"/>
        <w:ind w:firstLine="480" w:firstLineChars="200"/>
        <w:jc w:val="both"/>
        <w:rPr>
          <w:rFonts w:cs="Times New Roman"/>
          <w:szCs w:val="24"/>
          <w:highlight w:val="none"/>
        </w:rPr>
      </w:pPr>
      <w:r>
        <w:rPr>
          <w:rFonts w:hint="eastAsia" w:cs="Times New Roman"/>
          <w:szCs w:val="24"/>
          <w:highlight w:val="none"/>
        </w:rPr>
        <w:t>3、本协议项下的产品规格、参数等内容，必须与招投标文件保持一致，任何一方不得私自更改，如在合同履行过程中，出现合同中约定的产品规格、参数等内容与招投标文件不一致的，以招投标文件规定的内容为准。</w:t>
      </w:r>
    </w:p>
    <w:p w14:paraId="58888343">
      <w:pPr>
        <w:widowControl w:val="0"/>
        <w:spacing w:line="360" w:lineRule="auto"/>
        <w:ind w:firstLine="482" w:firstLineChars="200"/>
        <w:rPr>
          <w:rFonts w:cs="Times New Roman"/>
          <w:b/>
          <w:szCs w:val="24"/>
          <w:highlight w:val="none"/>
        </w:rPr>
      </w:pPr>
      <w:r>
        <w:rPr>
          <w:rFonts w:hint="eastAsia" w:cs="Times New Roman"/>
          <w:b/>
          <w:szCs w:val="24"/>
          <w:highlight w:val="none"/>
        </w:rPr>
        <w:t>二、合同价款</w:t>
      </w:r>
    </w:p>
    <w:p w14:paraId="6459367A">
      <w:pPr>
        <w:widowControl w:val="0"/>
        <w:spacing w:line="360" w:lineRule="auto"/>
        <w:ind w:firstLine="480" w:firstLineChars="200"/>
        <w:rPr>
          <w:rFonts w:cs="Times New Roman"/>
          <w:szCs w:val="24"/>
          <w:highlight w:val="none"/>
        </w:rPr>
      </w:pPr>
      <w:bookmarkStart w:id="347" w:name="OLE_LINK7"/>
      <w:bookmarkStart w:id="348" w:name="OLE_LINK8"/>
      <w:r>
        <w:rPr>
          <w:rFonts w:hint="eastAsia" w:cs="Times New Roman"/>
          <w:szCs w:val="24"/>
          <w:highlight w:val="none"/>
        </w:rPr>
        <w:t>1、</w:t>
      </w:r>
      <w:r>
        <w:rPr>
          <w:rFonts w:cs="Times New Roman"/>
          <w:szCs w:val="24"/>
          <w:highlight w:val="none"/>
        </w:rPr>
        <w:t>甲方工作日每周一制定结算价，每周制定一次价格。新一轮结算定价结果出来前，采用上一轮结算价格。节假日结算价参照上一个工作日结算价执行。</w:t>
      </w:r>
    </w:p>
    <w:p w14:paraId="4D8BC9AD">
      <w:pPr>
        <w:widowControl w:val="0"/>
        <w:spacing w:line="360" w:lineRule="auto"/>
        <w:ind w:firstLine="480" w:firstLineChars="200"/>
        <w:rPr>
          <w:rFonts w:cs="Times New Roman"/>
          <w:szCs w:val="24"/>
          <w:highlight w:val="none"/>
        </w:rPr>
      </w:pPr>
      <w:r>
        <w:rPr>
          <w:rFonts w:hint="eastAsia" w:cs="Times New Roman"/>
          <w:szCs w:val="24"/>
          <w:highlight w:val="none"/>
        </w:rPr>
        <w:t>2、</w:t>
      </w:r>
      <w:r>
        <w:rPr>
          <w:rFonts w:cs="Times New Roman"/>
          <w:szCs w:val="24"/>
          <w:highlight w:val="none"/>
        </w:rPr>
        <w:t>定价日供应商通过网络各自报价，在当日上午北京时间十二点之前上报至网络为有效报价，超过时限未报价者，视为自动放弃报价权。供货商报价采用货品、税费、包装费、运输、装卸等费用合计报价。</w:t>
      </w:r>
    </w:p>
    <w:p w14:paraId="06C4C625">
      <w:pPr>
        <w:widowControl w:val="0"/>
        <w:spacing w:line="360" w:lineRule="auto"/>
        <w:ind w:firstLine="480" w:firstLineChars="200"/>
        <w:rPr>
          <w:rFonts w:cs="Times New Roman"/>
          <w:szCs w:val="24"/>
          <w:highlight w:val="none"/>
        </w:rPr>
      </w:pPr>
      <w:r>
        <w:rPr>
          <w:rFonts w:hint="eastAsia" w:cs="Times New Roman"/>
          <w:szCs w:val="24"/>
          <w:highlight w:val="none"/>
        </w:rPr>
        <w:t>3、</w:t>
      </w:r>
      <w:r>
        <w:rPr>
          <w:rFonts w:cs="Times New Roman"/>
          <w:szCs w:val="24"/>
          <w:highlight w:val="none"/>
        </w:rPr>
        <w:t>本项目实行招标上浮或下浮比率，货品的结算价格根据新疆北园春集团官网（http://www.beiyuanchun.com/）价格行情板块中间价为基准价进行上浮或下浮定价。X、Y、Z、A在合同执行期间是固定值。</w:t>
      </w:r>
    </w:p>
    <w:p w14:paraId="45F23A2E">
      <w:pPr>
        <w:widowControl w:val="0"/>
        <w:spacing w:line="360" w:lineRule="auto"/>
        <w:ind w:firstLine="480" w:firstLineChars="200"/>
        <w:rPr>
          <w:rFonts w:cs="Times New Roman"/>
          <w:szCs w:val="24"/>
          <w:highlight w:val="none"/>
        </w:rPr>
      </w:pPr>
      <w:r>
        <w:rPr>
          <w:rFonts w:hint="eastAsia" w:cs="Times New Roman"/>
          <w:szCs w:val="24"/>
          <w:highlight w:val="none"/>
        </w:rPr>
        <w:t>4、</w:t>
      </w:r>
      <w:r>
        <w:rPr>
          <w:rFonts w:cs="Times New Roman"/>
          <w:szCs w:val="24"/>
          <w:highlight w:val="none"/>
        </w:rPr>
        <w:t>凡北园春集团官网价格行情板块无报价的活禽肉水产，甲方不定期组织相关人员在九鼎、北园春、新联等市场询价，采集物资价格。（市场询价为现金采购价，综合考虑品质、税费、人工、运输等成本）结合供货商报价，供货质量品级，比较两到三个报价后协商合理价格执行。</w:t>
      </w:r>
    </w:p>
    <w:p w14:paraId="40685BD0">
      <w:pPr>
        <w:widowControl w:val="0"/>
        <w:spacing w:line="360" w:lineRule="auto"/>
        <w:ind w:firstLine="480" w:firstLineChars="200"/>
        <w:rPr>
          <w:rFonts w:cs="Times New Roman"/>
          <w:szCs w:val="24"/>
          <w:highlight w:val="none"/>
        </w:rPr>
      </w:pPr>
      <w:r>
        <w:rPr>
          <w:rFonts w:hint="eastAsia" w:cs="Times New Roman"/>
          <w:szCs w:val="24"/>
          <w:highlight w:val="none"/>
        </w:rPr>
        <w:t>5、</w:t>
      </w:r>
      <w:r>
        <w:rPr>
          <w:rFonts w:cs="Times New Roman"/>
          <w:szCs w:val="24"/>
          <w:highlight w:val="none"/>
        </w:rPr>
        <w:t>部分货品定价后，供应商认为质价不符的，必须提前2个工作日内以书面形式（加盖公章）通知书送达甲方，说明涨跌原因、涨跌幅度。待甲方组织相关人员在九鼎、北园春、新联等市场询价后，确定新结算价格，新一轮定价结果出来前，采用上一轮定价价格。如因活禽肉水产价格波动，乙方拒绝供货，按照合同违约责任处理。</w:t>
      </w:r>
      <w:bookmarkEnd w:id="347"/>
      <w:bookmarkEnd w:id="348"/>
    </w:p>
    <w:p w14:paraId="0820964E">
      <w:pPr>
        <w:widowControl w:val="0"/>
        <w:spacing w:line="360" w:lineRule="auto"/>
        <w:ind w:firstLine="480" w:firstLineChars="200"/>
        <w:rPr>
          <w:rFonts w:cs="Times New Roman"/>
          <w:szCs w:val="24"/>
          <w:highlight w:val="none"/>
        </w:rPr>
      </w:pPr>
      <w:r>
        <w:rPr>
          <w:rFonts w:cs="Times New Roman"/>
          <w:szCs w:val="24"/>
          <w:highlight w:val="none"/>
        </w:rPr>
        <w:t>6</w:t>
      </w:r>
      <w:r>
        <w:rPr>
          <w:rFonts w:hint="eastAsia" w:cs="Times New Roman"/>
          <w:szCs w:val="24"/>
          <w:highlight w:val="none"/>
        </w:rPr>
        <w:t>、</w:t>
      </w:r>
      <w:r>
        <w:rPr>
          <w:rFonts w:cs="Times New Roman"/>
          <w:szCs w:val="24"/>
          <w:highlight w:val="none"/>
        </w:rPr>
        <w:t>本合同为</w:t>
      </w:r>
      <w:r>
        <w:rPr>
          <w:rFonts w:hint="eastAsia" w:cs="Times New Roman"/>
          <w:szCs w:val="24"/>
          <w:highlight w:val="none"/>
          <w:u w:val="single"/>
        </w:rPr>
        <w:t xml:space="preserve">       （价格形式）    </w:t>
      </w:r>
      <w:r>
        <w:rPr>
          <w:rFonts w:cs="Times New Roman"/>
          <w:szCs w:val="24"/>
          <w:highlight w:val="none"/>
        </w:rPr>
        <w:t>，合同总价以甲方实际采购并验收合格的数量结合上表标明单价进行结算支付。总价为人民币大写：</w:t>
      </w:r>
      <w:r>
        <w:rPr>
          <w:rFonts w:cs="Times New Roman"/>
          <w:szCs w:val="24"/>
          <w:highlight w:val="none"/>
          <w:u w:val="single"/>
        </w:rPr>
        <w:t xml:space="preserve">      </w:t>
      </w:r>
      <w:r>
        <w:rPr>
          <w:rFonts w:cs="Times New Roman"/>
          <w:szCs w:val="24"/>
          <w:highlight w:val="none"/>
        </w:rPr>
        <w:t>整 （小写：￥</w:t>
      </w:r>
      <w:r>
        <w:rPr>
          <w:rFonts w:cs="Times New Roman"/>
          <w:szCs w:val="24"/>
          <w:highlight w:val="none"/>
          <w:u w:val="single"/>
        </w:rPr>
        <w:t xml:space="preserve">      </w:t>
      </w:r>
      <w:r>
        <w:rPr>
          <w:rFonts w:cs="Times New Roman"/>
          <w:szCs w:val="24"/>
          <w:highlight w:val="none"/>
        </w:rPr>
        <w:t>元）。包含增值税。以上</w:t>
      </w:r>
      <w:r>
        <w:rPr>
          <w:rFonts w:hint="eastAsia" w:cs="Times New Roman"/>
          <w:szCs w:val="24"/>
          <w:highlight w:val="none"/>
        </w:rPr>
        <w:t>合同价格包括货物供给、税费、包装费、运输、调试、安装费、调试、装卸费必不可少的部件等费用，以及已支付或将支付的增值税和其他税费等所有费用；甲方除支付合同约定的上述款项外，无需再支付其他任何费用及款项。</w:t>
      </w:r>
    </w:p>
    <w:p w14:paraId="6532F691">
      <w:pPr>
        <w:widowControl w:val="0"/>
        <w:spacing w:line="360" w:lineRule="auto"/>
        <w:ind w:firstLine="480" w:firstLineChars="200"/>
        <w:rPr>
          <w:rFonts w:cs="Times New Roman"/>
          <w:szCs w:val="24"/>
          <w:highlight w:val="none"/>
        </w:rPr>
      </w:pPr>
      <w:r>
        <w:rPr>
          <w:rFonts w:cs="Times New Roman"/>
          <w:szCs w:val="24"/>
          <w:highlight w:val="none"/>
        </w:rPr>
        <w:t>7、</w:t>
      </w:r>
      <w:r>
        <w:rPr>
          <w:rFonts w:hint="eastAsia" w:cs="Times New Roman"/>
          <w:szCs w:val="24"/>
          <w:highlight w:val="none"/>
        </w:rPr>
        <w:t xml:space="preserve">价格清单表是基于乙方在完全理解本项目材料所需为前提，同时甲方对清单中的名称、规格、材质及数量等没有校对的义务，乙方在合同有效期内不得对清单的综合费用提出任何费用的增加。 </w:t>
      </w:r>
    </w:p>
    <w:p w14:paraId="6F29F669">
      <w:pPr>
        <w:widowControl w:val="0"/>
        <w:spacing w:line="360" w:lineRule="auto"/>
        <w:ind w:firstLine="361" w:firstLineChars="150"/>
        <w:jc w:val="both"/>
        <w:rPr>
          <w:rFonts w:cs="Times New Roman"/>
          <w:b/>
          <w:szCs w:val="24"/>
          <w:highlight w:val="none"/>
        </w:rPr>
      </w:pPr>
      <w:r>
        <w:rPr>
          <w:rFonts w:hint="eastAsia" w:cs="Times New Roman"/>
          <w:b/>
          <w:szCs w:val="24"/>
          <w:highlight w:val="none"/>
        </w:rPr>
        <w:t>三、货物质量保证</w:t>
      </w:r>
    </w:p>
    <w:p w14:paraId="65E06BEA">
      <w:pPr>
        <w:widowControl w:val="0"/>
        <w:spacing w:line="360" w:lineRule="auto"/>
        <w:ind w:firstLine="480" w:firstLineChars="200"/>
        <w:jc w:val="both"/>
        <w:rPr>
          <w:rFonts w:cs="Times New Roman"/>
          <w:b/>
          <w:szCs w:val="24"/>
          <w:highlight w:val="none"/>
        </w:rPr>
      </w:pPr>
      <w:r>
        <w:rPr>
          <w:rFonts w:cs="Times New Roman"/>
          <w:szCs w:val="24"/>
          <w:highlight w:val="none"/>
        </w:rPr>
        <w:t>1、乙方保证提供本合同项下的</w:t>
      </w:r>
      <w:r>
        <w:rPr>
          <w:rFonts w:hint="eastAsia" w:cs="Times New Roman"/>
          <w:szCs w:val="24"/>
          <w:highlight w:val="none"/>
        </w:rPr>
        <w:t>食品</w:t>
      </w:r>
      <w:r>
        <w:rPr>
          <w:rFonts w:cs="Times New Roman"/>
          <w:szCs w:val="24"/>
          <w:highlight w:val="none"/>
        </w:rPr>
        <w:t>符合国家食品安全标准及招投标文件</w:t>
      </w:r>
      <w:r>
        <w:rPr>
          <w:rFonts w:hint="eastAsia" w:cs="Times New Roman"/>
          <w:szCs w:val="24"/>
          <w:highlight w:val="none"/>
        </w:rPr>
        <w:t>、</w:t>
      </w:r>
      <w:r>
        <w:rPr>
          <w:rFonts w:cs="Times New Roman"/>
          <w:szCs w:val="24"/>
          <w:highlight w:val="none"/>
        </w:rPr>
        <w:t>答疑附件的质量要求，干净卫生</w:t>
      </w:r>
      <w:r>
        <w:rPr>
          <w:rFonts w:hint="eastAsia" w:cs="Times New Roman"/>
          <w:szCs w:val="24"/>
          <w:highlight w:val="none"/>
        </w:rPr>
        <w:t>、</w:t>
      </w:r>
      <w:r>
        <w:rPr>
          <w:rFonts w:cs="Times New Roman"/>
          <w:szCs w:val="24"/>
          <w:highlight w:val="none"/>
        </w:rPr>
        <w:t>无杂质</w:t>
      </w:r>
      <w:r>
        <w:rPr>
          <w:rFonts w:hint="eastAsia" w:cs="Times New Roman"/>
          <w:szCs w:val="24"/>
          <w:highlight w:val="none"/>
        </w:rPr>
        <w:t>，</w:t>
      </w:r>
      <w:r>
        <w:rPr>
          <w:rFonts w:cs="Times New Roman"/>
          <w:szCs w:val="24"/>
          <w:highlight w:val="none"/>
        </w:rPr>
        <w:t>无过期</w:t>
      </w:r>
      <w:r>
        <w:rPr>
          <w:rFonts w:hint="eastAsia" w:cs="Times New Roman"/>
          <w:szCs w:val="24"/>
          <w:highlight w:val="none"/>
        </w:rPr>
        <w:t>、</w:t>
      </w:r>
      <w:r>
        <w:rPr>
          <w:rFonts w:cs="Times New Roman"/>
          <w:szCs w:val="24"/>
          <w:highlight w:val="none"/>
        </w:rPr>
        <w:t>变质</w:t>
      </w:r>
      <w:r>
        <w:rPr>
          <w:rFonts w:hint="eastAsia" w:cs="Times New Roman"/>
          <w:szCs w:val="24"/>
          <w:highlight w:val="none"/>
        </w:rPr>
        <w:t>、</w:t>
      </w:r>
      <w:r>
        <w:rPr>
          <w:rFonts w:cs="Times New Roman"/>
          <w:szCs w:val="24"/>
          <w:highlight w:val="none"/>
        </w:rPr>
        <w:t>腐烂</w:t>
      </w:r>
      <w:r>
        <w:rPr>
          <w:rFonts w:hint="eastAsia" w:cs="Times New Roman"/>
          <w:szCs w:val="24"/>
          <w:highlight w:val="none"/>
        </w:rPr>
        <w:t>、以假充真、以次充好等</w:t>
      </w:r>
      <w:r>
        <w:rPr>
          <w:rFonts w:cs="Times New Roman"/>
          <w:szCs w:val="24"/>
          <w:highlight w:val="none"/>
        </w:rPr>
        <w:t>现象</w:t>
      </w:r>
      <w:r>
        <w:rPr>
          <w:rFonts w:hint="eastAsia" w:cs="Times New Roman"/>
          <w:szCs w:val="24"/>
          <w:highlight w:val="none"/>
        </w:rPr>
        <w:t>。</w:t>
      </w:r>
      <w:r>
        <w:rPr>
          <w:rFonts w:hint="eastAsia" w:cs="Times New Roman"/>
          <w:color w:val="000000"/>
          <w:szCs w:val="24"/>
          <w:highlight w:val="none"/>
        </w:rPr>
        <w:t>符合《中华人民共和国农产品质量安全法》《中华人民共和国消费者权益保护法》《中华人民共和国食品安全法》，</w:t>
      </w:r>
      <w:r>
        <w:rPr>
          <w:rFonts w:hint="eastAsia" w:cs="仿宋"/>
          <w:szCs w:val="24"/>
          <w:highlight w:val="none"/>
        </w:rPr>
        <w:t>必须符合本项目食品相关国家标准和卫生检测标准；没有国家标准的，必须符合行业标准，既没有国家标准和行业标准的应确保食材的新鲜、健康。</w:t>
      </w:r>
      <w:r>
        <w:rPr>
          <w:rFonts w:hint="eastAsia" w:cs="Times New Roman"/>
          <w:szCs w:val="24"/>
          <w:highlight w:val="none"/>
        </w:rPr>
        <w:t>包装必须标识齐全，并</w:t>
      </w:r>
      <w:r>
        <w:rPr>
          <w:rFonts w:cs="Times New Roman"/>
          <w:szCs w:val="24"/>
          <w:highlight w:val="none"/>
        </w:rPr>
        <w:t>保证其销售的产品不存在有造成甲方或任何第三人人身损害的现实或潜在的危险</w:t>
      </w:r>
      <w:r>
        <w:rPr>
          <w:rFonts w:hint="eastAsia" w:cs="Times New Roman"/>
          <w:szCs w:val="24"/>
          <w:highlight w:val="none"/>
        </w:rPr>
        <w:t>，并可溯源；</w:t>
      </w:r>
      <w:r>
        <w:rPr>
          <w:rFonts w:cs="Times New Roman"/>
          <w:szCs w:val="24"/>
          <w:highlight w:val="none"/>
        </w:rPr>
        <w:t>若因此造成任何损失，由乙方承担全部赔偿责任。</w:t>
      </w:r>
    </w:p>
    <w:p w14:paraId="6D98D4B5">
      <w:pPr>
        <w:widowControl w:val="0"/>
        <w:autoSpaceDE w:val="0"/>
        <w:autoSpaceDN w:val="0"/>
        <w:adjustRightInd w:val="0"/>
        <w:spacing w:line="360" w:lineRule="auto"/>
        <w:ind w:firstLine="480" w:firstLineChars="200"/>
        <w:rPr>
          <w:rFonts w:cs="仿宋"/>
          <w:kern w:val="0"/>
          <w:szCs w:val="24"/>
          <w:highlight w:val="none"/>
        </w:rPr>
      </w:pPr>
      <w:r>
        <w:rPr>
          <w:rFonts w:hint="eastAsia" w:cs="Times New Roman"/>
          <w:szCs w:val="24"/>
          <w:highlight w:val="none"/>
        </w:rPr>
        <w:t>2、乙方应保证其配送的每一个批次的食品符合上述质量标准及相应的安全标准。</w:t>
      </w:r>
      <w:r>
        <w:rPr>
          <w:rFonts w:hint="eastAsia" w:cs="Times New Roman"/>
          <w:b/>
          <w:szCs w:val="24"/>
          <w:highlight w:val="none"/>
        </w:rPr>
        <w:t>送货日必须提供</w:t>
      </w:r>
      <w:r>
        <w:rPr>
          <w:rFonts w:hint="eastAsia" w:cs="宋体"/>
          <w:b/>
          <w:kern w:val="0"/>
          <w:szCs w:val="24"/>
          <w:highlight w:val="none"/>
        </w:rPr>
        <w:t>乌鲁木齐市农产品质量安全食材准入检测合格证及活禽肉的检疫票，</w:t>
      </w:r>
      <w:r>
        <w:rPr>
          <w:rFonts w:hint="eastAsia" w:cs="宋体"/>
          <w:bCs/>
          <w:kern w:val="0"/>
          <w:szCs w:val="24"/>
          <w:highlight w:val="none"/>
        </w:rPr>
        <w:t>活禽肉检疫票上盖配送公司公章、签字与标注日期。</w:t>
      </w:r>
      <w:r>
        <w:rPr>
          <w:rFonts w:hint="eastAsia" w:cs="Times New Roman"/>
          <w:bCs/>
          <w:color w:val="000000"/>
          <w:kern w:val="0"/>
          <w:szCs w:val="24"/>
          <w:highlight w:val="none"/>
        </w:rPr>
        <w:t>供货时每批次货物必须在送货单的基础上</w:t>
      </w:r>
      <w:r>
        <w:rPr>
          <w:rFonts w:hint="eastAsia" w:cs="Times New Roman"/>
          <w:b/>
          <w:color w:val="000000"/>
          <w:kern w:val="0"/>
          <w:szCs w:val="24"/>
          <w:highlight w:val="none"/>
        </w:rPr>
        <w:t>提供《进货查验记录》，</w:t>
      </w:r>
      <w:r>
        <w:rPr>
          <w:rFonts w:hint="eastAsia" w:cs="Times New Roman"/>
          <w:bCs/>
          <w:color w:val="000000"/>
          <w:kern w:val="0"/>
          <w:szCs w:val="24"/>
          <w:highlight w:val="none"/>
        </w:rPr>
        <w:t>填写产品生产日期或生产批号、检测报告或合格证明等信息。</w:t>
      </w:r>
      <w:r>
        <w:rPr>
          <w:rFonts w:hint="eastAsia" w:cs="仿宋"/>
          <w:bCs/>
          <w:kern w:val="0"/>
          <w:szCs w:val="24"/>
          <w:highlight w:val="none"/>
        </w:rPr>
        <w:t>在实施</w:t>
      </w:r>
      <w:r>
        <w:rPr>
          <w:rFonts w:hint="eastAsia" w:cs="仿宋"/>
          <w:kern w:val="0"/>
          <w:szCs w:val="24"/>
          <w:highlight w:val="none"/>
        </w:rPr>
        <w:t>中甲方将核实乙方投标书中的产品质量标准、检验报告、生产厂家资质与实际供货的产品的质量标准、检验报告、生产厂家资质是否一致，如发现偏离，甲方将取消乙方供货资格，扣除当月或上月货款，并追究乙方相关法律责任。</w:t>
      </w:r>
    </w:p>
    <w:p w14:paraId="1B2528C1">
      <w:pPr>
        <w:widowControl w:val="0"/>
        <w:autoSpaceDE w:val="0"/>
        <w:autoSpaceDN w:val="0"/>
        <w:adjustRightInd w:val="0"/>
        <w:spacing w:line="360" w:lineRule="auto"/>
        <w:ind w:firstLine="480" w:firstLineChars="200"/>
        <w:rPr>
          <w:rFonts w:cs="仿宋"/>
          <w:szCs w:val="24"/>
          <w:highlight w:val="none"/>
        </w:rPr>
      </w:pPr>
      <w:r>
        <w:rPr>
          <w:rFonts w:hint="eastAsia" w:cs="仿宋"/>
          <w:kern w:val="0"/>
          <w:szCs w:val="24"/>
          <w:highlight w:val="none"/>
        </w:rPr>
        <w:t>3、</w:t>
      </w:r>
      <w:r>
        <w:rPr>
          <w:rFonts w:hint="eastAsia" w:cs="仿宋"/>
          <w:szCs w:val="24"/>
          <w:highlight w:val="none"/>
        </w:rPr>
        <w:t>乙方需在本合同签署之日向甲方提供各种有效证照的复印件一式三份(需加盖乙方公章)，包括但不限于：营业执照、</w:t>
      </w:r>
      <w:r>
        <w:rPr>
          <w:rFonts w:hint="eastAsia" w:cs="Times New Roman"/>
          <w:color w:val="000000"/>
          <w:kern w:val="0"/>
          <w:szCs w:val="24"/>
          <w:highlight w:val="none"/>
        </w:rPr>
        <w:t>产品质量检验报告等与食品销售要求的相关资质证明，</w:t>
      </w:r>
      <w:r>
        <w:rPr>
          <w:rFonts w:hint="eastAsia" w:cs="仿宋"/>
          <w:szCs w:val="24"/>
          <w:highlight w:val="none"/>
        </w:rPr>
        <w:t>否则，甲方有权不予付款且不承担违约责任。在本合同有效期内，乙方必须保证上述各类证照始终处于合法、有效状态。</w:t>
      </w:r>
    </w:p>
    <w:p w14:paraId="7B993778">
      <w:pPr>
        <w:widowControl w:val="0"/>
        <w:spacing w:line="360" w:lineRule="auto"/>
        <w:ind w:firstLine="480" w:firstLineChars="200"/>
        <w:jc w:val="both"/>
        <w:rPr>
          <w:rFonts w:cs="Times New Roman"/>
          <w:color w:val="000000"/>
          <w:kern w:val="0"/>
          <w:szCs w:val="24"/>
          <w:highlight w:val="none"/>
        </w:rPr>
      </w:pPr>
      <w:r>
        <w:rPr>
          <w:rFonts w:hint="eastAsia" w:cs="Times New Roman"/>
          <w:color w:val="000000"/>
          <w:kern w:val="0"/>
          <w:szCs w:val="24"/>
          <w:highlight w:val="none"/>
        </w:rPr>
        <w:t>4、</w:t>
      </w:r>
      <w:r>
        <w:rPr>
          <w:rFonts w:hint="eastAsia" w:cs="Times New Roman"/>
          <w:b/>
          <w:bCs/>
          <w:color w:val="000000"/>
          <w:kern w:val="0"/>
          <w:szCs w:val="24"/>
          <w:highlight w:val="none"/>
        </w:rPr>
        <w:t>第三方产品检测报告单每年更新</w:t>
      </w:r>
      <w:r>
        <w:rPr>
          <w:rFonts w:hint="eastAsia" w:cs="Times New Roman"/>
          <w:color w:val="000000"/>
          <w:kern w:val="0"/>
          <w:szCs w:val="24"/>
          <w:highlight w:val="none"/>
        </w:rPr>
        <w:t>，由</w:t>
      </w:r>
      <w:r>
        <w:rPr>
          <w:rFonts w:hint="eastAsia" w:cs="宋体"/>
          <w:bCs/>
          <w:color w:val="000000"/>
          <w:kern w:val="0"/>
          <w:highlight w:val="none"/>
        </w:rPr>
        <w:t>市场监督管理部门直属质检机构，或经市场监督管理部门资质认定并取得</w:t>
      </w:r>
      <w:r>
        <w:rPr>
          <w:rFonts w:cs="宋体"/>
          <w:bCs/>
          <w:color w:val="000000"/>
          <w:kern w:val="0"/>
          <w:highlight w:val="none"/>
        </w:rPr>
        <w:t>CMA检验检测资质的第三方检测机构出具的有效期内检测报告；报告页面须加盖清晰、有效的CMA资质认定印章；检测所依据的标准须为现行有效、未废止的国家标准或行业标准，引用已废止标准出具的检测报告一律不予认可。检测报告须清晰载明对应投标产品名称信息，所投标品牌或生产厂家，</w:t>
      </w:r>
      <w:r>
        <w:rPr>
          <w:rFonts w:hint="eastAsia" w:cs="宋体"/>
          <w:color w:val="000000"/>
          <w:kern w:val="0"/>
          <w:highlight w:val="none"/>
        </w:rPr>
        <w:t>检测项目中至少有兽药/渔药/重金属残留检测项目。</w:t>
      </w:r>
      <w:r>
        <w:rPr>
          <w:rFonts w:hint="eastAsia" w:cs="Times New Roman"/>
          <w:color w:val="000000"/>
          <w:kern w:val="0"/>
          <w:szCs w:val="24"/>
          <w:highlight w:val="none"/>
        </w:rPr>
        <w:t>非供货商生产的食品每份检测报告后要提供生产厂家营业执照、生产许可证。</w:t>
      </w:r>
    </w:p>
    <w:p w14:paraId="2B9FB6A4">
      <w:pPr>
        <w:widowControl w:val="0"/>
        <w:spacing w:line="360" w:lineRule="auto"/>
        <w:ind w:firstLine="480" w:firstLineChars="200"/>
        <w:jc w:val="both"/>
        <w:rPr>
          <w:rFonts w:hint="eastAsia" w:cs="Times New Roman"/>
          <w:color w:val="000000"/>
          <w:kern w:val="0"/>
          <w:szCs w:val="24"/>
          <w:highlight w:val="none"/>
        </w:rPr>
      </w:pPr>
      <w:r>
        <w:rPr>
          <w:rFonts w:hint="eastAsia" w:cs="Times New Roman"/>
          <w:color w:val="000000"/>
          <w:kern w:val="0"/>
          <w:szCs w:val="24"/>
          <w:highlight w:val="none"/>
        </w:rPr>
        <w:t>5、</w:t>
      </w:r>
      <w:r>
        <w:rPr>
          <w:rFonts w:hint="eastAsia" w:cs="Times New Roman"/>
          <w:szCs w:val="24"/>
          <w:highlight w:val="none"/>
        </w:rPr>
        <w:t>乙方应保证其持有的食品生产</w:t>
      </w:r>
      <w:r>
        <w:rPr>
          <w:rFonts w:cs="Times New Roman"/>
          <w:szCs w:val="24"/>
          <w:highlight w:val="none"/>
        </w:rPr>
        <w:t>/经营许可证、从业人员健康证等全部履约所需资质在合同有效期内持续合法有效，资质到期前30日应向甲方提供更新后的资质证明文件，若资质被吊销、注销或过期失效的，应立即书面通知甲方。</w:t>
      </w:r>
    </w:p>
    <w:p w14:paraId="0EDC263A">
      <w:pPr>
        <w:widowControl w:val="0"/>
        <w:spacing w:line="360" w:lineRule="auto"/>
        <w:ind w:firstLine="480" w:firstLineChars="200"/>
        <w:jc w:val="both"/>
        <w:rPr>
          <w:rFonts w:cs="Times New Roman"/>
          <w:szCs w:val="24"/>
          <w:highlight w:val="none"/>
        </w:rPr>
      </w:pPr>
      <w:r>
        <w:rPr>
          <w:rFonts w:cs="仿宋"/>
          <w:szCs w:val="24"/>
          <w:highlight w:val="none"/>
        </w:rPr>
        <w:t>6</w:t>
      </w:r>
      <w:r>
        <w:rPr>
          <w:rFonts w:hint="eastAsia" w:cs="仿宋"/>
          <w:szCs w:val="24"/>
          <w:highlight w:val="none"/>
        </w:rPr>
        <w:t>、乙方应保证货源充足，</w:t>
      </w:r>
      <w:r>
        <w:rPr>
          <w:rFonts w:hint="eastAsia" w:cs="仿宋"/>
          <w:kern w:val="0"/>
          <w:szCs w:val="24"/>
          <w:highlight w:val="none"/>
        </w:rPr>
        <w:t>根据甲方采购计划单的品种数量，乙方不得缺斤少两，</w:t>
      </w:r>
      <w:r>
        <w:rPr>
          <w:rFonts w:hint="eastAsia" w:cs="仿宋"/>
          <w:b/>
          <w:bCs/>
          <w:kern w:val="0"/>
          <w:szCs w:val="24"/>
          <w:highlight w:val="none"/>
        </w:rPr>
        <w:t>缺货少货由乙方当日12:00前（北京时间）补齐</w:t>
      </w:r>
      <w:r>
        <w:rPr>
          <w:rFonts w:hint="eastAsia" w:cs="仿宋"/>
          <w:kern w:val="0"/>
          <w:szCs w:val="24"/>
          <w:highlight w:val="none"/>
        </w:rPr>
        <w:t>，运输、装卸等费用乙方自理。乙方如发生不给甲方按时补齐货物的情况，第一次甲方有权按照同等金额扣除货款作为违约金，并提出一次警告；第二次出现同样情况者，甲方有权扣除当月货款作为违约金，同时甲方有权单方解除合同。</w:t>
      </w:r>
      <w:r>
        <w:rPr>
          <w:rFonts w:hint="eastAsia" w:cs="Times New Roman"/>
          <w:szCs w:val="24"/>
          <w:highlight w:val="none"/>
        </w:rPr>
        <w:t>乙方缺货或交付的货物被甲方拒收的，应按甲方要求及时补足或更换合格货物；逾期未补足或更换的，甲方有权自行采购同规格同质量的货物，因此产生的额外成本由乙方承担，甲方可直接从应付货款中扣除相应金额。</w:t>
      </w:r>
      <w:r>
        <w:rPr>
          <w:rFonts w:cs="Times New Roman"/>
          <w:szCs w:val="24"/>
          <w:highlight w:val="none"/>
        </w:rPr>
        <w:t xml:space="preserve"> </w:t>
      </w:r>
    </w:p>
    <w:p w14:paraId="4247CE67">
      <w:pPr>
        <w:widowControl w:val="0"/>
        <w:spacing w:line="360" w:lineRule="auto"/>
        <w:ind w:firstLine="480" w:firstLineChars="200"/>
        <w:jc w:val="both"/>
        <w:rPr>
          <w:rFonts w:cs="仿宋"/>
          <w:kern w:val="0"/>
          <w:szCs w:val="24"/>
          <w:highlight w:val="none"/>
        </w:rPr>
      </w:pPr>
      <w:r>
        <w:rPr>
          <w:rFonts w:cs="仿宋"/>
          <w:kern w:val="0"/>
          <w:szCs w:val="24"/>
          <w:highlight w:val="none"/>
        </w:rPr>
        <w:t>7</w:t>
      </w:r>
      <w:r>
        <w:rPr>
          <w:rFonts w:hint="eastAsia" w:cs="仿宋"/>
          <w:kern w:val="0"/>
          <w:szCs w:val="24"/>
          <w:highlight w:val="none"/>
        </w:rPr>
        <w:t>、如甲方</w:t>
      </w:r>
      <w:r>
        <w:rPr>
          <w:rFonts w:hint="eastAsia" w:cs="仿宋"/>
          <w:b/>
          <w:bCs/>
          <w:kern w:val="0"/>
          <w:szCs w:val="24"/>
          <w:highlight w:val="none"/>
        </w:rPr>
        <w:t>应急临时</w:t>
      </w:r>
      <w:r>
        <w:rPr>
          <w:rFonts w:hint="eastAsia" w:cs="仿宋"/>
          <w:kern w:val="0"/>
          <w:szCs w:val="24"/>
          <w:highlight w:val="none"/>
        </w:rPr>
        <w:t>需购货品，乙方必须按指定的品种、数量,在接到甲方的供货通知后2小时内及时送货，运输费用由乙方承担。节假日保证按时配送。如甲方有特殊配送需求的，乙方必须设法满足，如不能按时到货，导致甲方断货，乙方将按第八条向甲方承担违约责任。</w:t>
      </w:r>
    </w:p>
    <w:p w14:paraId="57C62447">
      <w:pPr>
        <w:widowControl w:val="0"/>
        <w:spacing w:line="360" w:lineRule="auto"/>
        <w:ind w:firstLine="480" w:firstLineChars="200"/>
        <w:jc w:val="both"/>
        <w:rPr>
          <w:rFonts w:cs="仿宋"/>
          <w:szCs w:val="24"/>
          <w:highlight w:val="none"/>
        </w:rPr>
      </w:pPr>
      <w:r>
        <w:rPr>
          <w:rFonts w:cs="仿宋"/>
          <w:kern w:val="0"/>
          <w:szCs w:val="24"/>
          <w:highlight w:val="none"/>
        </w:rPr>
        <w:t>8</w:t>
      </w:r>
      <w:r>
        <w:rPr>
          <w:rFonts w:hint="eastAsia" w:cs="仿宋"/>
          <w:kern w:val="0"/>
          <w:szCs w:val="24"/>
          <w:highlight w:val="none"/>
        </w:rPr>
        <w:t>、根据招标文件、答疑附件、合同等确定货物的品牌、品质后，在合同期内，</w:t>
      </w:r>
      <w:r>
        <w:rPr>
          <w:rFonts w:hint="eastAsia" w:cs="仿宋"/>
          <w:b/>
          <w:bCs/>
          <w:kern w:val="0"/>
          <w:szCs w:val="24"/>
          <w:highlight w:val="none"/>
        </w:rPr>
        <w:t>乙方不许以任何理由，调整所供货物的品牌、品质</w:t>
      </w:r>
      <w:r>
        <w:rPr>
          <w:rFonts w:hint="eastAsia" w:cs="仿宋"/>
          <w:kern w:val="0"/>
          <w:szCs w:val="24"/>
          <w:highlight w:val="none"/>
        </w:rPr>
        <w:t>。必须保证为原厂出产食品，如出现食品</w:t>
      </w:r>
      <w:r>
        <w:rPr>
          <w:rFonts w:cs="仿宋"/>
          <w:kern w:val="0"/>
          <w:szCs w:val="24"/>
          <w:highlight w:val="none"/>
        </w:rPr>
        <w:t>拆</w:t>
      </w:r>
      <w:r>
        <w:rPr>
          <w:rFonts w:hint="eastAsia" w:cs="仿宋"/>
          <w:kern w:val="0"/>
          <w:szCs w:val="24"/>
          <w:highlight w:val="none"/>
        </w:rPr>
        <w:t>袋</w:t>
      </w:r>
      <w:r>
        <w:rPr>
          <w:rFonts w:cs="仿宋"/>
          <w:kern w:val="0"/>
          <w:szCs w:val="24"/>
          <w:highlight w:val="none"/>
        </w:rPr>
        <w:t>混</w:t>
      </w:r>
      <w:r>
        <w:rPr>
          <w:rFonts w:hint="eastAsia" w:cs="仿宋"/>
          <w:kern w:val="0"/>
          <w:szCs w:val="24"/>
          <w:highlight w:val="none"/>
        </w:rPr>
        <w:t>装少装现象,并扣除未结算货款。如遇该厂产品市场缺货情况属实，经甲方书面同意可调换同等质量级别、规格的食品，</w:t>
      </w:r>
      <w:r>
        <w:rPr>
          <w:rFonts w:hint="eastAsia" w:cs="Times New Roman"/>
          <w:color w:val="000000"/>
          <w:kern w:val="0"/>
          <w:szCs w:val="24"/>
          <w:highlight w:val="none"/>
        </w:rPr>
        <w:t>并按中标价结算</w:t>
      </w:r>
      <w:r>
        <w:rPr>
          <w:rFonts w:hint="eastAsia" w:cs="仿宋"/>
          <w:kern w:val="0"/>
          <w:szCs w:val="24"/>
          <w:highlight w:val="none"/>
        </w:rPr>
        <w:t>。</w:t>
      </w:r>
    </w:p>
    <w:p w14:paraId="657B2A70">
      <w:pPr>
        <w:widowControl w:val="0"/>
        <w:spacing w:line="360" w:lineRule="auto"/>
        <w:ind w:firstLine="480" w:firstLineChars="200"/>
        <w:rPr>
          <w:rFonts w:cs="Times New Roman"/>
          <w:szCs w:val="24"/>
          <w:highlight w:val="none"/>
        </w:rPr>
      </w:pPr>
      <w:r>
        <w:rPr>
          <w:rFonts w:cs="Times New Roman"/>
          <w:color w:val="000000"/>
          <w:kern w:val="0"/>
          <w:szCs w:val="24"/>
          <w:highlight w:val="none"/>
        </w:rPr>
        <w:t>9</w:t>
      </w:r>
      <w:r>
        <w:rPr>
          <w:rFonts w:hint="eastAsia" w:cs="Times New Roman"/>
          <w:color w:val="000000"/>
          <w:kern w:val="0"/>
          <w:szCs w:val="24"/>
          <w:highlight w:val="none"/>
        </w:rPr>
        <w:t>、</w:t>
      </w:r>
      <w:r>
        <w:rPr>
          <w:rFonts w:hint="eastAsia" w:cs="仿宋"/>
          <w:kern w:val="0"/>
          <w:szCs w:val="24"/>
          <w:highlight w:val="none"/>
        </w:rPr>
        <w:t>甲方根据需要对送来货物</w:t>
      </w:r>
      <w:r>
        <w:rPr>
          <w:rFonts w:hint="eastAsia" w:cs="仿宋"/>
          <w:b/>
          <w:bCs/>
          <w:kern w:val="0"/>
          <w:szCs w:val="24"/>
          <w:highlight w:val="none"/>
        </w:rPr>
        <w:t>每年至少一次质量抽检</w:t>
      </w:r>
      <w:r>
        <w:rPr>
          <w:rFonts w:hint="eastAsia" w:cs="仿宋"/>
          <w:kern w:val="0"/>
          <w:szCs w:val="24"/>
          <w:highlight w:val="none"/>
        </w:rPr>
        <w:t>，对送来货物随机抽取进行基本农残、兽药残留等抽检，抽检样品送自治区质量技术监督局等第三方专业检测机构进行检测，</w:t>
      </w:r>
      <w:r>
        <w:rPr>
          <w:rFonts w:hint="eastAsia" w:cs="仿宋"/>
          <w:b/>
          <w:bCs/>
          <w:kern w:val="0"/>
          <w:szCs w:val="24"/>
          <w:highlight w:val="none"/>
        </w:rPr>
        <w:t>检测费用由乙方支付，乙方拒不支付的，甲方有权在当月结算款中扣除检测费</w:t>
      </w:r>
      <w:r>
        <w:rPr>
          <w:rFonts w:hint="eastAsia" w:cs="仿宋"/>
          <w:kern w:val="0"/>
          <w:szCs w:val="24"/>
          <w:highlight w:val="none"/>
        </w:rPr>
        <w:t>。如发现不符合质量安全检验检测标准，甲方将扣除上月或者当月货款，并终止合同。在省市各级食品安全相关监督检查部门进行质量抽检中，如出现不符合质量安全检验检测标准的，乙方负责免费无条件更换货品，并承担因此产生的处罚等一切相关费用。</w:t>
      </w:r>
    </w:p>
    <w:p w14:paraId="4117F071">
      <w:pPr>
        <w:widowControl w:val="0"/>
        <w:spacing w:line="360" w:lineRule="auto"/>
        <w:ind w:firstLine="482" w:firstLineChars="200"/>
        <w:rPr>
          <w:rFonts w:cs="Times New Roman"/>
          <w:b/>
          <w:szCs w:val="24"/>
          <w:highlight w:val="none"/>
        </w:rPr>
      </w:pPr>
      <w:r>
        <w:rPr>
          <w:rFonts w:hint="eastAsia" w:cs="Times New Roman"/>
          <w:b/>
          <w:szCs w:val="24"/>
          <w:highlight w:val="none"/>
        </w:rPr>
        <w:t>四、质量保证期</w:t>
      </w:r>
    </w:p>
    <w:p w14:paraId="0E1F4EAD">
      <w:pPr>
        <w:widowControl w:val="0"/>
        <w:spacing w:line="360" w:lineRule="auto"/>
        <w:ind w:firstLine="480" w:firstLineChars="200"/>
        <w:jc w:val="both"/>
        <w:rPr>
          <w:rFonts w:cs="Times New Roman"/>
          <w:szCs w:val="24"/>
          <w:highlight w:val="none"/>
        </w:rPr>
      </w:pPr>
      <w:r>
        <w:rPr>
          <w:rFonts w:cs="Times New Roman"/>
          <w:szCs w:val="24"/>
          <w:highlight w:val="none"/>
        </w:rPr>
        <w:t>1、乙方不对供应甲方的货品进行长时间储藏。质量保证期自甲方书面验收合格之日起至生产厂家产品包装上印刷的有效质保期为止。甲方发现不符合配送期要求的货品，有权拒收或要求乙方无偿调换。</w:t>
      </w:r>
      <w:r>
        <w:rPr>
          <w:rFonts w:hint="eastAsia" w:cs="Times New Roman"/>
          <w:bCs/>
          <w:szCs w:val="24"/>
          <w:highlight w:val="none"/>
        </w:rPr>
        <w:t>并提出一次警告，并要求乙方在合理期限内予以整改；第二次出现同样情况者，甲方有权要求乙方根据所验货物数量金额的双倍支付违约金；第三次出现同样情况者，甲方有权单方终止合同，且不承担任何违约责任，造成甲方损失的，乙方应予赔偿。</w:t>
      </w:r>
    </w:p>
    <w:p w14:paraId="6219F0DA">
      <w:pPr>
        <w:widowControl w:val="0"/>
        <w:spacing w:line="360" w:lineRule="auto"/>
        <w:ind w:firstLine="480" w:firstLineChars="200"/>
        <w:jc w:val="both"/>
        <w:rPr>
          <w:rFonts w:cs="Times New Roman"/>
          <w:szCs w:val="24"/>
          <w:highlight w:val="none"/>
        </w:rPr>
      </w:pPr>
      <w:r>
        <w:rPr>
          <w:rFonts w:cs="Times New Roman"/>
          <w:szCs w:val="24"/>
          <w:highlight w:val="none"/>
        </w:rPr>
        <w:t>2、在质量保证期内，因货物出现易碎、变质、过期及其他质量问题等现象的，乙方负责免费无条件更换或者甲方进行数量核减，并承担因更换货物所产生的包装、运费等一切相关费用。若乙方当日未按甲方要求配送货物或当日未将有质量问题的货物予以更换的，甲方有权另行采购其他商家同类货物，由此产生的全部费用由乙方承担，并且甲方有权按照当日要求更换货物的两倍金额从当月货款中扣除作为违约金。</w:t>
      </w:r>
    </w:p>
    <w:p w14:paraId="01D8FA7B">
      <w:pPr>
        <w:widowControl w:val="0"/>
        <w:spacing w:line="360" w:lineRule="auto"/>
        <w:ind w:firstLine="480" w:firstLineChars="200"/>
        <w:jc w:val="both"/>
        <w:rPr>
          <w:rFonts w:cs="Times New Roman"/>
          <w:bCs/>
          <w:szCs w:val="24"/>
          <w:highlight w:val="none"/>
        </w:rPr>
      </w:pPr>
      <w:r>
        <w:rPr>
          <w:rFonts w:cs="Times New Roman"/>
          <w:szCs w:val="24"/>
          <w:highlight w:val="none"/>
        </w:rPr>
        <w:t>3、如发现质次价高的货品或同等质量货品价格虚高的现象，甲方有权要求乙方根据所验货物数量金额的双倍支付违约金或减半支付货款，并提出一次警告；第二次出现同样情况者，甲方有权要求乙方根据所验货物数量金额的双倍支付违约金或减半支付货款，同时单方解除合同。</w:t>
      </w:r>
    </w:p>
    <w:p w14:paraId="7C0DF594">
      <w:pPr>
        <w:widowControl w:val="0"/>
        <w:spacing w:line="360" w:lineRule="auto"/>
        <w:ind w:firstLine="482" w:firstLineChars="200"/>
        <w:jc w:val="both"/>
        <w:rPr>
          <w:rFonts w:cs="Times New Roman"/>
          <w:b/>
          <w:szCs w:val="24"/>
          <w:highlight w:val="none"/>
        </w:rPr>
      </w:pPr>
      <w:r>
        <w:rPr>
          <w:rFonts w:hint="eastAsia" w:cs="Times New Roman"/>
          <w:b/>
          <w:szCs w:val="24"/>
          <w:highlight w:val="none"/>
        </w:rPr>
        <w:t>五、交货（或安装）时间、地点</w:t>
      </w:r>
    </w:p>
    <w:p w14:paraId="3E93381D">
      <w:pPr>
        <w:widowControl w:val="0"/>
        <w:spacing w:line="520" w:lineRule="exact"/>
        <w:ind w:firstLine="360" w:firstLineChars="150"/>
        <w:jc w:val="both"/>
        <w:rPr>
          <w:rFonts w:cs="仿宋"/>
          <w:kern w:val="0"/>
          <w:szCs w:val="24"/>
          <w:highlight w:val="none"/>
        </w:rPr>
      </w:pPr>
      <w:r>
        <w:rPr>
          <w:rFonts w:cs="Times New Roman"/>
          <w:szCs w:val="24"/>
          <w:highlight w:val="none"/>
        </w:rPr>
        <w:t>1、</w:t>
      </w:r>
      <w:r>
        <w:rPr>
          <w:rFonts w:hint="eastAsia" w:cs="仿宋"/>
          <w:b/>
          <w:bCs/>
          <w:kern w:val="0"/>
          <w:szCs w:val="24"/>
          <w:highlight w:val="none"/>
        </w:rPr>
        <w:t>交货时间</w:t>
      </w:r>
      <w:r>
        <w:rPr>
          <w:rFonts w:hint="eastAsia" w:cs="仿宋"/>
          <w:kern w:val="0"/>
          <w:szCs w:val="24"/>
          <w:highlight w:val="none"/>
        </w:rPr>
        <w:t>：</w:t>
      </w:r>
      <w:r>
        <w:rPr>
          <w:rFonts w:hint="eastAsia" w:cs="Times New Roman"/>
          <w:kern w:val="0"/>
          <w:szCs w:val="24"/>
          <w:highlight w:val="none"/>
        </w:rPr>
        <w:t>根据甲方各餐厅的具体要求进行配送，乙方</w:t>
      </w:r>
      <w:r>
        <w:rPr>
          <w:rFonts w:hint="eastAsia" w:cs="Times New Roman"/>
          <w:b/>
          <w:szCs w:val="24"/>
          <w:highlight w:val="none"/>
        </w:rPr>
        <w:t>接到甲方供货通知后</w:t>
      </w:r>
      <w:r>
        <w:rPr>
          <w:rFonts w:hint="eastAsia" w:cs="Times New Roman"/>
          <w:b/>
          <w:szCs w:val="24"/>
          <w:highlight w:val="none"/>
          <w:u w:val="single"/>
        </w:rPr>
        <w:t xml:space="preserve">   24  </w:t>
      </w:r>
      <w:r>
        <w:rPr>
          <w:rFonts w:hint="eastAsia" w:cs="Times New Roman"/>
          <w:b/>
          <w:szCs w:val="24"/>
          <w:highlight w:val="none"/>
        </w:rPr>
        <w:t>小时内进行供货，每天上午8：00开始供货，9：30之前送货完毕（不得在各餐厅开餐时间送货）。</w:t>
      </w:r>
      <w:r>
        <w:rPr>
          <w:rFonts w:hint="eastAsia" w:cs="Times New Roman"/>
          <w:kern w:val="0"/>
          <w:szCs w:val="24"/>
          <w:highlight w:val="none"/>
        </w:rPr>
        <w:t>节假日保证按时配送。有可能会发生每日少量供货现象。如甲方有特殊配送需求的，乙方必须设法满足，如不能按时到货，导致甲方断货影响配餐，乙方将按第八条向甲方承担违约责任。</w:t>
      </w:r>
    </w:p>
    <w:p w14:paraId="30DC78FE">
      <w:pPr>
        <w:widowControl w:val="0"/>
        <w:spacing w:line="520" w:lineRule="exact"/>
        <w:ind w:firstLine="360" w:firstLineChars="150"/>
        <w:jc w:val="both"/>
        <w:rPr>
          <w:rFonts w:cs="Times New Roman"/>
          <w:szCs w:val="24"/>
          <w:highlight w:val="none"/>
        </w:rPr>
      </w:pPr>
      <w:r>
        <w:rPr>
          <w:rFonts w:hint="eastAsia" w:cs="仿宋"/>
          <w:kern w:val="0"/>
          <w:szCs w:val="24"/>
          <w:highlight w:val="none"/>
        </w:rPr>
        <w:t>2、</w:t>
      </w:r>
      <w:r>
        <w:rPr>
          <w:rFonts w:hint="eastAsia" w:cs="Times New Roman"/>
          <w:b/>
          <w:bCs/>
          <w:szCs w:val="24"/>
          <w:highlight w:val="none"/>
        </w:rPr>
        <w:t>交货</w:t>
      </w:r>
      <w:r>
        <w:rPr>
          <w:rFonts w:cs="Times New Roman"/>
          <w:b/>
          <w:bCs/>
          <w:szCs w:val="24"/>
          <w:highlight w:val="none"/>
        </w:rPr>
        <w:t>地点</w:t>
      </w:r>
      <w:r>
        <w:rPr>
          <w:rFonts w:cs="Times New Roman"/>
          <w:szCs w:val="24"/>
          <w:highlight w:val="none"/>
          <w:u w:val="single"/>
        </w:rPr>
        <w:t>：</w:t>
      </w:r>
      <w:r>
        <w:rPr>
          <w:rFonts w:cs="Times New Roman"/>
          <w:b/>
          <w:bCs/>
          <w:szCs w:val="24"/>
          <w:highlight w:val="none"/>
          <w:u w:val="single"/>
        </w:rPr>
        <w:t>新疆医科大学各校区各餐厅</w:t>
      </w:r>
      <w:r>
        <w:rPr>
          <w:rFonts w:hint="eastAsia" w:cs="Times New Roman"/>
          <w:b/>
          <w:bCs/>
          <w:szCs w:val="24"/>
          <w:highlight w:val="none"/>
          <w:u w:val="single"/>
        </w:rPr>
        <w:t>（新医路校区三个餐厅、雪莲山校区九个餐厅、三个加工中心）</w:t>
      </w:r>
      <w:r>
        <w:rPr>
          <w:rFonts w:cs="Times New Roman"/>
          <w:szCs w:val="24"/>
          <w:highlight w:val="none"/>
        </w:rPr>
        <w:t>，</w:t>
      </w:r>
      <w:r>
        <w:rPr>
          <w:rFonts w:hint="eastAsia" w:cs="Times New Roman"/>
          <w:color w:val="000000"/>
          <w:szCs w:val="24"/>
          <w:highlight w:val="none"/>
        </w:rPr>
        <w:t>装卸码放整齐，</w:t>
      </w:r>
      <w:r>
        <w:rPr>
          <w:rFonts w:cs="Times New Roman"/>
          <w:szCs w:val="24"/>
          <w:highlight w:val="none"/>
        </w:rPr>
        <w:t>确保及时配合甲方完成验收工作。</w:t>
      </w:r>
    </w:p>
    <w:p w14:paraId="151A748E">
      <w:pPr>
        <w:widowControl w:val="0"/>
        <w:spacing w:line="520" w:lineRule="exact"/>
        <w:ind w:firstLine="360" w:firstLineChars="150"/>
        <w:jc w:val="both"/>
        <w:rPr>
          <w:rFonts w:cs="Times New Roman"/>
          <w:szCs w:val="24"/>
          <w:highlight w:val="none"/>
        </w:rPr>
      </w:pPr>
      <w:r>
        <w:rPr>
          <w:rFonts w:hint="eastAsia" w:cs="Times New Roman"/>
          <w:szCs w:val="24"/>
          <w:highlight w:val="none"/>
        </w:rPr>
        <w:t>3</w:t>
      </w:r>
      <w:r>
        <w:rPr>
          <w:rFonts w:cs="Times New Roman"/>
          <w:szCs w:val="24"/>
          <w:highlight w:val="none"/>
        </w:rPr>
        <w:t>、到货地点和接货单位（或接货人）。甲方指定的接货人为：食材采购中心采购员或餐厅负责人，双方明确，除该指定接货人外，其他任何人员（包括甲方的其他任何工作人员）签署的接货单，甲方均不予认可。</w:t>
      </w:r>
    </w:p>
    <w:p w14:paraId="32F61B9E">
      <w:pPr>
        <w:widowControl w:val="0"/>
        <w:spacing w:line="520" w:lineRule="exact"/>
        <w:ind w:firstLine="480" w:firstLineChars="200"/>
        <w:jc w:val="both"/>
        <w:rPr>
          <w:rFonts w:cs="Times New Roman"/>
          <w:szCs w:val="24"/>
          <w:highlight w:val="none"/>
        </w:rPr>
      </w:pPr>
      <w:r>
        <w:rPr>
          <w:rFonts w:hint="eastAsia" w:cs="Times New Roman"/>
          <w:szCs w:val="24"/>
          <w:highlight w:val="none"/>
        </w:rPr>
        <w:t>4</w:t>
      </w:r>
      <w:r>
        <w:rPr>
          <w:rFonts w:cs="Times New Roman"/>
          <w:szCs w:val="24"/>
          <w:highlight w:val="none"/>
        </w:rPr>
        <w:t>、交货完成前（即</w:t>
      </w:r>
      <w:r>
        <w:rPr>
          <w:rFonts w:hint="eastAsia" w:cs="Times New Roman"/>
          <w:szCs w:val="24"/>
          <w:highlight w:val="none"/>
        </w:rPr>
        <w:t>食品</w:t>
      </w:r>
      <w:r>
        <w:rPr>
          <w:rFonts w:cs="Times New Roman"/>
          <w:szCs w:val="24"/>
          <w:highlight w:val="none"/>
        </w:rPr>
        <w:t>交付完毕且经甲方书面验收合格前），本合同项下</w:t>
      </w:r>
      <w:r>
        <w:rPr>
          <w:rFonts w:hint="eastAsia" w:cs="Times New Roman"/>
          <w:szCs w:val="24"/>
          <w:highlight w:val="none"/>
        </w:rPr>
        <w:t>食品</w:t>
      </w:r>
      <w:r>
        <w:rPr>
          <w:rFonts w:cs="Times New Roman"/>
          <w:szCs w:val="24"/>
          <w:highlight w:val="none"/>
        </w:rPr>
        <w:t>的损毁灭失风险由乙方承担，交货完成后</w:t>
      </w:r>
      <w:r>
        <w:rPr>
          <w:rFonts w:hint="eastAsia" w:cs="Times New Roman"/>
          <w:szCs w:val="24"/>
          <w:highlight w:val="none"/>
        </w:rPr>
        <w:t>（食品</w:t>
      </w:r>
      <w:r>
        <w:rPr>
          <w:rFonts w:cs="Times New Roman"/>
          <w:szCs w:val="24"/>
          <w:highlight w:val="none"/>
        </w:rPr>
        <w:t>交付完毕且经过甲方书面验收合格后</w:t>
      </w:r>
      <w:r>
        <w:rPr>
          <w:rFonts w:hint="eastAsia" w:cs="Times New Roman"/>
          <w:szCs w:val="24"/>
          <w:highlight w:val="none"/>
        </w:rPr>
        <w:t>）</w:t>
      </w:r>
      <w:r>
        <w:rPr>
          <w:rFonts w:cs="Times New Roman"/>
          <w:szCs w:val="24"/>
          <w:highlight w:val="none"/>
        </w:rPr>
        <w:t>，</w:t>
      </w:r>
      <w:r>
        <w:rPr>
          <w:rFonts w:hint="eastAsia" w:cs="Times New Roman"/>
          <w:szCs w:val="24"/>
          <w:highlight w:val="none"/>
        </w:rPr>
        <w:t>食品</w:t>
      </w:r>
      <w:r>
        <w:rPr>
          <w:rFonts w:cs="Times New Roman"/>
          <w:szCs w:val="24"/>
          <w:highlight w:val="none"/>
        </w:rPr>
        <w:t>的所有权及损毁灭失风险转移至甲方。</w:t>
      </w:r>
    </w:p>
    <w:p w14:paraId="268E406F">
      <w:pPr>
        <w:widowControl w:val="0"/>
        <w:spacing w:line="360" w:lineRule="auto"/>
        <w:ind w:firstLine="480" w:firstLineChars="200"/>
        <w:jc w:val="both"/>
        <w:rPr>
          <w:rFonts w:cs="Times New Roman"/>
          <w:szCs w:val="24"/>
          <w:highlight w:val="none"/>
          <w:u w:val="single"/>
        </w:rPr>
      </w:pPr>
      <w:r>
        <w:rPr>
          <w:rFonts w:hint="eastAsia" w:cs="Times New Roman"/>
          <w:szCs w:val="24"/>
          <w:highlight w:val="none"/>
        </w:rPr>
        <w:t>5、在履行合同过程中，如果乙方遇到妨碍按时交货和提供服务的情况时，应及时以书面形式将拖延的事实，可能拖延的时间和原因通知甲方，经甲方同意延期交货后，及时采取补救措施，不得无故断货。无故断货，甲方有权解除合同。如果乙方无故断货造成甲方餐厅无法正常营业者，乙方应向甲方支付</w:t>
      </w:r>
      <w:r>
        <w:rPr>
          <w:rFonts w:hint="eastAsia"/>
          <w:highlight w:val="none"/>
        </w:rPr>
        <w:t>合同总价20%的</w:t>
      </w:r>
      <w:r>
        <w:rPr>
          <w:rFonts w:hint="eastAsia" w:cs="Times New Roman"/>
          <w:szCs w:val="24"/>
          <w:highlight w:val="none"/>
        </w:rPr>
        <w:t>违约金；二次出现同样情况者，甲方有权单方终止合同，且不承担任何违约责任。</w:t>
      </w:r>
    </w:p>
    <w:p w14:paraId="3A4AB977">
      <w:pPr>
        <w:widowControl w:val="0"/>
        <w:spacing w:line="360" w:lineRule="auto"/>
        <w:ind w:firstLine="482" w:firstLineChars="200"/>
        <w:jc w:val="both"/>
        <w:rPr>
          <w:rFonts w:cs="Bookman Old Style"/>
          <w:bCs/>
          <w:szCs w:val="24"/>
          <w:highlight w:val="none"/>
        </w:rPr>
      </w:pPr>
      <w:r>
        <w:rPr>
          <w:rFonts w:hint="eastAsia" w:cs="Times New Roman"/>
          <w:b/>
          <w:szCs w:val="24"/>
          <w:highlight w:val="none"/>
        </w:rPr>
        <w:t>六、验收</w:t>
      </w:r>
    </w:p>
    <w:p w14:paraId="1C809E12">
      <w:pPr>
        <w:widowControl w:val="0"/>
        <w:spacing w:line="360" w:lineRule="auto"/>
        <w:ind w:firstLine="360" w:firstLineChars="150"/>
        <w:jc w:val="both"/>
        <w:rPr>
          <w:rFonts w:cs="Times New Roman"/>
          <w:szCs w:val="24"/>
          <w:highlight w:val="none"/>
        </w:rPr>
      </w:pPr>
      <w:r>
        <w:rPr>
          <w:rFonts w:cs="Times New Roman"/>
          <w:szCs w:val="24"/>
          <w:highlight w:val="none"/>
        </w:rPr>
        <w:t>1、验收标准</w:t>
      </w:r>
      <w:r>
        <w:rPr>
          <w:rFonts w:hint="eastAsia" w:cs="Times New Roman"/>
          <w:szCs w:val="24"/>
          <w:highlight w:val="none"/>
        </w:rPr>
        <w:t>：</w:t>
      </w:r>
      <w:r>
        <w:rPr>
          <w:rFonts w:cs="Times New Roman"/>
          <w:szCs w:val="24"/>
          <w:highlight w:val="none"/>
        </w:rPr>
        <w:t>以招投标文件及本合同甲、乙双方约定的质量标准为</w:t>
      </w:r>
      <w:r>
        <w:rPr>
          <w:rFonts w:hint="eastAsia" w:cs="Times New Roman"/>
          <w:szCs w:val="24"/>
          <w:highlight w:val="none"/>
        </w:rPr>
        <w:t>食品</w:t>
      </w:r>
      <w:r>
        <w:rPr>
          <w:rFonts w:cs="Times New Roman"/>
          <w:szCs w:val="24"/>
          <w:highlight w:val="none"/>
        </w:rPr>
        <w:t>的验收标准。</w:t>
      </w:r>
      <w:r>
        <w:rPr>
          <w:rFonts w:hint="eastAsia" w:cs="Times New Roman"/>
          <w:szCs w:val="24"/>
          <w:highlight w:val="none"/>
        </w:rPr>
        <w:t>乙方交货后，</w:t>
      </w:r>
      <w:r>
        <w:rPr>
          <w:rFonts w:cs="Times New Roman"/>
          <w:szCs w:val="24"/>
          <w:highlight w:val="none"/>
        </w:rPr>
        <w:t>甲方仅对乙方交付</w:t>
      </w:r>
      <w:r>
        <w:rPr>
          <w:rFonts w:hint="eastAsia" w:cs="Times New Roman"/>
          <w:szCs w:val="24"/>
          <w:highlight w:val="none"/>
        </w:rPr>
        <w:t>食品</w:t>
      </w:r>
      <w:r>
        <w:rPr>
          <w:rFonts w:cs="Times New Roman"/>
          <w:szCs w:val="24"/>
          <w:highlight w:val="none"/>
        </w:rPr>
        <w:t>的数量</w:t>
      </w:r>
      <w:r>
        <w:rPr>
          <w:rFonts w:hint="eastAsia" w:cs="Times New Roman"/>
          <w:szCs w:val="24"/>
          <w:highlight w:val="none"/>
        </w:rPr>
        <w:t>、</w:t>
      </w:r>
      <w:r>
        <w:rPr>
          <w:rFonts w:cs="Times New Roman"/>
          <w:szCs w:val="24"/>
          <w:highlight w:val="none"/>
        </w:rPr>
        <w:t>规格</w:t>
      </w:r>
      <w:r>
        <w:rPr>
          <w:rFonts w:hint="eastAsia" w:cs="Times New Roman"/>
          <w:szCs w:val="24"/>
          <w:highlight w:val="none"/>
        </w:rPr>
        <w:t>、</w:t>
      </w:r>
      <w:r>
        <w:rPr>
          <w:rFonts w:cs="Times New Roman"/>
          <w:szCs w:val="24"/>
          <w:highlight w:val="none"/>
        </w:rPr>
        <w:t>外观等进行</w:t>
      </w:r>
      <w:r>
        <w:rPr>
          <w:rFonts w:cs="Times New Roman"/>
          <w:b/>
          <w:bCs/>
          <w:szCs w:val="24"/>
          <w:highlight w:val="none"/>
        </w:rPr>
        <w:t>初步验收</w:t>
      </w:r>
      <w:r>
        <w:rPr>
          <w:rFonts w:hint="eastAsia" w:cs="Times New Roman"/>
          <w:szCs w:val="24"/>
          <w:highlight w:val="none"/>
        </w:rPr>
        <w:t>，</w:t>
      </w:r>
      <w:r>
        <w:rPr>
          <w:rFonts w:cs="Times New Roman"/>
          <w:szCs w:val="24"/>
          <w:highlight w:val="none"/>
        </w:rPr>
        <w:t>初步验收合格不代表乙方对所交付</w:t>
      </w:r>
      <w:r>
        <w:rPr>
          <w:rFonts w:hint="eastAsia" w:cs="Times New Roman"/>
          <w:szCs w:val="24"/>
          <w:highlight w:val="none"/>
        </w:rPr>
        <w:t>食品</w:t>
      </w:r>
      <w:r>
        <w:rPr>
          <w:rFonts w:cs="Times New Roman"/>
          <w:szCs w:val="24"/>
          <w:highlight w:val="none"/>
        </w:rPr>
        <w:t>潜在质量安全问题免责</w:t>
      </w:r>
      <w:r>
        <w:rPr>
          <w:rFonts w:hint="eastAsia" w:cs="Times New Roman"/>
          <w:szCs w:val="24"/>
          <w:highlight w:val="none"/>
        </w:rPr>
        <w:t>。</w:t>
      </w:r>
    </w:p>
    <w:p w14:paraId="0D3CD11D">
      <w:pPr>
        <w:autoSpaceDE w:val="0"/>
        <w:autoSpaceDN w:val="0"/>
        <w:adjustRightInd w:val="0"/>
        <w:spacing w:line="360" w:lineRule="auto"/>
        <w:ind w:firstLine="480" w:firstLineChars="200"/>
        <w:rPr>
          <w:rFonts w:cs="华文楷体"/>
          <w:kern w:val="0"/>
          <w:szCs w:val="24"/>
          <w:highlight w:val="none"/>
        </w:rPr>
      </w:pPr>
      <w:r>
        <w:rPr>
          <w:rFonts w:hint="eastAsia" w:cs="华文楷体"/>
          <w:kern w:val="0"/>
          <w:szCs w:val="24"/>
          <w:highlight w:val="none"/>
        </w:rPr>
        <w:t>执行标准及准则（包含但不限于）:GB2707、GB2760、GB2761、GB2762、GB2763、GB29921、GB31650、农业农村部第250号公告、GB2733、GB14880；以上均按照最新一期发布的标准执行。</w:t>
      </w:r>
    </w:p>
    <w:p w14:paraId="712EFE54">
      <w:pPr>
        <w:widowControl w:val="0"/>
        <w:autoSpaceDE w:val="0"/>
        <w:autoSpaceDN w:val="0"/>
        <w:adjustRightInd w:val="0"/>
        <w:spacing w:line="360" w:lineRule="auto"/>
        <w:ind w:firstLine="480" w:firstLineChars="200"/>
        <w:rPr>
          <w:rFonts w:cs="Times New Roman"/>
          <w:bCs/>
          <w:color w:val="000000"/>
          <w:szCs w:val="24"/>
          <w:highlight w:val="none"/>
        </w:rPr>
      </w:pPr>
      <w:r>
        <w:rPr>
          <w:rFonts w:hint="eastAsia" w:cs="Times New Roman"/>
          <w:bCs/>
          <w:color w:val="000000"/>
          <w:szCs w:val="24"/>
          <w:highlight w:val="none"/>
        </w:rPr>
        <w:t>（1）</w:t>
      </w:r>
      <w:r>
        <w:rPr>
          <w:rFonts w:hint="eastAsia" w:cs="Times New Roman"/>
          <w:b/>
          <w:color w:val="000000"/>
          <w:szCs w:val="24"/>
          <w:highlight w:val="none"/>
        </w:rPr>
        <w:t>鲜活家禽肉类</w:t>
      </w:r>
      <w:r>
        <w:rPr>
          <w:rFonts w:hint="eastAsia" w:cs="Times New Roman"/>
          <w:bCs/>
          <w:color w:val="000000"/>
          <w:szCs w:val="24"/>
          <w:highlight w:val="none"/>
        </w:rPr>
        <w:t>，要求头冠鲜红挺立，羽毛光洁明亮，眼睛灵活有神，腹部肉质丰厚而结实，肛门洁净而无污物黏液，经宰杀后，外皮完整光滑，整体型肥圆丰满者为佳。家禽类内脏心、肝应选灰红色、筋少、有弹性、无斑点者。</w:t>
      </w:r>
    </w:p>
    <w:p w14:paraId="32DFD095">
      <w:pPr>
        <w:widowControl w:val="0"/>
        <w:autoSpaceDE w:val="0"/>
        <w:autoSpaceDN w:val="0"/>
        <w:adjustRightInd w:val="0"/>
        <w:spacing w:line="360" w:lineRule="auto"/>
        <w:ind w:firstLine="480" w:firstLineChars="200"/>
        <w:rPr>
          <w:rFonts w:cs="Times New Roman"/>
          <w:bCs/>
          <w:color w:val="000000"/>
          <w:szCs w:val="24"/>
          <w:highlight w:val="none"/>
        </w:rPr>
      </w:pPr>
      <w:r>
        <w:rPr>
          <w:rFonts w:hint="eastAsia" w:cs="Times New Roman"/>
          <w:bCs/>
          <w:color w:val="000000"/>
          <w:szCs w:val="24"/>
          <w:highlight w:val="none"/>
        </w:rPr>
        <w:t>（2）</w:t>
      </w:r>
      <w:r>
        <w:rPr>
          <w:rFonts w:hint="eastAsia" w:cs="Times New Roman"/>
          <w:b/>
          <w:color w:val="000000"/>
          <w:szCs w:val="24"/>
          <w:highlight w:val="none"/>
        </w:rPr>
        <w:t>鲜活水产类</w:t>
      </w:r>
      <w:r>
        <w:rPr>
          <w:rFonts w:hint="eastAsia" w:cs="Times New Roman"/>
          <w:bCs/>
          <w:color w:val="000000"/>
          <w:szCs w:val="24"/>
          <w:highlight w:val="none"/>
        </w:rPr>
        <w:t>，要求鳞片整齐而完整，眼睛明亮而呈水晶状，鱼鳃鲜红，鱼肚坚挺而不下陷，鱼身结实而富弹性，只有正常的鱼腥味而无腐臭味。虾蟹壳类种类繁多，依其种类各有其应有的色泽，身型完整、坚挺、光滑、明亮而饱满，具自然的海鲜腥味而无腐臭味。</w:t>
      </w:r>
    </w:p>
    <w:p w14:paraId="4F51A58A">
      <w:pPr>
        <w:widowControl w:val="0"/>
        <w:autoSpaceDE w:val="0"/>
        <w:autoSpaceDN w:val="0"/>
        <w:adjustRightInd w:val="0"/>
        <w:spacing w:line="360" w:lineRule="auto"/>
        <w:ind w:firstLine="480" w:firstLineChars="200"/>
        <w:rPr>
          <w:rFonts w:cs="Times New Roman"/>
          <w:bCs/>
          <w:szCs w:val="24"/>
          <w:highlight w:val="none"/>
        </w:rPr>
      </w:pPr>
      <w:r>
        <w:rPr>
          <w:rFonts w:hint="eastAsia" w:cs="Times New Roman"/>
          <w:bCs/>
          <w:color w:val="000000"/>
          <w:szCs w:val="24"/>
          <w:highlight w:val="none"/>
        </w:rPr>
        <w:t>（3）要求</w:t>
      </w:r>
      <w:r>
        <w:rPr>
          <w:rFonts w:hint="eastAsia" w:cs="Times New Roman"/>
          <w:b/>
          <w:color w:val="000000"/>
          <w:szCs w:val="24"/>
          <w:highlight w:val="none"/>
        </w:rPr>
        <w:t>除皮验收过称</w:t>
      </w:r>
      <w:r>
        <w:rPr>
          <w:rFonts w:hint="eastAsia" w:cs="Times New Roman"/>
          <w:bCs/>
          <w:color w:val="000000"/>
          <w:szCs w:val="24"/>
          <w:highlight w:val="none"/>
        </w:rPr>
        <w:t>。甲方对有腐烂、变质、冻伤等有质量问题的货物有权拒收，且</w:t>
      </w:r>
      <w:r>
        <w:rPr>
          <w:rFonts w:hint="eastAsia" w:cs="Times New Roman"/>
          <w:b/>
          <w:color w:val="000000"/>
          <w:szCs w:val="24"/>
          <w:highlight w:val="none"/>
        </w:rPr>
        <w:t>保障餐厅当日使用乙方须在2小时内进行更换</w:t>
      </w:r>
      <w:r>
        <w:rPr>
          <w:rFonts w:hint="eastAsia" w:cs="Times New Roman"/>
          <w:bCs/>
          <w:color w:val="000000"/>
          <w:szCs w:val="24"/>
          <w:highlight w:val="none"/>
        </w:rPr>
        <w:t>，费用乙方自理，如未及时送达给甲方造成的相关损失均由乙方负责。</w:t>
      </w:r>
    </w:p>
    <w:p w14:paraId="0A488EEE">
      <w:pPr>
        <w:widowControl w:val="0"/>
        <w:spacing w:line="360" w:lineRule="auto"/>
        <w:ind w:firstLine="480" w:firstLineChars="200"/>
        <w:jc w:val="both"/>
        <w:rPr>
          <w:rFonts w:cs="Times New Roman"/>
          <w:bCs/>
          <w:szCs w:val="24"/>
          <w:highlight w:val="none"/>
        </w:rPr>
      </w:pPr>
      <w:r>
        <w:rPr>
          <w:rFonts w:hint="eastAsia" w:cs="Times New Roman"/>
          <w:szCs w:val="24"/>
          <w:highlight w:val="none"/>
        </w:rPr>
        <w:t>2</w:t>
      </w:r>
      <w:r>
        <w:rPr>
          <w:rFonts w:cs="Times New Roman"/>
          <w:szCs w:val="24"/>
          <w:highlight w:val="none"/>
        </w:rPr>
        <w:t>、</w:t>
      </w:r>
      <w:r>
        <w:rPr>
          <w:rFonts w:hint="eastAsia" w:cs="Times New Roman"/>
          <w:szCs w:val="24"/>
          <w:highlight w:val="none"/>
        </w:rPr>
        <w:t>数量的认定：乙方依据甲方提供的物资计划单中品种数量配送；甲方工作人员和乙方人员现场称重或点数完毕后，共同在送货单上核准并签字，并加盖乙方发票专用章作为结帐凭证。此</w:t>
      </w:r>
      <w:r>
        <w:rPr>
          <w:rFonts w:hint="eastAsia" w:cs="Times New Roman"/>
          <w:b/>
          <w:bCs/>
          <w:szCs w:val="24"/>
          <w:highlight w:val="none"/>
        </w:rPr>
        <w:t>送货单一式三联</w:t>
      </w:r>
      <w:r>
        <w:rPr>
          <w:rFonts w:hint="eastAsia" w:cs="Times New Roman"/>
          <w:szCs w:val="24"/>
          <w:highlight w:val="none"/>
        </w:rPr>
        <w:t>（甲方、餐厅、乙方各执一联）。计量单位：按公斤、个等计；</w:t>
      </w:r>
      <w:r>
        <w:rPr>
          <w:rFonts w:hint="eastAsia" w:cs="Times New Roman"/>
          <w:bCs/>
          <w:szCs w:val="24"/>
          <w:highlight w:val="none"/>
        </w:rPr>
        <w:t>按公斤单位验收的货品，除皮验收，去除送货包装箱重量。</w:t>
      </w:r>
      <w:r>
        <w:rPr>
          <w:rFonts w:hint="eastAsia" w:cs="宋体"/>
          <w:bCs/>
          <w:kern w:val="0"/>
          <w:szCs w:val="24"/>
          <w:highlight w:val="none"/>
        </w:rPr>
        <w:t>结算数量按照各餐厅实际收货数量进行结算。</w:t>
      </w:r>
    </w:p>
    <w:p w14:paraId="3BBBE0F6">
      <w:pPr>
        <w:widowControl w:val="0"/>
        <w:spacing w:line="360" w:lineRule="auto"/>
        <w:ind w:firstLine="480" w:firstLineChars="200"/>
        <w:jc w:val="both"/>
        <w:rPr>
          <w:rFonts w:cs="Times New Roman"/>
          <w:szCs w:val="24"/>
          <w:highlight w:val="none"/>
        </w:rPr>
      </w:pPr>
      <w:r>
        <w:rPr>
          <w:rFonts w:hint="eastAsia" w:cs="Times New Roman"/>
          <w:szCs w:val="24"/>
          <w:highlight w:val="none"/>
        </w:rPr>
        <w:t>3</w:t>
      </w:r>
      <w:r>
        <w:rPr>
          <w:rFonts w:cs="Times New Roman"/>
          <w:szCs w:val="24"/>
          <w:highlight w:val="none"/>
        </w:rPr>
        <w:t>、</w:t>
      </w:r>
      <w:r>
        <w:rPr>
          <w:rFonts w:hint="eastAsia" w:cs="Times New Roman"/>
          <w:szCs w:val="24"/>
          <w:highlight w:val="none"/>
        </w:rPr>
        <w:t>初步验收合格后，甲方依照本合同中约定的质量要求和验收标准进行最终验收。最终验收不合格的，应及时向乙方提出书面或口头异议，乙方应在接到异议后及时进行更换，直至验收合格，如果因乙方供货质量原因造成的甲方受到的损失，乙方还应承担相应违约责任并承担相应赔偿。如因乙方供货品质量不符合标准，达不到甲方要求，经甲方三次书面告知后仍然不能达到甲方要求的，甲方有权通知乙方解除合同，且不承担任何违约责任。</w:t>
      </w:r>
    </w:p>
    <w:p w14:paraId="31B21D6D">
      <w:pPr>
        <w:widowControl w:val="0"/>
        <w:spacing w:line="360" w:lineRule="auto"/>
        <w:ind w:firstLine="482" w:firstLineChars="200"/>
        <w:jc w:val="both"/>
        <w:rPr>
          <w:rFonts w:cs="Times New Roman"/>
          <w:b/>
          <w:szCs w:val="24"/>
          <w:highlight w:val="none"/>
        </w:rPr>
      </w:pPr>
      <w:r>
        <w:rPr>
          <w:rFonts w:hint="eastAsia" w:cs="Times New Roman"/>
          <w:b/>
          <w:szCs w:val="24"/>
          <w:highlight w:val="none"/>
        </w:rPr>
        <w:t>七、售后服务</w:t>
      </w:r>
    </w:p>
    <w:p w14:paraId="191FB332">
      <w:pPr>
        <w:widowControl w:val="0"/>
        <w:spacing w:line="360" w:lineRule="auto"/>
        <w:ind w:firstLine="480" w:firstLineChars="200"/>
        <w:jc w:val="both"/>
        <w:rPr>
          <w:rFonts w:cs="Times New Roman"/>
          <w:szCs w:val="24"/>
          <w:highlight w:val="none"/>
        </w:rPr>
      </w:pPr>
      <w:r>
        <w:rPr>
          <w:rFonts w:hint="eastAsia" w:cs="Times New Roman"/>
          <w:szCs w:val="24"/>
          <w:highlight w:val="none"/>
        </w:rPr>
        <w:t>上述产品的免费保修期为交货并验收合格后</w:t>
      </w:r>
      <w:r>
        <w:rPr>
          <w:rFonts w:hint="eastAsia" w:cs="Times New Roman"/>
          <w:szCs w:val="24"/>
          <w:highlight w:val="none"/>
          <w:u w:val="single"/>
        </w:rPr>
        <w:t xml:space="preserve">         </w:t>
      </w:r>
      <w:r>
        <w:rPr>
          <w:rFonts w:hint="eastAsia" w:cs="Times New Roman"/>
          <w:szCs w:val="24"/>
          <w:highlight w:val="none"/>
        </w:rPr>
        <w:t>；</w:t>
      </w:r>
    </w:p>
    <w:p w14:paraId="702A3B69">
      <w:pPr>
        <w:widowControl w:val="0"/>
        <w:spacing w:line="360" w:lineRule="auto"/>
        <w:ind w:firstLine="480" w:firstLineChars="200"/>
        <w:jc w:val="both"/>
        <w:rPr>
          <w:rFonts w:cs="Times New Roman"/>
          <w:szCs w:val="24"/>
          <w:highlight w:val="none"/>
        </w:rPr>
      </w:pPr>
      <w:r>
        <w:rPr>
          <w:rFonts w:hint="eastAsia" w:cs="Times New Roman"/>
          <w:szCs w:val="24"/>
          <w:highlight w:val="none"/>
        </w:rPr>
        <w:t>免费更换时间为交货并验收合格后</w:t>
      </w:r>
      <w:r>
        <w:rPr>
          <w:rFonts w:hint="eastAsia" w:cs="Times New Roman"/>
          <w:szCs w:val="24"/>
          <w:highlight w:val="none"/>
          <w:u w:val="single"/>
        </w:rPr>
        <w:t xml:space="preserve">                </w:t>
      </w:r>
      <w:r>
        <w:rPr>
          <w:rFonts w:hint="eastAsia" w:cs="Times New Roman"/>
          <w:szCs w:val="24"/>
          <w:highlight w:val="none"/>
        </w:rPr>
        <w:t>；</w:t>
      </w:r>
    </w:p>
    <w:p w14:paraId="1F361878">
      <w:pPr>
        <w:widowControl w:val="0"/>
        <w:spacing w:line="360" w:lineRule="auto"/>
        <w:ind w:firstLine="480" w:firstLineChars="200"/>
        <w:jc w:val="both"/>
        <w:rPr>
          <w:rFonts w:cs="Times New Roman"/>
          <w:szCs w:val="24"/>
          <w:highlight w:val="none"/>
          <w:u w:val="single"/>
        </w:rPr>
      </w:pPr>
      <w:r>
        <w:rPr>
          <w:rFonts w:hint="eastAsia" w:cs="Times New Roman"/>
          <w:szCs w:val="24"/>
          <w:highlight w:val="none"/>
        </w:rPr>
        <w:t xml:space="preserve">乙方售后服务联系人 </w:t>
      </w:r>
      <w:r>
        <w:rPr>
          <w:rFonts w:hint="eastAsia" w:cs="Times New Roman"/>
          <w:szCs w:val="24"/>
          <w:highlight w:val="none"/>
          <w:u w:val="single"/>
        </w:rPr>
        <w:t xml:space="preserve">                    </w:t>
      </w:r>
      <w:r>
        <w:rPr>
          <w:rFonts w:hint="eastAsia" w:cs="Times New Roman"/>
          <w:szCs w:val="24"/>
          <w:highlight w:val="none"/>
        </w:rPr>
        <w:t>；</w:t>
      </w:r>
    </w:p>
    <w:p w14:paraId="795567AA">
      <w:pPr>
        <w:widowControl w:val="0"/>
        <w:spacing w:line="360" w:lineRule="auto"/>
        <w:ind w:firstLine="480" w:firstLineChars="200"/>
        <w:jc w:val="both"/>
        <w:rPr>
          <w:rFonts w:cs="Times New Roman"/>
          <w:szCs w:val="24"/>
          <w:highlight w:val="none"/>
          <w:u w:val="single"/>
        </w:rPr>
      </w:pPr>
      <w:r>
        <w:rPr>
          <w:rFonts w:hint="eastAsia" w:cs="Times New Roman"/>
          <w:szCs w:val="24"/>
          <w:highlight w:val="none"/>
        </w:rPr>
        <w:t>联系电话</w:t>
      </w:r>
      <w:r>
        <w:rPr>
          <w:rFonts w:hint="eastAsia" w:cs="Times New Roman"/>
          <w:szCs w:val="24"/>
          <w:highlight w:val="none"/>
          <w:u w:val="single"/>
        </w:rPr>
        <w:t xml:space="preserve">                      。</w:t>
      </w:r>
      <w:r>
        <w:rPr>
          <w:rFonts w:hint="eastAsia" w:cs="Times New Roman"/>
          <w:szCs w:val="24"/>
          <w:highlight w:val="none"/>
        </w:rPr>
        <w:t xml:space="preserve"> </w:t>
      </w:r>
    </w:p>
    <w:p w14:paraId="5C76EE2D">
      <w:pPr>
        <w:widowControl w:val="0"/>
        <w:numPr>
          <w:ilvl w:val="0"/>
          <w:numId w:val="4"/>
        </w:numPr>
        <w:spacing w:line="360" w:lineRule="auto"/>
        <w:ind w:firstLine="482" w:firstLineChars="200"/>
        <w:jc w:val="both"/>
        <w:rPr>
          <w:rFonts w:cs="Times New Roman"/>
          <w:b/>
          <w:szCs w:val="24"/>
          <w:highlight w:val="none"/>
        </w:rPr>
      </w:pPr>
      <w:r>
        <w:rPr>
          <w:rFonts w:hint="eastAsia" w:cs="Times New Roman"/>
          <w:b/>
          <w:szCs w:val="24"/>
          <w:highlight w:val="none"/>
        </w:rPr>
        <w:t>货款的支付</w:t>
      </w:r>
    </w:p>
    <w:p w14:paraId="599C1348">
      <w:pPr>
        <w:widowControl w:val="0"/>
        <w:spacing w:line="360" w:lineRule="auto"/>
        <w:ind w:firstLine="480" w:firstLineChars="200"/>
        <w:jc w:val="both"/>
        <w:rPr>
          <w:rFonts w:cs="仿宋_GB2312"/>
          <w:szCs w:val="24"/>
          <w:highlight w:val="none"/>
          <w:lang w:bidi="ar"/>
        </w:rPr>
      </w:pPr>
      <w:r>
        <w:rPr>
          <w:rFonts w:hint="eastAsia" w:cs="Times New Roman"/>
          <w:szCs w:val="24"/>
          <w:highlight w:val="none"/>
        </w:rPr>
        <w:t>1、</w:t>
      </w:r>
      <w:r>
        <w:rPr>
          <w:rFonts w:hint="eastAsia" w:cs="仿宋_GB2312"/>
          <w:szCs w:val="24"/>
          <w:highlight w:val="none"/>
          <w:lang w:bidi="ar"/>
        </w:rPr>
        <w:t>履约担保：是否收取履约保证金（含保函）：</w:t>
      </w:r>
      <w:r>
        <w:rPr>
          <w:rFonts w:hint="eastAsia" w:cs="仿宋_GB2312"/>
          <w:szCs w:val="24"/>
          <w:highlight w:val="none"/>
          <w:lang w:bidi="ar"/>
        </w:rPr>
        <w:sym w:font="Wingdings" w:char="00A8"/>
      </w:r>
      <w:r>
        <w:rPr>
          <w:rFonts w:hint="eastAsia" w:cs="仿宋_GB2312"/>
          <w:szCs w:val="24"/>
          <w:highlight w:val="none"/>
          <w:lang w:bidi="ar"/>
        </w:rPr>
        <w:t xml:space="preserve">是    </w:t>
      </w:r>
      <w:r>
        <w:rPr>
          <w:rFonts w:hint="eastAsia" w:cs="仿宋_GB2312"/>
          <w:szCs w:val="24"/>
          <w:highlight w:val="none"/>
          <w:lang w:bidi="ar"/>
        </w:rPr>
        <w:sym w:font="Wingdings" w:char="00A8"/>
      </w:r>
      <w:r>
        <w:rPr>
          <w:rFonts w:hint="eastAsia" w:cs="仿宋_GB2312"/>
          <w:szCs w:val="24"/>
          <w:highlight w:val="none"/>
          <w:lang w:bidi="ar"/>
        </w:rPr>
        <w:t>否</w:t>
      </w:r>
    </w:p>
    <w:p w14:paraId="539C9050">
      <w:pPr>
        <w:widowControl w:val="0"/>
        <w:spacing w:line="360" w:lineRule="auto"/>
        <w:ind w:left="547" w:leftChars="228"/>
        <w:jc w:val="both"/>
        <w:rPr>
          <w:rFonts w:cs="仿宋_GB2312"/>
          <w:szCs w:val="24"/>
          <w:highlight w:val="none"/>
          <w:lang w:bidi="ar"/>
        </w:rPr>
      </w:pPr>
      <w:r>
        <w:rPr>
          <w:rFonts w:hint="eastAsia" w:cs="仿宋_GB2312"/>
          <w:szCs w:val="24"/>
          <w:highlight w:val="none"/>
          <w:lang w:bidi="ar"/>
        </w:rPr>
        <w:t xml:space="preserve">收取履约保证金形式： </w:t>
      </w:r>
      <w:r>
        <w:rPr>
          <w:rFonts w:hint="eastAsia" w:cs="仿宋_GB2312"/>
          <w:szCs w:val="24"/>
          <w:highlight w:val="none"/>
          <w:lang w:bidi="ar"/>
        </w:rPr>
        <w:sym w:font="Wingdings" w:char="00A8"/>
      </w:r>
      <w:r>
        <w:rPr>
          <w:rFonts w:hint="eastAsia" w:cs="仿宋_GB2312"/>
          <w:szCs w:val="24"/>
          <w:highlight w:val="none"/>
          <w:lang w:bidi="ar"/>
        </w:rPr>
        <w:t xml:space="preserve">电汇  </w:t>
      </w:r>
      <w:r>
        <w:rPr>
          <w:rFonts w:hint="eastAsia" w:cs="仿宋_GB2312"/>
          <w:szCs w:val="24"/>
          <w:highlight w:val="none"/>
          <w:lang w:bidi="ar"/>
        </w:rPr>
        <w:sym w:font="Wingdings" w:char="00A8"/>
      </w:r>
      <w:r>
        <w:rPr>
          <w:rFonts w:hint="eastAsia" w:cs="仿宋_GB2312"/>
          <w:szCs w:val="24"/>
          <w:highlight w:val="none"/>
          <w:lang w:bidi="ar"/>
        </w:rPr>
        <w:t xml:space="preserve">支票  </w:t>
      </w:r>
      <w:r>
        <w:rPr>
          <w:rFonts w:hint="eastAsia" w:cs="仿宋_GB2312"/>
          <w:szCs w:val="24"/>
          <w:highlight w:val="none"/>
          <w:lang w:bidi="ar"/>
        </w:rPr>
        <w:sym w:font="Wingdings" w:char="00A8"/>
      </w:r>
      <w:r>
        <w:rPr>
          <w:rFonts w:hint="eastAsia" w:cs="仿宋_GB2312"/>
          <w:szCs w:val="24"/>
          <w:highlight w:val="none"/>
          <w:lang w:bidi="ar"/>
        </w:rPr>
        <w:t xml:space="preserve">履约保函原件彩色扫描件    </w:t>
      </w:r>
    </w:p>
    <w:p w14:paraId="38594121">
      <w:pPr>
        <w:widowControl w:val="0"/>
        <w:spacing w:line="360" w:lineRule="auto"/>
        <w:ind w:left="547" w:leftChars="228"/>
        <w:jc w:val="both"/>
        <w:rPr>
          <w:rFonts w:cs="仿宋_GB2312"/>
          <w:szCs w:val="24"/>
          <w:highlight w:val="none"/>
          <w:lang w:bidi="ar"/>
        </w:rPr>
      </w:pPr>
      <w:r>
        <w:rPr>
          <w:rFonts w:hint="eastAsia" w:cs="仿宋_GB2312"/>
          <w:szCs w:val="24"/>
          <w:highlight w:val="none"/>
          <w:lang w:bidi="ar"/>
        </w:rPr>
        <w:t>履约保证金缴纳时间：乙方应在本合同签订前3个工作日内向甲方提交履约保证金 。</w:t>
      </w:r>
    </w:p>
    <w:p w14:paraId="53245053">
      <w:pPr>
        <w:widowControl w:val="0"/>
        <w:spacing w:line="360" w:lineRule="auto"/>
        <w:ind w:left="547" w:leftChars="228"/>
        <w:jc w:val="both"/>
        <w:rPr>
          <w:rFonts w:cs="仿宋_GB2312"/>
          <w:szCs w:val="24"/>
          <w:highlight w:val="none"/>
          <w:lang w:bidi="ar"/>
        </w:rPr>
      </w:pPr>
      <w:r>
        <w:rPr>
          <w:rFonts w:hint="eastAsia" w:cs="仿宋_GB2312"/>
          <w:szCs w:val="24"/>
          <w:highlight w:val="none"/>
          <w:lang w:bidi="ar"/>
        </w:rPr>
        <w:t>收取履约保证金（保函）金额：</w:t>
      </w:r>
      <w:r>
        <w:rPr>
          <w:rFonts w:hint="eastAsia" w:cs="仿宋_GB2312"/>
          <w:szCs w:val="24"/>
          <w:highlight w:val="none"/>
          <w:u w:val="single"/>
          <w:lang w:bidi="ar"/>
        </w:rPr>
        <w:t xml:space="preserve">                   </w:t>
      </w:r>
      <w:r>
        <w:rPr>
          <w:rFonts w:hint="eastAsia" w:cs="仿宋_GB2312"/>
          <w:szCs w:val="24"/>
          <w:highlight w:val="none"/>
          <w:lang w:bidi="ar"/>
        </w:rPr>
        <w:t xml:space="preserve"> 。        </w:t>
      </w:r>
    </w:p>
    <w:p w14:paraId="332A68FA">
      <w:pPr>
        <w:widowControl w:val="0"/>
        <w:spacing w:line="360" w:lineRule="auto"/>
        <w:ind w:left="547" w:leftChars="228"/>
        <w:jc w:val="both"/>
        <w:rPr>
          <w:rFonts w:cs="仿宋_GB2312"/>
          <w:szCs w:val="24"/>
          <w:highlight w:val="none"/>
          <w:lang w:bidi="ar"/>
        </w:rPr>
      </w:pPr>
      <w:r>
        <w:rPr>
          <w:rFonts w:hint="eastAsia" w:cs="仿宋_GB2312"/>
          <w:szCs w:val="24"/>
          <w:highlight w:val="none"/>
          <w:lang w:bidi="ar"/>
        </w:rPr>
        <w:t>履约保证金的有效期：</w:t>
      </w:r>
      <w:r>
        <w:rPr>
          <w:rFonts w:hint="eastAsia" w:cs="宋体"/>
          <w:szCs w:val="24"/>
          <w:highlight w:val="none"/>
        </w:rPr>
        <w:t>自合同生效之日起至合同约定的中标或成交供应商主要义务履行完毕；</w:t>
      </w:r>
    </w:p>
    <w:p w14:paraId="7D0A1D14">
      <w:pPr>
        <w:widowControl w:val="0"/>
        <w:spacing w:line="360" w:lineRule="auto"/>
        <w:ind w:firstLine="480" w:firstLineChars="200"/>
        <w:jc w:val="both"/>
        <w:rPr>
          <w:rFonts w:cs="仿宋_GB2312"/>
          <w:szCs w:val="24"/>
          <w:highlight w:val="none"/>
          <w:lang w:bidi="ar"/>
        </w:rPr>
      </w:pPr>
      <w:r>
        <w:rPr>
          <w:rFonts w:hint="eastAsia" w:cs="仿宋_GB2312"/>
          <w:szCs w:val="24"/>
          <w:highlight w:val="none"/>
          <w:lang w:bidi="ar"/>
        </w:rPr>
        <w:t>履约保证金的退还：</w:t>
      </w:r>
      <w:r>
        <w:rPr>
          <w:rFonts w:hint="eastAsia" w:cs="宋体"/>
          <w:szCs w:val="24"/>
          <w:highlight w:val="none"/>
        </w:rPr>
        <w:t>中标或成交供应商合同主要义务履行完毕后，采购人按合同约定及时退还。</w:t>
      </w:r>
    </w:p>
    <w:p w14:paraId="080A7571">
      <w:pPr>
        <w:widowControl w:val="0"/>
        <w:spacing w:line="360" w:lineRule="auto"/>
        <w:ind w:firstLine="480" w:firstLineChars="200"/>
        <w:jc w:val="both"/>
        <w:rPr>
          <w:rFonts w:cs="仿宋_GB2312"/>
          <w:szCs w:val="24"/>
          <w:highlight w:val="none"/>
          <w:lang w:bidi="ar"/>
        </w:rPr>
      </w:pPr>
      <w:r>
        <w:rPr>
          <w:rFonts w:hint="eastAsia" w:cs="仿宋_GB2312"/>
          <w:szCs w:val="24"/>
          <w:highlight w:val="none"/>
          <w:lang w:bidi="ar"/>
        </w:rPr>
        <w:t>2、付款方式：</w:t>
      </w:r>
      <w:r>
        <w:rPr>
          <w:rFonts w:hint="eastAsia" w:cs="Times New Roman"/>
          <w:color w:val="000000"/>
          <w:kern w:val="0"/>
          <w:szCs w:val="24"/>
          <w:highlight w:val="none"/>
        </w:rPr>
        <w:t>采取</w:t>
      </w:r>
      <w:r>
        <w:rPr>
          <w:rFonts w:hint="eastAsia" w:cs="Times New Roman"/>
          <w:b/>
          <w:bCs/>
          <w:color w:val="000000"/>
          <w:kern w:val="0"/>
          <w:szCs w:val="24"/>
          <w:highlight w:val="none"/>
        </w:rPr>
        <w:t>滚动押单方式结账。</w:t>
      </w:r>
      <w:r>
        <w:rPr>
          <w:rFonts w:hint="eastAsia" w:cs="Times New Roman"/>
          <w:color w:val="000000"/>
          <w:kern w:val="0"/>
          <w:szCs w:val="24"/>
          <w:highlight w:val="none"/>
        </w:rPr>
        <w:t>甲、乙双方签订本合同之后，乙方首次送货完毕且经甲方书面验收合格</w:t>
      </w:r>
      <w:r>
        <w:rPr>
          <w:rFonts w:hint="eastAsia" w:cs="Times New Roman"/>
          <w:b/>
          <w:bCs/>
          <w:color w:val="000000"/>
          <w:kern w:val="0"/>
          <w:szCs w:val="24"/>
          <w:highlight w:val="none"/>
        </w:rPr>
        <w:t>两个月后</w:t>
      </w:r>
      <w:r>
        <w:rPr>
          <w:rFonts w:hint="eastAsia" w:cs="Times New Roman"/>
          <w:color w:val="000000"/>
          <w:kern w:val="0"/>
          <w:szCs w:val="24"/>
          <w:highlight w:val="none"/>
        </w:rPr>
        <w:t>按照实际验收合格数量结算首月货款，以此类推。每月按使用餐厅的大类最多进行1次货款结算。如遇节假日、寒暑假、甲方财务扎帐等特殊情况，结账日期依次顺延。</w:t>
      </w:r>
    </w:p>
    <w:p w14:paraId="14481631">
      <w:pPr>
        <w:widowControl w:val="0"/>
        <w:spacing w:before="156" w:beforeLines="50" w:line="360" w:lineRule="auto"/>
        <w:ind w:firstLine="468"/>
        <w:jc w:val="both"/>
        <w:rPr>
          <w:rFonts w:cs="Times New Roman"/>
          <w:color w:val="000000"/>
          <w:szCs w:val="24"/>
          <w:highlight w:val="none"/>
        </w:rPr>
      </w:pPr>
      <w:r>
        <w:rPr>
          <w:rFonts w:hint="eastAsia" w:cs="Times New Roman"/>
          <w:kern w:val="0"/>
          <w:szCs w:val="24"/>
          <w:highlight w:val="none"/>
        </w:rPr>
        <w:t xml:space="preserve"> </w:t>
      </w:r>
      <w:r>
        <w:rPr>
          <w:rFonts w:cs="Times New Roman"/>
          <w:kern w:val="0"/>
          <w:szCs w:val="24"/>
          <w:highlight w:val="none"/>
        </w:rPr>
        <w:t>3</w:t>
      </w:r>
      <w:r>
        <w:rPr>
          <w:rFonts w:hint="eastAsia" w:cs="Times New Roman"/>
          <w:kern w:val="0"/>
          <w:szCs w:val="24"/>
          <w:highlight w:val="none"/>
        </w:rPr>
        <w:t>、</w:t>
      </w:r>
      <w:r>
        <w:rPr>
          <w:rFonts w:hint="eastAsia" w:cs="Times New Roman"/>
          <w:color w:val="000000"/>
          <w:szCs w:val="24"/>
          <w:highlight w:val="none"/>
        </w:rPr>
        <w:t>甲方支付上述任何一笔款项前，乙方应提供符合甲方财务做账要求的</w:t>
      </w:r>
      <w:r>
        <w:rPr>
          <w:rFonts w:hint="eastAsia" w:cs="Times New Roman"/>
          <w:b/>
          <w:bCs/>
          <w:color w:val="000000"/>
          <w:szCs w:val="24"/>
          <w:highlight w:val="none"/>
        </w:rPr>
        <w:t>正规增值税发票</w:t>
      </w:r>
      <w:r>
        <w:rPr>
          <w:rFonts w:hint="eastAsia" w:cs="Times New Roman"/>
          <w:color w:val="000000"/>
          <w:szCs w:val="24"/>
          <w:highlight w:val="none"/>
        </w:rPr>
        <w:t>，乙方开具的发票及发票附件中的物品名称、数量、价格与送货物品、合同相一致。否则，甲方有权拒付款项且不承担违约责任。</w:t>
      </w:r>
    </w:p>
    <w:p w14:paraId="157AFB2A">
      <w:pPr>
        <w:widowControl w:val="0"/>
        <w:spacing w:before="156" w:beforeLines="50" w:line="360" w:lineRule="auto"/>
        <w:ind w:firstLine="468"/>
        <w:jc w:val="both"/>
        <w:rPr>
          <w:rFonts w:cs="Times New Roman"/>
          <w:color w:val="000000"/>
          <w:szCs w:val="24"/>
          <w:highlight w:val="none"/>
        </w:rPr>
      </w:pPr>
      <w:r>
        <w:rPr>
          <w:rFonts w:hint="eastAsia" w:cs="Times New Roman"/>
          <w:color w:val="000000"/>
          <w:szCs w:val="24"/>
          <w:highlight w:val="none"/>
        </w:rPr>
        <w:t>4、</w:t>
      </w:r>
      <w:r>
        <w:rPr>
          <w:rFonts w:hint="eastAsia"/>
          <w:highlight w:val="none"/>
        </w:rPr>
        <w:t>若乙方交付的货物存在质量问题、资质不合规或其他不符合合同约定的情形，甲方有权暂停支付对应批次乃至全部未付货款，直至相关问题得到完全解决，且不承担任何逾期付款责任。</w:t>
      </w:r>
    </w:p>
    <w:p w14:paraId="2C881ABC">
      <w:pPr>
        <w:widowControl w:val="0"/>
        <w:spacing w:before="156" w:beforeLines="50" w:line="360" w:lineRule="auto"/>
        <w:ind w:firstLine="468"/>
        <w:jc w:val="both"/>
        <w:rPr>
          <w:rFonts w:cs="仿宋"/>
          <w:szCs w:val="24"/>
          <w:highlight w:val="none"/>
        </w:rPr>
      </w:pPr>
      <w:r>
        <w:rPr>
          <w:rFonts w:cs="仿宋"/>
          <w:szCs w:val="24"/>
          <w:highlight w:val="none"/>
        </w:rPr>
        <w:t>5、甲方通知乙方结算货款时，乙方需认真核对结算清单和送货单，双方就当次货款结算完毕且</w:t>
      </w:r>
      <w:r>
        <w:rPr>
          <w:rFonts w:cs="仿宋"/>
          <w:b/>
          <w:bCs/>
          <w:szCs w:val="24"/>
          <w:highlight w:val="none"/>
        </w:rPr>
        <w:t>乙方开具货款正规发票后即视为乙方对该期货款结算金额认可无异议</w:t>
      </w:r>
      <w:r>
        <w:rPr>
          <w:rFonts w:cs="仿宋"/>
          <w:szCs w:val="24"/>
          <w:highlight w:val="none"/>
        </w:rPr>
        <w:t>。从发票开具之日起，乙方再发现当期货款存在错算、漏算的情况，甲方不予补付任何货款，产生的损失由乙方自行承担。</w:t>
      </w:r>
    </w:p>
    <w:p w14:paraId="7C767C54">
      <w:pPr>
        <w:widowControl w:val="0"/>
        <w:spacing w:before="156" w:beforeLines="50" w:line="360" w:lineRule="auto"/>
        <w:ind w:firstLine="480" w:firstLineChars="200"/>
        <w:jc w:val="both"/>
        <w:rPr>
          <w:rFonts w:cs="仿宋"/>
          <w:szCs w:val="24"/>
          <w:highlight w:val="none"/>
        </w:rPr>
      </w:pPr>
      <w:r>
        <w:rPr>
          <w:rFonts w:cs="仿宋"/>
          <w:szCs w:val="24"/>
          <w:highlight w:val="none"/>
        </w:rPr>
        <w:t>6</w:t>
      </w:r>
      <w:r>
        <w:rPr>
          <w:rFonts w:hint="eastAsia" w:cs="仿宋"/>
          <w:szCs w:val="24"/>
          <w:highlight w:val="none"/>
        </w:rPr>
        <w:t>、本</w:t>
      </w:r>
      <w:r>
        <w:rPr>
          <w:rFonts w:hint="eastAsia" w:cs="仿宋"/>
          <w:b/>
          <w:bCs/>
          <w:szCs w:val="24"/>
          <w:highlight w:val="none"/>
        </w:rPr>
        <w:t>合同有效期满后</w:t>
      </w:r>
      <w:r>
        <w:rPr>
          <w:rFonts w:hint="eastAsia" w:cs="仿宋"/>
          <w:szCs w:val="24"/>
          <w:highlight w:val="none"/>
        </w:rPr>
        <w:t>，如因本项目尚未完成招投标程序，在无法确定新成交供应商的情况下，甲方可要求乙方根据本协议约定的价格继续履行供货义务。但继续供应货物的金额不得超过本协议已发生供货总金额的10%。</w:t>
      </w:r>
      <w:r>
        <w:rPr>
          <w:rFonts w:hint="eastAsia"/>
          <w:highlight w:val="none"/>
        </w:rPr>
        <w:t>续期供货期间，甲方有权随时终止供货，无需承担任何责任，</w:t>
      </w:r>
      <w:r>
        <w:rPr>
          <w:rFonts w:hint="eastAsia" w:cs="仿宋"/>
          <w:szCs w:val="24"/>
          <w:highlight w:val="none"/>
        </w:rPr>
        <w:t>待甲方完成招投标程序、确定新的成交供应商后，本合同自动终止。</w:t>
      </w:r>
    </w:p>
    <w:p w14:paraId="688CA124">
      <w:pPr>
        <w:widowControl w:val="0"/>
        <w:spacing w:before="156" w:beforeLines="50" w:line="360" w:lineRule="auto"/>
        <w:ind w:firstLine="480" w:firstLineChars="200"/>
        <w:jc w:val="both"/>
        <w:rPr>
          <w:rFonts w:cs="仿宋"/>
          <w:szCs w:val="24"/>
          <w:highlight w:val="none"/>
        </w:rPr>
      </w:pPr>
      <w:r>
        <w:rPr>
          <w:rFonts w:cs="仿宋"/>
          <w:szCs w:val="24"/>
          <w:highlight w:val="none"/>
        </w:rPr>
        <w:t>7</w:t>
      </w:r>
      <w:r>
        <w:rPr>
          <w:rFonts w:hint="eastAsia" w:cs="仿宋"/>
          <w:szCs w:val="24"/>
          <w:highlight w:val="none"/>
        </w:rPr>
        <w:t>、乙方银行账户信息：</w:t>
      </w:r>
    </w:p>
    <w:p w14:paraId="760EE161">
      <w:pPr>
        <w:widowControl w:val="0"/>
        <w:spacing w:before="156" w:beforeLines="50" w:line="360" w:lineRule="auto"/>
        <w:ind w:firstLine="480" w:firstLineChars="200"/>
        <w:jc w:val="both"/>
        <w:rPr>
          <w:rFonts w:cs="仿宋"/>
          <w:szCs w:val="24"/>
          <w:highlight w:val="none"/>
        </w:rPr>
      </w:pPr>
      <w:r>
        <w:rPr>
          <w:rFonts w:hint="eastAsia" w:cs="仿宋"/>
          <w:szCs w:val="24"/>
          <w:highlight w:val="none"/>
        </w:rPr>
        <w:t>开户行：</w:t>
      </w:r>
      <w:r>
        <w:rPr>
          <w:rFonts w:hint="eastAsia" w:cs="仿宋"/>
          <w:szCs w:val="24"/>
          <w:highlight w:val="none"/>
          <w:u w:val="single"/>
        </w:rPr>
        <w:t xml:space="preserve">                         </w:t>
      </w:r>
      <w:r>
        <w:rPr>
          <w:rFonts w:hint="eastAsia" w:cs="仿宋"/>
          <w:szCs w:val="24"/>
          <w:highlight w:val="none"/>
        </w:rPr>
        <w:t xml:space="preserve">  银行行号：</w:t>
      </w:r>
      <w:r>
        <w:rPr>
          <w:rFonts w:hint="eastAsia" w:cs="仿宋"/>
          <w:szCs w:val="24"/>
          <w:highlight w:val="none"/>
          <w:u w:val="single"/>
        </w:rPr>
        <w:t xml:space="preserve">                    </w:t>
      </w:r>
      <w:r>
        <w:rPr>
          <w:rFonts w:hint="eastAsia" w:cs="仿宋"/>
          <w:szCs w:val="24"/>
          <w:highlight w:val="none"/>
        </w:rPr>
        <w:t xml:space="preserve">       </w:t>
      </w:r>
    </w:p>
    <w:p w14:paraId="33E93762">
      <w:pPr>
        <w:widowControl w:val="0"/>
        <w:spacing w:before="156" w:beforeLines="50" w:line="360" w:lineRule="auto"/>
        <w:ind w:firstLine="480" w:firstLineChars="200"/>
        <w:jc w:val="both"/>
        <w:rPr>
          <w:rFonts w:cs="仿宋"/>
          <w:szCs w:val="24"/>
          <w:highlight w:val="none"/>
        </w:rPr>
      </w:pPr>
      <w:r>
        <w:rPr>
          <w:rFonts w:hint="eastAsia" w:cs="仿宋"/>
          <w:szCs w:val="24"/>
          <w:highlight w:val="none"/>
        </w:rPr>
        <w:t>账户名称：</w:t>
      </w:r>
      <w:r>
        <w:rPr>
          <w:rFonts w:hint="eastAsia" w:cs="仿宋"/>
          <w:szCs w:val="24"/>
          <w:highlight w:val="none"/>
          <w:u w:val="single"/>
        </w:rPr>
        <w:t xml:space="preserve">                       </w:t>
      </w:r>
      <w:r>
        <w:rPr>
          <w:rFonts w:hint="eastAsia" w:cs="仿宋"/>
          <w:szCs w:val="24"/>
          <w:highlight w:val="none"/>
        </w:rPr>
        <w:t xml:space="preserve">  银行账号：</w:t>
      </w:r>
      <w:r>
        <w:rPr>
          <w:rFonts w:hint="eastAsia" w:cs="仿宋"/>
          <w:szCs w:val="24"/>
          <w:highlight w:val="none"/>
          <w:u w:val="single"/>
        </w:rPr>
        <w:t xml:space="preserve">                    </w:t>
      </w:r>
      <w:r>
        <w:rPr>
          <w:rFonts w:hint="eastAsia" w:cs="仿宋"/>
          <w:szCs w:val="24"/>
          <w:highlight w:val="none"/>
        </w:rPr>
        <w:t xml:space="preserve">                     </w:t>
      </w:r>
    </w:p>
    <w:p w14:paraId="14FE68DF">
      <w:pPr>
        <w:widowControl w:val="0"/>
        <w:spacing w:line="360" w:lineRule="auto"/>
        <w:ind w:firstLine="480" w:firstLineChars="200"/>
        <w:jc w:val="both"/>
        <w:rPr>
          <w:rFonts w:cs="Times New Roman"/>
          <w:szCs w:val="24"/>
          <w:highlight w:val="none"/>
        </w:rPr>
      </w:pPr>
      <w:r>
        <w:rPr>
          <w:rFonts w:hint="eastAsia" w:cs="仿宋"/>
          <w:szCs w:val="24"/>
          <w:highlight w:val="none"/>
        </w:rPr>
        <w:t>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7F09E450">
      <w:pPr>
        <w:widowControl w:val="0"/>
        <w:spacing w:line="360" w:lineRule="auto"/>
        <w:ind w:firstLine="482" w:firstLineChars="200"/>
        <w:jc w:val="both"/>
        <w:rPr>
          <w:rFonts w:cs="Times New Roman"/>
          <w:b/>
          <w:bCs/>
          <w:szCs w:val="24"/>
          <w:highlight w:val="none"/>
        </w:rPr>
      </w:pPr>
      <w:r>
        <w:rPr>
          <w:rFonts w:hint="eastAsia" w:cs="Times New Roman"/>
          <w:b/>
          <w:bCs/>
          <w:szCs w:val="24"/>
          <w:highlight w:val="none"/>
        </w:rPr>
        <w:t>九、食品包装及运输</w:t>
      </w:r>
    </w:p>
    <w:p w14:paraId="39328B88">
      <w:pPr>
        <w:widowControl w:val="0"/>
        <w:spacing w:line="480" w:lineRule="exact"/>
        <w:ind w:firstLine="480" w:firstLineChars="200"/>
        <w:jc w:val="both"/>
        <w:rPr>
          <w:rFonts w:cs="Bookman Old Style"/>
          <w:bCs/>
          <w:szCs w:val="24"/>
          <w:highlight w:val="none"/>
        </w:rPr>
      </w:pPr>
      <w:r>
        <w:rPr>
          <w:rFonts w:hint="eastAsia" w:cs="Bookman Old Style"/>
          <w:bCs/>
          <w:szCs w:val="24"/>
          <w:highlight w:val="none"/>
        </w:rPr>
        <w:t>１、包装必须与运输方式相适应，包装方式的确定和包装费用均由乙方负责；由于不适当的包装而造成的食品有任何的损坏由乙方负责。包装费、运输费、装卸费和保险费等均已包含在合同单价内。</w:t>
      </w:r>
    </w:p>
    <w:p w14:paraId="631FB200">
      <w:pPr>
        <w:widowControl w:val="0"/>
        <w:spacing w:line="480" w:lineRule="exact"/>
        <w:ind w:firstLine="480" w:firstLineChars="200"/>
        <w:jc w:val="both"/>
        <w:rPr>
          <w:rFonts w:cs="Bookman Old Style"/>
          <w:bCs/>
          <w:szCs w:val="24"/>
          <w:highlight w:val="none"/>
        </w:rPr>
      </w:pPr>
      <w:r>
        <w:rPr>
          <w:rFonts w:hint="eastAsia" w:cs="Bookman Old Style"/>
          <w:bCs/>
          <w:szCs w:val="24"/>
          <w:highlight w:val="none"/>
        </w:rPr>
        <w:t>2</w:t>
      </w:r>
      <w:r>
        <w:rPr>
          <w:rFonts w:cs="Bookman Old Style"/>
          <w:bCs/>
          <w:szCs w:val="24"/>
          <w:highlight w:val="none"/>
        </w:rPr>
        <w:t>、</w:t>
      </w:r>
      <w:r>
        <w:rPr>
          <w:rFonts w:hint="eastAsia" w:cs="Times New Roman"/>
          <w:color w:val="000000"/>
          <w:szCs w:val="24"/>
          <w:highlight w:val="none"/>
        </w:rPr>
        <w:t>乙方向甲方提供食品的所有储藏和运输设施必须符合国家、行业标准和规范。</w:t>
      </w:r>
      <w:r>
        <w:rPr>
          <w:rFonts w:hint="eastAsia" w:cs="Times New Roman"/>
          <w:szCs w:val="24"/>
          <w:highlight w:val="none"/>
        </w:rPr>
        <w:t>乙方保证运输周转的容器与车辆的清洁卫生和防止食品在运输过程中受到污染。</w:t>
      </w:r>
      <w:r>
        <w:rPr>
          <w:rFonts w:hint="eastAsia" w:cs="Times New Roman"/>
          <w:bCs/>
          <w:szCs w:val="24"/>
          <w:highlight w:val="none"/>
        </w:rPr>
        <w:t>乙方所提供的食品不得敞露运输，必须轻装轻卸，并码放整齐。</w:t>
      </w:r>
      <w:r>
        <w:rPr>
          <w:rFonts w:hint="eastAsia" w:cs="Bookman Old Style"/>
          <w:b/>
          <w:color w:val="000000"/>
          <w:szCs w:val="24"/>
          <w:highlight w:val="none"/>
        </w:rPr>
        <w:t>夏季，注意冷藏运输，防止活禽肉水产类变质。</w:t>
      </w:r>
    </w:p>
    <w:p w14:paraId="51FCA2C9">
      <w:pPr>
        <w:widowControl w:val="0"/>
        <w:spacing w:line="480" w:lineRule="exact"/>
        <w:ind w:firstLine="480" w:firstLineChars="200"/>
        <w:jc w:val="both"/>
        <w:rPr>
          <w:rFonts w:cs="Times New Roman"/>
          <w:b/>
          <w:bCs/>
          <w:szCs w:val="24"/>
          <w:highlight w:val="none"/>
        </w:rPr>
      </w:pPr>
      <w:r>
        <w:rPr>
          <w:rFonts w:hint="eastAsia" w:cs="Times New Roman"/>
          <w:szCs w:val="24"/>
          <w:highlight w:val="none"/>
        </w:rPr>
        <w:t>3、采用定型包装的食品，包装必须符合国家对产品包装的有关规定。货品由生产厂家使用符合国家食品卫生要求的包装箱或包装袋进行完整包装，包装上必须有清晰的厂家信息、生产日期、保质期、净重量；</w:t>
      </w:r>
      <w:r>
        <w:rPr>
          <w:rFonts w:hint="eastAsia" w:cs="Times New Roman"/>
          <w:b/>
          <w:bCs/>
          <w:szCs w:val="24"/>
          <w:highlight w:val="none"/>
        </w:rPr>
        <w:t>包装破损或“三无”的货物甲方有权不予以接收。</w:t>
      </w:r>
    </w:p>
    <w:p w14:paraId="63FDCB5D">
      <w:pPr>
        <w:widowControl w:val="0"/>
        <w:spacing w:line="480" w:lineRule="exact"/>
        <w:ind w:firstLine="480" w:firstLineChars="200"/>
        <w:jc w:val="both"/>
        <w:rPr>
          <w:rFonts w:cs="Times New Roman"/>
          <w:szCs w:val="24"/>
          <w:highlight w:val="none"/>
        </w:rPr>
      </w:pPr>
      <w:r>
        <w:rPr>
          <w:rFonts w:hint="eastAsia" w:cs="Times New Roman"/>
          <w:color w:val="000000"/>
          <w:szCs w:val="24"/>
          <w:highlight w:val="none"/>
        </w:rPr>
        <w:t>4、运输途中的货物安全问题均由乙方负责，在交货过程中，发生意外事故和故障损失，如撞、刮、裂、损等均由乙方承担责任。</w:t>
      </w:r>
    </w:p>
    <w:p w14:paraId="7476DEA5">
      <w:pPr>
        <w:widowControl w:val="0"/>
        <w:spacing w:line="360" w:lineRule="auto"/>
        <w:ind w:firstLine="480" w:firstLineChars="200"/>
        <w:jc w:val="both"/>
        <w:rPr>
          <w:rFonts w:cs="Times New Roman"/>
          <w:szCs w:val="24"/>
          <w:highlight w:val="none"/>
        </w:rPr>
      </w:pPr>
      <w:r>
        <w:rPr>
          <w:rFonts w:hint="eastAsia" w:cs="Times New Roman"/>
          <w:color w:val="000000"/>
          <w:szCs w:val="24"/>
          <w:highlight w:val="none"/>
        </w:rPr>
        <w:t>5、乙方配送人员必须培训上岗，配送时着装干净整齐，保持个人清洁卫生。礼貌沟通，耐心解释，及时反馈验收中的问题和退换货进展。</w:t>
      </w:r>
    </w:p>
    <w:p w14:paraId="0F484459">
      <w:pPr>
        <w:widowControl w:val="0"/>
        <w:spacing w:line="360" w:lineRule="auto"/>
        <w:ind w:firstLine="482" w:firstLineChars="200"/>
        <w:jc w:val="both"/>
        <w:rPr>
          <w:rFonts w:cs="Times New Roman"/>
          <w:b/>
          <w:szCs w:val="24"/>
          <w:highlight w:val="none"/>
        </w:rPr>
      </w:pPr>
      <w:r>
        <w:rPr>
          <w:rFonts w:hint="eastAsia" w:cs="Times New Roman"/>
          <w:b/>
          <w:szCs w:val="24"/>
          <w:highlight w:val="none"/>
        </w:rPr>
        <w:t>十、违约责任</w:t>
      </w:r>
    </w:p>
    <w:p w14:paraId="6272CD17">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1、甲方违约责任</w:t>
      </w:r>
    </w:p>
    <w:p w14:paraId="6932E57D">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1）乙方按协议约定履行完协议义务后，甲方无任何理由拒绝验收 (遇不可抗力除外)的，乙方有权追究甲方逾期验收的违约责任，按照中国人民银行同期存款利率向乙方承担违约金。如遇特殊情况甲方要求推迟履行协议的，可事先征得乙方的同意。</w:t>
      </w:r>
    </w:p>
    <w:p w14:paraId="609AC918">
      <w:pPr>
        <w:widowControl w:val="0"/>
        <w:spacing w:line="360" w:lineRule="auto"/>
        <w:ind w:firstLine="360" w:firstLineChars="150"/>
        <w:jc w:val="both"/>
        <w:rPr>
          <w:rFonts w:cs="Times New Roman"/>
          <w:color w:val="000000"/>
          <w:szCs w:val="24"/>
          <w:highlight w:val="none"/>
        </w:rPr>
      </w:pPr>
      <w:r>
        <w:rPr>
          <w:rFonts w:hint="eastAsia" w:cs="Times New Roman"/>
          <w:color w:val="000000"/>
          <w:szCs w:val="24"/>
          <w:highlight w:val="none"/>
        </w:rPr>
        <w:t>2、乙方违约责任</w:t>
      </w:r>
    </w:p>
    <w:p w14:paraId="2D219202">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1）本合同签订后，乙方应严格按照中标价格履行合同，如乙方因价格原因，寻找借口，拒绝供货或不能根据合同约定的品种、规格、数量、质量等标准和要求供货，</w:t>
      </w:r>
      <w:r>
        <w:rPr>
          <w:rFonts w:hint="eastAsia" w:cs="华文楷体"/>
          <w:b/>
          <w:bCs/>
          <w:color w:val="000000"/>
          <w:kern w:val="0"/>
          <w:szCs w:val="24"/>
          <w:highlight w:val="none"/>
        </w:rPr>
        <w:t>无法满足甲方采购需要，</w:t>
      </w:r>
      <w:r>
        <w:rPr>
          <w:rFonts w:hint="eastAsia" w:cs="华文楷体"/>
          <w:color w:val="000000"/>
          <w:kern w:val="0"/>
          <w:szCs w:val="24"/>
          <w:highlight w:val="none"/>
        </w:rPr>
        <w:t>甲方有权解除合同，同时，乙方按合同总价的10%向甲方承担违约责任。合同解除后，甲方有权与第三方供货商另行签订合同，进行供货。</w:t>
      </w:r>
    </w:p>
    <w:p w14:paraId="7BEB2CF7">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2）乙方应严格按照甲方要求配送货物的日期交货，如乙方延迟交货，甲方有权追究乙方延迟交货的违约责任。每逾期一日，乙方按合同总额的千分之一承担违约金，乙方</w:t>
      </w:r>
      <w:r>
        <w:rPr>
          <w:rFonts w:hint="eastAsia" w:cs="华文楷体"/>
          <w:b/>
          <w:bCs/>
          <w:color w:val="000000"/>
          <w:kern w:val="0"/>
          <w:szCs w:val="24"/>
          <w:highlight w:val="none"/>
        </w:rPr>
        <w:t>逾期供货</w:t>
      </w:r>
      <w:r>
        <w:rPr>
          <w:rFonts w:hint="eastAsia" w:cs="华文楷体"/>
          <w:color w:val="000000"/>
          <w:kern w:val="0"/>
          <w:szCs w:val="24"/>
          <w:highlight w:val="none"/>
        </w:rPr>
        <w:t>超出交付期十天(含十天)以上的，甲方有权解除合同并追究乙方的违约责任，甲方解除合同的，乙方应支付合同总价款20%的违约金，乙方支付上述违约金不足以赔偿甲方损失的，甲方有权另行向乙方索赔（包括但不限于第三方索赔、律师费、诉讼费、鉴定费、公证费、差旅费等甲方采取诉讼途径发生的一切费用）。</w:t>
      </w:r>
    </w:p>
    <w:p w14:paraId="0829028F">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3）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2853E11F">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4）乙方所交食品不符合招投标文件、答疑附件及合同规定的要求的，由乙方负责包换，并承担调换或退货而支付的实际费用。乙方不能调换或</w:t>
      </w:r>
      <w:r>
        <w:rPr>
          <w:rFonts w:hint="eastAsia" w:cs="华文楷体"/>
          <w:b/>
          <w:bCs/>
          <w:color w:val="000000"/>
          <w:kern w:val="0"/>
          <w:szCs w:val="24"/>
          <w:highlight w:val="none"/>
        </w:rPr>
        <w:t>拒绝调换</w:t>
      </w:r>
      <w:r>
        <w:rPr>
          <w:rFonts w:hint="eastAsia" w:cs="华文楷体"/>
          <w:color w:val="000000"/>
          <w:kern w:val="0"/>
          <w:szCs w:val="24"/>
          <w:highlight w:val="none"/>
        </w:rPr>
        <w:t>的，或者调换后仍旧无法满足甲方采购需要的，甲方有权解除合同，乙方按上个月（第一个月时按本月）结算货款的两倍向甲方支付违约金，还应当赔偿甲方因此产生的实际损失。</w:t>
      </w:r>
    </w:p>
    <w:p w14:paraId="34F02C71">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5）若乙方提供的产品不符合本合同约定的质量标准，甲方或任何第三人发生食物中毒等</w:t>
      </w:r>
      <w:r>
        <w:rPr>
          <w:rFonts w:hint="eastAsia" w:cs="华文楷体"/>
          <w:b/>
          <w:bCs/>
          <w:color w:val="000000"/>
          <w:kern w:val="0"/>
          <w:szCs w:val="24"/>
          <w:highlight w:val="none"/>
        </w:rPr>
        <w:t>食品安全事故</w:t>
      </w:r>
      <w:r>
        <w:rPr>
          <w:rFonts w:hint="eastAsia" w:cs="华文楷体"/>
          <w:color w:val="000000"/>
          <w:kern w:val="0"/>
          <w:szCs w:val="24"/>
          <w:highlight w:val="none"/>
        </w:rPr>
        <w:t>，由乙方承担全部经济赔偿责任（包括但不限于第三方索赔、律师费、诉讼费、鉴定费、公证费、差旅费等甲方采取诉讼途径发生的一切费用）以及相关法律责任；除此之外，甲方有权不支付该批次货款，且乙方按已履行合同总价的20%向甲方承担违约责任。</w:t>
      </w:r>
    </w:p>
    <w:p w14:paraId="7CE5BE25">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6）乙方向甲方承诺，如发生乙方向甲方指定人员或与该业务有关的任何工作人员行贿、送礼等行为，或与甲方相关工作人员串通，做出损害甲方利益的任何行为，每次按合同总金额的30%的数额向甲方承担违约金。如果《廉政承诺书》中约定的违约责任与本条存在冲突的，按照标准高的执行。</w:t>
      </w:r>
    </w:p>
    <w:p w14:paraId="14BC7C24">
      <w:pPr>
        <w:autoSpaceDE w:val="0"/>
        <w:autoSpaceDN w:val="0"/>
        <w:adjustRightInd w:val="0"/>
        <w:spacing w:line="360" w:lineRule="auto"/>
        <w:ind w:firstLine="480" w:firstLineChars="200"/>
        <w:rPr>
          <w:rFonts w:cs="华文楷体"/>
          <w:color w:val="000000"/>
          <w:kern w:val="0"/>
          <w:szCs w:val="24"/>
          <w:highlight w:val="none"/>
        </w:rPr>
      </w:pPr>
      <w:r>
        <w:rPr>
          <w:rFonts w:hint="eastAsia" w:cs="华文楷体"/>
          <w:color w:val="000000"/>
          <w:kern w:val="0"/>
          <w:szCs w:val="24"/>
          <w:highlight w:val="none"/>
        </w:rPr>
        <w:t>7）乙方保证在供货时遵从甲方关于本项目的采购程序，保证不会将合同及（或）其中的权利、义务转让，保证不会转包、分包。如发现转包、分包现象，甲方有权扣除全部未结算货款作为违约金，单方解除合同。</w:t>
      </w:r>
    </w:p>
    <w:p w14:paraId="1DF33DBB">
      <w:pPr>
        <w:autoSpaceDE w:val="0"/>
        <w:autoSpaceDN w:val="0"/>
        <w:adjustRightInd w:val="0"/>
        <w:spacing w:line="360" w:lineRule="auto"/>
        <w:ind w:firstLine="480" w:firstLineChars="200"/>
        <w:rPr>
          <w:rFonts w:cs="华文楷体"/>
          <w:color w:val="000000"/>
          <w:kern w:val="0"/>
          <w:szCs w:val="24"/>
          <w:highlight w:val="none"/>
        </w:rPr>
      </w:pPr>
      <w:r>
        <w:rPr>
          <w:rFonts w:hint="eastAsia" w:cs="华文楷体"/>
          <w:color w:val="000000"/>
          <w:kern w:val="0"/>
          <w:szCs w:val="24"/>
          <w:highlight w:val="none"/>
        </w:rPr>
        <w:t>8）乙方在供货过程中，</w:t>
      </w:r>
      <w:r>
        <w:rPr>
          <w:rFonts w:hint="eastAsia" w:cs="仿宋"/>
          <w:szCs w:val="24"/>
          <w:highlight w:val="none"/>
          <w:lang w:bidi="ar"/>
        </w:rPr>
        <w:t>送货车辆在甲方校园内行驶速度不得超过</w:t>
      </w:r>
      <w:r>
        <w:rPr>
          <w:rFonts w:cs="仿宋"/>
          <w:b/>
          <w:bCs/>
          <w:szCs w:val="24"/>
          <w:highlight w:val="none"/>
          <w:lang w:bidi="ar"/>
        </w:rPr>
        <w:t>3</w:t>
      </w:r>
      <w:r>
        <w:rPr>
          <w:rFonts w:hint="eastAsia" w:cs="仿宋"/>
          <w:b/>
          <w:bCs/>
          <w:szCs w:val="24"/>
          <w:highlight w:val="none"/>
          <w:lang w:bidi="ar"/>
        </w:rPr>
        <w:t>0公里/小时</w:t>
      </w:r>
      <w:r>
        <w:rPr>
          <w:rFonts w:hint="eastAsia" w:cs="仿宋"/>
          <w:szCs w:val="24"/>
          <w:highlight w:val="none"/>
          <w:lang w:bidi="ar"/>
        </w:rPr>
        <w:t>；因送货车辆</w:t>
      </w:r>
      <w:r>
        <w:rPr>
          <w:rFonts w:cs="华文楷体"/>
          <w:b/>
          <w:bCs/>
          <w:color w:val="000000"/>
          <w:kern w:val="0"/>
          <w:szCs w:val="24"/>
          <w:highlight w:val="none"/>
        </w:rPr>
        <w:t>在甲方</w:t>
      </w:r>
      <w:r>
        <w:rPr>
          <w:rFonts w:hint="eastAsia" w:cs="华文楷体"/>
          <w:b/>
          <w:bCs/>
          <w:color w:val="000000"/>
          <w:kern w:val="0"/>
          <w:szCs w:val="24"/>
          <w:highlight w:val="none"/>
        </w:rPr>
        <w:t>校园内发生交通事故</w:t>
      </w:r>
      <w:r>
        <w:rPr>
          <w:rFonts w:hint="eastAsia" w:cs="华文楷体"/>
          <w:color w:val="000000"/>
          <w:kern w:val="0"/>
          <w:szCs w:val="24"/>
          <w:highlight w:val="none"/>
        </w:rPr>
        <w:t>，乙方承担全部经济责任，甲方保留追究其相关法律责任的权利。</w:t>
      </w:r>
    </w:p>
    <w:p w14:paraId="179401CF">
      <w:pPr>
        <w:autoSpaceDE w:val="0"/>
        <w:autoSpaceDN w:val="0"/>
        <w:adjustRightInd w:val="0"/>
        <w:spacing w:line="360" w:lineRule="auto"/>
        <w:ind w:firstLine="480" w:firstLineChars="200"/>
        <w:rPr>
          <w:rFonts w:cs="华文楷体"/>
          <w:color w:val="000000"/>
          <w:kern w:val="0"/>
          <w:szCs w:val="24"/>
          <w:highlight w:val="none"/>
        </w:rPr>
      </w:pPr>
      <w:r>
        <w:rPr>
          <w:rFonts w:hint="eastAsia" w:cs="华文楷体"/>
          <w:color w:val="000000"/>
          <w:kern w:val="0"/>
          <w:szCs w:val="24"/>
          <w:highlight w:val="none"/>
        </w:rPr>
        <w:t>9）本合同签订后，乙方不得以货物市场价格上涨等各种理由断货、中止供货或要求甲方调价，否则，甲方有权解除合同并拒绝支付任何合同款项，乙方向甲方支付合同总价20%的违约金。</w:t>
      </w:r>
    </w:p>
    <w:p w14:paraId="241611A2">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10）根据教育部办公厅［2025］30号文件，要求供应商应符合近3年内未发生食品安全事故或查实食品安全舆情事件。在合同签订后，发现乙方隐瞒曾发生食品安全事故或查实食品安全舆情事件的，甲方有权解除合同并拒绝支付任何合同款项。</w:t>
      </w:r>
    </w:p>
    <w:p w14:paraId="4AF159C7">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11）</w:t>
      </w:r>
      <w:r>
        <w:rPr>
          <w:rFonts w:cs="Bookman Old Style"/>
          <w:szCs w:val="24"/>
          <w:highlight w:val="none"/>
        </w:rPr>
        <w:t>乙方无正当理由拒绝配合甲方进行的质量抽检，或提供的产品检测报告、厂家资质等文件存在虚假的，视为严重违约，甲方有权单方解除合同，并要求乙方支付合同总价10%的违约金。</w:t>
      </w:r>
    </w:p>
    <w:p w14:paraId="280E0D0C">
      <w:pPr>
        <w:widowControl w:val="0"/>
        <w:spacing w:line="360" w:lineRule="auto"/>
        <w:ind w:firstLine="480" w:firstLineChars="200"/>
        <w:jc w:val="both"/>
        <w:rPr>
          <w:highlight w:val="none"/>
        </w:rPr>
      </w:pPr>
      <w:r>
        <w:rPr>
          <w:rFonts w:hint="eastAsia" w:cs="Times New Roman"/>
          <w:color w:val="000000"/>
          <w:szCs w:val="24"/>
          <w:highlight w:val="none"/>
        </w:rPr>
        <w:t>1</w:t>
      </w:r>
      <w:r>
        <w:rPr>
          <w:rFonts w:cs="Times New Roman"/>
          <w:color w:val="000000"/>
          <w:szCs w:val="24"/>
          <w:highlight w:val="none"/>
        </w:rPr>
        <w:t>2）</w:t>
      </w:r>
      <w:r>
        <w:rPr>
          <w:rFonts w:hint="eastAsia"/>
          <w:highlight w:val="none"/>
        </w:rPr>
        <w:t>乙方对接触到的甲方各餐厅采购计划、用量数据、运营安排等内部信息负有保密义务，仅可用于履行本合同供货义务，不得向任何第三方泄露，也不得用于本合同以外的其他用途。</w:t>
      </w:r>
    </w:p>
    <w:p w14:paraId="3E175276">
      <w:pPr>
        <w:widowControl w:val="0"/>
        <w:spacing w:line="360" w:lineRule="auto"/>
        <w:ind w:firstLine="480" w:firstLineChars="200"/>
        <w:jc w:val="both"/>
        <w:rPr>
          <w:rFonts w:cs="Bookman Old Style"/>
          <w:szCs w:val="24"/>
          <w:highlight w:val="none"/>
        </w:rPr>
      </w:pPr>
      <w:r>
        <w:rPr>
          <w:rFonts w:cs="Bookman Old Style"/>
          <w:szCs w:val="24"/>
          <w:highlight w:val="none"/>
        </w:rPr>
        <w:t xml:space="preserve">13）未经甲方书面同意，乙方擅自更换本合同附件清单中所列产品的品牌、生产厂家或规格型号的，甲方有权拒收货物、单方解除合同，并要求乙方按所更换货物对应金额的双倍支付违约金。 </w:t>
      </w:r>
    </w:p>
    <w:p w14:paraId="14354443">
      <w:pPr>
        <w:widowControl w:val="0"/>
        <w:spacing w:line="360" w:lineRule="auto"/>
        <w:ind w:firstLine="480" w:firstLineChars="200"/>
        <w:jc w:val="both"/>
        <w:rPr>
          <w:rFonts w:cs="Bookman Old Style"/>
          <w:szCs w:val="24"/>
          <w:highlight w:val="none"/>
        </w:rPr>
      </w:pPr>
      <w:r>
        <w:rPr>
          <w:rFonts w:cs="Bookman Old Style"/>
          <w:szCs w:val="24"/>
          <w:highlight w:val="none"/>
        </w:rPr>
        <w:t>14）</w:t>
      </w:r>
      <w:r>
        <w:rPr>
          <w:rFonts w:hint="eastAsia" w:cs="Times New Roman"/>
          <w:color w:val="000000"/>
          <w:szCs w:val="24"/>
          <w:highlight w:val="none"/>
        </w:rPr>
        <w:t>上述违约金不足以弥补甲方损失的，以甲方的实际损失为准。</w:t>
      </w:r>
    </w:p>
    <w:p w14:paraId="4364F49C">
      <w:pPr>
        <w:widowControl w:val="0"/>
        <w:spacing w:line="360" w:lineRule="auto"/>
        <w:ind w:firstLine="482" w:firstLineChars="200"/>
        <w:jc w:val="both"/>
        <w:rPr>
          <w:rFonts w:cs="Bookman Old Style"/>
          <w:b/>
          <w:szCs w:val="24"/>
          <w:highlight w:val="none"/>
        </w:rPr>
      </w:pPr>
      <w:r>
        <w:rPr>
          <w:rFonts w:hint="eastAsia" w:cs="Bookman Old Style"/>
          <w:b/>
          <w:szCs w:val="24"/>
          <w:highlight w:val="none"/>
        </w:rPr>
        <w:t>十一、不可抗力</w:t>
      </w:r>
    </w:p>
    <w:p w14:paraId="1308E51C">
      <w:pPr>
        <w:widowControl w:val="0"/>
        <w:spacing w:line="360" w:lineRule="auto"/>
        <w:ind w:firstLine="480" w:firstLineChars="200"/>
        <w:jc w:val="both"/>
        <w:rPr>
          <w:rFonts w:cs="Bookman Old Style"/>
          <w:bCs/>
          <w:szCs w:val="24"/>
          <w:highlight w:val="none"/>
        </w:rPr>
      </w:pPr>
      <w:r>
        <w:rPr>
          <w:rFonts w:cs="Bookman Old Style"/>
          <w:bCs/>
          <w:szCs w:val="24"/>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574A0DE1">
      <w:pPr>
        <w:widowControl w:val="0"/>
        <w:spacing w:line="360" w:lineRule="auto"/>
        <w:ind w:firstLine="480" w:firstLineChars="200"/>
        <w:jc w:val="both"/>
        <w:rPr>
          <w:rFonts w:cs="Bookman Old Style"/>
          <w:bCs/>
          <w:szCs w:val="24"/>
          <w:highlight w:val="none"/>
        </w:rPr>
      </w:pPr>
      <w:r>
        <w:rPr>
          <w:rFonts w:cs="Bookman Old Style"/>
          <w:bCs/>
          <w:szCs w:val="24"/>
          <w:highlight w:val="none"/>
        </w:rPr>
        <w:t>2、“不可抗力”是指甲乙双方不能合理控制、不可预见或即使预见亦无法避免的事件，该事件妨碍、影响或延误任何一方根据合同履行其全部或部分义务。该事件包括但不限于政府行为、电信行业行为、自然灾害、战争或任何其它类似事件；</w:t>
      </w:r>
    </w:p>
    <w:p w14:paraId="4F035F1B">
      <w:pPr>
        <w:widowControl w:val="0"/>
        <w:spacing w:line="360" w:lineRule="auto"/>
        <w:ind w:firstLine="480" w:firstLineChars="200"/>
        <w:jc w:val="both"/>
        <w:rPr>
          <w:rFonts w:cs="Bookman Old Style"/>
          <w:bCs/>
          <w:szCs w:val="24"/>
          <w:highlight w:val="none"/>
        </w:rPr>
      </w:pPr>
      <w:r>
        <w:rPr>
          <w:rFonts w:cs="Bookman Old Style"/>
          <w:bCs/>
          <w:szCs w:val="24"/>
          <w:highlight w:val="none"/>
        </w:rPr>
        <w:t>3、突发公共安全事件、城市静默等政府行为导致的履约障碍，乙方应优先通过应急储备、物流协调等方式履行义务；仅在其已尽合理努力仍无法履行时，方可根据情况部分或全部免除责任。</w:t>
      </w:r>
    </w:p>
    <w:p w14:paraId="4F647E00">
      <w:pPr>
        <w:widowControl w:val="0"/>
        <w:spacing w:line="360" w:lineRule="auto"/>
        <w:ind w:firstLine="482" w:firstLineChars="200"/>
        <w:jc w:val="both"/>
        <w:rPr>
          <w:rFonts w:cs="Bookman Old Style"/>
          <w:b/>
          <w:szCs w:val="24"/>
          <w:highlight w:val="none"/>
        </w:rPr>
      </w:pPr>
      <w:r>
        <w:rPr>
          <w:rFonts w:hint="eastAsia" w:cs="Bookman Old Style"/>
          <w:b/>
          <w:szCs w:val="24"/>
          <w:highlight w:val="none"/>
        </w:rPr>
        <w:t>十二、争议解决</w:t>
      </w:r>
    </w:p>
    <w:p w14:paraId="5D42B51E">
      <w:pPr>
        <w:widowControl w:val="0"/>
        <w:spacing w:line="360" w:lineRule="auto"/>
        <w:ind w:firstLine="480" w:firstLineChars="200"/>
        <w:jc w:val="both"/>
        <w:rPr>
          <w:rFonts w:cs="Bookman Old Style"/>
          <w:szCs w:val="24"/>
          <w:highlight w:val="none"/>
        </w:rPr>
      </w:pPr>
      <w:r>
        <w:rPr>
          <w:rFonts w:hint="eastAsia" w:cs="Bookman Old Style"/>
          <w:szCs w:val="24"/>
          <w:highlight w:val="none"/>
        </w:rPr>
        <w:t>本合同如发生纠纷，当事人双方应当及时协商解决，协商不成时，可向甲方所在地人民法院起诉。</w:t>
      </w:r>
    </w:p>
    <w:p w14:paraId="632B280C">
      <w:pPr>
        <w:widowControl w:val="0"/>
        <w:spacing w:line="360" w:lineRule="auto"/>
        <w:ind w:firstLine="482" w:firstLineChars="200"/>
        <w:jc w:val="both"/>
        <w:rPr>
          <w:rFonts w:cs="Bookman Old Style"/>
          <w:b/>
          <w:bCs/>
          <w:szCs w:val="24"/>
          <w:highlight w:val="none"/>
        </w:rPr>
      </w:pPr>
      <w:r>
        <w:rPr>
          <w:rFonts w:hint="eastAsia" w:cs="Bookman Old Style"/>
          <w:b/>
          <w:bCs/>
          <w:szCs w:val="24"/>
          <w:highlight w:val="none"/>
        </w:rPr>
        <w:t>十三、合同的文本及生效</w:t>
      </w:r>
    </w:p>
    <w:p w14:paraId="09AC40A2">
      <w:pPr>
        <w:widowControl w:val="0"/>
        <w:spacing w:line="360" w:lineRule="auto"/>
        <w:ind w:firstLine="480" w:firstLineChars="200"/>
        <w:jc w:val="both"/>
        <w:rPr>
          <w:rFonts w:cs="Bookman Old Style"/>
          <w:bCs/>
          <w:szCs w:val="24"/>
          <w:highlight w:val="none"/>
        </w:rPr>
      </w:pPr>
      <w:r>
        <w:rPr>
          <w:rFonts w:cs="Bookman Old Style"/>
          <w:bCs/>
          <w:szCs w:val="24"/>
          <w:highlight w:val="none"/>
        </w:rPr>
        <w:t>1、本合同一式捌份，甲方陆份、乙方执贰份，均具有同等法律效力（若甲乙双方采取线上签约方式，则不涉及此条款）。</w:t>
      </w:r>
    </w:p>
    <w:p w14:paraId="30384C63">
      <w:pPr>
        <w:widowControl w:val="0"/>
        <w:spacing w:line="360" w:lineRule="auto"/>
        <w:ind w:firstLine="480" w:firstLineChars="200"/>
        <w:jc w:val="both"/>
        <w:rPr>
          <w:rFonts w:cs="Bookman Old Style"/>
          <w:bCs/>
          <w:szCs w:val="24"/>
          <w:highlight w:val="none"/>
        </w:rPr>
      </w:pPr>
      <w:r>
        <w:rPr>
          <w:rFonts w:cs="Bookman Old Style"/>
          <w:bCs/>
          <w:szCs w:val="24"/>
          <w:highlight w:val="none"/>
        </w:rPr>
        <w:t>2、本合同经双方法定代表人或委托代理人签字盖章并加盖单位公章成立生效。</w:t>
      </w:r>
    </w:p>
    <w:p w14:paraId="7AD73B04">
      <w:pPr>
        <w:widowControl w:val="0"/>
        <w:spacing w:line="360" w:lineRule="auto"/>
        <w:ind w:firstLine="480" w:firstLineChars="200"/>
        <w:jc w:val="both"/>
        <w:rPr>
          <w:rFonts w:cs="Bookman Old Style"/>
          <w:bCs/>
          <w:szCs w:val="24"/>
          <w:highlight w:val="none"/>
        </w:rPr>
      </w:pPr>
      <w:r>
        <w:rPr>
          <w:rFonts w:cs="Bookman Old Style"/>
          <w:bCs/>
          <w:szCs w:val="24"/>
          <w:highlight w:val="none"/>
        </w:rPr>
        <w:t>3、合同内容如遇国家法律、法规及政策另有规定的，从其规定。</w:t>
      </w:r>
    </w:p>
    <w:p w14:paraId="2E000C7A">
      <w:pPr>
        <w:widowControl w:val="0"/>
        <w:spacing w:line="360" w:lineRule="auto"/>
        <w:ind w:firstLine="482" w:firstLineChars="200"/>
        <w:jc w:val="both"/>
        <w:rPr>
          <w:rFonts w:cs="Times New Roman"/>
          <w:b/>
          <w:szCs w:val="24"/>
          <w:highlight w:val="none"/>
        </w:rPr>
      </w:pPr>
      <w:r>
        <w:rPr>
          <w:rFonts w:hint="eastAsia" w:cs="Times New Roman"/>
          <w:b/>
          <w:szCs w:val="24"/>
          <w:highlight w:val="none"/>
        </w:rPr>
        <w:t>十四、其他约定事项</w:t>
      </w:r>
    </w:p>
    <w:p w14:paraId="52EB8042">
      <w:pPr>
        <w:widowControl w:val="0"/>
        <w:spacing w:line="360" w:lineRule="auto"/>
        <w:ind w:firstLine="480" w:firstLineChars="200"/>
        <w:jc w:val="both"/>
        <w:rPr>
          <w:rFonts w:cs="Bookman Old Style"/>
          <w:szCs w:val="24"/>
          <w:highlight w:val="none"/>
        </w:rPr>
      </w:pPr>
      <w:r>
        <w:rPr>
          <w:rFonts w:cs="Bookman Old Style"/>
          <w:szCs w:val="24"/>
          <w:highlight w:val="none"/>
        </w:rPr>
        <w:t>1、和本合同相关的双方往来函件(包括传真件、电子邮件)与原件具有同等的法律效力，修改无效。</w:t>
      </w:r>
    </w:p>
    <w:p w14:paraId="2FA438F2">
      <w:pPr>
        <w:widowControl w:val="0"/>
        <w:spacing w:line="360" w:lineRule="auto"/>
        <w:ind w:firstLine="480" w:firstLineChars="200"/>
        <w:jc w:val="both"/>
        <w:rPr>
          <w:rFonts w:cs="Bookman Old Style"/>
          <w:szCs w:val="24"/>
          <w:highlight w:val="none"/>
        </w:rPr>
      </w:pPr>
      <w:r>
        <w:rPr>
          <w:rFonts w:cs="Bookman Old Style"/>
          <w:szCs w:val="24"/>
          <w:highlight w:val="none"/>
        </w:rPr>
        <w:t>2、与本合同有关的招投标文件、答疑附件、中标（成交）通知书、合同附件、供货补充合同、供货承诺书以及附件《食品安全承诺书》《廉政承诺书》均是本合同不可分割的组成部分，与本合同具有同等法律效力，其他未尽事宜从其规定。</w:t>
      </w:r>
    </w:p>
    <w:p w14:paraId="4A297501">
      <w:pPr>
        <w:widowControl w:val="0"/>
        <w:spacing w:line="360" w:lineRule="auto"/>
        <w:ind w:firstLine="480" w:firstLineChars="200"/>
        <w:jc w:val="both"/>
        <w:rPr>
          <w:rFonts w:cs="Bookman Old Style"/>
          <w:szCs w:val="24"/>
          <w:highlight w:val="none"/>
        </w:rPr>
      </w:pPr>
      <w:r>
        <w:rPr>
          <w:rFonts w:cs="Bookman Old Style"/>
          <w:szCs w:val="24"/>
          <w:highlight w:val="none"/>
        </w:rPr>
        <w:t>3、双方明确:本合同任何一方不得对招标文件确定的事项和中标人投标文件作实质性修改。如任何一方修改均为无效条款，该条款应以招标文件约定为准，招标文件未约定以中标通知书、投标文件为准。</w:t>
      </w:r>
    </w:p>
    <w:p w14:paraId="337A8014">
      <w:pPr>
        <w:widowControl w:val="0"/>
        <w:spacing w:line="360" w:lineRule="auto"/>
        <w:ind w:firstLine="480" w:firstLineChars="200"/>
        <w:jc w:val="both"/>
        <w:rPr>
          <w:rFonts w:cs="Bookman Old Style"/>
          <w:szCs w:val="24"/>
          <w:highlight w:val="none"/>
        </w:rPr>
      </w:pPr>
      <w:r>
        <w:rPr>
          <w:rFonts w:cs="Bookman Old Style"/>
          <w:szCs w:val="24"/>
          <w:highlight w:val="none"/>
        </w:rPr>
        <w:t>4、本合同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7D905B80">
      <w:pPr>
        <w:widowControl w:val="0"/>
        <w:spacing w:line="360" w:lineRule="auto"/>
        <w:ind w:firstLine="480" w:firstLineChars="200"/>
        <w:jc w:val="both"/>
        <w:rPr>
          <w:rFonts w:cs="Bookman Old Style"/>
          <w:szCs w:val="24"/>
          <w:highlight w:val="none"/>
        </w:rPr>
      </w:pPr>
      <w:r>
        <w:rPr>
          <w:rFonts w:cs="Bookman Old Style"/>
          <w:szCs w:val="24"/>
          <w:highlight w:val="none"/>
        </w:rPr>
        <w:t>5、本合同首尾部的双方联系方式及地址为双方有效的送达地址，如有一方地址发生变更，应在变更后当日向对方书面通知，如因变更方未及时通知，相对方按合同尾部地址送达的，视为送达成功。</w:t>
      </w:r>
    </w:p>
    <w:p w14:paraId="26132E58">
      <w:pPr>
        <w:widowControl w:val="0"/>
        <w:spacing w:line="360" w:lineRule="auto"/>
        <w:ind w:firstLine="480" w:firstLineChars="200"/>
        <w:jc w:val="both"/>
        <w:rPr>
          <w:rFonts w:cs="Bookman Old Style"/>
          <w:szCs w:val="24"/>
          <w:highlight w:val="none"/>
        </w:rPr>
      </w:pPr>
    </w:p>
    <w:p w14:paraId="48E5AEB9">
      <w:pPr>
        <w:widowControl w:val="0"/>
        <w:spacing w:line="360" w:lineRule="auto"/>
        <w:ind w:firstLine="360" w:firstLineChars="150"/>
        <w:jc w:val="both"/>
        <w:rPr>
          <w:rFonts w:cs="Times New Roman"/>
          <w:szCs w:val="24"/>
          <w:highlight w:val="none"/>
        </w:rPr>
      </w:pPr>
    </w:p>
    <w:p w14:paraId="2E6CD75C">
      <w:pPr>
        <w:widowControl w:val="0"/>
        <w:spacing w:line="360" w:lineRule="auto"/>
        <w:ind w:firstLine="360" w:firstLineChars="150"/>
        <w:jc w:val="center"/>
        <w:rPr>
          <w:rFonts w:cs="Bookman Old Style"/>
          <w:szCs w:val="24"/>
          <w:highlight w:val="none"/>
        </w:rPr>
      </w:pPr>
      <w:r>
        <w:rPr>
          <w:rFonts w:hint="eastAsia" w:cs="Times New Roman"/>
          <w:szCs w:val="24"/>
          <w:highlight w:val="none"/>
        </w:rPr>
        <w:t>（以下无正文，为本合同签署页）</w:t>
      </w:r>
    </w:p>
    <w:p w14:paraId="208EAA55">
      <w:pPr>
        <w:widowControl w:val="0"/>
        <w:spacing w:line="360" w:lineRule="auto"/>
        <w:jc w:val="both"/>
        <w:rPr>
          <w:rFonts w:cs="Times New Roman"/>
          <w:szCs w:val="24"/>
          <w:highlight w:val="none"/>
        </w:rPr>
      </w:pPr>
    </w:p>
    <w:p w14:paraId="1C29446A">
      <w:pPr>
        <w:widowControl w:val="0"/>
        <w:spacing w:line="360" w:lineRule="auto"/>
        <w:jc w:val="both"/>
        <w:rPr>
          <w:rFonts w:cs="Times New Roman"/>
          <w:szCs w:val="24"/>
          <w:highlight w:val="none"/>
        </w:rPr>
      </w:pPr>
    </w:p>
    <w:p w14:paraId="76325F8F">
      <w:pPr>
        <w:widowControl w:val="0"/>
        <w:spacing w:line="360" w:lineRule="auto"/>
        <w:jc w:val="both"/>
        <w:rPr>
          <w:rFonts w:cs="Times New Roman"/>
          <w:szCs w:val="24"/>
          <w:highlight w:val="none"/>
        </w:rPr>
      </w:pPr>
      <w:r>
        <w:rPr>
          <w:rFonts w:hint="eastAsia" w:cs="Times New Roman"/>
          <w:szCs w:val="24"/>
          <w:highlight w:val="none"/>
        </w:rPr>
        <w:t>甲方（盖章）：                          乙方（盖章）：</w:t>
      </w:r>
    </w:p>
    <w:p w14:paraId="0588F4FA">
      <w:pPr>
        <w:widowControl w:val="0"/>
        <w:spacing w:line="360" w:lineRule="auto"/>
        <w:jc w:val="both"/>
        <w:rPr>
          <w:rFonts w:cs="Times New Roman"/>
          <w:szCs w:val="24"/>
          <w:highlight w:val="none"/>
        </w:rPr>
      </w:pPr>
      <w:r>
        <w:rPr>
          <w:rFonts w:hint="eastAsia" w:cs="Times New Roman"/>
          <w:szCs w:val="24"/>
          <w:highlight w:val="none"/>
        </w:rPr>
        <w:t>法定代表人或授权代表（签字）：          法定代表人或授权代表（签字）：</w:t>
      </w:r>
    </w:p>
    <w:p w14:paraId="722AD064">
      <w:pPr>
        <w:widowControl w:val="0"/>
        <w:spacing w:line="360" w:lineRule="auto"/>
        <w:jc w:val="both"/>
        <w:rPr>
          <w:rFonts w:cs="Times New Roman"/>
          <w:szCs w:val="24"/>
          <w:highlight w:val="none"/>
        </w:rPr>
      </w:pPr>
      <w:r>
        <w:rPr>
          <w:rFonts w:hint="eastAsia" w:cs="Times New Roman"/>
          <w:szCs w:val="24"/>
          <w:highlight w:val="none"/>
        </w:rPr>
        <w:t xml:space="preserve">地址：                                  地址：                                 </w:t>
      </w:r>
    </w:p>
    <w:p w14:paraId="6F8987A8">
      <w:pPr>
        <w:widowControl w:val="0"/>
        <w:spacing w:line="360" w:lineRule="auto"/>
        <w:jc w:val="both"/>
        <w:rPr>
          <w:rFonts w:cs="Times New Roman"/>
          <w:szCs w:val="24"/>
          <w:highlight w:val="none"/>
        </w:rPr>
      </w:pPr>
      <w:r>
        <w:rPr>
          <w:rFonts w:hint="eastAsia" w:cs="Times New Roman"/>
          <w:szCs w:val="24"/>
          <w:highlight w:val="none"/>
        </w:rPr>
        <w:t xml:space="preserve">电话：                                  电话：                               </w:t>
      </w:r>
    </w:p>
    <w:p w14:paraId="0A2637A3">
      <w:pPr>
        <w:widowControl w:val="0"/>
        <w:spacing w:line="360" w:lineRule="auto"/>
        <w:jc w:val="both"/>
        <w:rPr>
          <w:rFonts w:cs="Times New Roman"/>
          <w:szCs w:val="24"/>
          <w:highlight w:val="none"/>
        </w:rPr>
      </w:pPr>
      <w:r>
        <w:rPr>
          <w:rFonts w:hint="eastAsia" w:cs="Times New Roman"/>
          <w:szCs w:val="24"/>
          <w:highlight w:val="none"/>
        </w:rPr>
        <w:t xml:space="preserve">日期：                                  日期：                                                        </w:t>
      </w:r>
    </w:p>
    <w:p w14:paraId="77312893">
      <w:pPr>
        <w:widowControl w:val="0"/>
        <w:spacing w:line="360" w:lineRule="auto"/>
        <w:jc w:val="both"/>
        <w:rPr>
          <w:rFonts w:cs="Times New Roman"/>
          <w:sz w:val="21"/>
          <w:szCs w:val="24"/>
          <w:highlight w:val="none"/>
        </w:rPr>
      </w:pPr>
    </w:p>
    <w:p w14:paraId="33EE90BB">
      <w:pPr>
        <w:widowControl w:val="0"/>
        <w:spacing w:line="360" w:lineRule="auto"/>
        <w:jc w:val="both"/>
        <w:rPr>
          <w:rFonts w:cs="仿宋"/>
          <w:sz w:val="28"/>
          <w:szCs w:val="28"/>
          <w:highlight w:val="none"/>
        </w:rPr>
      </w:pPr>
    </w:p>
    <w:p w14:paraId="62331D30">
      <w:pPr>
        <w:widowControl w:val="0"/>
        <w:spacing w:line="360" w:lineRule="auto"/>
        <w:jc w:val="both"/>
        <w:rPr>
          <w:rFonts w:cs="仿宋"/>
          <w:sz w:val="28"/>
          <w:szCs w:val="28"/>
          <w:highlight w:val="none"/>
        </w:rPr>
      </w:pPr>
    </w:p>
    <w:p w14:paraId="5DF3B0AC">
      <w:pPr>
        <w:widowControl w:val="0"/>
        <w:spacing w:line="360" w:lineRule="auto"/>
        <w:jc w:val="both"/>
        <w:rPr>
          <w:rFonts w:cs="仿宋"/>
          <w:sz w:val="28"/>
          <w:szCs w:val="28"/>
          <w:highlight w:val="none"/>
        </w:rPr>
      </w:pPr>
      <w:r>
        <w:rPr>
          <w:rFonts w:hint="eastAsia" w:cs="仿宋"/>
          <w:sz w:val="28"/>
          <w:szCs w:val="28"/>
          <w:highlight w:val="none"/>
        </w:rPr>
        <w:br w:type="page"/>
      </w:r>
      <w:r>
        <w:rPr>
          <w:rFonts w:hint="eastAsia" w:cs="仿宋"/>
          <w:szCs w:val="28"/>
          <w:highlight w:val="none"/>
        </w:rPr>
        <w:t>附件1：技术参数清单</w:t>
      </w:r>
    </w:p>
    <w:p w14:paraId="68CDA873">
      <w:pPr>
        <w:widowControl w:val="0"/>
        <w:spacing w:line="360" w:lineRule="auto"/>
        <w:jc w:val="both"/>
        <w:rPr>
          <w:rFonts w:cs="仿宋"/>
          <w:sz w:val="28"/>
          <w:szCs w:val="28"/>
          <w:highlight w:val="none"/>
        </w:rPr>
      </w:pPr>
    </w:p>
    <w:p w14:paraId="34C4282F">
      <w:pPr>
        <w:widowControl w:val="0"/>
        <w:spacing w:line="360" w:lineRule="auto"/>
        <w:jc w:val="both"/>
        <w:rPr>
          <w:rFonts w:cs="仿宋"/>
          <w:sz w:val="28"/>
          <w:szCs w:val="28"/>
          <w:highlight w:val="none"/>
        </w:rPr>
      </w:pPr>
    </w:p>
    <w:p w14:paraId="644655D5">
      <w:pPr>
        <w:pStyle w:val="13"/>
        <w:spacing w:line="360" w:lineRule="auto"/>
        <w:rPr>
          <w:rFonts w:eastAsia="宋体" w:cs="仿宋"/>
          <w:sz w:val="28"/>
          <w:szCs w:val="28"/>
          <w:highlight w:val="none"/>
        </w:rPr>
      </w:pPr>
      <w:bookmarkStart w:id="349" w:name="_Toc3995"/>
    </w:p>
    <w:p w14:paraId="7957C682">
      <w:pPr>
        <w:pStyle w:val="13"/>
        <w:spacing w:line="360" w:lineRule="auto"/>
        <w:rPr>
          <w:rFonts w:eastAsia="宋体" w:cs="仿宋"/>
          <w:sz w:val="24"/>
          <w:szCs w:val="28"/>
          <w:highlight w:val="none"/>
        </w:rPr>
      </w:pPr>
      <w:r>
        <w:rPr>
          <w:rFonts w:hint="eastAsia" w:eastAsia="宋体" w:cs="仿宋"/>
          <w:sz w:val="24"/>
          <w:szCs w:val="28"/>
          <w:highlight w:val="none"/>
        </w:rPr>
        <w:t>附件2</w:t>
      </w:r>
      <w:r>
        <w:rPr>
          <w:rFonts w:eastAsia="宋体" w:cs="仿宋"/>
          <w:sz w:val="24"/>
          <w:szCs w:val="28"/>
          <w:highlight w:val="none"/>
        </w:rPr>
        <w:t>:食品安全承诺书</w:t>
      </w:r>
    </w:p>
    <w:p w14:paraId="37676C47">
      <w:pPr>
        <w:pStyle w:val="13"/>
        <w:spacing w:line="360" w:lineRule="auto"/>
        <w:jc w:val="center"/>
        <w:rPr>
          <w:rFonts w:eastAsia="宋体" w:cs="仿宋"/>
          <w:sz w:val="24"/>
          <w:szCs w:val="28"/>
          <w:highlight w:val="none"/>
        </w:rPr>
      </w:pPr>
      <w:r>
        <w:rPr>
          <w:rFonts w:hint="eastAsia" w:eastAsia="宋体" w:cs="仿宋"/>
          <w:sz w:val="24"/>
          <w:szCs w:val="28"/>
          <w:highlight w:val="none"/>
        </w:rPr>
        <w:t>食品安全承诺书</w:t>
      </w:r>
    </w:p>
    <w:p w14:paraId="15B1ADCC">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一、本公司（本人）做为新疆医科大学的供货商及合作商，为确保食品消费安全，杜绝假冒伪劣和有毒有害食品流入流通领域，努力营造健康、安全、有序、诚信的消费环境，自愿向贵校承诺如下：</w:t>
      </w:r>
    </w:p>
    <w:p w14:paraId="5C6521F5">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1、绝不提供不符合国家标准、行业标准及贵校采购标准和双方合同约定质量的货物；</w:t>
      </w:r>
    </w:p>
    <w:p w14:paraId="2ED48C59">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2、不销售假冒伪劣、有毒有害、不合格、腐烂变质、不符合卫生标准的食品，不缺斤短两，如出现缺斤短两，少一赔百（公斤）；</w:t>
      </w:r>
    </w:p>
    <w:p w14:paraId="2B18EBBB">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 xml:space="preserve"> 3、不销售未经检验、检测或经检验、检测不合格的食品；</w:t>
      </w:r>
    </w:p>
    <w:p w14:paraId="76181DA7">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4、严格遵守《中华人民共和国食品安全法》、《餐饮服务食品采购索证索票管理规定》、《餐饮服务食品安全监督管理办法》、《学校食品安全与营养健康管理规定》及食品安全相关的法律、法规的规定，自觉接受食品药品监管部门的监督管理，自觉接受社会和消费者的监督，做到诚实守信、依法经营；</w:t>
      </w:r>
    </w:p>
    <w:p w14:paraId="16367CC4">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5、建立并执行食品质量验收、购销台账和索证索票制度，严把食品进货质量关口，坚决不从非法渠道购入食品；</w:t>
      </w:r>
    </w:p>
    <w:p w14:paraId="435D30A9">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6、建立并执行不合格食品退市制度，发现不合格食品，立即停止销售，并采取销毁等措施予以处理。对已向甲方售出的危害人身安全的食品，负责赔偿相应的经济损失，并负责将食品召回、销毁；</w:t>
      </w:r>
    </w:p>
    <w:p w14:paraId="6920ABD8">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7、如因产品质量问题发生的食物中毒等食品安全事故，由本公司（本人）承担经济赔偿责任以及相关法律责任；</w:t>
      </w:r>
    </w:p>
    <w:p w14:paraId="256D5F41">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8、本公司（本人）保障食品安全的运送设施，运输时，避免日晒雨淋，不得与有毒有害有异味或其他影响质量的物品混装运输；</w:t>
      </w:r>
    </w:p>
    <w:p w14:paraId="6FEBF5A9">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9、储存食品环境达到规定要求，不得与有毒有害物品同库存存放。存放食品设施达到国家相关标准要求，有良好的通风、防潮、防污染、防变质条件。</w:t>
      </w:r>
    </w:p>
    <w:p w14:paraId="4A3C4550">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10、绝不随意断货、不乱提价格、不重复结算；</w:t>
      </w:r>
    </w:p>
    <w:p w14:paraId="053BDDB7">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11、绝不与其他任何第三方串通，做出任何损害贵校利益及声誉的事情；</w:t>
      </w:r>
    </w:p>
    <w:p w14:paraId="64B56C2D">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二、如本公司（本人）违反上述承诺，本公司（本人）自愿承担如下责任：</w:t>
      </w:r>
    </w:p>
    <w:p w14:paraId="1F03EB1E">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1、本公司（本人）已缴纳的全部保证金全部归贵校所有；</w:t>
      </w:r>
    </w:p>
    <w:p w14:paraId="745F9F88">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2、本公司（本人）剩余未结全部款项作为违约金全部归贵校所有；</w:t>
      </w:r>
    </w:p>
    <w:p w14:paraId="1378291B">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3、如因本公司（本人）的相关行为给贵校造成损失的，本公司（本人）的保证金及未结款项不足以弥补贵校损失的，本公司（本人）继续承担赔偿责任；</w:t>
      </w:r>
    </w:p>
    <w:p w14:paraId="03CDBEAA">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4、本公司（本人）自愿接受被贵校列入供应商黑名单的制裁，该制裁包括但不限于如下内容：</w:t>
      </w:r>
    </w:p>
    <w:p w14:paraId="071828AC">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w:t>
      </w:r>
      <w:r>
        <w:rPr>
          <w:rFonts w:eastAsia="宋体" w:cs="仿宋"/>
          <w:sz w:val="24"/>
          <w:szCs w:val="28"/>
          <w:highlight w:val="none"/>
        </w:rPr>
        <w:t>1）授权贵校在全国的各类报纸、杂志、网络、微信、电台、电视台等任何媒体对本人的上述行为进行曝光，相关费用全部由本公司（本人）承担；</w:t>
      </w:r>
    </w:p>
    <w:p w14:paraId="44DD08B4">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w:t>
      </w:r>
      <w:r>
        <w:rPr>
          <w:rFonts w:eastAsia="宋体" w:cs="仿宋"/>
          <w:sz w:val="24"/>
          <w:szCs w:val="28"/>
          <w:highlight w:val="none"/>
        </w:rPr>
        <w:t>2）授权贵校将本公司（本人）的上述行为作为反面案例，以任何形式在任何场所进行广泛宣传；</w:t>
      </w:r>
    </w:p>
    <w:p w14:paraId="6EA3C066">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5、如本公司（本人）的上述行为构成犯罪的，贵校有权直接报案，依法追究本公司（本人）的全部法律责任；</w:t>
      </w:r>
    </w:p>
    <w:p w14:paraId="1B18EF2F">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三、本公司（本人）作为合作单位的法定代表人及股东，自愿为本公司（本人）的上述承诺承担连带责任、经济赔偿责任及刑事法律责任。</w:t>
      </w:r>
    </w:p>
    <w:p w14:paraId="269CA7BB">
      <w:pPr>
        <w:pStyle w:val="13"/>
        <w:spacing w:line="360" w:lineRule="auto"/>
        <w:rPr>
          <w:rFonts w:eastAsia="宋体" w:cs="仿宋"/>
          <w:sz w:val="24"/>
          <w:szCs w:val="28"/>
          <w:highlight w:val="none"/>
        </w:rPr>
      </w:pPr>
    </w:p>
    <w:p w14:paraId="62DB799D">
      <w:pPr>
        <w:pStyle w:val="13"/>
        <w:spacing w:line="360" w:lineRule="auto"/>
        <w:rPr>
          <w:rFonts w:eastAsia="宋体" w:cs="仿宋"/>
          <w:sz w:val="24"/>
          <w:szCs w:val="28"/>
          <w:highlight w:val="none"/>
        </w:rPr>
      </w:pPr>
    </w:p>
    <w:p w14:paraId="18D55D38">
      <w:pPr>
        <w:pStyle w:val="13"/>
        <w:spacing w:line="360" w:lineRule="auto"/>
        <w:rPr>
          <w:rFonts w:eastAsia="宋体" w:cs="仿宋"/>
          <w:sz w:val="24"/>
          <w:szCs w:val="28"/>
          <w:highlight w:val="none"/>
        </w:rPr>
      </w:pPr>
      <w:r>
        <w:rPr>
          <w:rFonts w:hint="eastAsia" w:eastAsia="宋体" w:cs="仿宋"/>
          <w:sz w:val="24"/>
          <w:szCs w:val="28"/>
          <w:highlight w:val="none"/>
        </w:rPr>
        <w:t>承诺单位（盖章）：</w:t>
      </w:r>
    </w:p>
    <w:p w14:paraId="4C65F75F">
      <w:pPr>
        <w:pStyle w:val="13"/>
        <w:spacing w:line="360" w:lineRule="auto"/>
        <w:rPr>
          <w:rFonts w:eastAsia="宋体" w:cs="仿宋"/>
          <w:sz w:val="24"/>
          <w:szCs w:val="28"/>
          <w:highlight w:val="none"/>
        </w:rPr>
      </w:pPr>
    </w:p>
    <w:p w14:paraId="7ECFE308">
      <w:pPr>
        <w:pStyle w:val="13"/>
        <w:spacing w:line="360" w:lineRule="auto"/>
        <w:rPr>
          <w:rFonts w:eastAsia="宋体" w:cs="仿宋"/>
          <w:sz w:val="24"/>
          <w:szCs w:val="28"/>
          <w:highlight w:val="none"/>
        </w:rPr>
      </w:pPr>
      <w:r>
        <w:rPr>
          <w:rFonts w:hint="eastAsia" w:eastAsia="宋体" w:cs="仿宋"/>
          <w:sz w:val="24"/>
          <w:szCs w:val="28"/>
          <w:highlight w:val="none"/>
        </w:rPr>
        <w:t>法定代表人（或授权代理人）签字：</w:t>
      </w:r>
      <w:r>
        <w:rPr>
          <w:rFonts w:eastAsia="宋体" w:cs="仿宋"/>
          <w:sz w:val="24"/>
          <w:szCs w:val="28"/>
          <w:highlight w:val="none"/>
        </w:rPr>
        <w:t xml:space="preserve">  </w:t>
      </w:r>
    </w:p>
    <w:p w14:paraId="08459CDA">
      <w:pPr>
        <w:pStyle w:val="13"/>
        <w:spacing w:line="360" w:lineRule="auto"/>
        <w:rPr>
          <w:rFonts w:eastAsia="宋体" w:cs="仿宋"/>
          <w:sz w:val="24"/>
          <w:szCs w:val="28"/>
          <w:highlight w:val="none"/>
        </w:rPr>
      </w:pPr>
      <w:r>
        <w:rPr>
          <w:rFonts w:eastAsia="宋体" w:cs="仿宋"/>
          <w:sz w:val="24"/>
          <w:szCs w:val="28"/>
          <w:highlight w:val="none"/>
        </w:rPr>
        <w:t xml:space="preserve">     </w:t>
      </w:r>
    </w:p>
    <w:p w14:paraId="719EFCE2">
      <w:pPr>
        <w:pStyle w:val="13"/>
        <w:spacing w:line="360" w:lineRule="auto"/>
        <w:rPr>
          <w:rFonts w:eastAsia="宋体" w:cs="仿宋"/>
          <w:sz w:val="24"/>
          <w:szCs w:val="28"/>
          <w:highlight w:val="none"/>
        </w:rPr>
      </w:pPr>
      <w:r>
        <w:rPr>
          <w:rFonts w:eastAsia="宋体" w:cs="仿宋"/>
          <w:sz w:val="24"/>
          <w:szCs w:val="28"/>
          <w:highlight w:val="none"/>
        </w:rPr>
        <w:t xml:space="preserve">                       </w:t>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 xml:space="preserve">日期：     </w:t>
      </w:r>
    </w:p>
    <w:p w14:paraId="7B5851F3">
      <w:pPr>
        <w:pStyle w:val="13"/>
        <w:spacing w:line="360" w:lineRule="auto"/>
        <w:rPr>
          <w:rFonts w:eastAsia="宋体" w:cs="仿宋"/>
          <w:sz w:val="28"/>
          <w:szCs w:val="28"/>
          <w:highlight w:val="none"/>
        </w:rPr>
      </w:pPr>
    </w:p>
    <w:p w14:paraId="064CCE31">
      <w:pPr>
        <w:pStyle w:val="13"/>
        <w:spacing w:line="360" w:lineRule="auto"/>
        <w:rPr>
          <w:rFonts w:eastAsia="宋体" w:cs="仿宋"/>
          <w:sz w:val="28"/>
          <w:szCs w:val="28"/>
          <w:highlight w:val="none"/>
        </w:rPr>
      </w:pPr>
    </w:p>
    <w:p w14:paraId="4B8EEB77">
      <w:pPr>
        <w:pStyle w:val="13"/>
        <w:spacing w:line="360" w:lineRule="auto"/>
        <w:rPr>
          <w:rFonts w:eastAsia="宋体" w:cs="仿宋"/>
          <w:sz w:val="24"/>
          <w:szCs w:val="28"/>
          <w:highlight w:val="none"/>
        </w:rPr>
      </w:pPr>
      <w:r>
        <w:rPr>
          <w:rFonts w:hint="eastAsia" w:eastAsia="宋体" w:cs="仿宋"/>
          <w:sz w:val="24"/>
          <w:szCs w:val="28"/>
          <w:highlight w:val="none"/>
        </w:rPr>
        <w:t>附件</w:t>
      </w:r>
      <w:r>
        <w:rPr>
          <w:rFonts w:eastAsia="宋体" w:cs="仿宋"/>
          <w:sz w:val="24"/>
          <w:szCs w:val="28"/>
          <w:highlight w:val="none"/>
        </w:rPr>
        <w:t>3:</w:t>
      </w:r>
      <w:r>
        <w:rPr>
          <w:rFonts w:hint="eastAsia" w:eastAsia="宋体" w:cs="仿宋"/>
          <w:sz w:val="24"/>
          <w:szCs w:val="28"/>
          <w:highlight w:val="none"/>
        </w:rPr>
        <w:t xml:space="preserve"> 廉政承诺书</w:t>
      </w:r>
    </w:p>
    <w:p w14:paraId="44EC20E0">
      <w:pPr>
        <w:pStyle w:val="13"/>
        <w:spacing w:line="360" w:lineRule="auto"/>
        <w:jc w:val="center"/>
        <w:rPr>
          <w:rFonts w:eastAsia="宋体" w:cs="仿宋"/>
          <w:sz w:val="24"/>
          <w:szCs w:val="28"/>
          <w:highlight w:val="none"/>
        </w:rPr>
      </w:pPr>
      <w:r>
        <w:rPr>
          <w:rFonts w:hint="eastAsia" w:eastAsia="宋体" w:cs="仿宋"/>
          <w:sz w:val="24"/>
          <w:szCs w:val="28"/>
          <w:highlight w:val="none"/>
        </w:rPr>
        <w:t>廉政承诺书</w:t>
      </w:r>
    </w:p>
    <w:p w14:paraId="31B619C0">
      <w:pPr>
        <w:pStyle w:val="13"/>
        <w:spacing w:line="360" w:lineRule="auto"/>
        <w:ind w:firstLine="480" w:firstLineChars="200"/>
        <w:rPr>
          <w:rFonts w:eastAsia="宋体" w:cs="仿宋"/>
          <w:sz w:val="24"/>
          <w:szCs w:val="28"/>
          <w:highlight w:val="none"/>
        </w:rPr>
      </w:pPr>
      <w:r>
        <w:rPr>
          <w:rFonts w:hint="eastAsia" w:eastAsia="宋体" w:cs="仿宋"/>
          <w:sz w:val="24"/>
          <w:szCs w:val="28"/>
          <w:highlight w:val="none"/>
        </w:rPr>
        <w:t>为建立廉洁自律的工作纪律，本公司作为新疆医科大学的供应商，在独立、客观、公正的基础上开展各项业务，杜绝发生违法、违纪和不良行为。本公司将严格按照以下措施做好各项工作，并自愿向贵校承诺如下：</w:t>
      </w:r>
    </w:p>
    <w:p w14:paraId="3206B590">
      <w:pPr>
        <w:pStyle w:val="13"/>
        <w:spacing w:line="360" w:lineRule="auto"/>
        <w:rPr>
          <w:rFonts w:eastAsia="宋体" w:cs="仿宋"/>
          <w:sz w:val="24"/>
          <w:szCs w:val="28"/>
          <w:highlight w:val="none"/>
        </w:rPr>
      </w:pPr>
      <w:r>
        <w:rPr>
          <w:rFonts w:hint="eastAsia" w:eastAsia="宋体" w:cs="仿宋"/>
          <w:sz w:val="24"/>
          <w:szCs w:val="28"/>
          <w:highlight w:val="none"/>
        </w:rPr>
        <w:t>第一条</w:t>
      </w:r>
      <w:r>
        <w:rPr>
          <w:rFonts w:eastAsia="宋体" w:cs="仿宋"/>
          <w:sz w:val="24"/>
          <w:szCs w:val="28"/>
          <w:highlight w:val="none"/>
        </w:rPr>
        <w:t xml:space="preserve"> 廉政内容</w:t>
      </w:r>
    </w:p>
    <w:p w14:paraId="467034D9">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(一)严格遵守党规、党纪、国家法律、行政法规和贵校的各项规章制度，做到依法经营、诚实守信和廉洁自律；</w:t>
      </w:r>
    </w:p>
    <w:p w14:paraId="59A83303">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(二)正确行使权力，不在贵校的管理、招投标活动和业务合作中发生任何违法、违规、违纪行为，不谋取不正当利益和损害贵校的利益；</w:t>
      </w:r>
    </w:p>
    <w:p w14:paraId="24B9CD30">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(三)不以权谋私，不从事任何损害贵校利益的业务，不利用条件上的便利从事有偿居间活动；不利用条件上的便利为亲属、特定关系人谋取任何利益；</w:t>
      </w:r>
    </w:p>
    <w:p w14:paraId="07016EC7">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(四)坚决抵制商业贿赂，绝不向贵校的工作人员及其家人行贿或变现行贿，不以任何形式向其赠送礼金、有价证券和贵重物品、以报销、提成、回扣等方式给予任何费用；</w:t>
      </w:r>
    </w:p>
    <w:p w14:paraId="5D036E94">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(五)在业务合作过程中，如出现相关人员吃、拿、卡、要等现象应立即停止并向新疆医科大学进行反映；</w:t>
      </w:r>
    </w:p>
    <w:p w14:paraId="67B61CFF">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(六)不以任何理由邀请新疆医科大学工作人员外出旅游或安排参加宴请及娱乐活动；</w:t>
      </w:r>
    </w:p>
    <w:p w14:paraId="50835ECB">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七)本公司指定业务代表洽谈业务，销售代表必须在工作时间到新疆医科大学指定地点联系商谈，不得到学校、学院、科室等推销任何产品，不得借故到相关领导、部门负责人及相关工作人员家中访谈并提供任何好处费。</w:t>
      </w:r>
    </w:p>
    <w:p w14:paraId="5AD86AC2">
      <w:pPr>
        <w:pStyle w:val="13"/>
        <w:spacing w:line="360" w:lineRule="auto"/>
        <w:rPr>
          <w:rFonts w:eastAsia="宋体" w:cs="仿宋"/>
          <w:sz w:val="24"/>
          <w:szCs w:val="28"/>
          <w:highlight w:val="none"/>
        </w:rPr>
      </w:pPr>
      <w:r>
        <w:rPr>
          <w:rFonts w:hint="eastAsia" w:eastAsia="宋体" w:cs="仿宋"/>
          <w:sz w:val="24"/>
          <w:szCs w:val="28"/>
          <w:highlight w:val="none"/>
        </w:rPr>
        <w:t>第二条</w:t>
      </w:r>
      <w:r>
        <w:rPr>
          <w:rFonts w:eastAsia="宋体" w:cs="仿宋"/>
          <w:sz w:val="24"/>
          <w:szCs w:val="28"/>
          <w:highlight w:val="none"/>
        </w:rPr>
        <w:t xml:space="preserve"> 如本公司违反上述承诺，本公司自愿承担如下责任</w:t>
      </w:r>
    </w:p>
    <w:p w14:paraId="3B848C96">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(一) 如因本公司的相关行为给贵校造成损失的，本公司剩余未结款项全部归贵校所有，如不足以弥补贵校损失的，本公司继续承担赔偿责任；</w:t>
      </w:r>
    </w:p>
    <w:p w14:paraId="671236D9">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(二)如本公司的上述行为构成犯罪的，贵校有权直接报案，依法追究本公司的全部法律责任，凡被司法机关认定行贿罪的，按照合同总价款的20%承担违约责任；</w:t>
      </w:r>
    </w:p>
    <w:p w14:paraId="40CF134D">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(三)本公司自愿接受被贵校列入员工黑名单的制裁，该制裁包括但不限于如下内容：</w:t>
      </w:r>
    </w:p>
    <w:p w14:paraId="63243D19">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w:t>
      </w:r>
      <w:r>
        <w:rPr>
          <w:rFonts w:eastAsia="宋体" w:cs="仿宋"/>
          <w:sz w:val="24"/>
          <w:szCs w:val="28"/>
          <w:highlight w:val="none"/>
        </w:rPr>
        <w:t>1）授权贵校在任何媒体对本公司的上述行为进行曝光，相关费用全部由本公司承担；</w:t>
      </w:r>
    </w:p>
    <w:p w14:paraId="0048D6E8">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w:t>
      </w:r>
      <w:r>
        <w:rPr>
          <w:rFonts w:eastAsia="宋体" w:cs="仿宋"/>
          <w:sz w:val="24"/>
          <w:szCs w:val="28"/>
          <w:highlight w:val="none"/>
        </w:rPr>
        <w:t>2）授权贵校将本公司的上述行为作为反面案例，以任何形式在任何场所进行广泛宣传。</w:t>
      </w:r>
    </w:p>
    <w:p w14:paraId="05692833">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本公司将认真执行上述承诺事项，自愿对上述承诺内容承担法律责任、经济赔偿责任及刑事法律责任。</w:t>
      </w:r>
    </w:p>
    <w:p w14:paraId="2E37DC8F">
      <w:pPr>
        <w:pStyle w:val="13"/>
        <w:spacing w:line="360" w:lineRule="auto"/>
        <w:rPr>
          <w:rFonts w:eastAsia="宋体" w:cs="仿宋"/>
          <w:sz w:val="24"/>
          <w:szCs w:val="28"/>
          <w:highlight w:val="none"/>
        </w:rPr>
      </w:pPr>
    </w:p>
    <w:p w14:paraId="30152C5C">
      <w:pPr>
        <w:pStyle w:val="13"/>
        <w:spacing w:line="360" w:lineRule="auto"/>
        <w:rPr>
          <w:rFonts w:eastAsia="宋体" w:cs="仿宋"/>
          <w:sz w:val="24"/>
          <w:szCs w:val="28"/>
          <w:highlight w:val="none"/>
        </w:rPr>
      </w:pPr>
      <w:r>
        <w:rPr>
          <w:rFonts w:eastAsia="宋体" w:cs="仿宋"/>
          <w:sz w:val="24"/>
          <w:szCs w:val="28"/>
          <w:highlight w:val="none"/>
        </w:rPr>
        <w:t xml:space="preserve">                    承诺单位（盖章）：</w:t>
      </w:r>
    </w:p>
    <w:p w14:paraId="375380E1">
      <w:pPr>
        <w:pStyle w:val="13"/>
        <w:spacing w:line="360" w:lineRule="auto"/>
        <w:rPr>
          <w:rFonts w:eastAsia="宋体" w:cs="仿宋"/>
          <w:sz w:val="24"/>
          <w:szCs w:val="28"/>
          <w:highlight w:val="none"/>
        </w:rPr>
      </w:pPr>
      <w:r>
        <w:rPr>
          <w:rFonts w:eastAsia="宋体" w:cs="仿宋"/>
          <w:sz w:val="24"/>
          <w:szCs w:val="28"/>
          <w:highlight w:val="none"/>
        </w:rPr>
        <w:t xml:space="preserve">                  </w:t>
      </w:r>
    </w:p>
    <w:p w14:paraId="19840375">
      <w:pPr>
        <w:pStyle w:val="13"/>
        <w:spacing w:line="360" w:lineRule="auto"/>
        <w:rPr>
          <w:rFonts w:eastAsia="宋体" w:cs="仿宋"/>
          <w:sz w:val="24"/>
          <w:szCs w:val="28"/>
          <w:highlight w:val="none"/>
        </w:rPr>
      </w:pPr>
      <w:r>
        <w:rPr>
          <w:rFonts w:eastAsia="宋体" w:cs="仿宋"/>
          <w:sz w:val="24"/>
          <w:szCs w:val="28"/>
          <w:highlight w:val="none"/>
        </w:rPr>
        <w:t xml:space="preserve">                         法定代表人（或授权代理人）签字：</w:t>
      </w:r>
    </w:p>
    <w:p w14:paraId="788554DA">
      <w:pPr>
        <w:pStyle w:val="13"/>
        <w:spacing w:line="360" w:lineRule="auto"/>
        <w:rPr>
          <w:rFonts w:eastAsia="宋体" w:cs="仿宋"/>
          <w:sz w:val="24"/>
          <w:szCs w:val="28"/>
          <w:highlight w:val="none"/>
        </w:rPr>
      </w:pPr>
      <w:r>
        <w:rPr>
          <w:rFonts w:eastAsia="宋体" w:cs="仿宋"/>
          <w:sz w:val="24"/>
          <w:szCs w:val="28"/>
          <w:highlight w:val="none"/>
        </w:rPr>
        <w:t xml:space="preserve">                  </w:t>
      </w:r>
    </w:p>
    <w:p w14:paraId="2E1515A0">
      <w:pPr>
        <w:pStyle w:val="13"/>
        <w:spacing w:line="360" w:lineRule="auto"/>
        <w:rPr>
          <w:sz w:val="20"/>
          <w:highlight w:val="none"/>
        </w:rPr>
      </w:pPr>
      <w:r>
        <w:rPr>
          <w:rFonts w:eastAsia="宋体" w:cs="仿宋"/>
          <w:sz w:val="24"/>
          <w:szCs w:val="28"/>
          <w:highlight w:val="none"/>
        </w:rPr>
        <w:t xml:space="preserve">                       </w:t>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日期：</w:t>
      </w:r>
    </w:p>
    <w:p w14:paraId="79EB5A49">
      <w:pPr>
        <w:pStyle w:val="13"/>
        <w:spacing w:line="360" w:lineRule="auto"/>
        <w:rPr>
          <w:highlight w:val="none"/>
        </w:rPr>
      </w:pPr>
    </w:p>
    <w:bookmarkEnd w:id="349"/>
    <w:p w14:paraId="54F3A771">
      <w:pPr>
        <w:spacing w:line="360" w:lineRule="auto"/>
        <w:rPr>
          <w:highlight w:val="none"/>
          <w:lang w:val="zh-CN"/>
        </w:rPr>
      </w:pPr>
    </w:p>
    <w:p w14:paraId="226B7CE2">
      <w:pPr>
        <w:spacing w:line="360" w:lineRule="auto"/>
        <w:rPr>
          <w:highlight w:val="none"/>
          <w:lang w:val="zh-CN"/>
        </w:rPr>
      </w:pPr>
    </w:p>
    <w:p w14:paraId="10A2B3FC">
      <w:pPr>
        <w:spacing w:line="360" w:lineRule="auto"/>
        <w:rPr>
          <w:highlight w:val="none"/>
        </w:rPr>
      </w:pPr>
    </w:p>
    <w:p w14:paraId="4CDF81C5">
      <w:pPr>
        <w:spacing w:line="360" w:lineRule="auto"/>
        <w:rPr>
          <w:highlight w:val="none"/>
          <w:lang w:val="zh-CN"/>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p>
    <w:p w14:paraId="35823763">
      <w:pPr>
        <w:spacing w:line="360" w:lineRule="auto"/>
        <w:rPr>
          <w:highlight w:val="none"/>
        </w:rPr>
      </w:pPr>
      <w:bookmarkStart w:id="350" w:name="_Toc163492913"/>
      <w:bookmarkStart w:id="351" w:name="_Toc155185919"/>
    </w:p>
    <w:p w14:paraId="5F939C1E">
      <w:pPr>
        <w:spacing w:line="360" w:lineRule="auto"/>
        <w:rPr>
          <w:highlight w:val="none"/>
        </w:rPr>
      </w:pPr>
    </w:p>
    <w:p w14:paraId="2CBC0108">
      <w:pPr>
        <w:spacing w:line="360" w:lineRule="auto"/>
        <w:rPr>
          <w:highlight w:val="none"/>
        </w:rPr>
      </w:pPr>
    </w:p>
    <w:p w14:paraId="43806B18">
      <w:pPr>
        <w:spacing w:line="360" w:lineRule="auto"/>
        <w:rPr>
          <w:highlight w:val="none"/>
        </w:rPr>
      </w:pPr>
    </w:p>
    <w:p w14:paraId="309953BB">
      <w:pPr>
        <w:spacing w:line="360" w:lineRule="auto"/>
        <w:rPr>
          <w:highlight w:val="none"/>
        </w:rPr>
      </w:pPr>
    </w:p>
    <w:p w14:paraId="052E08E0">
      <w:pPr>
        <w:spacing w:line="360" w:lineRule="auto"/>
        <w:rPr>
          <w:highlight w:val="none"/>
        </w:rPr>
      </w:pPr>
    </w:p>
    <w:p w14:paraId="521727FB">
      <w:pPr>
        <w:spacing w:line="360" w:lineRule="auto"/>
        <w:rPr>
          <w:highlight w:val="none"/>
        </w:rPr>
      </w:pPr>
    </w:p>
    <w:p w14:paraId="5D65A146">
      <w:pPr>
        <w:spacing w:line="360" w:lineRule="auto"/>
        <w:rPr>
          <w:highlight w:val="none"/>
        </w:rPr>
      </w:pPr>
    </w:p>
    <w:p w14:paraId="1EE8D326">
      <w:pPr>
        <w:spacing w:line="360" w:lineRule="auto"/>
        <w:rPr>
          <w:highlight w:val="none"/>
        </w:rPr>
      </w:pPr>
    </w:p>
    <w:p w14:paraId="64F90EAD">
      <w:pPr>
        <w:spacing w:line="360" w:lineRule="auto"/>
        <w:rPr>
          <w:highlight w:val="none"/>
        </w:rPr>
      </w:pPr>
    </w:p>
    <w:p w14:paraId="41B4F3B1">
      <w:pPr>
        <w:spacing w:line="360" w:lineRule="auto"/>
        <w:rPr>
          <w:highlight w:val="none"/>
        </w:rPr>
      </w:pPr>
    </w:p>
    <w:p w14:paraId="55F595E8">
      <w:pPr>
        <w:pStyle w:val="2"/>
        <w:spacing w:line="360" w:lineRule="auto"/>
        <w:rPr>
          <w:highlight w:val="none"/>
        </w:rPr>
      </w:pPr>
      <w:bookmarkStart w:id="352" w:name="_Toc229390297"/>
      <w:r>
        <w:rPr>
          <w:rFonts w:hint="eastAsia"/>
          <w:highlight w:val="none"/>
        </w:rPr>
        <w:t>第七章 投标文件格式</w:t>
      </w:r>
      <w:bookmarkEnd w:id="350"/>
      <w:bookmarkEnd w:id="351"/>
      <w:bookmarkEnd w:id="352"/>
    </w:p>
    <w:p w14:paraId="4984BF7F">
      <w:pPr>
        <w:spacing w:line="360" w:lineRule="auto"/>
        <w:rPr>
          <w:highlight w:val="none"/>
        </w:rPr>
      </w:pPr>
    </w:p>
    <w:p w14:paraId="6CE8D894">
      <w:pPr>
        <w:pStyle w:val="61"/>
        <w:spacing w:line="360" w:lineRule="auto"/>
        <w:rPr>
          <w:rFonts w:ascii="宋体" w:hAnsi="宋体" w:eastAsia="宋体" w:cs="宋体"/>
          <w:b/>
          <w:bCs/>
          <w:highlight w:val="none"/>
        </w:rPr>
      </w:pPr>
    </w:p>
    <w:p w14:paraId="3BC9A66B">
      <w:pPr>
        <w:pStyle w:val="61"/>
        <w:spacing w:line="360" w:lineRule="auto"/>
        <w:rPr>
          <w:rFonts w:ascii="宋体" w:hAnsi="宋体" w:eastAsia="宋体" w:cs="宋体"/>
          <w:b/>
          <w:bCs/>
          <w:highlight w:val="none"/>
        </w:rPr>
      </w:pPr>
    </w:p>
    <w:p w14:paraId="42022C11">
      <w:pPr>
        <w:spacing w:line="360" w:lineRule="auto"/>
        <w:rPr>
          <w:highlight w:val="none"/>
          <w:lang w:val="zh-CN"/>
        </w:rPr>
      </w:pPr>
      <w:bookmarkStart w:id="353" w:name="_Toc163492937"/>
    </w:p>
    <w:p w14:paraId="68614FCE">
      <w:pPr>
        <w:spacing w:line="360" w:lineRule="auto"/>
        <w:rPr>
          <w:highlight w:val="none"/>
          <w:lang w:val="zh-CN"/>
        </w:rPr>
      </w:pPr>
      <w:r>
        <w:rPr>
          <w:highlight w:val="none"/>
          <w:lang w:val="zh-CN"/>
        </w:rPr>
        <w:br w:type="page"/>
      </w:r>
    </w:p>
    <w:p w14:paraId="783F848C">
      <w:pPr>
        <w:spacing w:line="360" w:lineRule="auto"/>
        <w:rPr>
          <w:highlight w:val="none"/>
          <w:lang w:val="zh-CN"/>
        </w:rPr>
      </w:pPr>
      <w:r>
        <w:rPr>
          <w:rFonts w:hint="eastAsia"/>
          <w:highlight w:val="none"/>
          <w:lang w:val="zh-CN"/>
        </w:rPr>
        <w:t>封面：</w:t>
      </w:r>
    </w:p>
    <w:p w14:paraId="37CCF296">
      <w:pPr>
        <w:spacing w:line="360" w:lineRule="auto"/>
        <w:rPr>
          <w:highlight w:val="none"/>
        </w:rPr>
      </w:pPr>
    </w:p>
    <w:p w14:paraId="4C83248E">
      <w:pPr>
        <w:spacing w:line="360" w:lineRule="auto"/>
        <w:rPr>
          <w:highlight w:val="none"/>
        </w:rPr>
      </w:pPr>
    </w:p>
    <w:p w14:paraId="5E1E410A">
      <w:pPr>
        <w:spacing w:line="360" w:lineRule="auto"/>
        <w:rPr>
          <w:highlight w:val="none"/>
        </w:rPr>
      </w:pPr>
    </w:p>
    <w:p w14:paraId="49B1F439">
      <w:pPr>
        <w:pStyle w:val="2"/>
        <w:spacing w:line="360" w:lineRule="auto"/>
        <w:rPr>
          <w:highlight w:val="none"/>
        </w:rPr>
      </w:pPr>
      <w:bookmarkStart w:id="354" w:name="_Toc229390298"/>
      <w:r>
        <w:rPr>
          <w:rFonts w:hint="eastAsia"/>
          <w:highlight w:val="none"/>
        </w:rPr>
        <w:t>投 标 文 件</w:t>
      </w:r>
      <w:bookmarkEnd w:id="354"/>
    </w:p>
    <w:p w14:paraId="4AF31582">
      <w:pPr>
        <w:pStyle w:val="2"/>
        <w:spacing w:line="360" w:lineRule="auto"/>
        <w:rPr>
          <w:highlight w:val="none"/>
        </w:rPr>
      </w:pPr>
      <w:bookmarkStart w:id="355" w:name="_Toc229390299"/>
      <w:r>
        <w:rPr>
          <w:rFonts w:hint="eastAsia"/>
          <w:highlight w:val="none"/>
        </w:rPr>
        <w:t>资格证明文件</w:t>
      </w:r>
      <w:bookmarkEnd w:id="355"/>
    </w:p>
    <w:p w14:paraId="6A8CFE28">
      <w:pPr>
        <w:spacing w:line="360" w:lineRule="auto"/>
        <w:rPr>
          <w:highlight w:val="none"/>
        </w:rPr>
      </w:pPr>
    </w:p>
    <w:p w14:paraId="3DFF2DE2">
      <w:pPr>
        <w:spacing w:line="360" w:lineRule="auto"/>
        <w:rPr>
          <w:highlight w:val="none"/>
        </w:rPr>
      </w:pPr>
      <w:r>
        <w:rPr>
          <w:rFonts w:hint="eastAsia"/>
          <w:highlight w:val="none"/>
        </w:rPr>
        <w:t>（第XX包）【如不分包，请删去本行】</w:t>
      </w:r>
    </w:p>
    <w:p w14:paraId="018FF96B">
      <w:pPr>
        <w:spacing w:line="360" w:lineRule="auto"/>
        <w:rPr>
          <w:highlight w:val="none"/>
        </w:rPr>
      </w:pPr>
    </w:p>
    <w:p w14:paraId="0B6027D6">
      <w:pPr>
        <w:spacing w:line="360" w:lineRule="auto"/>
        <w:rPr>
          <w:highlight w:val="none"/>
        </w:rPr>
      </w:pPr>
    </w:p>
    <w:p w14:paraId="02E4E56F">
      <w:pPr>
        <w:spacing w:line="360" w:lineRule="auto"/>
        <w:rPr>
          <w:highlight w:val="none"/>
        </w:rPr>
      </w:pPr>
    </w:p>
    <w:p w14:paraId="22428424">
      <w:pPr>
        <w:spacing w:line="360" w:lineRule="auto"/>
        <w:rPr>
          <w:highlight w:val="none"/>
        </w:rPr>
      </w:pPr>
      <w:r>
        <w:rPr>
          <w:rFonts w:hint="eastAsia"/>
          <w:highlight w:val="none"/>
        </w:rPr>
        <w:t xml:space="preserve">项目编号/包号：                           </w:t>
      </w:r>
    </w:p>
    <w:p w14:paraId="6CD42CBC">
      <w:pPr>
        <w:spacing w:line="360" w:lineRule="auto"/>
        <w:rPr>
          <w:highlight w:val="none"/>
        </w:rPr>
      </w:pPr>
      <w:r>
        <w:rPr>
          <w:rFonts w:hint="eastAsia"/>
          <w:highlight w:val="none"/>
        </w:rPr>
        <w:t xml:space="preserve">项目名称：                                </w:t>
      </w:r>
    </w:p>
    <w:p w14:paraId="22C524B8">
      <w:pPr>
        <w:spacing w:line="360" w:lineRule="auto"/>
        <w:rPr>
          <w:highlight w:val="none"/>
        </w:rPr>
      </w:pPr>
      <w:r>
        <w:rPr>
          <w:rFonts w:hint="eastAsia"/>
          <w:highlight w:val="none"/>
        </w:rPr>
        <w:t xml:space="preserve">投 标 人：                                </w:t>
      </w:r>
    </w:p>
    <w:p w14:paraId="001E5ED2">
      <w:pPr>
        <w:spacing w:line="360" w:lineRule="auto"/>
        <w:rPr>
          <w:highlight w:val="none"/>
        </w:rPr>
      </w:pPr>
    </w:p>
    <w:p w14:paraId="282845B4">
      <w:pPr>
        <w:spacing w:line="360" w:lineRule="auto"/>
        <w:rPr>
          <w:highlight w:val="none"/>
        </w:rPr>
      </w:pPr>
    </w:p>
    <w:p w14:paraId="2C06D2B3">
      <w:pPr>
        <w:spacing w:line="360" w:lineRule="auto"/>
        <w:rPr>
          <w:highlight w:val="none"/>
        </w:rPr>
      </w:pPr>
    </w:p>
    <w:p w14:paraId="1CCDE9C2">
      <w:pPr>
        <w:spacing w:line="360" w:lineRule="auto"/>
        <w:rPr>
          <w:highlight w:val="none"/>
        </w:rPr>
      </w:pPr>
      <w:r>
        <w:rPr>
          <w:rFonts w:hint="eastAsia"/>
          <w:highlight w:val="none"/>
        </w:rPr>
        <w:t>年   月    日</w:t>
      </w:r>
    </w:p>
    <w:p w14:paraId="228D6AF4">
      <w:pPr>
        <w:spacing w:line="360" w:lineRule="auto"/>
        <w:rPr>
          <w:highlight w:val="none"/>
          <w:lang w:val="zh-CN"/>
        </w:rPr>
      </w:pPr>
      <w:r>
        <w:rPr>
          <w:highlight w:val="none"/>
          <w:lang w:val="zh-CN"/>
        </w:rPr>
        <w:br w:type="page"/>
      </w:r>
    </w:p>
    <w:p w14:paraId="264CE450">
      <w:pPr>
        <w:spacing w:line="360" w:lineRule="auto"/>
        <w:rPr>
          <w:highlight w:val="none"/>
          <w:lang w:val="zh-CN"/>
        </w:rPr>
      </w:pPr>
    </w:p>
    <w:p w14:paraId="6EDFAA73">
      <w:pPr>
        <w:pStyle w:val="3"/>
        <w:spacing w:line="360" w:lineRule="auto"/>
        <w:rPr>
          <w:highlight w:val="none"/>
        </w:rPr>
      </w:pPr>
      <w:bookmarkStart w:id="356" w:name="_Toc229390300"/>
      <w:bookmarkStart w:id="357" w:name="_Toc155185927"/>
      <w:bookmarkStart w:id="358" w:name="_Toc163492921"/>
      <w:r>
        <w:rPr>
          <w:rFonts w:hint="eastAsia"/>
          <w:highlight w:val="none"/>
        </w:rPr>
        <w:t>一、满足《中华人民共和国政府采购法》第二十二条规定</w:t>
      </w:r>
      <w:bookmarkEnd w:id="356"/>
    </w:p>
    <w:bookmarkEnd w:id="357"/>
    <w:bookmarkEnd w:id="358"/>
    <w:p w14:paraId="159AF25E">
      <w:pPr>
        <w:spacing w:line="360" w:lineRule="auto"/>
        <w:rPr>
          <w:snapToGrid w:val="0"/>
          <w:highlight w:val="none"/>
        </w:rPr>
      </w:pPr>
      <w:bookmarkStart w:id="359" w:name="_Toc155185930"/>
      <w:bookmarkStart w:id="360" w:name="_Toc163492923"/>
      <w:bookmarkStart w:id="361" w:name="_Toc109899917"/>
      <w:bookmarkStart w:id="362" w:name="_Toc109899498"/>
      <w:bookmarkStart w:id="363" w:name="_Toc140132840"/>
      <w:bookmarkStart w:id="364" w:name="_Toc109900336"/>
      <w:r>
        <w:rPr>
          <w:rFonts w:hint="eastAsia"/>
          <w:snapToGrid w:val="0"/>
          <w:highlight w:val="none"/>
        </w:rPr>
        <w:t>1.1.法人、其他组织或者自然人的证明文件</w:t>
      </w:r>
    </w:p>
    <w:p w14:paraId="7450CBE6">
      <w:pPr>
        <w:spacing w:line="360" w:lineRule="auto"/>
        <w:rPr>
          <w:highlight w:val="none"/>
        </w:rPr>
      </w:pPr>
      <w:r>
        <w:rPr>
          <w:rFonts w:hint="eastAsia"/>
          <w:highlight w:val="none"/>
        </w:rPr>
        <w:t>（1）投标人为企业（包括合伙企业）的，应提供有效的“营业执照”；</w:t>
      </w:r>
    </w:p>
    <w:p w14:paraId="5AAB28E5">
      <w:pPr>
        <w:spacing w:line="360" w:lineRule="auto"/>
        <w:rPr>
          <w:highlight w:val="none"/>
        </w:rPr>
      </w:pPr>
      <w:r>
        <w:rPr>
          <w:rFonts w:hint="eastAsia"/>
          <w:highlight w:val="none"/>
        </w:rPr>
        <w:t>（2）投标人为事业单位的，应提供有效的“事业单位法人证书”；</w:t>
      </w:r>
    </w:p>
    <w:p w14:paraId="734CBA39">
      <w:pPr>
        <w:spacing w:line="360" w:lineRule="auto"/>
        <w:rPr>
          <w:highlight w:val="none"/>
        </w:rPr>
      </w:pPr>
      <w:r>
        <w:rPr>
          <w:rFonts w:hint="eastAsia"/>
          <w:highlight w:val="none"/>
        </w:rPr>
        <w:t>（3）投标人为非企业机构的，应提供有效的“执业许可证”、“登记证书”等证明文件；</w:t>
      </w:r>
    </w:p>
    <w:p w14:paraId="6190FF29">
      <w:pPr>
        <w:spacing w:line="360" w:lineRule="auto"/>
        <w:rPr>
          <w:highlight w:val="none"/>
        </w:rPr>
      </w:pPr>
      <w:r>
        <w:rPr>
          <w:rFonts w:hint="eastAsia"/>
          <w:highlight w:val="none"/>
        </w:rPr>
        <w:t>（4）投标人是个体工商户的，应提供有效的“个体工商户营业执照”；</w:t>
      </w:r>
    </w:p>
    <w:p w14:paraId="1299BBD0">
      <w:pPr>
        <w:spacing w:line="360" w:lineRule="auto"/>
        <w:rPr>
          <w:highlight w:val="none"/>
        </w:rPr>
      </w:pPr>
      <w:r>
        <w:rPr>
          <w:rFonts w:hint="eastAsia"/>
          <w:highlight w:val="none"/>
        </w:rPr>
        <w:t>（5）投标人是自然人的，应提供有效的自然人身份证明。</w:t>
      </w:r>
    </w:p>
    <w:p w14:paraId="2EC6CDF7">
      <w:pPr>
        <w:spacing w:line="360" w:lineRule="auto"/>
        <w:rPr>
          <w:highlight w:val="none"/>
        </w:rPr>
        <w:sectPr>
          <w:footerReference r:id="rId7" w:type="default"/>
          <w:pgSz w:w="11906" w:h="16840"/>
          <w:pgMar w:top="1171" w:right="1415" w:bottom="1129" w:left="1560" w:header="765" w:footer="959" w:gutter="0"/>
          <w:cols w:space="720" w:num="1"/>
        </w:sectPr>
      </w:pPr>
    </w:p>
    <w:p w14:paraId="1BD84770">
      <w:pPr>
        <w:spacing w:line="360" w:lineRule="auto"/>
        <w:rPr>
          <w:snapToGrid w:val="0"/>
          <w:highlight w:val="none"/>
        </w:rPr>
      </w:pPr>
      <w:r>
        <w:rPr>
          <w:rFonts w:hint="eastAsia"/>
          <w:snapToGrid w:val="0"/>
          <w:highlight w:val="none"/>
        </w:rPr>
        <w:t>1.2.具有良好的商业信誉和健全的财务会计制度</w:t>
      </w:r>
    </w:p>
    <w:p w14:paraId="53394AD5">
      <w:pPr>
        <w:spacing w:line="360" w:lineRule="auto"/>
        <w:rPr>
          <w:highlight w:val="none"/>
        </w:rPr>
      </w:pPr>
      <w:r>
        <w:rPr>
          <w:rFonts w:hint="eastAsia"/>
          <w:highlight w:val="none"/>
        </w:rPr>
        <w:t>投标时，若投标人成立超过一年需提供2023、2024、2</w:t>
      </w:r>
      <w:r>
        <w:rPr>
          <w:highlight w:val="none"/>
        </w:rPr>
        <w:t>025</w:t>
      </w:r>
      <w:r>
        <w:rPr>
          <w:rFonts w:hint="eastAsia"/>
          <w:highlight w:val="none"/>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57F8C197">
      <w:pPr>
        <w:spacing w:line="360" w:lineRule="auto"/>
        <w:rPr>
          <w:snapToGrid w:val="0"/>
          <w:highlight w:val="none"/>
        </w:rPr>
      </w:pPr>
    </w:p>
    <w:p w14:paraId="7D27B37D">
      <w:pPr>
        <w:spacing w:line="360" w:lineRule="auto"/>
        <w:rPr>
          <w:snapToGrid w:val="0"/>
          <w:highlight w:val="none"/>
        </w:rPr>
      </w:pPr>
    </w:p>
    <w:p w14:paraId="771DC95A">
      <w:pPr>
        <w:spacing w:line="360" w:lineRule="auto"/>
        <w:rPr>
          <w:snapToGrid w:val="0"/>
          <w:highlight w:val="none"/>
        </w:rPr>
      </w:pPr>
    </w:p>
    <w:p w14:paraId="4CC28724">
      <w:pPr>
        <w:spacing w:line="360" w:lineRule="auto"/>
        <w:rPr>
          <w:snapToGrid w:val="0"/>
          <w:highlight w:val="none"/>
        </w:rPr>
      </w:pPr>
    </w:p>
    <w:p w14:paraId="5DC75D3F">
      <w:pPr>
        <w:spacing w:line="360" w:lineRule="auto"/>
        <w:rPr>
          <w:snapToGrid w:val="0"/>
          <w:highlight w:val="none"/>
        </w:rPr>
      </w:pPr>
    </w:p>
    <w:p w14:paraId="44512CAD">
      <w:pPr>
        <w:spacing w:line="360" w:lineRule="auto"/>
        <w:rPr>
          <w:snapToGrid w:val="0"/>
          <w:highlight w:val="none"/>
        </w:rPr>
      </w:pPr>
    </w:p>
    <w:p w14:paraId="792BCD2C">
      <w:pPr>
        <w:spacing w:line="360" w:lineRule="auto"/>
        <w:rPr>
          <w:snapToGrid w:val="0"/>
          <w:highlight w:val="none"/>
        </w:rPr>
      </w:pPr>
    </w:p>
    <w:p w14:paraId="206B1982">
      <w:pPr>
        <w:spacing w:line="360" w:lineRule="auto"/>
        <w:rPr>
          <w:snapToGrid w:val="0"/>
          <w:highlight w:val="none"/>
        </w:rPr>
      </w:pPr>
    </w:p>
    <w:p w14:paraId="47BE41E7">
      <w:pPr>
        <w:spacing w:line="360" w:lineRule="auto"/>
        <w:rPr>
          <w:snapToGrid w:val="0"/>
          <w:highlight w:val="none"/>
        </w:rPr>
      </w:pPr>
    </w:p>
    <w:p w14:paraId="68F3252A">
      <w:pPr>
        <w:spacing w:line="360" w:lineRule="auto"/>
        <w:rPr>
          <w:snapToGrid w:val="0"/>
          <w:highlight w:val="none"/>
        </w:rPr>
      </w:pPr>
    </w:p>
    <w:p w14:paraId="52E5ABD3">
      <w:pPr>
        <w:spacing w:line="360" w:lineRule="auto"/>
        <w:rPr>
          <w:snapToGrid w:val="0"/>
          <w:highlight w:val="none"/>
        </w:rPr>
      </w:pPr>
    </w:p>
    <w:p w14:paraId="4FFDA940">
      <w:pPr>
        <w:spacing w:line="360" w:lineRule="auto"/>
        <w:rPr>
          <w:snapToGrid w:val="0"/>
          <w:highlight w:val="none"/>
        </w:rPr>
      </w:pPr>
    </w:p>
    <w:p w14:paraId="5152CFCB">
      <w:pPr>
        <w:spacing w:line="360" w:lineRule="auto"/>
        <w:rPr>
          <w:snapToGrid w:val="0"/>
          <w:highlight w:val="none"/>
        </w:rPr>
      </w:pPr>
    </w:p>
    <w:p w14:paraId="70FA8CE3">
      <w:pPr>
        <w:spacing w:line="360" w:lineRule="auto"/>
        <w:rPr>
          <w:snapToGrid w:val="0"/>
          <w:highlight w:val="none"/>
        </w:rPr>
      </w:pPr>
    </w:p>
    <w:p w14:paraId="56FBE11E">
      <w:pPr>
        <w:spacing w:line="360" w:lineRule="auto"/>
        <w:rPr>
          <w:snapToGrid w:val="0"/>
          <w:highlight w:val="none"/>
        </w:rPr>
      </w:pPr>
      <w:r>
        <w:rPr>
          <w:rFonts w:hint="eastAsia"/>
          <w:snapToGrid w:val="0"/>
          <w:highlight w:val="none"/>
        </w:rPr>
        <w:br w:type="page"/>
      </w:r>
    </w:p>
    <w:p w14:paraId="17F81118">
      <w:pPr>
        <w:spacing w:line="360" w:lineRule="auto"/>
        <w:rPr>
          <w:snapToGrid w:val="0"/>
          <w:highlight w:val="none"/>
        </w:rPr>
      </w:pPr>
      <w:r>
        <w:rPr>
          <w:rFonts w:hint="eastAsia"/>
          <w:snapToGrid w:val="0"/>
          <w:highlight w:val="none"/>
        </w:rPr>
        <w:t>1.3.有依法缴纳税收和社会保障资金的良好记录;</w:t>
      </w:r>
    </w:p>
    <w:p w14:paraId="22B48D5A">
      <w:pPr>
        <w:spacing w:line="360" w:lineRule="auto"/>
        <w:rPr>
          <w:highlight w:val="none"/>
        </w:rPr>
      </w:pPr>
      <w:r>
        <w:rPr>
          <w:rFonts w:hint="eastAsia"/>
          <w:highlight w:val="none"/>
        </w:rPr>
        <w:t>（1）提供至本项目投标截止日前一年内任意</w:t>
      </w:r>
      <w:r>
        <w:rPr>
          <w:highlight w:val="none"/>
        </w:rPr>
        <w:t>1个月缴纳税收凭据证明材料复印件/扫描件；如依法免税的，应提供相应文件证明；</w:t>
      </w:r>
    </w:p>
    <w:p w14:paraId="039F820D">
      <w:pPr>
        <w:spacing w:line="360" w:lineRule="auto"/>
        <w:rPr>
          <w:highlight w:val="none"/>
        </w:rPr>
      </w:pPr>
      <w:r>
        <w:rPr>
          <w:highlight w:val="none"/>
        </w:rPr>
        <w:t>（</w:t>
      </w:r>
      <w:r>
        <w:rPr>
          <w:rFonts w:hint="eastAsia"/>
          <w:highlight w:val="none"/>
        </w:rPr>
        <w:t>2</w:t>
      </w:r>
      <w:r>
        <w:rPr>
          <w:highlight w:val="none"/>
        </w:rPr>
        <w:t>）提供至本项目投标截止日前一年内任意1个月缴纳社会保险的凭据证明材料复印件/扫描件；如依法不需要缴纳社会保障资金的，应提供相应文件证明</w:t>
      </w:r>
    </w:p>
    <w:p w14:paraId="194CE3B9">
      <w:pPr>
        <w:spacing w:line="360" w:lineRule="auto"/>
        <w:rPr>
          <w:snapToGrid w:val="0"/>
          <w:highlight w:val="none"/>
        </w:rPr>
      </w:pPr>
    </w:p>
    <w:p w14:paraId="35C8F01F">
      <w:pPr>
        <w:spacing w:line="360" w:lineRule="auto"/>
        <w:rPr>
          <w:snapToGrid w:val="0"/>
          <w:highlight w:val="none"/>
        </w:rPr>
      </w:pPr>
      <w:r>
        <w:rPr>
          <w:rFonts w:hint="eastAsia"/>
          <w:snapToGrid w:val="0"/>
          <w:highlight w:val="none"/>
        </w:rPr>
        <w:br w:type="page"/>
      </w:r>
    </w:p>
    <w:p w14:paraId="78B0ACC6">
      <w:pPr>
        <w:spacing w:line="360" w:lineRule="auto"/>
        <w:rPr>
          <w:snapToGrid w:val="0"/>
          <w:highlight w:val="none"/>
        </w:rPr>
      </w:pPr>
      <w:r>
        <w:rPr>
          <w:rFonts w:hint="eastAsia"/>
          <w:snapToGrid w:val="0"/>
          <w:highlight w:val="none"/>
        </w:rPr>
        <w:t>1.4.具有履行合同所必需的设备和专业技术能力</w:t>
      </w:r>
    </w:p>
    <w:p w14:paraId="2CE12E21">
      <w:pPr>
        <w:spacing w:line="360" w:lineRule="auto"/>
        <w:rPr>
          <w:highlight w:val="none"/>
        </w:rPr>
      </w:pPr>
      <w:r>
        <w:rPr>
          <w:rFonts w:hint="eastAsia"/>
          <w:highlight w:val="none"/>
        </w:rPr>
        <w:t>具备履行合同所必需的设备和专业技术能力声明函</w:t>
      </w:r>
    </w:p>
    <w:p w14:paraId="55B367C0">
      <w:pPr>
        <w:spacing w:line="360" w:lineRule="auto"/>
        <w:rPr>
          <w:highlight w:val="none"/>
        </w:rPr>
      </w:pPr>
    </w:p>
    <w:p w14:paraId="5EA020B1">
      <w:pPr>
        <w:spacing w:line="360" w:lineRule="auto"/>
        <w:rPr>
          <w:highlight w:val="none"/>
        </w:rPr>
      </w:pPr>
      <w:r>
        <w:rPr>
          <w:rFonts w:hint="eastAsia"/>
          <w:highlight w:val="none"/>
        </w:rPr>
        <w:t>(采购人名称)      ：</w:t>
      </w:r>
    </w:p>
    <w:p w14:paraId="40130E60">
      <w:pPr>
        <w:spacing w:line="360" w:lineRule="auto"/>
        <w:rPr>
          <w:highlight w:val="none"/>
        </w:rPr>
      </w:pPr>
    </w:p>
    <w:p w14:paraId="361B5E2E">
      <w:pPr>
        <w:spacing w:line="360" w:lineRule="auto"/>
        <w:rPr>
          <w:highlight w:val="none"/>
        </w:rPr>
      </w:pPr>
      <w:r>
        <w:rPr>
          <w:rFonts w:hint="eastAsia"/>
          <w:highlight w:val="none"/>
        </w:rPr>
        <w:t>对于贵单位的</w:t>
      </w:r>
      <w:r>
        <w:rPr>
          <w:rFonts w:hint="eastAsia"/>
          <w:highlight w:val="none"/>
          <w:u w:val="single"/>
        </w:rPr>
        <w:t xml:space="preserve">      （项目名称）      </w:t>
      </w:r>
      <w:r>
        <w:rPr>
          <w:rFonts w:hint="eastAsia"/>
          <w:highlight w:val="none"/>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52F8D45D">
      <w:pPr>
        <w:spacing w:line="360" w:lineRule="auto"/>
        <w:rPr>
          <w:highlight w:val="none"/>
        </w:rPr>
      </w:pPr>
      <w:r>
        <w:rPr>
          <w:rFonts w:hint="eastAsia"/>
          <w:highlight w:val="none"/>
        </w:rPr>
        <w:t>特此声明！</w:t>
      </w:r>
    </w:p>
    <w:p w14:paraId="2EF7E2D5">
      <w:pPr>
        <w:spacing w:line="360" w:lineRule="auto"/>
        <w:rPr>
          <w:highlight w:val="none"/>
        </w:rPr>
      </w:pPr>
    </w:p>
    <w:p w14:paraId="76C5C032">
      <w:pPr>
        <w:spacing w:line="360" w:lineRule="auto"/>
        <w:rPr>
          <w:highlight w:val="none"/>
        </w:rPr>
      </w:pPr>
    </w:p>
    <w:p w14:paraId="1B6B2E8F">
      <w:pPr>
        <w:spacing w:line="360" w:lineRule="auto"/>
        <w:rPr>
          <w:highlight w:val="none"/>
        </w:rPr>
      </w:pPr>
      <w:r>
        <w:rPr>
          <w:rFonts w:hint="eastAsia"/>
          <w:highlight w:val="none"/>
        </w:rPr>
        <w:t>供应商：（加盖公章）</w:t>
      </w:r>
    </w:p>
    <w:p w14:paraId="79E5E91B">
      <w:pPr>
        <w:spacing w:line="360" w:lineRule="auto"/>
        <w:rPr>
          <w:highlight w:val="none"/>
        </w:rPr>
      </w:pPr>
      <w:r>
        <w:rPr>
          <w:rFonts w:hint="eastAsia"/>
          <w:highlight w:val="none"/>
        </w:rPr>
        <w:t>日  期：</w:t>
      </w:r>
    </w:p>
    <w:p w14:paraId="042CA3C1">
      <w:pPr>
        <w:spacing w:line="360" w:lineRule="auto"/>
        <w:rPr>
          <w:snapToGrid w:val="0"/>
          <w:spacing w:val="13"/>
          <w:sz w:val="21"/>
          <w:szCs w:val="21"/>
          <w:highlight w:val="none"/>
        </w:rPr>
      </w:pPr>
      <w:r>
        <w:rPr>
          <w:rFonts w:hint="eastAsia"/>
          <w:highlight w:val="none"/>
        </w:rPr>
        <w:br w:type="page"/>
      </w:r>
    </w:p>
    <w:p w14:paraId="3F92C8CD">
      <w:pPr>
        <w:spacing w:line="360" w:lineRule="auto"/>
        <w:rPr>
          <w:snapToGrid w:val="0"/>
          <w:highlight w:val="none"/>
        </w:rPr>
      </w:pPr>
      <w:r>
        <w:rPr>
          <w:rFonts w:hint="eastAsia"/>
          <w:snapToGrid w:val="0"/>
          <w:highlight w:val="none"/>
        </w:rPr>
        <w:t>1.5.参加政府采购活动前三年内，在经营活动中没有重大违法记录</w:t>
      </w:r>
    </w:p>
    <w:p w14:paraId="7D2E4852">
      <w:pPr>
        <w:spacing w:line="360" w:lineRule="auto"/>
        <w:rPr>
          <w:highlight w:val="none"/>
        </w:rPr>
      </w:pPr>
    </w:p>
    <w:p w14:paraId="7399688C">
      <w:pPr>
        <w:spacing w:line="360" w:lineRule="auto"/>
        <w:rPr>
          <w:highlight w:val="none"/>
        </w:rPr>
      </w:pPr>
      <w:bookmarkStart w:id="365" w:name="_Toc12673"/>
      <w:r>
        <w:rPr>
          <w:rFonts w:hint="eastAsia"/>
          <w:highlight w:val="none"/>
        </w:rPr>
        <w:t>近三年内在经营活动中没有重大违法记录的书面声明</w:t>
      </w:r>
      <w:bookmarkEnd w:id="365"/>
    </w:p>
    <w:p w14:paraId="5F4CBF50">
      <w:pPr>
        <w:pStyle w:val="79"/>
        <w:spacing w:line="360" w:lineRule="auto"/>
        <w:jc w:val="center"/>
        <w:rPr>
          <w:rFonts w:ascii="宋体" w:hAnsi="宋体" w:cs="宋体"/>
          <w:sz w:val="24"/>
          <w:szCs w:val="24"/>
          <w:highlight w:val="none"/>
        </w:rPr>
      </w:pPr>
    </w:p>
    <w:p w14:paraId="1E545507">
      <w:pPr>
        <w:spacing w:line="360" w:lineRule="auto"/>
        <w:rPr>
          <w:highlight w:val="none"/>
        </w:rPr>
      </w:pPr>
      <w:r>
        <w:rPr>
          <w:rFonts w:hint="eastAsia"/>
          <w:highlight w:val="none"/>
        </w:rPr>
        <w:t xml:space="preserve"> </w:t>
      </w:r>
      <w:r>
        <w:rPr>
          <w:rFonts w:hint="eastAsia"/>
          <w:highlight w:val="none"/>
          <w:u w:val="single"/>
        </w:rPr>
        <w:t xml:space="preserve">  （采购人）     </w:t>
      </w:r>
      <w:r>
        <w:rPr>
          <w:rFonts w:hint="eastAsia"/>
          <w:highlight w:val="none"/>
        </w:rPr>
        <w:t xml:space="preserve"> ：</w:t>
      </w:r>
    </w:p>
    <w:p w14:paraId="244EB5C7">
      <w:pPr>
        <w:spacing w:line="360" w:lineRule="auto"/>
        <w:ind w:firstLine="480" w:firstLineChars="200"/>
        <w:rPr>
          <w:highlight w:val="none"/>
        </w:rPr>
      </w:pPr>
      <w:r>
        <w:rPr>
          <w:rFonts w:hint="eastAsia"/>
          <w:highlight w:val="none"/>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7AA04AA9">
      <w:pPr>
        <w:spacing w:line="360" w:lineRule="auto"/>
        <w:rPr>
          <w:highlight w:val="none"/>
        </w:rPr>
      </w:pPr>
      <w:r>
        <w:rPr>
          <w:rFonts w:hint="eastAsia"/>
          <w:highlight w:val="none"/>
        </w:rPr>
        <w:t>如发现我单位提供的声明函不实时，我公司愿意承担一切法律责任并认可采购人或采购代理机构作出的取消中标资格、罚没保证金等决定。</w:t>
      </w:r>
    </w:p>
    <w:p w14:paraId="725D3E83">
      <w:pPr>
        <w:spacing w:line="360" w:lineRule="auto"/>
        <w:rPr>
          <w:highlight w:val="none"/>
        </w:rPr>
      </w:pPr>
      <w:r>
        <w:rPr>
          <w:rFonts w:hint="eastAsia"/>
          <w:highlight w:val="none"/>
        </w:rPr>
        <w:t>特此声明！</w:t>
      </w:r>
    </w:p>
    <w:p w14:paraId="7E341103">
      <w:pPr>
        <w:spacing w:line="360" w:lineRule="auto"/>
        <w:rPr>
          <w:highlight w:val="none"/>
        </w:rPr>
      </w:pPr>
    </w:p>
    <w:p w14:paraId="2E7D8FCF">
      <w:pPr>
        <w:spacing w:line="360" w:lineRule="auto"/>
        <w:rPr>
          <w:highlight w:val="none"/>
        </w:rPr>
      </w:pPr>
      <w:r>
        <w:rPr>
          <w:rFonts w:hint="eastAsia"/>
          <w:highlight w:val="none"/>
        </w:rPr>
        <w:t>供应商：（加盖公章）</w:t>
      </w:r>
    </w:p>
    <w:p w14:paraId="2202CB72">
      <w:pPr>
        <w:spacing w:line="360" w:lineRule="auto"/>
        <w:rPr>
          <w:highlight w:val="none"/>
        </w:rPr>
      </w:pPr>
      <w:r>
        <w:rPr>
          <w:rFonts w:hint="eastAsia"/>
          <w:highlight w:val="none"/>
        </w:rPr>
        <w:t>日  期：</w:t>
      </w:r>
    </w:p>
    <w:p w14:paraId="6043A6AF">
      <w:pPr>
        <w:spacing w:line="360" w:lineRule="auto"/>
        <w:rPr>
          <w:highlight w:val="none"/>
        </w:rPr>
      </w:pPr>
    </w:p>
    <w:p w14:paraId="1E5E7259">
      <w:pPr>
        <w:spacing w:line="360" w:lineRule="auto"/>
        <w:rPr>
          <w:highlight w:val="none"/>
        </w:rPr>
      </w:pPr>
    </w:p>
    <w:p w14:paraId="285593F4">
      <w:pPr>
        <w:spacing w:line="360" w:lineRule="auto"/>
        <w:rPr>
          <w:highlight w:val="none"/>
        </w:rPr>
      </w:pPr>
    </w:p>
    <w:p w14:paraId="7619C663">
      <w:pPr>
        <w:spacing w:line="360" w:lineRule="auto"/>
        <w:rPr>
          <w:highlight w:val="none"/>
        </w:rPr>
      </w:pPr>
    </w:p>
    <w:p w14:paraId="55DCC07F">
      <w:pPr>
        <w:spacing w:line="360" w:lineRule="auto"/>
        <w:rPr>
          <w:highlight w:val="none"/>
        </w:rPr>
      </w:pPr>
    </w:p>
    <w:p w14:paraId="10D19DC8">
      <w:pPr>
        <w:spacing w:line="360" w:lineRule="auto"/>
        <w:rPr>
          <w:highlight w:val="none"/>
        </w:rPr>
      </w:pPr>
    </w:p>
    <w:p w14:paraId="549ECCBC">
      <w:pPr>
        <w:spacing w:line="360" w:lineRule="auto"/>
        <w:rPr>
          <w:highlight w:val="none"/>
        </w:rPr>
      </w:pPr>
    </w:p>
    <w:p w14:paraId="6B212249">
      <w:pPr>
        <w:spacing w:line="360" w:lineRule="auto"/>
        <w:rPr>
          <w:highlight w:val="none"/>
        </w:rPr>
      </w:pPr>
    </w:p>
    <w:p w14:paraId="712D2A20">
      <w:pPr>
        <w:spacing w:line="360" w:lineRule="auto"/>
        <w:rPr>
          <w:highlight w:val="none"/>
        </w:rPr>
      </w:pPr>
    </w:p>
    <w:p w14:paraId="6CB60522">
      <w:pPr>
        <w:spacing w:line="360" w:lineRule="auto"/>
        <w:rPr>
          <w:highlight w:val="none"/>
        </w:rPr>
      </w:pPr>
    </w:p>
    <w:p w14:paraId="1DEFDEC4">
      <w:pPr>
        <w:spacing w:line="360" w:lineRule="auto"/>
        <w:rPr>
          <w:highlight w:val="none"/>
        </w:rPr>
      </w:pPr>
      <w:r>
        <w:rPr>
          <w:highlight w:val="none"/>
        </w:rPr>
        <w:br w:type="page"/>
      </w:r>
    </w:p>
    <w:p w14:paraId="1641D0F5">
      <w:pPr>
        <w:spacing w:line="360" w:lineRule="auto"/>
        <w:rPr>
          <w:snapToGrid w:val="0"/>
          <w:highlight w:val="none"/>
        </w:rPr>
      </w:pPr>
      <w:bookmarkStart w:id="366" w:name="_Toc31574"/>
      <w:bookmarkStart w:id="367" w:name="_Toc32053"/>
      <w:r>
        <w:rPr>
          <w:rFonts w:hint="eastAsia"/>
          <w:snapToGrid w:val="0"/>
          <w:highlight w:val="none"/>
        </w:rPr>
        <w:t>1.6.投标人未列入</w:t>
      </w:r>
      <w:r>
        <w:rPr>
          <w:rFonts w:cs="宋体"/>
          <w:szCs w:val="24"/>
          <w:highlight w:val="none"/>
        </w:rPr>
        <w:t>严重失信主体名单、</w:t>
      </w:r>
      <w:r>
        <w:rPr>
          <w:rFonts w:hint="eastAsia"/>
          <w:snapToGrid w:val="0"/>
          <w:highlight w:val="none"/>
        </w:rPr>
        <w:t>失信被执行人、重大税收违法失信主体名单、政府采购严重违法失信行为记录名单</w:t>
      </w:r>
      <w:bookmarkEnd w:id="366"/>
      <w:bookmarkEnd w:id="367"/>
    </w:p>
    <w:p w14:paraId="75FA12FA">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“信用中国”网站查询信息：</w:t>
      </w:r>
    </w:p>
    <w:p w14:paraId="15B70812">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①未被列入严重失信主体名单</w:t>
      </w:r>
    </w:p>
    <w:p w14:paraId="29BD48C6">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②未被列入失信被执行人； </w:t>
      </w:r>
    </w:p>
    <w:p w14:paraId="5D9D8A2D">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③未被列入重大税收违法失信主体名单； </w:t>
      </w:r>
    </w:p>
    <w:p w14:paraId="7FCACDAA">
      <w:pPr>
        <w:pStyle w:val="80"/>
        <w:spacing w:line="360" w:lineRule="auto"/>
        <w:ind w:firstLine="504" w:firstLineChars="200"/>
        <w:jc w:val="left"/>
        <w:rPr>
          <w:rFonts w:ascii="宋体" w:hAnsi="宋体" w:cs="宋体"/>
          <w:spacing w:val="6"/>
          <w:kern w:val="0"/>
          <w:sz w:val="24"/>
          <w:szCs w:val="24"/>
          <w:highlight w:val="none"/>
        </w:rPr>
      </w:pPr>
    </w:p>
    <w:p w14:paraId="2240F37D">
      <w:pPr>
        <w:pStyle w:val="80"/>
        <w:spacing w:line="360" w:lineRule="auto"/>
        <w:ind w:firstLine="504" w:firstLineChars="200"/>
        <w:jc w:val="left"/>
        <w:rPr>
          <w:rFonts w:ascii="宋体" w:hAnsi="宋体" w:cs="宋体"/>
          <w:spacing w:val="6"/>
          <w:kern w:val="0"/>
          <w:sz w:val="24"/>
          <w:szCs w:val="24"/>
          <w:highlight w:val="none"/>
        </w:rPr>
      </w:pPr>
    </w:p>
    <w:p w14:paraId="30C9B849">
      <w:pPr>
        <w:pStyle w:val="80"/>
        <w:spacing w:line="360" w:lineRule="auto"/>
        <w:ind w:firstLine="504" w:firstLineChars="200"/>
        <w:jc w:val="left"/>
        <w:rPr>
          <w:rFonts w:ascii="宋体" w:hAnsi="宋体" w:cs="宋体"/>
          <w:spacing w:val="6"/>
          <w:kern w:val="0"/>
          <w:sz w:val="24"/>
          <w:szCs w:val="24"/>
          <w:highlight w:val="none"/>
        </w:rPr>
      </w:pPr>
    </w:p>
    <w:p w14:paraId="45AF9300">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 </w:t>
      </w:r>
    </w:p>
    <w:p w14:paraId="7BA72F9A">
      <w:pPr>
        <w:pStyle w:val="80"/>
        <w:spacing w:line="360" w:lineRule="auto"/>
        <w:ind w:firstLine="756" w:firstLineChars="3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“中国政府采购网”查询信息：</w:t>
      </w:r>
    </w:p>
    <w:p w14:paraId="57DA2785">
      <w:pPr>
        <w:pStyle w:val="80"/>
        <w:spacing w:line="360" w:lineRule="auto"/>
        <w:ind w:firstLine="756" w:firstLineChars="3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①政府采购严重违法失信行为信息记录：</w:t>
      </w:r>
    </w:p>
    <w:p w14:paraId="672B0DD4">
      <w:pPr>
        <w:pStyle w:val="80"/>
        <w:spacing w:line="360" w:lineRule="auto"/>
        <w:ind w:firstLine="756" w:firstLineChars="300"/>
        <w:jc w:val="left"/>
        <w:rPr>
          <w:rFonts w:ascii="宋体" w:hAnsi="宋体" w:cs="宋体"/>
          <w:spacing w:val="6"/>
          <w:kern w:val="0"/>
          <w:sz w:val="24"/>
          <w:szCs w:val="24"/>
          <w:highlight w:val="none"/>
        </w:rPr>
      </w:pPr>
    </w:p>
    <w:p w14:paraId="79BE6929">
      <w:pPr>
        <w:pStyle w:val="80"/>
        <w:spacing w:line="360" w:lineRule="auto"/>
        <w:ind w:firstLine="756" w:firstLineChars="300"/>
        <w:jc w:val="left"/>
        <w:rPr>
          <w:rFonts w:ascii="宋体" w:hAnsi="宋体" w:cs="宋体"/>
          <w:spacing w:val="6"/>
          <w:kern w:val="0"/>
          <w:sz w:val="24"/>
          <w:szCs w:val="24"/>
          <w:highlight w:val="none"/>
        </w:rPr>
      </w:pPr>
    </w:p>
    <w:p w14:paraId="18D5405C">
      <w:pPr>
        <w:pStyle w:val="80"/>
        <w:spacing w:line="360" w:lineRule="auto"/>
        <w:ind w:firstLine="756" w:firstLineChars="300"/>
        <w:jc w:val="left"/>
        <w:rPr>
          <w:rFonts w:ascii="宋体" w:hAnsi="宋体" w:cs="宋体"/>
          <w:spacing w:val="6"/>
          <w:kern w:val="0"/>
          <w:sz w:val="24"/>
          <w:szCs w:val="24"/>
          <w:highlight w:val="none"/>
        </w:rPr>
      </w:pPr>
    </w:p>
    <w:p w14:paraId="4812C3A4">
      <w:pPr>
        <w:pStyle w:val="80"/>
        <w:spacing w:line="360" w:lineRule="auto"/>
        <w:ind w:firstLine="756" w:firstLineChars="300"/>
        <w:jc w:val="left"/>
        <w:rPr>
          <w:rFonts w:ascii="宋体" w:hAnsi="宋体" w:cs="宋体"/>
          <w:spacing w:val="6"/>
          <w:kern w:val="0"/>
          <w:sz w:val="24"/>
          <w:szCs w:val="24"/>
          <w:highlight w:val="none"/>
        </w:rPr>
      </w:pPr>
    </w:p>
    <w:p w14:paraId="12E84997">
      <w:pPr>
        <w:pStyle w:val="80"/>
        <w:spacing w:line="360" w:lineRule="auto"/>
        <w:ind w:firstLine="756" w:firstLineChars="300"/>
        <w:jc w:val="left"/>
        <w:rPr>
          <w:rFonts w:ascii="宋体" w:hAnsi="宋体" w:cs="宋体"/>
          <w:spacing w:val="6"/>
          <w:kern w:val="0"/>
          <w:sz w:val="24"/>
          <w:szCs w:val="24"/>
          <w:highlight w:val="none"/>
        </w:rPr>
      </w:pPr>
    </w:p>
    <w:p w14:paraId="745BE59E">
      <w:pPr>
        <w:widowControl w:val="0"/>
        <w:spacing w:line="360" w:lineRule="auto"/>
        <w:ind w:firstLine="426" w:firstLineChars="177"/>
        <w:jc w:val="both"/>
        <w:rPr>
          <w:rFonts w:cs="Times New Roman"/>
          <w:b/>
          <w:bCs/>
          <w:kern w:val="0"/>
          <w:szCs w:val="24"/>
          <w:highlight w:val="none"/>
        </w:rPr>
      </w:pPr>
      <w:r>
        <w:rPr>
          <w:rFonts w:hint="eastAsia" w:cs="Times New Roman"/>
          <w:b/>
          <w:bCs/>
          <w:kern w:val="0"/>
          <w:szCs w:val="24"/>
          <w:highlight w:val="none"/>
        </w:rPr>
        <w:t>注：（查询时间为：自招标公告发布之日起至投标文件递交截止时间止。）</w:t>
      </w:r>
    </w:p>
    <w:p w14:paraId="0484CE58">
      <w:pPr>
        <w:widowControl w:val="0"/>
        <w:spacing w:line="360" w:lineRule="auto"/>
        <w:jc w:val="both"/>
        <w:rPr>
          <w:rFonts w:cs="宋体"/>
          <w:kern w:val="0"/>
          <w:szCs w:val="20"/>
          <w:highlight w:val="none"/>
        </w:rPr>
      </w:pPr>
    </w:p>
    <w:p w14:paraId="75ECC7D4">
      <w:pPr>
        <w:pStyle w:val="80"/>
        <w:spacing w:line="360" w:lineRule="auto"/>
        <w:ind w:firstLine="720" w:firstLineChars="300"/>
        <w:jc w:val="left"/>
        <w:rPr>
          <w:rFonts w:ascii="宋体" w:hAnsi="宋体" w:cs="宋体"/>
          <w:spacing w:val="6"/>
          <w:kern w:val="0"/>
          <w:sz w:val="24"/>
          <w:szCs w:val="24"/>
          <w:highlight w:val="none"/>
        </w:rPr>
      </w:pPr>
      <w:r>
        <w:rPr>
          <w:rFonts w:hint="eastAsia" w:ascii="宋体" w:hAnsi="宋体"/>
          <w:kern w:val="0"/>
          <w:sz w:val="24"/>
          <w:szCs w:val="24"/>
          <w:highlight w:val="none"/>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17BB0342">
      <w:pPr>
        <w:spacing w:line="360" w:lineRule="auto"/>
        <w:rPr>
          <w:highlight w:val="none"/>
        </w:rPr>
      </w:pPr>
      <w:r>
        <w:rPr>
          <w:highlight w:val="none"/>
        </w:rPr>
        <w:br w:type="page"/>
      </w:r>
    </w:p>
    <w:p w14:paraId="7C78BC89">
      <w:pPr>
        <w:spacing w:line="360" w:lineRule="auto"/>
        <w:rPr>
          <w:snapToGrid w:val="0"/>
          <w:highlight w:val="none"/>
        </w:rPr>
      </w:pPr>
      <w:r>
        <w:rPr>
          <w:rFonts w:hint="eastAsia"/>
          <w:snapToGrid w:val="0"/>
          <w:highlight w:val="none"/>
        </w:rPr>
        <w:t>1.7.法律、行政法规规定的其他条件</w:t>
      </w:r>
    </w:p>
    <w:p w14:paraId="3EE5D180">
      <w:pPr>
        <w:spacing w:line="360" w:lineRule="auto"/>
        <w:rPr>
          <w:highlight w:val="none"/>
        </w:rPr>
      </w:pPr>
    </w:p>
    <w:p w14:paraId="11A2ED8D">
      <w:pPr>
        <w:spacing w:line="360" w:lineRule="auto"/>
        <w:rPr>
          <w:highlight w:val="none"/>
        </w:rPr>
      </w:pPr>
      <w:r>
        <w:rPr>
          <w:rFonts w:hint="eastAsia"/>
          <w:highlight w:val="none"/>
        </w:rPr>
        <w:t>供应商可自行做出承诺，格式自拟。</w:t>
      </w:r>
    </w:p>
    <w:p w14:paraId="327FE9BA">
      <w:pPr>
        <w:spacing w:line="360" w:lineRule="auto"/>
        <w:rPr>
          <w:highlight w:val="none"/>
        </w:rPr>
      </w:pPr>
      <w:r>
        <w:rPr>
          <w:rFonts w:hint="eastAsia"/>
          <w:highlight w:val="none"/>
        </w:rPr>
        <w:br w:type="page"/>
      </w:r>
    </w:p>
    <w:p w14:paraId="7036648D">
      <w:pPr>
        <w:pStyle w:val="3"/>
        <w:spacing w:line="360" w:lineRule="auto"/>
        <w:rPr>
          <w:highlight w:val="none"/>
          <w:lang w:val="zh-CN"/>
        </w:rPr>
      </w:pPr>
      <w:bookmarkStart w:id="368" w:name="_Toc229390301"/>
      <w:r>
        <w:rPr>
          <w:rFonts w:hint="eastAsia"/>
          <w:highlight w:val="none"/>
        </w:rPr>
        <w:t>二、</w:t>
      </w:r>
      <w:bookmarkEnd w:id="359"/>
      <w:bookmarkEnd w:id="360"/>
      <w:bookmarkEnd w:id="361"/>
      <w:bookmarkEnd w:id="362"/>
      <w:bookmarkEnd w:id="363"/>
      <w:bookmarkEnd w:id="364"/>
      <w:bookmarkStart w:id="369" w:name="_Toc155185931"/>
      <w:bookmarkStart w:id="370" w:name="_Toc163492924"/>
      <w:r>
        <w:rPr>
          <w:rFonts w:hint="eastAsia"/>
          <w:highlight w:val="none"/>
          <w:lang w:val="zh-CN"/>
        </w:rPr>
        <w:t>联合体协议书</w:t>
      </w:r>
      <w:bookmarkEnd w:id="369"/>
      <w:r>
        <w:rPr>
          <w:rFonts w:hint="eastAsia"/>
          <w:highlight w:val="none"/>
          <w:lang w:val="zh-CN"/>
        </w:rPr>
        <w:t>【</w:t>
      </w:r>
      <w:r>
        <w:rPr>
          <w:rFonts w:hint="eastAsia"/>
          <w:highlight w:val="none"/>
        </w:rPr>
        <w:t>不适用可不提供</w:t>
      </w:r>
      <w:r>
        <w:rPr>
          <w:rFonts w:hint="eastAsia"/>
          <w:highlight w:val="none"/>
          <w:lang w:val="zh-CN"/>
        </w:rPr>
        <w:t>】</w:t>
      </w:r>
      <w:bookmarkEnd w:id="368"/>
      <w:bookmarkEnd w:id="370"/>
    </w:p>
    <w:p w14:paraId="71BC6935">
      <w:pPr>
        <w:spacing w:line="360" w:lineRule="auto"/>
        <w:rPr>
          <w:highlight w:val="none"/>
        </w:rPr>
      </w:pPr>
      <w:bookmarkStart w:id="371" w:name="_Toc17246"/>
      <w:r>
        <w:rPr>
          <w:rFonts w:hint="eastAsia"/>
          <w:highlight w:val="none"/>
        </w:rPr>
        <w:t>联合体协议书</w:t>
      </w:r>
      <w:bookmarkEnd w:id="371"/>
    </w:p>
    <w:p w14:paraId="641D1D59">
      <w:pPr>
        <w:spacing w:line="360" w:lineRule="auto"/>
        <w:rPr>
          <w:highlight w:val="none"/>
        </w:rPr>
      </w:pPr>
      <w:r>
        <w:rPr>
          <w:rFonts w:hint="eastAsia"/>
          <w:highlight w:val="none"/>
        </w:rPr>
        <w:t>（以联合体形式投标的，提供联合体协议书；本项目不接受联合体投标或者投标人不以联合体形式投标的，则不需要提供）</w:t>
      </w:r>
    </w:p>
    <w:p w14:paraId="4BFBCC5A">
      <w:pPr>
        <w:spacing w:line="360" w:lineRule="auto"/>
        <w:rPr>
          <w:highlight w:val="none"/>
          <w:lang w:val="zh-CN"/>
        </w:rPr>
      </w:pPr>
      <w:r>
        <w:rPr>
          <w:rFonts w:hint="eastAsia"/>
          <w:highlight w:val="none"/>
          <w:u w:val="single"/>
        </w:rPr>
        <w:t>（联合体所有成员名称）</w:t>
      </w:r>
      <w:r>
        <w:rPr>
          <w:rFonts w:hint="eastAsia"/>
          <w:highlight w:val="none"/>
        </w:rPr>
        <w:t>自愿</w:t>
      </w:r>
      <w:r>
        <w:rPr>
          <w:rFonts w:hint="eastAsia"/>
          <w:highlight w:val="none"/>
          <w:lang w:val="zh-CN"/>
        </w:rPr>
        <w:t>组成一个联合体，以一个投标人的身份</w:t>
      </w:r>
      <w:r>
        <w:rPr>
          <w:rFonts w:hint="eastAsia"/>
          <w:highlight w:val="none"/>
        </w:rPr>
        <w:t>参加（项目名称）【项目编号/包号：    】</w:t>
      </w:r>
      <w:r>
        <w:rPr>
          <w:rFonts w:hint="eastAsia"/>
          <w:highlight w:val="none"/>
          <w:lang w:val="zh-CN"/>
        </w:rPr>
        <w:t xml:space="preserve">投标。 </w:t>
      </w:r>
    </w:p>
    <w:p w14:paraId="15DB7D8D">
      <w:pPr>
        <w:spacing w:line="360" w:lineRule="auto"/>
        <w:rPr>
          <w:kern w:val="0"/>
          <w:highlight w:val="none"/>
          <w:lang w:val="zh-CN"/>
        </w:rPr>
      </w:pPr>
      <w:r>
        <w:rPr>
          <w:rFonts w:hint="eastAsia"/>
          <w:kern w:val="0"/>
          <w:highlight w:val="none"/>
          <w:lang w:val="zh-CN"/>
        </w:rPr>
        <w:t>一、各方一致决定，</w:t>
      </w:r>
      <w:r>
        <w:rPr>
          <w:rFonts w:hint="eastAsia"/>
          <w:kern w:val="0"/>
          <w:highlight w:val="none"/>
          <w:u w:val="single"/>
        </w:rPr>
        <w:t>（某联合体成员名称）</w:t>
      </w:r>
      <w:r>
        <w:rPr>
          <w:rFonts w:hint="eastAsia"/>
          <w:kern w:val="0"/>
          <w:highlight w:val="none"/>
        </w:rPr>
        <w:t>为联合体</w:t>
      </w:r>
      <w:r>
        <w:rPr>
          <w:rFonts w:hint="eastAsia"/>
          <w:kern w:val="0"/>
          <w:highlight w:val="none"/>
          <w:lang w:val="zh-CN"/>
        </w:rPr>
        <w:t>牵头人</w:t>
      </w:r>
      <w:r>
        <w:rPr>
          <w:rFonts w:hint="eastAsia"/>
          <w:highlight w:val="none"/>
        </w:rPr>
        <w:t>，代表所有联合体成员负责投标和合同实施阶段的主办、协调工作</w:t>
      </w:r>
      <w:r>
        <w:rPr>
          <w:rFonts w:hint="eastAsia"/>
          <w:kern w:val="0"/>
          <w:highlight w:val="none"/>
          <w:lang w:val="zh-CN"/>
        </w:rPr>
        <w:t>。</w:t>
      </w:r>
    </w:p>
    <w:p w14:paraId="206C506F">
      <w:pPr>
        <w:spacing w:line="360" w:lineRule="auto"/>
        <w:rPr>
          <w:highlight w:val="none"/>
          <w:lang w:val="zh-CN"/>
        </w:rPr>
      </w:pPr>
      <w:r>
        <w:rPr>
          <w:rFonts w:hint="eastAsia"/>
          <w:highlight w:val="none"/>
          <w:lang w:val="zh-CN"/>
        </w:rPr>
        <w:t>二、</w:t>
      </w:r>
      <w:r>
        <w:rPr>
          <w:rFonts w:hint="eastAsia"/>
          <w:highlight w:val="none"/>
        </w:rPr>
        <w:t>所有联合体成员各方签署授权书，授权书载明的</w:t>
      </w:r>
      <w:r>
        <w:rPr>
          <w:rFonts w:hint="eastAsia"/>
          <w:highlight w:val="none"/>
          <w:lang w:val="zh-CN"/>
        </w:rPr>
        <w:t>授权代表根据招标文件规定及投标内容而对采购人、采购代理机构所作的任何合法承诺，包括书面澄清及相应等均对联合投标各方产生约束力。</w:t>
      </w:r>
    </w:p>
    <w:p w14:paraId="76566D5D">
      <w:pPr>
        <w:spacing w:line="360" w:lineRule="auto"/>
        <w:rPr>
          <w:highlight w:val="none"/>
          <w:lang w:val="zh-CN"/>
        </w:rPr>
      </w:pPr>
      <w:r>
        <w:rPr>
          <w:rFonts w:hint="eastAsia"/>
          <w:highlight w:val="none"/>
          <w:lang w:val="zh-CN"/>
        </w:rPr>
        <w:t>三、本次联合投标中，分工如下：</w:t>
      </w:r>
    </w:p>
    <w:p w14:paraId="6CAE8E15">
      <w:pPr>
        <w:spacing w:line="360" w:lineRule="auto"/>
        <w:rPr>
          <w:highlight w:val="none"/>
          <w:lang w:val="zh-CN"/>
        </w:rPr>
      </w:pPr>
      <w:bookmarkStart w:id="372" w:name="_Hlk101134295"/>
      <w:r>
        <w:rPr>
          <w:rFonts w:hint="eastAsia"/>
          <w:highlight w:val="none"/>
        </w:rPr>
        <w:t xml:space="preserve">（联合体成员1）  </w:t>
      </w:r>
      <w:r>
        <w:rPr>
          <w:rFonts w:hint="eastAsia"/>
          <w:highlight w:val="none"/>
          <w:lang w:val="zh-CN"/>
        </w:rPr>
        <w:t>承担</w:t>
      </w:r>
      <w:r>
        <w:rPr>
          <w:rFonts w:hint="eastAsia"/>
          <w:highlight w:val="none"/>
        </w:rPr>
        <w:t>项目采购合同金额的      %，负责</w:t>
      </w:r>
      <w:r>
        <w:rPr>
          <w:rFonts w:hint="eastAsia"/>
          <w:highlight w:val="none"/>
          <w:lang w:val="zh-CN"/>
        </w:rPr>
        <w:t>的工作和义务为：</w:t>
      </w:r>
      <w:r>
        <w:rPr>
          <w:rFonts w:hint="eastAsia"/>
          <w:highlight w:val="none"/>
        </w:rPr>
        <w:t xml:space="preserve">             </w:t>
      </w:r>
      <w:r>
        <w:rPr>
          <w:rFonts w:hint="eastAsia"/>
          <w:highlight w:val="none"/>
          <w:lang w:val="zh-CN"/>
        </w:rPr>
        <w:t>；</w:t>
      </w:r>
    </w:p>
    <w:p w14:paraId="7F8D9ADC">
      <w:pPr>
        <w:spacing w:line="360" w:lineRule="auto"/>
        <w:rPr>
          <w:highlight w:val="none"/>
          <w:lang w:val="zh-CN"/>
        </w:rPr>
      </w:pPr>
      <w:r>
        <w:rPr>
          <w:rFonts w:hint="eastAsia"/>
          <w:highlight w:val="none"/>
        </w:rPr>
        <w:t>（联合体成员</w:t>
      </w:r>
      <w:r>
        <w:rPr>
          <w:highlight w:val="none"/>
        </w:rPr>
        <w:t>2</w:t>
      </w:r>
      <w:r>
        <w:rPr>
          <w:rFonts w:hint="eastAsia"/>
          <w:highlight w:val="none"/>
        </w:rPr>
        <w:t xml:space="preserve">）  </w:t>
      </w:r>
      <w:r>
        <w:rPr>
          <w:rFonts w:hint="eastAsia"/>
          <w:highlight w:val="none"/>
          <w:lang w:val="zh-CN"/>
        </w:rPr>
        <w:t>承担</w:t>
      </w:r>
      <w:r>
        <w:rPr>
          <w:rFonts w:hint="eastAsia"/>
          <w:highlight w:val="none"/>
        </w:rPr>
        <w:t>项目采购合同金额的      %，负责</w:t>
      </w:r>
      <w:r>
        <w:rPr>
          <w:rFonts w:hint="eastAsia"/>
          <w:highlight w:val="none"/>
          <w:lang w:val="zh-CN"/>
        </w:rPr>
        <w:t>的工作和义务为：</w:t>
      </w:r>
      <w:r>
        <w:rPr>
          <w:rFonts w:hint="eastAsia"/>
          <w:highlight w:val="none"/>
        </w:rPr>
        <w:t xml:space="preserve">             </w:t>
      </w:r>
      <w:r>
        <w:rPr>
          <w:rFonts w:hint="eastAsia"/>
          <w:highlight w:val="none"/>
          <w:lang w:val="zh-CN"/>
        </w:rPr>
        <w:t>；</w:t>
      </w:r>
    </w:p>
    <w:p w14:paraId="767AE507">
      <w:pPr>
        <w:spacing w:line="360" w:lineRule="auto"/>
        <w:rPr>
          <w:highlight w:val="none"/>
          <w:lang w:val="zh-CN"/>
        </w:rPr>
      </w:pPr>
      <w:r>
        <w:rPr>
          <w:rFonts w:hint="eastAsia"/>
          <w:highlight w:val="none"/>
          <w:lang w:val="zh-CN"/>
        </w:rPr>
        <w:t>……</w:t>
      </w:r>
    </w:p>
    <w:bookmarkEnd w:id="372"/>
    <w:p w14:paraId="63B1282A">
      <w:pPr>
        <w:spacing w:line="360" w:lineRule="auto"/>
        <w:rPr>
          <w:highlight w:val="none"/>
          <w:lang w:val="zh-CN"/>
        </w:rPr>
      </w:pPr>
      <w:r>
        <w:rPr>
          <w:rFonts w:hint="eastAsia"/>
          <w:highlight w:val="none"/>
          <w:lang w:val="zh-CN"/>
        </w:rPr>
        <w:t>四、联合体成员中小企业合同份额。</w:t>
      </w:r>
    </w:p>
    <w:p w14:paraId="1E5EBF62">
      <w:pPr>
        <w:spacing w:line="360" w:lineRule="auto"/>
        <w:rPr>
          <w:highlight w:val="none"/>
          <w:lang w:val="zh-CN"/>
        </w:rPr>
      </w:pPr>
      <w:r>
        <w:rPr>
          <w:rFonts w:hint="eastAsia"/>
          <w:highlight w:val="none"/>
          <w:lang w:val="zh-CN"/>
        </w:rPr>
        <w:t>1.</w:t>
      </w:r>
      <w:r>
        <w:rPr>
          <w:rFonts w:hint="eastAsia"/>
          <w:highlight w:val="none"/>
          <w:u w:val="single"/>
        </w:rPr>
        <w:t>（联合体成员</w:t>
      </w:r>
      <w:r>
        <w:rPr>
          <w:highlight w:val="none"/>
          <w:u w:val="single"/>
        </w:rPr>
        <w:t>X,</w:t>
      </w:r>
      <w:r>
        <w:rPr>
          <w:rFonts w:hint="eastAsia"/>
          <w:highlight w:val="none"/>
          <w:u w:val="single"/>
        </w:rPr>
        <w:t>……）</w:t>
      </w:r>
      <w:r>
        <w:rPr>
          <w:rFonts w:hint="eastAsia"/>
          <w:highlight w:val="none"/>
        </w:rPr>
        <w:t>提供的全部货物由小微企业制造，其合同份额占到合同总金额</w:t>
      </w:r>
      <w:r>
        <w:rPr>
          <w:rFonts w:hint="eastAsia"/>
          <w:highlight w:val="none"/>
          <w:u w:val="single"/>
        </w:rPr>
        <w:t xml:space="preserve">     </w:t>
      </w:r>
      <w:r>
        <w:rPr>
          <w:rFonts w:hint="eastAsia"/>
          <w:highlight w:val="none"/>
        </w:rPr>
        <w:t>%以上；</w:t>
      </w:r>
      <w:r>
        <w:rPr>
          <w:rFonts w:hint="eastAsia"/>
          <w:highlight w:val="none"/>
          <w:lang w:val="zh-CN"/>
        </w:rPr>
        <w:t>……。（未预留份额专门面向中小企业采购的采购项目，以及预留份额中的非预留部分采购包，接受联合体投标的，联合</w:t>
      </w:r>
      <w:r>
        <w:rPr>
          <w:rFonts w:hint="eastAsia"/>
          <w:highlight w:val="none"/>
        </w:rPr>
        <w:t>体</w:t>
      </w:r>
      <w:r>
        <w:rPr>
          <w:rFonts w:hint="eastAsia"/>
          <w:highlight w:val="none"/>
          <w:lang w:val="zh-CN"/>
        </w:rPr>
        <w:t>协议</w:t>
      </w:r>
      <w:r>
        <w:rPr>
          <w:rFonts w:hint="eastAsia"/>
          <w:highlight w:val="none"/>
        </w:rPr>
        <w:t>书</w:t>
      </w:r>
      <w:r>
        <w:rPr>
          <w:rFonts w:hint="eastAsia"/>
          <w:highlight w:val="none"/>
          <w:lang w:val="zh-CN"/>
        </w:rPr>
        <w:t>约定小微企业的合同份额占到合同总金额30%以上的，对联合体报价按评标标准确定的比例给予扣除。供应商</w:t>
      </w:r>
      <w:r>
        <w:rPr>
          <w:rFonts w:hint="eastAsia"/>
          <w:highlight w:val="none"/>
        </w:rPr>
        <w:t>拟享受以上价格扣除政策的，填写有关内容。</w:t>
      </w:r>
      <w:r>
        <w:rPr>
          <w:rFonts w:hint="eastAsia"/>
          <w:highlight w:val="none"/>
          <w:lang w:val="zh-CN"/>
        </w:rPr>
        <w:t>）</w:t>
      </w:r>
    </w:p>
    <w:p w14:paraId="33E0CA33">
      <w:pPr>
        <w:spacing w:line="360" w:lineRule="auto"/>
        <w:rPr>
          <w:kern w:val="0"/>
          <w:highlight w:val="none"/>
          <w:lang w:val="zh-CN"/>
        </w:rPr>
      </w:pPr>
      <w:r>
        <w:rPr>
          <w:rFonts w:hint="eastAsia"/>
          <w:highlight w:val="none"/>
        </w:rPr>
        <w:t>2.中小企业合同金额达到</w:t>
      </w:r>
      <w:r>
        <w:rPr>
          <w:rFonts w:hint="eastAsia"/>
          <w:highlight w:val="none"/>
          <w:u w:val="single"/>
        </w:rPr>
        <w:t xml:space="preserve">    </w:t>
      </w:r>
      <w:r>
        <w:rPr>
          <w:rFonts w:hint="eastAsia"/>
          <w:highlight w:val="none"/>
        </w:rPr>
        <w:t>%，其中小微企业合同金额达到</w:t>
      </w:r>
      <w:r>
        <w:rPr>
          <w:rFonts w:hint="eastAsia"/>
          <w:highlight w:val="none"/>
          <w:u w:val="single"/>
        </w:rPr>
        <w:t xml:space="preserve">   </w:t>
      </w:r>
      <w:r>
        <w:rPr>
          <w:rFonts w:hint="eastAsia"/>
          <w:highlight w:val="none"/>
        </w:rPr>
        <w:t>%</w:t>
      </w:r>
      <w:r>
        <w:rPr>
          <w:rFonts w:hint="eastAsia"/>
          <w:kern w:val="0"/>
          <w:highlight w:val="none"/>
          <w:lang w:val="zh-CN"/>
        </w:rPr>
        <w:t>。（</w:t>
      </w:r>
      <w:r>
        <w:rPr>
          <w:rFonts w:hint="eastAsia"/>
          <w:highlight w:val="none"/>
        </w:rPr>
        <w:t>要求以联合体形式参加的项目或采购包，供应商按招标文件第一部分招标公告申请人的资格要求中规定的联合体协议书中中小企业、小微企业合同金额应当达到的比例要求填写。</w:t>
      </w:r>
      <w:r>
        <w:rPr>
          <w:rFonts w:hint="eastAsia"/>
          <w:kern w:val="0"/>
          <w:highlight w:val="none"/>
          <w:lang w:val="zh-CN"/>
        </w:rPr>
        <w:t>）</w:t>
      </w:r>
    </w:p>
    <w:p w14:paraId="51B9D7D3">
      <w:pPr>
        <w:spacing w:line="360" w:lineRule="auto"/>
        <w:rPr>
          <w:kern w:val="0"/>
          <w:highlight w:val="none"/>
          <w:lang w:val="zh-CN"/>
        </w:rPr>
      </w:pPr>
      <w:r>
        <w:rPr>
          <w:rFonts w:hint="eastAsia"/>
          <w:kern w:val="0"/>
          <w:highlight w:val="none"/>
          <w:lang w:val="zh-CN"/>
        </w:rPr>
        <w:t>五、如果中标，</w:t>
      </w:r>
      <w:r>
        <w:rPr>
          <w:rFonts w:hint="eastAsia"/>
          <w:highlight w:val="none"/>
        </w:rPr>
        <w:t>联合体各成员方共同与采购人签订采购合同，并就采购合同约定的事项对采购人承担连带责任。</w:t>
      </w:r>
    </w:p>
    <w:p w14:paraId="61999690">
      <w:pPr>
        <w:spacing w:line="360" w:lineRule="auto"/>
        <w:rPr>
          <w:highlight w:val="none"/>
          <w:lang w:val="zh-CN"/>
        </w:rPr>
      </w:pPr>
      <w:r>
        <w:rPr>
          <w:rFonts w:hint="eastAsia"/>
          <w:highlight w:val="none"/>
          <w:lang w:val="zh-CN"/>
        </w:rPr>
        <w:t>六、有关本次联合投标的其他事宜：</w:t>
      </w:r>
    </w:p>
    <w:p w14:paraId="5C31F524">
      <w:pPr>
        <w:spacing w:line="360" w:lineRule="auto"/>
        <w:rPr>
          <w:highlight w:val="none"/>
          <w:lang w:val="zh-CN"/>
        </w:rPr>
      </w:pPr>
      <w:r>
        <w:rPr>
          <w:rFonts w:hint="eastAsia"/>
          <w:highlight w:val="none"/>
          <w:lang w:val="zh-CN"/>
        </w:rPr>
        <w:t>1.联合体各方不再单独参加或者与其他供应商另外组成联合体参加同一合同项下的政府采购活动。</w:t>
      </w:r>
    </w:p>
    <w:p w14:paraId="03965653">
      <w:pPr>
        <w:spacing w:line="360" w:lineRule="auto"/>
        <w:rPr>
          <w:highlight w:val="none"/>
          <w:lang w:val="zh-CN"/>
        </w:rPr>
      </w:pPr>
      <w:r>
        <w:rPr>
          <w:rFonts w:hint="eastAsia"/>
          <w:highlight w:val="none"/>
          <w:lang w:val="zh-CN"/>
        </w:rPr>
        <w:t>2.联合体中有同类资质的各方按照联合体分工承担相同工作的，按照资质等级较低的供应商确定资质等级。</w:t>
      </w:r>
    </w:p>
    <w:p w14:paraId="397A6560">
      <w:pPr>
        <w:spacing w:line="360" w:lineRule="auto"/>
        <w:rPr>
          <w:highlight w:val="none"/>
          <w:lang w:val="zh-CN"/>
        </w:rPr>
      </w:pPr>
      <w:r>
        <w:rPr>
          <w:rFonts w:hint="eastAsia"/>
          <w:highlight w:val="none"/>
          <w:lang w:val="zh-CN"/>
        </w:rPr>
        <w:t>3.本协议提交采购人、采购代理机构后，联合体各方不得以任何形式对上述内容进行修改或撤销。</w:t>
      </w:r>
    </w:p>
    <w:p w14:paraId="278FE8B2">
      <w:pPr>
        <w:spacing w:line="360" w:lineRule="auto"/>
        <w:rPr>
          <w:highlight w:val="none"/>
          <w:lang w:val="zh-CN"/>
        </w:rPr>
      </w:pPr>
      <w:r>
        <w:rPr>
          <w:rFonts w:hint="eastAsia"/>
          <w:highlight w:val="none"/>
        </w:rPr>
        <w:t>4.</w:t>
      </w:r>
      <w:r>
        <w:rPr>
          <w:rFonts w:hint="eastAsia"/>
          <w:highlight w:val="none"/>
          <w:lang w:val="zh-CN"/>
        </w:rPr>
        <w:t>其他：……</w:t>
      </w:r>
    </w:p>
    <w:p w14:paraId="56DEBFD1">
      <w:pPr>
        <w:spacing w:line="360" w:lineRule="auto"/>
        <w:rPr>
          <w:highlight w:val="none"/>
          <w:lang w:val="zh-CN"/>
        </w:rPr>
      </w:pPr>
      <w:r>
        <w:rPr>
          <w:rFonts w:hint="eastAsia"/>
          <w:highlight w:val="none"/>
        </w:rPr>
        <w:t>5.</w:t>
      </w:r>
      <w:r>
        <w:rPr>
          <w:rFonts w:hint="eastAsia"/>
          <w:highlight w:val="none"/>
          <w:lang w:val="zh-CN"/>
        </w:rPr>
        <w:t>本协议书自签署之日起生效，若未中标，自本次投标有效期结束后自行失效；若中标，自合同书规定的期限之后自行失效。</w:t>
      </w:r>
    </w:p>
    <w:p w14:paraId="3A7195E2">
      <w:pPr>
        <w:spacing w:line="360" w:lineRule="auto"/>
        <w:rPr>
          <w:highlight w:val="none"/>
          <w:lang w:val="zh-CN"/>
        </w:rPr>
      </w:pPr>
      <w:r>
        <w:rPr>
          <w:rFonts w:hint="eastAsia"/>
          <w:highlight w:val="none"/>
        </w:rPr>
        <w:t>6.</w:t>
      </w:r>
      <w:r>
        <w:rPr>
          <w:rFonts w:hint="eastAsia"/>
          <w:highlight w:val="none"/>
          <w:lang w:val="zh-CN"/>
        </w:rPr>
        <w:t>本协议书正本一式</w:t>
      </w:r>
      <w:r>
        <w:rPr>
          <w:rFonts w:hint="eastAsia"/>
          <w:highlight w:val="none"/>
          <w:u w:val="single"/>
          <w:lang w:val="zh-CN"/>
        </w:rPr>
        <w:t xml:space="preserve">    </w:t>
      </w:r>
      <w:r>
        <w:rPr>
          <w:rFonts w:hint="eastAsia"/>
          <w:highlight w:val="none"/>
          <w:lang w:val="zh-CN"/>
        </w:rPr>
        <w:t>份，联合体成员各执</w:t>
      </w:r>
      <w:r>
        <w:rPr>
          <w:rFonts w:hint="eastAsia"/>
          <w:highlight w:val="none"/>
          <w:u w:val="single"/>
          <w:lang w:val="zh-CN"/>
        </w:rPr>
        <w:t xml:space="preserve">    </w:t>
      </w:r>
      <w:r>
        <w:rPr>
          <w:rFonts w:hint="eastAsia"/>
          <w:highlight w:val="none"/>
          <w:lang w:val="zh-CN"/>
        </w:rPr>
        <w:t>份；副本一式</w:t>
      </w:r>
      <w:r>
        <w:rPr>
          <w:rFonts w:hint="eastAsia"/>
          <w:highlight w:val="none"/>
          <w:u w:val="single"/>
          <w:lang w:val="zh-CN"/>
        </w:rPr>
        <w:t xml:space="preserve">    </w:t>
      </w:r>
      <w:r>
        <w:rPr>
          <w:rFonts w:hint="eastAsia"/>
          <w:highlight w:val="none"/>
          <w:lang w:val="zh-CN"/>
        </w:rPr>
        <w:t>份，联合体成员各执</w:t>
      </w:r>
      <w:r>
        <w:rPr>
          <w:rFonts w:hint="eastAsia"/>
          <w:highlight w:val="none"/>
          <w:u w:val="single"/>
          <w:lang w:val="zh-CN"/>
        </w:rPr>
        <w:t xml:space="preserve">     </w:t>
      </w:r>
      <w:r>
        <w:rPr>
          <w:rFonts w:hint="eastAsia"/>
          <w:highlight w:val="none"/>
          <w:lang w:val="zh-CN"/>
        </w:rPr>
        <w:t>份。</w:t>
      </w:r>
    </w:p>
    <w:p w14:paraId="328FDA97">
      <w:pPr>
        <w:spacing w:line="360" w:lineRule="auto"/>
        <w:rPr>
          <w:highlight w:val="none"/>
          <w:lang w:val="zh-CN"/>
        </w:rPr>
      </w:pPr>
      <w:r>
        <w:rPr>
          <w:rFonts w:hint="eastAsia"/>
          <w:highlight w:val="none"/>
          <w:lang w:val="zh-CN"/>
        </w:rPr>
        <w:t>联合体成员</w:t>
      </w:r>
      <w:r>
        <w:rPr>
          <w:rFonts w:hint="eastAsia"/>
          <w:highlight w:val="none"/>
        </w:rPr>
        <w:t>1</w:t>
      </w:r>
      <w:r>
        <w:rPr>
          <w:rFonts w:hint="eastAsia"/>
          <w:highlight w:val="none"/>
          <w:lang w:val="zh-CN"/>
        </w:rPr>
        <w:t>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53C1A460">
      <w:pPr>
        <w:spacing w:line="360" w:lineRule="auto"/>
        <w:rPr>
          <w:highlight w:val="none"/>
          <w:lang w:val="zh-CN"/>
        </w:rPr>
      </w:pPr>
      <w:r>
        <w:rPr>
          <w:rFonts w:hint="eastAsia"/>
          <w:highlight w:val="none"/>
          <w:lang w:val="zh-CN"/>
        </w:rPr>
        <w:t>联合体成员</w:t>
      </w:r>
      <w:r>
        <w:rPr>
          <w:rFonts w:hint="eastAsia"/>
          <w:highlight w:val="none"/>
        </w:rPr>
        <w:t>2</w:t>
      </w:r>
      <w:r>
        <w:rPr>
          <w:rFonts w:hint="eastAsia"/>
          <w:highlight w:val="none"/>
          <w:lang w:val="zh-CN"/>
        </w:rPr>
        <w:t>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46CBE8B1">
      <w:pPr>
        <w:spacing w:line="360" w:lineRule="auto"/>
        <w:rPr>
          <w:highlight w:val="none"/>
          <w:lang w:val="zh-CN"/>
        </w:rPr>
      </w:pPr>
      <w:r>
        <w:rPr>
          <w:rFonts w:hint="eastAsia"/>
          <w:highlight w:val="none"/>
          <w:lang w:val="zh-CN"/>
        </w:rPr>
        <w:t xml:space="preserve">                   ……</w:t>
      </w:r>
    </w:p>
    <w:p w14:paraId="17AAA4C5">
      <w:pPr>
        <w:spacing w:line="360" w:lineRule="auto"/>
        <w:rPr>
          <w:highlight w:val="none"/>
          <w:lang w:val="zh-CN"/>
        </w:rPr>
      </w:pPr>
      <w:r>
        <w:rPr>
          <w:rFonts w:hint="eastAsia"/>
          <w:highlight w:val="none"/>
          <w:lang w:val="zh-CN"/>
        </w:rPr>
        <w:t>日期：  年  月   日</w:t>
      </w:r>
    </w:p>
    <w:p w14:paraId="087FE493">
      <w:pPr>
        <w:spacing w:line="360" w:lineRule="auto"/>
        <w:rPr>
          <w:highlight w:val="none"/>
        </w:rPr>
      </w:pPr>
      <w:r>
        <w:rPr>
          <w:rFonts w:hint="eastAsia"/>
          <w:highlight w:val="none"/>
        </w:rPr>
        <w:t>注：按本格式和要求提供。</w:t>
      </w:r>
    </w:p>
    <w:p w14:paraId="2D708810">
      <w:pPr>
        <w:spacing w:line="360" w:lineRule="auto"/>
        <w:rPr>
          <w:highlight w:val="none"/>
        </w:rPr>
      </w:pPr>
      <w:r>
        <w:rPr>
          <w:highlight w:val="none"/>
        </w:rPr>
        <w:br w:type="page"/>
      </w:r>
    </w:p>
    <w:p w14:paraId="51208B2E">
      <w:pPr>
        <w:pStyle w:val="3"/>
        <w:spacing w:line="360" w:lineRule="auto"/>
        <w:rPr>
          <w:highlight w:val="none"/>
          <w:lang w:val="zh-CN"/>
        </w:rPr>
      </w:pPr>
      <w:bookmarkStart w:id="373" w:name="_Toc163492925"/>
      <w:bookmarkStart w:id="374" w:name="_Toc156490356"/>
      <w:bookmarkStart w:id="375" w:name="_Toc162299566"/>
      <w:bookmarkStart w:id="376" w:name="_Toc229390302"/>
      <w:r>
        <w:rPr>
          <w:rFonts w:hint="eastAsia"/>
          <w:highlight w:val="none"/>
        </w:rPr>
        <w:t>三、</w:t>
      </w:r>
      <w:r>
        <w:rPr>
          <w:rFonts w:hint="eastAsia"/>
          <w:highlight w:val="none"/>
          <w:lang w:val="zh-CN"/>
        </w:rPr>
        <w:t>分包意向协议书【</w:t>
      </w:r>
      <w:r>
        <w:rPr>
          <w:rFonts w:hint="eastAsia"/>
          <w:highlight w:val="none"/>
        </w:rPr>
        <w:t>不适用可不提供</w:t>
      </w:r>
      <w:r>
        <w:rPr>
          <w:rFonts w:hint="eastAsia"/>
          <w:highlight w:val="none"/>
          <w:lang w:val="zh-CN"/>
        </w:rPr>
        <w:t>】</w:t>
      </w:r>
      <w:bookmarkEnd w:id="373"/>
      <w:bookmarkEnd w:id="374"/>
      <w:bookmarkEnd w:id="375"/>
      <w:bookmarkEnd w:id="376"/>
    </w:p>
    <w:p w14:paraId="6888347B">
      <w:pPr>
        <w:spacing w:line="360" w:lineRule="auto"/>
        <w:rPr>
          <w:highlight w:val="none"/>
        </w:rPr>
      </w:pPr>
      <w:bookmarkStart w:id="377" w:name="_Toc1771"/>
      <w:bookmarkStart w:id="378" w:name="_Hlk101169080"/>
      <w:r>
        <w:rPr>
          <w:rFonts w:hint="eastAsia"/>
          <w:highlight w:val="none"/>
        </w:rPr>
        <w:t>分包意向协议书</w:t>
      </w:r>
      <w:bookmarkEnd w:id="377"/>
    </w:p>
    <w:p w14:paraId="4C524B8B">
      <w:pPr>
        <w:spacing w:line="360" w:lineRule="auto"/>
        <w:rPr>
          <w:highlight w:val="none"/>
        </w:rPr>
      </w:pPr>
      <w:r>
        <w:rPr>
          <w:rFonts w:hint="eastAsia"/>
          <w:highlight w:val="none"/>
        </w:rPr>
        <w:t>【中标后以分包方式履行合同的，提供分包意向协议书；采购人不同意分包或者投标人中标后不以分包方式履行合同的，则不需要提供。】</w:t>
      </w:r>
    </w:p>
    <w:p w14:paraId="0C28ECD0">
      <w:pPr>
        <w:spacing w:line="360" w:lineRule="auto"/>
        <w:rPr>
          <w:highlight w:val="none"/>
          <w:lang w:val="zh-CN"/>
        </w:rPr>
      </w:pPr>
      <w:r>
        <w:rPr>
          <w:rFonts w:hint="eastAsia"/>
          <w:highlight w:val="none"/>
          <w:u w:val="single"/>
        </w:rPr>
        <w:t>（投标人名称）</w:t>
      </w:r>
      <w:r>
        <w:rPr>
          <w:rFonts w:hint="eastAsia"/>
          <w:highlight w:val="none"/>
          <w:lang w:val="zh-CN"/>
        </w:rPr>
        <w:t>若成为</w:t>
      </w:r>
      <w:r>
        <w:rPr>
          <w:rFonts w:hint="eastAsia"/>
          <w:highlight w:val="none"/>
        </w:rPr>
        <w:t>（项目名称）【项目编号/包号：  】</w:t>
      </w:r>
      <w:r>
        <w:rPr>
          <w:rFonts w:hint="eastAsia"/>
          <w:highlight w:val="none"/>
          <w:lang w:val="zh-CN"/>
        </w:rPr>
        <w:t>的中标供应商，将依法采取分包方式履行合同。</w:t>
      </w:r>
      <w:r>
        <w:rPr>
          <w:rFonts w:hint="eastAsia"/>
          <w:highlight w:val="none"/>
          <w:u w:val="single"/>
        </w:rPr>
        <w:t>（投标人名称）</w:t>
      </w:r>
      <w:r>
        <w:rPr>
          <w:rFonts w:hint="eastAsia"/>
          <w:highlight w:val="none"/>
        </w:rPr>
        <w:t>与</w:t>
      </w:r>
      <w:r>
        <w:rPr>
          <w:rFonts w:hint="eastAsia"/>
          <w:highlight w:val="none"/>
          <w:u w:val="single"/>
        </w:rPr>
        <w:t>（所有分包供应商名称）</w:t>
      </w:r>
      <w:r>
        <w:rPr>
          <w:rFonts w:hint="eastAsia"/>
          <w:highlight w:val="none"/>
        </w:rPr>
        <w:t>达成分包意向协议书</w:t>
      </w:r>
      <w:r>
        <w:rPr>
          <w:rFonts w:hint="eastAsia"/>
          <w:highlight w:val="none"/>
          <w:lang w:val="zh-CN"/>
        </w:rPr>
        <w:t xml:space="preserve">。 </w:t>
      </w:r>
    </w:p>
    <w:p w14:paraId="1911AED2">
      <w:pPr>
        <w:spacing w:line="360" w:lineRule="auto"/>
        <w:rPr>
          <w:highlight w:val="none"/>
          <w:lang w:val="zh-CN"/>
        </w:rPr>
      </w:pPr>
      <w:r>
        <w:rPr>
          <w:rFonts w:hint="eastAsia"/>
          <w:highlight w:val="none"/>
          <w:lang w:val="zh-CN"/>
        </w:rPr>
        <w:t>一、分包标的及数量</w:t>
      </w:r>
    </w:p>
    <w:p w14:paraId="566C7E29">
      <w:pPr>
        <w:spacing w:line="360" w:lineRule="auto"/>
        <w:rPr>
          <w:highlight w:val="none"/>
          <w:lang w:val="zh-CN"/>
        </w:rPr>
      </w:pPr>
      <w:r>
        <w:rPr>
          <w:rFonts w:hint="eastAsia"/>
          <w:highlight w:val="none"/>
        </w:rPr>
        <w:t>（投标人名称）</w:t>
      </w:r>
      <w:r>
        <w:rPr>
          <w:rFonts w:hint="eastAsia"/>
          <w:highlight w:val="none"/>
          <w:lang w:val="zh-CN"/>
        </w:rPr>
        <w:t>将</w:t>
      </w:r>
      <w:r>
        <w:rPr>
          <w:rFonts w:hint="eastAsia"/>
          <w:highlight w:val="none"/>
        </w:rPr>
        <w:t xml:space="preserve"> </w:t>
      </w:r>
      <w:r>
        <w:rPr>
          <w:highlight w:val="none"/>
        </w:rPr>
        <w:t xml:space="preserve">  XX工作内容   </w:t>
      </w:r>
      <w:r>
        <w:rPr>
          <w:rFonts w:hint="eastAsia"/>
          <w:highlight w:val="none"/>
        </w:rPr>
        <w:t>分包给（分包供应商1名称）</w:t>
      </w:r>
      <w:r>
        <w:rPr>
          <w:rFonts w:hint="eastAsia"/>
          <w:highlight w:val="none"/>
          <w:lang w:val="zh-CN"/>
        </w:rPr>
        <w:t>，</w:t>
      </w:r>
      <w:r>
        <w:rPr>
          <w:rFonts w:hint="eastAsia"/>
          <w:highlight w:val="none"/>
        </w:rPr>
        <w:t>（分包供应商1名称），</w:t>
      </w:r>
      <w:r>
        <w:rPr>
          <w:rFonts w:hint="eastAsia"/>
          <w:highlight w:val="none"/>
          <w:lang w:val="zh-CN"/>
        </w:rPr>
        <w:t>具备承</w:t>
      </w:r>
      <w:r>
        <w:rPr>
          <w:rFonts w:hint="eastAsia"/>
          <w:highlight w:val="none"/>
        </w:rPr>
        <w:t>担</w:t>
      </w:r>
      <w:r>
        <w:rPr>
          <w:rFonts w:hint="eastAsia"/>
          <w:highlight w:val="none"/>
          <w:lang w:val="zh-CN"/>
        </w:rPr>
        <w:t>XX工作内容相应资质条件且不得再次分包；</w:t>
      </w:r>
    </w:p>
    <w:p w14:paraId="1B30DCDD">
      <w:pPr>
        <w:spacing w:line="360" w:lineRule="auto"/>
        <w:rPr>
          <w:highlight w:val="none"/>
          <w:lang w:val="zh-CN"/>
        </w:rPr>
      </w:pPr>
      <w:bookmarkStart w:id="379" w:name="_Toc29506"/>
      <w:bookmarkStart w:id="380" w:name="_Toc23351"/>
      <w:bookmarkStart w:id="381" w:name="_Toc8522"/>
      <w:bookmarkStart w:id="382" w:name="_Toc22084"/>
      <w:r>
        <w:rPr>
          <w:rFonts w:hint="eastAsia"/>
          <w:highlight w:val="none"/>
          <w:lang w:val="zh-CN"/>
        </w:rPr>
        <w:t>……</w:t>
      </w:r>
      <w:bookmarkEnd w:id="379"/>
      <w:bookmarkEnd w:id="380"/>
      <w:bookmarkEnd w:id="381"/>
      <w:bookmarkEnd w:id="382"/>
    </w:p>
    <w:p w14:paraId="3C95C854">
      <w:pPr>
        <w:spacing w:line="360" w:lineRule="auto"/>
        <w:rPr>
          <w:highlight w:val="none"/>
          <w:lang w:val="zh-CN"/>
        </w:rPr>
      </w:pPr>
      <w:r>
        <w:rPr>
          <w:rFonts w:hint="eastAsia"/>
          <w:highlight w:val="none"/>
          <w:lang w:val="zh-CN"/>
        </w:rPr>
        <w:t>二、分包供应商中小企业合同份额</w:t>
      </w:r>
    </w:p>
    <w:p w14:paraId="59330147">
      <w:pPr>
        <w:spacing w:line="360" w:lineRule="auto"/>
        <w:rPr>
          <w:highlight w:val="none"/>
          <w:lang w:val="zh-CN"/>
        </w:rPr>
      </w:pPr>
      <w:r>
        <w:rPr>
          <w:rFonts w:hint="eastAsia"/>
          <w:highlight w:val="none"/>
        </w:rPr>
        <w:t>1.</w:t>
      </w:r>
      <w:r>
        <w:rPr>
          <w:rFonts w:hint="eastAsia"/>
          <w:highlight w:val="none"/>
          <w:u w:val="single"/>
        </w:rPr>
        <w:t>（分包供应商X</w:t>
      </w:r>
      <w:r>
        <w:rPr>
          <w:highlight w:val="none"/>
          <w:u w:val="single"/>
        </w:rPr>
        <w:t>,</w:t>
      </w:r>
      <w:r>
        <w:rPr>
          <w:rFonts w:hint="eastAsia"/>
          <w:highlight w:val="none"/>
          <w:u w:val="single"/>
        </w:rPr>
        <w:t>……）提供的货物全部由小微企业制造，</w:t>
      </w:r>
      <w:r>
        <w:rPr>
          <w:rFonts w:hint="eastAsia"/>
          <w:highlight w:val="none"/>
        </w:rPr>
        <w:t>其合同份额占到合同总金额</w:t>
      </w:r>
      <w:r>
        <w:rPr>
          <w:rFonts w:hint="eastAsia"/>
          <w:highlight w:val="none"/>
          <w:u w:val="single"/>
        </w:rPr>
        <w:t xml:space="preserve">     </w:t>
      </w:r>
      <w:r>
        <w:rPr>
          <w:rFonts w:hint="eastAsia"/>
          <w:highlight w:val="none"/>
        </w:rPr>
        <w:t>%以上。</w:t>
      </w:r>
      <w:r>
        <w:rPr>
          <w:rFonts w:hint="eastAsia"/>
          <w:highlight w:val="none"/>
          <w:lang w:val="zh-CN"/>
        </w:rPr>
        <w:t>（未预留份额专门面向中小企业采购的采购项目，以及预留份额中的非预留部分采购包，允许分包的，分包意向协议</w:t>
      </w:r>
      <w:r>
        <w:rPr>
          <w:rFonts w:hint="eastAsia"/>
          <w:highlight w:val="none"/>
        </w:rPr>
        <w:t>书</w:t>
      </w:r>
      <w:r>
        <w:rPr>
          <w:rFonts w:hint="eastAsia"/>
          <w:highlight w:val="none"/>
          <w:lang w:val="zh-CN"/>
        </w:rPr>
        <w:t>约定小微企业的合同份额占到合同总金额30%以上的，对大中型企业的报价按评标标准确定的比例给予扣除。供应商</w:t>
      </w:r>
      <w:r>
        <w:rPr>
          <w:rFonts w:hint="eastAsia"/>
          <w:highlight w:val="none"/>
        </w:rPr>
        <w:t>拟享受以上价格扣除政策的，填写有关内容。</w:t>
      </w:r>
      <w:r>
        <w:rPr>
          <w:rFonts w:hint="eastAsia"/>
          <w:highlight w:val="none"/>
          <w:lang w:val="zh-CN"/>
        </w:rPr>
        <w:t>）</w:t>
      </w:r>
    </w:p>
    <w:p w14:paraId="14C4D491">
      <w:pPr>
        <w:spacing w:line="360" w:lineRule="auto"/>
        <w:rPr>
          <w:kern w:val="0"/>
          <w:highlight w:val="none"/>
          <w:lang w:val="zh-CN"/>
        </w:rPr>
      </w:pPr>
      <w:r>
        <w:rPr>
          <w:rFonts w:hint="eastAsia"/>
          <w:highlight w:val="none"/>
        </w:rPr>
        <w:t>2.</w:t>
      </w:r>
      <w:bookmarkStart w:id="383" w:name="_Hlk101133173"/>
      <w:r>
        <w:rPr>
          <w:rFonts w:hint="eastAsia"/>
          <w:highlight w:val="none"/>
        </w:rPr>
        <w:t>中小企业合同金额达到</w:t>
      </w:r>
      <w:r>
        <w:rPr>
          <w:rFonts w:hint="eastAsia"/>
          <w:highlight w:val="none"/>
          <w:u w:val="single"/>
        </w:rPr>
        <w:t xml:space="preserve">  </w:t>
      </w:r>
      <w:r>
        <w:rPr>
          <w:rFonts w:hint="eastAsia"/>
          <w:highlight w:val="none"/>
        </w:rPr>
        <w:t>%，其中小微企业合同金额达到</w:t>
      </w:r>
      <w:r>
        <w:rPr>
          <w:rFonts w:hint="eastAsia"/>
          <w:highlight w:val="none"/>
          <w:u w:val="single"/>
        </w:rPr>
        <w:t xml:space="preserve"> </w:t>
      </w:r>
      <w:r>
        <w:rPr>
          <w:rFonts w:hint="eastAsia"/>
          <w:highlight w:val="none"/>
        </w:rPr>
        <w:t>%</w:t>
      </w:r>
      <w:r>
        <w:rPr>
          <w:rFonts w:hint="eastAsia"/>
          <w:kern w:val="0"/>
          <w:highlight w:val="none"/>
          <w:lang w:val="zh-CN"/>
        </w:rPr>
        <w:t>。（</w:t>
      </w:r>
      <w:r>
        <w:rPr>
          <w:rFonts w:hint="eastAsia"/>
          <w:highlight w:val="none"/>
        </w:rPr>
        <w:t>要求合同分包形式参加的项目或采购包，供应商按招标文件第一部分招标公告申请人的资格要求中规定的</w:t>
      </w:r>
      <w:r>
        <w:rPr>
          <w:rFonts w:hint="eastAsia"/>
          <w:kern w:val="0"/>
          <w:highlight w:val="none"/>
          <w:lang w:val="zh-CN"/>
        </w:rPr>
        <w:t>分包意向协议</w:t>
      </w:r>
      <w:r>
        <w:rPr>
          <w:rFonts w:hint="eastAsia"/>
          <w:kern w:val="0"/>
          <w:highlight w:val="none"/>
        </w:rPr>
        <w:t>书</w:t>
      </w:r>
      <w:r>
        <w:rPr>
          <w:rFonts w:hint="eastAsia"/>
          <w:highlight w:val="none"/>
        </w:rPr>
        <w:t>中中小企业、小微企业合同金额应当达到的比例要求填写。</w:t>
      </w:r>
      <w:r>
        <w:rPr>
          <w:rFonts w:hint="eastAsia"/>
          <w:kern w:val="0"/>
          <w:highlight w:val="none"/>
          <w:lang w:val="zh-CN"/>
        </w:rPr>
        <w:t>）</w:t>
      </w:r>
      <w:bookmarkEnd w:id="383"/>
    </w:p>
    <w:p w14:paraId="5E1B74FF">
      <w:pPr>
        <w:spacing w:line="360" w:lineRule="auto"/>
        <w:rPr>
          <w:highlight w:val="none"/>
          <w:lang w:val="zh-CN"/>
        </w:rPr>
      </w:pPr>
      <w:r>
        <w:rPr>
          <w:rFonts w:hint="eastAsia"/>
          <w:highlight w:val="none"/>
          <w:lang w:val="zh-CN"/>
        </w:rPr>
        <w:t>三、分包工作履行期限、地点、方式</w:t>
      </w:r>
    </w:p>
    <w:p w14:paraId="5E644EED">
      <w:pPr>
        <w:spacing w:line="360" w:lineRule="auto"/>
        <w:rPr>
          <w:highlight w:val="none"/>
        </w:rPr>
      </w:pPr>
      <w:r>
        <w:rPr>
          <w:rFonts w:hint="eastAsia"/>
          <w:highlight w:val="none"/>
        </w:rPr>
        <w:t xml:space="preserve">                                                                                  </w:t>
      </w:r>
    </w:p>
    <w:p w14:paraId="4934B057">
      <w:pPr>
        <w:spacing w:line="360" w:lineRule="auto"/>
        <w:rPr>
          <w:highlight w:val="none"/>
          <w:lang w:val="zh-CN"/>
        </w:rPr>
      </w:pPr>
      <w:r>
        <w:rPr>
          <w:rFonts w:hint="eastAsia"/>
          <w:highlight w:val="none"/>
          <w:lang w:val="zh-CN"/>
        </w:rPr>
        <w:t>四、质量</w:t>
      </w:r>
    </w:p>
    <w:p w14:paraId="055DD612">
      <w:pPr>
        <w:spacing w:line="360" w:lineRule="auto"/>
        <w:rPr>
          <w:kern w:val="0"/>
          <w:highlight w:val="none"/>
          <w:lang w:val="zh-CN"/>
        </w:rPr>
      </w:pPr>
      <w:r>
        <w:rPr>
          <w:rFonts w:hint="eastAsia"/>
          <w:highlight w:val="none"/>
        </w:rPr>
        <w:t xml:space="preserve">                                                                                       </w:t>
      </w:r>
    </w:p>
    <w:p w14:paraId="7BEA298E">
      <w:pPr>
        <w:spacing w:line="360" w:lineRule="auto"/>
        <w:rPr>
          <w:highlight w:val="none"/>
          <w:lang w:val="zh-CN"/>
        </w:rPr>
      </w:pPr>
      <w:r>
        <w:rPr>
          <w:rFonts w:hint="eastAsia"/>
          <w:highlight w:val="none"/>
          <w:lang w:val="zh-CN"/>
        </w:rPr>
        <w:t>五、价款或者报酬</w:t>
      </w:r>
    </w:p>
    <w:p w14:paraId="6149358E">
      <w:pPr>
        <w:spacing w:line="360" w:lineRule="auto"/>
        <w:rPr>
          <w:kern w:val="0"/>
          <w:highlight w:val="none"/>
          <w:lang w:val="zh-CN"/>
        </w:rPr>
      </w:pPr>
      <w:r>
        <w:rPr>
          <w:rFonts w:hint="eastAsia"/>
          <w:highlight w:val="none"/>
        </w:rPr>
        <w:t xml:space="preserve">                                                                                     </w:t>
      </w:r>
    </w:p>
    <w:p w14:paraId="509863EC">
      <w:pPr>
        <w:spacing w:line="360" w:lineRule="auto"/>
        <w:rPr>
          <w:highlight w:val="none"/>
          <w:lang w:val="zh-CN"/>
        </w:rPr>
      </w:pPr>
      <w:r>
        <w:rPr>
          <w:rFonts w:hint="eastAsia"/>
          <w:highlight w:val="none"/>
          <w:lang w:val="zh-CN"/>
        </w:rPr>
        <w:t>六、违约责任</w:t>
      </w:r>
    </w:p>
    <w:p w14:paraId="013E3EB0">
      <w:pPr>
        <w:spacing w:line="360" w:lineRule="auto"/>
        <w:rPr>
          <w:kern w:val="0"/>
          <w:highlight w:val="none"/>
          <w:lang w:val="zh-CN"/>
        </w:rPr>
      </w:pPr>
      <w:r>
        <w:rPr>
          <w:rFonts w:hint="eastAsia"/>
          <w:highlight w:val="none"/>
        </w:rPr>
        <w:t xml:space="preserve">                                                                                     </w:t>
      </w:r>
    </w:p>
    <w:p w14:paraId="4BF79345">
      <w:pPr>
        <w:spacing w:line="360" w:lineRule="auto"/>
        <w:rPr>
          <w:highlight w:val="none"/>
          <w:lang w:val="zh-CN"/>
        </w:rPr>
      </w:pPr>
      <w:r>
        <w:rPr>
          <w:rFonts w:hint="eastAsia"/>
          <w:highlight w:val="none"/>
          <w:lang w:val="zh-CN"/>
        </w:rPr>
        <w:t>七、争议解决的办法</w:t>
      </w:r>
    </w:p>
    <w:p w14:paraId="73D993C8">
      <w:pPr>
        <w:spacing w:line="360" w:lineRule="auto"/>
        <w:rPr>
          <w:kern w:val="0"/>
          <w:highlight w:val="none"/>
          <w:lang w:val="zh-CN"/>
        </w:rPr>
      </w:pPr>
      <w:r>
        <w:rPr>
          <w:rFonts w:hint="eastAsia"/>
          <w:highlight w:val="none"/>
        </w:rPr>
        <w:t xml:space="preserve">                                                                                  </w:t>
      </w:r>
    </w:p>
    <w:p w14:paraId="7D076387">
      <w:pPr>
        <w:spacing w:line="360" w:lineRule="auto"/>
        <w:rPr>
          <w:highlight w:val="none"/>
          <w:lang w:val="zh-CN"/>
        </w:rPr>
      </w:pPr>
      <w:r>
        <w:rPr>
          <w:rFonts w:hint="eastAsia"/>
          <w:highlight w:val="none"/>
          <w:lang w:val="zh-CN"/>
        </w:rPr>
        <w:t xml:space="preserve">                                          投标人名称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1F822642">
      <w:pPr>
        <w:spacing w:line="360" w:lineRule="auto"/>
        <w:rPr>
          <w:highlight w:val="none"/>
          <w:lang w:val="zh-CN"/>
        </w:rPr>
      </w:pPr>
      <w:r>
        <w:rPr>
          <w:rFonts w:hint="eastAsia"/>
          <w:highlight w:val="none"/>
          <w:lang w:val="zh-CN"/>
        </w:rPr>
        <w:t>分包供应商名称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5F028153">
      <w:pPr>
        <w:spacing w:line="360" w:lineRule="auto"/>
        <w:rPr>
          <w:highlight w:val="none"/>
        </w:rPr>
      </w:pPr>
      <w:r>
        <w:rPr>
          <w:rFonts w:hint="eastAsia"/>
          <w:highlight w:val="none"/>
          <w:lang w:val="zh-CN"/>
        </w:rPr>
        <w:t>……</w:t>
      </w:r>
    </w:p>
    <w:p w14:paraId="7E2834B3">
      <w:pPr>
        <w:spacing w:line="360" w:lineRule="auto"/>
        <w:rPr>
          <w:highlight w:val="none"/>
          <w:lang w:val="zh-CN"/>
        </w:rPr>
      </w:pPr>
      <w:r>
        <w:rPr>
          <w:rFonts w:hint="eastAsia"/>
          <w:highlight w:val="none"/>
          <w:lang w:val="zh-CN"/>
        </w:rPr>
        <w:t xml:space="preserve">                                        日期：  年  月   日</w:t>
      </w:r>
    </w:p>
    <w:p w14:paraId="677AB847">
      <w:pPr>
        <w:spacing w:line="360" w:lineRule="auto"/>
        <w:rPr>
          <w:highlight w:val="none"/>
        </w:rPr>
      </w:pPr>
      <w:r>
        <w:rPr>
          <w:rFonts w:hint="eastAsia"/>
          <w:highlight w:val="none"/>
        </w:rPr>
        <w:t>注：按本格式和要求提供。</w:t>
      </w:r>
    </w:p>
    <w:p w14:paraId="69FC625E">
      <w:pPr>
        <w:spacing w:line="360" w:lineRule="auto"/>
        <w:rPr>
          <w:highlight w:val="none"/>
        </w:rPr>
      </w:pPr>
    </w:p>
    <w:p w14:paraId="1256A38B">
      <w:pPr>
        <w:spacing w:line="360" w:lineRule="auto"/>
        <w:rPr>
          <w:highlight w:val="none"/>
        </w:rPr>
      </w:pPr>
    </w:p>
    <w:p w14:paraId="20CCB47C">
      <w:pPr>
        <w:spacing w:line="360" w:lineRule="auto"/>
        <w:rPr>
          <w:highlight w:val="none"/>
        </w:rPr>
      </w:pPr>
    </w:p>
    <w:p w14:paraId="6834BA3B">
      <w:pPr>
        <w:spacing w:line="360" w:lineRule="auto"/>
        <w:rPr>
          <w:highlight w:val="none"/>
        </w:rPr>
      </w:pPr>
    </w:p>
    <w:bookmarkEnd w:id="378"/>
    <w:p w14:paraId="49D96AAF">
      <w:pPr>
        <w:spacing w:line="360" w:lineRule="auto"/>
        <w:rPr>
          <w:highlight w:val="none"/>
        </w:rPr>
      </w:pPr>
      <w:r>
        <w:rPr>
          <w:highlight w:val="none"/>
        </w:rPr>
        <w:br w:type="page"/>
      </w:r>
    </w:p>
    <w:p w14:paraId="34DEA214">
      <w:pPr>
        <w:pStyle w:val="3"/>
        <w:spacing w:line="360" w:lineRule="auto"/>
        <w:rPr>
          <w:highlight w:val="none"/>
        </w:rPr>
      </w:pPr>
      <w:bookmarkStart w:id="384" w:name="_Toc155185932"/>
      <w:bookmarkStart w:id="385" w:name="_Toc163492926"/>
      <w:bookmarkStart w:id="386" w:name="_Toc229390303"/>
      <w:r>
        <w:rPr>
          <w:rFonts w:hint="eastAsia"/>
          <w:highlight w:val="none"/>
        </w:rPr>
        <w:t>四、</w:t>
      </w:r>
      <w:bookmarkEnd w:id="384"/>
      <w:bookmarkEnd w:id="385"/>
      <w:r>
        <w:rPr>
          <w:rFonts w:hint="eastAsia"/>
          <w:highlight w:val="none"/>
        </w:rPr>
        <w:t>落实政府采购政策相关证明文件</w:t>
      </w:r>
      <w:bookmarkEnd w:id="353"/>
      <w:bookmarkEnd w:id="386"/>
    </w:p>
    <w:p w14:paraId="5BFC9F52">
      <w:pPr>
        <w:pStyle w:val="4"/>
        <w:spacing w:line="360" w:lineRule="auto"/>
        <w:rPr>
          <w:highlight w:val="none"/>
        </w:rPr>
      </w:pPr>
      <w:bookmarkStart w:id="387" w:name="_Toc163492938"/>
      <w:r>
        <w:rPr>
          <w:rFonts w:hint="eastAsia"/>
          <w:highlight w:val="none"/>
        </w:rPr>
        <w:t>（一）节能环保产品清单及证明材料【如适用】</w:t>
      </w:r>
      <w:bookmarkEnd w:id="387"/>
    </w:p>
    <w:p w14:paraId="057906A0">
      <w:pPr>
        <w:spacing w:line="360" w:lineRule="auto"/>
        <w:rPr>
          <w:highlight w:val="none"/>
          <w:u w:val="single"/>
        </w:rPr>
      </w:pPr>
      <w:r>
        <w:rPr>
          <w:rFonts w:hint="eastAsia"/>
          <w:highlight w:val="none"/>
        </w:rPr>
        <w:t>项目名称：             项目编号/包号：</w:t>
      </w:r>
    </w:p>
    <w:p w14:paraId="0EFFE8F1">
      <w:pPr>
        <w:spacing w:line="360" w:lineRule="auto"/>
        <w:rPr>
          <w:highlight w:val="none"/>
        </w:rPr>
      </w:pPr>
      <w:r>
        <w:rPr>
          <w:rFonts w:hint="eastAsia"/>
          <w:highlight w:val="none"/>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216B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A981D9A">
            <w:pPr>
              <w:pStyle w:val="50"/>
              <w:spacing w:line="360" w:lineRule="auto"/>
              <w:jc w:val="center"/>
              <w:rPr>
                <w:sz w:val="21"/>
                <w:szCs w:val="21"/>
                <w:highlight w:val="none"/>
              </w:rPr>
            </w:pPr>
            <w:r>
              <w:rPr>
                <w:rFonts w:hint="eastAsia"/>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8B44B54">
            <w:pPr>
              <w:pStyle w:val="50"/>
              <w:spacing w:line="360" w:lineRule="auto"/>
              <w:jc w:val="center"/>
              <w:rPr>
                <w:sz w:val="21"/>
                <w:szCs w:val="21"/>
                <w:highlight w:val="none"/>
              </w:rPr>
            </w:pPr>
            <w:r>
              <w:rPr>
                <w:rFonts w:hint="eastAsia"/>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07BA99B4">
            <w:pPr>
              <w:pStyle w:val="50"/>
              <w:spacing w:line="360" w:lineRule="auto"/>
              <w:jc w:val="center"/>
              <w:rPr>
                <w:sz w:val="21"/>
                <w:szCs w:val="21"/>
                <w:highlight w:val="none"/>
              </w:rPr>
            </w:pPr>
            <w:r>
              <w:rPr>
                <w:rFonts w:hint="eastAsia"/>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1CA74D1C">
            <w:pPr>
              <w:pStyle w:val="50"/>
              <w:spacing w:line="360" w:lineRule="auto"/>
              <w:jc w:val="center"/>
              <w:rPr>
                <w:sz w:val="21"/>
                <w:szCs w:val="21"/>
                <w:highlight w:val="none"/>
              </w:rPr>
            </w:pPr>
            <w:r>
              <w:rPr>
                <w:rFonts w:hint="eastAsia"/>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5945DFEC">
            <w:pPr>
              <w:pStyle w:val="50"/>
              <w:spacing w:line="360" w:lineRule="auto"/>
              <w:jc w:val="center"/>
              <w:rPr>
                <w:sz w:val="21"/>
                <w:szCs w:val="21"/>
                <w:highlight w:val="none"/>
              </w:rPr>
            </w:pPr>
            <w:r>
              <w:rPr>
                <w:rFonts w:hint="eastAsia"/>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68AC35C7">
            <w:pPr>
              <w:pStyle w:val="50"/>
              <w:spacing w:line="360" w:lineRule="auto"/>
              <w:jc w:val="center"/>
              <w:rPr>
                <w:sz w:val="21"/>
                <w:szCs w:val="21"/>
                <w:highlight w:val="none"/>
              </w:rPr>
            </w:pPr>
            <w:r>
              <w:rPr>
                <w:rFonts w:hint="eastAsia"/>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3197F35A">
            <w:pPr>
              <w:pStyle w:val="50"/>
              <w:spacing w:line="360" w:lineRule="auto"/>
              <w:jc w:val="center"/>
              <w:rPr>
                <w:sz w:val="21"/>
                <w:szCs w:val="21"/>
                <w:highlight w:val="none"/>
              </w:rPr>
            </w:pPr>
            <w:r>
              <w:rPr>
                <w:rFonts w:hint="eastAsia"/>
                <w:sz w:val="21"/>
                <w:szCs w:val="21"/>
                <w:highlight w:val="none"/>
              </w:rPr>
              <w:t>单价</w:t>
            </w:r>
          </w:p>
          <w:p w14:paraId="2D5F984A">
            <w:pPr>
              <w:pStyle w:val="50"/>
              <w:spacing w:line="360" w:lineRule="auto"/>
              <w:jc w:val="center"/>
              <w:rPr>
                <w:sz w:val="21"/>
                <w:szCs w:val="21"/>
                <w:highlight w:val="none"/>
              </w:rPr>
            </w:pPr>
            <w:r>
              <w:rPr>
                <w:rFonts w:hint="eastAsia"/>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47622B7E">
            <w:pPr>
              <w:pStyle w:val="50"/>
              <w:spacing w:line="360" w:lineRule="auto"/>
              <w:jc w:val="center"/>
              <w:rPr>
                <w:sz w:val="21"/>
                <w:szCs w:val="21"/>
                <w:highlight w:val="none"/>
              </w:rPr>
            </w:pPr>
            <w:r>
              <w:rPr>
                <w:rFonts w:hint="eastAsia"/>
                <w:sz w:val="21"/>
                <w:szCs w:val="21"/>
                <w:highlight w:val="none"/>
              </w:rPr>
              <w:t>总价</w:t>
            </w:r>
          </w:p>
          <w:p w14:paraId="1C2B6E19">
            <w:pPr>
              <w:pStyle w:val="50"/>
              <w:spacing w:line="360" w:lineRule="auto"/>
              <w:jc w:val="center"/>
              <w:rPr>
                <w:sz w:val="21"/>
                <w:szCs w:val="21"/>
                <w:highlight w:val="none"/>
              </w:rPr>
            </w:pPr>
            <w:r>
              <w:rPr>
                <w:rFonts w:hint="eastAsia"/>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492B6915">
            <w:pPr>
              <w:pStyle w:val="50"/>
              <w:spacing w:line="360" w:lineRule="auto"/>
              <w:jc w:val="center"/>
              <w:rPr>
                <w:sz w:val="21"/>
                <w:szCs w:val="21"/>
                <w:highlight w:val="none"/>
              </w:rPr>
            </w:pPr>
            <w:r>
              <w:rPr>
                <w:rFonts w:hint="eastAsia"/>
                <w:sz w:val="21"/>
                <w:szCs w:val="21"/>
                <w:highlight w:val="none"/>
              </w:rPr>
              <w:t>属强制采购或优先采购</w:t>
            </w:r>
          </w:p>
        </w:tc>
      </w:tr>
      <w:tr w14:paraId="2904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6B91D63">
            <w:pPr>
              <w:pStyle w:val="50"/>
              <w:numPr>
                <w:ilvl w:val="0"/>
                <w:numId w:val="5"/>
              </w:numPr>
              <w:spacing w:line="360" w:lineRule="auto"/>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26A92FD0">
            <w:pPr>
              <w:pStyle w:val="50"/>
              <w:spacing w:line="360" w:lineRule="auto"/>
              <w:jc w:val="center"/>
              <w:rPr>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439C1807">
            <w:pPr>
              <w:pStyle w:val="50"/>
              <w:spacing w:line="360" w:lineRule="auto"/>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65299BC">
            <w:pPr>
              <w:pStyle w:val="50"/>
              <w:spacing w:line="360" w:lineRule="auto"/>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39E0AF4B">
            <w:pPr>
              <w:pStyle w:val="50"/>
              <w:spacing w:line="360" w:lineRule="auto"/>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7BB19C98">
            <w:pPr>
              <w:pStyle w:val="50"/>
              <w:spacing w:line="360" w:lineRule="auto"/>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7D176F1">
            <w:pPr>
              <w:pStyle w:val="50"/>
              <w:spacing w:line="360" w:lineRule="auto"/>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9CCE1FA">
            <w:pPr>
              <w:pStyle w:val="50"/>
              <w:spacing w:line="360" w:lineRule="auto"/>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74061945">
            <w:pPr>
              <w:pStyle w:val="50"/>
              <w:spacing w:line="360" w:lineRule="auto"/>
              <w:jc w:val="center"/>
              <w:rPr>
                <w:sz w:val="21"/>
                <w:szCs w:val="21"/>
                <w:highlight w:val="none"/>
              </w:rPr>
            </w:pPr>
          </w:p>
        </w:tc>
      </w:tr>
      <w:tr w14:paraId="5CAA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96428B2">
            <w:pPr>
              <w:pStyle w:val="50"/>
              <w:numPr>
                <w:ilvl w:val="0"/>
                <w:numId w:val="5"/>
              </w:numPr>
              <w:spacing w:line="360" w:lineRule="auto"/>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279F734">
            <w:pPr>
              <w:pStyle w:val="50"/>
              <w:spacing w:line="360" w:lineRule="auto"/>
              <w:jc w:val="center"/>
              <w:rPr>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1C0D44C2">
            <w:pPr>
              <w:pStyle w:val="50"/>
              <w:spacing w:line="360" w:lineRule="auto"/>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413892A">
            <w:pPr>
              <w:pStyle w:val="50"/>
              <w:spacing w:line="360" w:lineRule="auto"/>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3C81F410">
            <w:pPr>
              <w:pStyle w:val="50"/>
              <w:spacing w:line="360" w:lineRule="auto"/>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07CE18D">
            <w:pPr>
              <w:pStyle w:val="50"/>
              <w:spacing w:line="360" w:lineRule="auto"/>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1E5D2F6">
            <w:pPr>
              <w:pStyle w:val="50"/>
              <w:spacing w:line="360" w:lineRule="auto"/>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8DB010E">
            <w:pPr>
              <w:pStyle w:val="50"/>
              <w:spacing w:line="360" w:lineRule="auto"/>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64C4602F">
            <w:pPr>
              <w:pStyle w:val="50"/>
              <w:spacing w:line="360" w:lineRule="auto"/>
              <w:jc w:val="center"/>
              <w:rPr>
                <w:sz w:val="21"/>
                <w:szCs w:val="21"/>
                <w:highlight w:val="none"/>
              </w:rPr>
            </w:pPr>
          </w:p>
        </w:tc>
      </w:tr>
      <w:tr w14:paraId="1564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F7C093B">
            <w:pPr>
              <w:pStyle w:val="50"/>
              <w:numPr>
                <w:ilvl w:val="0"/>
                <w:numId w:val="5"/>
              </w:numPr>
              <w:spacing w:line="360" w:lineRule="auto"/>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747AEF3A">
            <w:pPr>
              <w:pStyle w:val="50"/>
              <w:spacing w:line="360" w:lineRule="auto"/>
              <w:jc w:val="center"/>
              <w:rPr>
                <w:sz w:val="21"/>
                <w:szCs w:val="21"/>
                <w:highlight w:val="none"/>
              </w:rPr>
            </w:pPr>
            <w:r>
              <w:rPr>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2B387942">
            <w:pPr>
              <w:pStyle w:val="50"/>
              <w:spacing w:line="360" w:lineRule="auto"/>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090B61D">
            <w:pPr>
              <w:pStyle w:val="50"/>
              <w:spacing w:line="360" w:lineRule="auto"/>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3AA747E8">
            <w:pPr>
              <w:pStyle w:val="50"/>
              <w:spacing w:line="360" w:lineRule="auto"/>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E7E7329">
            <w:pPr>
              <w:pStyle w:val="50"/>
              <w:spacing w:line="360" w:lineRule="auto"/>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414CA9B">
            <w:pPr>
              <w:pStyle w:val="50"/>
              <w:spacing w:line="360" w:lineRule="auto"/>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CAD668F">
            <w:pPr>
              <w:pStyle w:val="50"/>
              <w:spacing w:line="360" w:lineRule="auto"/>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3447C61">
            <w:pPr>
              <w:pStyle w:val="50"/>
              <w:spacing w:line="360" w:lineRule="auto"/>
              <w:jc w:val="center"/>
              <w:rPr>
                <w:sz w:val="21"/>
                <w:szCs w:val="21"/>
                <w:highlight w:val="none"/>
              </w:rPr>
            </w:pPr>
          </w:p>
        </w:tc>
      </w:tr>
    </w:tbl>
    <w:p w14:paraId="4534CFE9">
      <w:pPr>
        <w:spacing w:line="360" w:lineRule="auto"/>
        <w:rPr>
          <w:highlight w:val="none"/>
        </w:rPr>
      </w:pPr>
    </w:p>
    <w:p w14:paraId="1618E4C1">
      <w:pPr>
        <w:spacing w:line="360" w:lineRule="auto"/>
        <w:rPr>
          <w:highlight w:val="none"/>
        </w:rPr>
      </w:pPr>
      <w:r>
        <w:rPr>
          <w:rFonts w:hint="eastAsia"/>
          <w:highlight w:val="none"/>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0764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40C820D">
            <w:pPr>
              <w:pStyle w:val="50"/>
              <w:spacing w:line="360" w:lineRule="auto"/>
              <w:jc w:val="center"/>
              <w:rPr>
                <w:sz w:val="21"/>
                <w:szCs w:val="21"/>
                <w:highlight w:val="none"/>
              </w:rPr>
            </w:pPr>
            <w:r>
              <w:rPr>
                <w:rFonts w:hint="eastAsia"/>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7EE60090">
            <w:pPr>
              <w:pStyle w:val="50"/>
              <w:spacing w:line="360" w:lineRule="auto"/>
              <w:jc w:val="center"/>
              <w:rPr>
                <w:sz w:val="21"/>
                <w:szCs w:val="21"/>
                <w:highlight w:val="none"/>
              </w:rPr>
            </w:pPr>
            <w:r>
              <w:rPr>
                <w:rFonts w:hint="eastAsia"/>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58B09E54">
            <w:pPr>
              <w:pStyle w:val="50"/>
              <w:spacing w:line="360" w:lineRule="auto"/>
              <w:jc w:val="center"/>
              <w:rPr>
                <w:sz w:val="21"/>
                <w:szCs w:val="21"/>
                <w:highlight w:val="none"/>
              </w:rPr>
            </w:pPr>
            <w:r>
              <w:rPr>
                <w:rFonts w:hint="eastAsia"/>
                <w:sz w:val="21"/>
                <w:szCs w:val="21"/>
                <w:highlight w:val="none"/>
              </w:rPr>
              <w:t>制造商</w:t>
            </w:r>
          </w:p>
          <w:p w14:paraId="0AB6ECD6">
            <w:pPr>
              <w:pStyle w:val="50"/>
              <w:spacing w:line="360" w:lineRule="auto"/>
              <w:jc w:val="center"/>
              <w:rPr>
                <w:sz w:val="21"/>
                <w:szCs w:val="21"/>
                <w:highlight w:val="none"/>
              </w:rPr>
            </w:pPr>
            <w:r>
              <w:rPr>
                <w:rFonts w:hint="eastAsia"/>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26A88BEF">
            <w:pPr>
              <w:pStyle w:val="50"/>
              <w:spacing w:line="360" w:lineRule="auto"/>
              <w:jc w:val="center"/>
              <w:rPr>
                <w:sz w:val="21"/>
                <w:szCs w:val="21"/>
                <w:highlight w:val="none"/>
              </w:rPr>
            </w:pPr>
            <w:r>
              <w:rPr>
                <w:rFonts w:hint="eastAsia"/>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2B0D2086">
            <w:pPr>
              <w:pStyle w:val="50"/>
              <w:spacing w:line="360" w:lineRule="auto"/>
              <w:jc w:val="center"/>
              <w:rPr>
                <w:sz w:val="21"/>
                <w:szCs w:val="21"/>
                <w:highlight w:val="none"/>
              </w:rPr>
            </w:pPr>
            <w:r>
              <w:rPr>
                <w:rFonts w:hint="eastAsia"/>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1A58035">
            <w:pPr>
              <w:pStyle w:val="50"/>
              <w:spacing w:line="360" w:lineRule="auto"/>
              <w:jc w:val="center"/>
              <w:rPr>
                <w:sz w:val="21"/>
                <w:szCs w:val="21"/>
                <w:highlight w:val="none"/>
              </w:rPr>
            </w:pPr>
            <w:r>
              <w:rPr>
                <w:rFonts w:hint="eastAsia"/>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35344EB1">
            <w:pPr>
              <w:pStyle w:val="50"/>
              <w:spacing w:line="360" w:lineRule="auto"/>
              <w:jc w:val="center"/>
              <w:rPr>
                <w:sz w:val="21"/>
                <w:szCs w:val="21"/>
                <w:highlight w:val="none"/>
              </w:rPr>
            </w:pPr>
            <w:r>
              <w:rPr>
                <w:rFonts w:hint="eastAsia"/>
                <w:sz w:val="21"/>
                <w:szCs w:val="21"/>
                <w:highlight w:val="none"/>
              </w:rPr>
              <w:t>单价</w:t>
            </w:r>
          </w:p>
          <w:p w14:paraId="32BBA32F">
            <w:pPr>
              <w:pStyle w:val="50"/>
              <w:spacing w:line="360" w:lineRule="auto"/>
              <w:jc w:val="center"/>
              <w:rPr>
                <w:sz w:val="21"/>
                <w:szCs w:val="21"/>
                <w:highlight w:val="none"/>
              </w:rPr>
            </w:pPr>
            <w:r>
              <w:rPr>
                <w:rFonts w:hint="eastAsia"/>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63701578">
            <w:pPr>
              <w:pStyle w:val="50"/>
              <w:spacing w:line="360" w:lineRule="auto"/>
              <w:jc w:val="center"/>
              <w:rPr>
                <w:sz w:val="21"/>
                <w:szCs w:val="21"/>
                <w:highlight w:val="none"/>
              </w:rPr>
            </w:pPr>
            <w:r>
              <w:rPr>
                <w:rFonts w:hint="eastAsia"/>
                <w:sz w:val="21"/>
                <w:szCs w:val="21"/>
                <w:highlight w:val="none"/>
              </w:rPr>
              <w:t>总价</w:t>
            </w:r>
          </w:p>
          <w:p w14:paraId="5DF47CCD">
            <w:pPr>
              <w:pStyle w:val="50"/>
              <w:spacing w:line="360" w:lineRule="auto"/>
              <w:jc w:val="center"/>
              <w:rPr>
                <w:sz w:val="21"/>
                <w:szCs w:val="21"/>
                <w:highlight w:val="none"/>
              </w:rPr>
            </w:pPr>
            <w:r>
              <w:rPr>
                <w:rFonts w:hint="eastAsia"/>
                <w:sz w:val="21"/>
                <w:szCs w:val="21"/>
                <w:highlight w:val="none"/>
              </w:rPr>
              <w:t>（万元）</w:t>
            </w:r>
          </w:p>
        </w:tc>
      </w:tr>
      <w:tr w14:paraId="2147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B67A5BC">
            <w:pPr>
              <w:pStyle w:val="50"/>
              <w:numPr>
                <w:ilvl w:val="0"/>
                <w:numId w:val="6"/>
              </w:numPr>
              <w:spacing w:line="360" w:lineRule="auto"/>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24DE502">
            <w:pPr>
              <w:pStyle w:val="50"/>
              <w:spacing w:line="360" w:lineRule="auto"/>
              <w:jc w:val="center"/>
              <w:rPr>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1572AAF">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80D54D1">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27B9637">
            <w:pPr>
              <w:pStyle w:val="50"/>
              <w:spacing w:line="360" w:lineRule="auto"/>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6A3E8FF9">
            <w:pPr>
              <w:pStyle w:val="50"/>
              <w:spacing w:line="360" w:lineRule="auto"/>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7D26350B">
            <w:pPr>
              <w:pStyle w:val="50"/>
              <w:spacing w:line="360" w:lineRule="auto"/>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DCDF549">
            <w:pPr>
              <w:pStyle w:val="50"/>
              <w:spacing w:line="360" w:lineRule="auto"/>
              <w:jc w:val="center"/>
              <w:rPr>
                <w:sz w:val="21"/>
                <w:szCs w:val="21"/>
                <w:highlight w:val="none"/>
              </w:rPr>
            </w:pPr>
          </w:p>
        </w:tc>
      </w:tr>
      <w:tr w14:paraId="3FAC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9F55E3B">
            <w:pPr>
              <w:pStyle w:val="50"/>
              <w:numPr>
                <w:ilvl w:val="0"/>
                <w:numId w:val="6"/>
              </w:numPr>
              <w:spacing w:line="360" w:lineRule="auto"/>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352CE79C">
            <w:pPr>
              <w:pStyle w:val="50"/>
              <w:spacing w:line="360" w:lineRule="auto"/>
              <w:jc w:val="center"/>
              <w:rPr>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6BE0DE9">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4286D01">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DEA6C2B">
            <w:pPr>
              <w:pStyle w:val="50"/>
              <w:spacing w:line="360" w:lineRule="auto"/>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5449F49">
            <w:pPr>
              <w:pStyle w:val="50"/>
              <w:spacing w:line="360" w:lineRule="auto"/>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49FA27D">
            <w:pPr>
              <w:pStyle w:val="50"/>
              <w:spacing w:line="360" w:lineRule="auto"/>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B296FA0">
            <w:pPr>
              <w:pStyle w:val="50"/>
              <w:spacing w:line="360" w:lineRule="auto"/>
              <w:jc w:val="center"/>
              <w:rPr>
                <w:sz w:val="21"/>
                <w:szCs w:val="21"/>
                <w:highlight w:val="none"/>
              </w:rPr>
            </w:pPr>
          </w:p>
        </w:tc>
      </w:tr>
      <w:tr w14:paraId="073C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489F3794">
            <w:pPr>
              <w:pStyle w:val="50"/>
              <w:numPr>
                <w:ilvl w:val="0"/>
                <w:numId w:val="6"/>
              </w:numPr>
              <w:spacing w:line="360" w:lineRule="auto"/>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F23F8DE">
            <w:pPr>
              <w:pStyle w:val="50"/>
              <w:spacing w:line="360" w:lineRule="auto"/>
              <w:jc w:val="center"/>
              <w:rPr>
                <w:sz w:val="21"/>
                <w:szCs w:val="21"/>
                <w:highlight w:val="none"/>
              </w:rPr>
            </w:pPr>
            <w:r>
              <w:rPr>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420F16CB">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7EA41C9">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0EAA644">
            <w:pPr>
              <w:pStyle w:val="50"/>
              <w:spacing w:line="360" w:lineRule="auto"/>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4F96E45">
            <w:pPr>
              <w:pStyle w:val="50"/>
              <w:spacing w:line="360" w:lineRule="auto"/>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00838AB">
            <w:pPr>
              <w:pStyle w:val="50"/>
              <w:spacing w:line="360" w:lineRule="auto"/>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5672A54D">
            <w:pPr>
              <w:pStyle w:val="50"/>
              <w:spacing w:line="360" w:lineRule="auto"/>
              <w:jc w:val="center"/>
              <w:rPr>
                <w:sz w:val="21"/>
                <w:szCs w:val="21"/>
                <w:highlight w:val="none"/>
              </w:rPr>
            </w:pPr>
          </w:p>
        </w:tc>
      </w:tr>
    </w:tbl>
    <w:p w14:paraId="33998BD3">
      <w:pPr>
        <w:spacing w:line="360" w:lineRule="auto"/>
        <w:rPr>
          <w:highlight w:val="none"/>
        </w:rPr>
      </w:pPr>
    </w:p>
    <w:p w14:paraId="2495F505">
      <w:pPr>
        <w:spacing w:line="360" w:lineRule="auto"/>
        <w:rPr>
          <w:highlight w:val="none"/>
        </w:rPr>
      </w:pPr>
      <w:r>
        <w:rPr>
          <w:rFonts w:hint="eastAsia"/>
          <w:highlight w:val="none"/>
        </w:rPr>
        <w:t>特别说明：投标人应将所投产品中节能、环保产品分别列入上表中，并按本招标文件“第二章投标人须知”提供相关证明材料，未填写本表或未提供有效认证证书</w:t>
      </w:r>
      <w:r>
        <w:rPr>
          <w:highlight w:val="none"/>
        </w:rPr>
        <w:t>的</w:t>
      </w:r>
      <w:r>
        <w:rPr>
          <w:rFonts w:hint="eastAsia"/>
          <w:highlight w:val="none"/>
        </w:rPr>
        <w:t>不给予评审优惠。</w:t>
      </w:r>
    </w:p>
    <w:p w14:paraId="27E592B7">
      <w:pPr>
        <w:spacing w:line="360" w:lineRule="auto"/>
        <w:rPr>
          <w:highlight w:val="none"/>
        </w:rPr>
      </w:pPr>
    </w:p>
    <w:p w14:paraId="2D3A3E6A">
      <w:pPr>
        <w:spacing w:line="360" w:lineRule="auto"/>
        <w:rPr>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2E792A5F">
      <w:pPr>
        <w:spacing w:line="360" w:lineRule="auto"/>
        <w:rPr>
          <w:highlight w:val="none"/>
        </w:rPr>
      </w:pPr>
      <w:r>
        <w:rPr>
          <w:highlight w:val="none"/>
        </w:rPr>
        <w:t>日期：</w:t>
      </w:r>
    </w:p>
    <w:p w14:paraId="795B4B63">
      <w:pPr>
        <w:spacing w:line="360" w:lineRule="auto"/>
        <w:rPr>
          <w:highlight w:val="none"/>
        </w:rPr>
      </w:pPr>
      <w:r>
        <w:rPr>
          <w:highlight w:val="none"/>
        </w:rPr>
        <w:br w:type="page"/>
      </w:r>
    </w:p>
    <w:p w14:paraId="3E67FCBE">
      <w:pPr>
        <w:pStyle w:val="4"/>
        <w:spacing w:line="360" w:lineRule="auto"/>
        <w:rPr>
          <w:highlight w:val="none"/>
        </w:rPr>
      </w:pPr>
      <w:bookmarkStart w:id="388" w:name="_Toc163492939"/>
      <w:r>
        <w:rPr>
          <w:rFonts w:hint="eastAsia"/>
          <w:highlight w:val="none"/>
        </w:rPr>
        <w:t>（二）中小企业声明函【如专门面向中小企业采购的项目，此函可放于此处，否则，应后置于“其他资格证明文件”】</w:t>
      </w:r>
      <w:bookmarkEnd w:id="388"/>
    </w:p>
    <w:p w14:paraId="3657CE87">
      <w:pPr>
        <w:spacing w:line="360" w:lineRule="auto"/>
        <w:ind w:left="420" w:hanging="420"/>
        <w:jc w:val="center"/>
        <w:rPr>
          <w:sz w:val="32"/>
          <w:highlight w:val="none"/>
        </w:rPr>
      </w:pPr>
      <w:r>
        <w:rPr>
          <w:rFonts w:hint="eastAsia"/>
          <w:sz w:val="32"/>
          <w:highlight w:val="none"/>
        </w:rPr>
        <w:t>中小企业声明函</w:t>
      </w:r>
    </w:p>
    <w:p w14:paraId="619AF226">
      <w:pPr>
        <w:spacing w:line="360" w:lineRule="auto"/>
        <w:ind w:firstLine="480" w:firstLineChars="200"/>
        <w:rPr>
          <w:highlight w:val="none"/>
        </w:rPr>
      </w:pPr>
      <w:r>
        <w:rPr>
          <w:rFonts w:hint="eastAsia"/>
          <w:highlight w:val="none"/>
        </w:rPr>
        <w:t>本公司（联合体）郑重声明，根据《政府采购促进中小企业发展管理办法》（财库﹝2020﹞46 号）的规定，本公司（联合体）参加</w:t>
      </w:r>
      <w:r>
        <w:rPr>
          <w:rFonts w:hint="eastAsia"/>
          <w:highlight w:val="none"/>
          <w:u w:val="single"/>
        </w:rPr>
        <w:t xml:space="preserve"> （单位名称）</w:t>
      </w:r>
      <w:r>
        <w:rPr>
          <w:rFonts w:hint="eastAsia"/>
          <w:highlight w:val="none"/>
        </w:rPr>
        <w:t xml:space="preserve"> 的</w:t>
      </w:r>
      <w:r>
        <w:rPr>
          <w:rFonts w:hint="eastAsia"/>
          <w:highlight w:val="none"/>
          <w:u w:val="single"/>
        </w:rPr>
        <w:t xml:space="preserve"> （项目名称） </w:t>
      </w:r>
      <w:r>
        <w:rPr>
          <w:rFonts w:hint="eastAsia"/>
          <w:highlight w:val="none"/>
        </w:rPr>
        <w:t>采购活动，提供的货物全部由符合政策要求的中小企业制造。相关企业（含联合体中的中小企业、签订分包意向协议的中小企业）的具体情况如下：</w:t>
      </w:r>
    </w:p>
    <w:p w14:paraId="1048853B">
      <w:pPr>
        <w:spacing w:line="360" w:lineRule="auto"/>
        <w:rPr>
          <w:highlight w:val="none"/>
        </w:rPr>
      </w:pPr>
      <w:r>
        <w:rPr>
          <w:rFonts w:hint="eastAsia"/>
          <w:highlight w:val="none"/>
        </w:rPr>
        <w:t xml:space="preserve">1. </w:t>
      </w:r>
      <w:r>
        <w:rPr>
          <w:rFonts w:hint="eastAsia"/>
          <w:highlight w:val="none"/>
          <w:u w:val="single"/>
        </w:rPr>
        <w:t xml:space="preserve">（标的名称） </w:t>
      </w:r>
      <w:r>
        <w:rPr>
          <w:rFonts w:hint="eastAsia"/>
          <w:highlight w:val="none"/>
        </w:rPr>
        <w:t xml:space="preserve">，属于 </w:t>
      </w:r>
      <w:r>
        <w:rPr>
          <w:rFonts w:hint="eastAsia"/>
          <w:highlight w:val="none"/>
          <w:u w:val="single"/>
        </w:rPr>
        <w:t>（采购文件中明确的所属行业）</w:t>
      </w:r>
      <w:r>
        <w:rPr>
          <w:rFonts w:hint="eastAsia"/>
          <w:highlight w:val="none"/>
        </w:rPr>
        <w:t xml:space="preserve">行业 ；制造商为 </w:t>
      </w:r>
      <w:r>
        <w:rPr>
          <w:rFonts w:hint="eastAsia"/>
          <w:highlight w:val="none"/>
          <w:u w:val="single"/>
        </w:rPr>
        <w:t>（企业名称）</w:t>
      </w:r>
      <w:r>
        <w:rPr>
          <w:rFonts w:hint="eastAsia"/>
          <w:highlight w:val="none"/>
        </w:rPr>
        <w:t xml:space="preserve"> ，从业人员 </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 xml:space="preserve">万元，属于 </w:t>
      </w:r>
      <w:r>
        <w:rPr>
          <w:rFonts w:hint="eastAsia"/>
          <w:highlight w:val="none"/>
          <w:u w:val="single"/>
        </w:rPr>
        <w:t>（中型企业、小型企业、微型企业）</w:t>
      </w:r>
      <w:r>
        <w:rPr>
          <w:rFonts w:hint="eastAsia"/>
          <w:highlight w:val="none"/>
        </w:rPr>
        <w:t>；</w:t>
      </w:r>
    </w:p>
    <w:p w14:paraId="492BF1B7">
      <w:pPr>
        <w:spacing w:line="360" w:lineRule="auto"/>
        <w:rPr>
          <w:highlight w:val="none"/>
        </w:rPr>
      </w:pPr>
      <w:r>
        <w:rPr>
          <w:rFonts w:hint="eastAsia"/>
          <w:highlight w:val="none"/>
        </w:rPr>
        <w:t xml:space="preserve">2. </w:t>
      </w:r>
      <w:r>
        <w:rPr>
          <w:rFonts w:hint="eastAsia"/>
          <w:highlight w:val="none"/>
          <w:u w:val="single"/>
        </w:rPr>
        <w:t xml:space="preserve">（标的名称） </w:t>
      </w:r>
      <w:r>
        <w:rPr>
          <w:rFonts w:hint="eastAsia"/>
          <w:highlight w:val="none"/>
        </w:rPr>
        <w:t xml:space="preserve">，属于 </w:t>
      </w:r>
      <w:r>
        <w:rPr>
          <w:rFonts w:hint="eastAsia"/>
          <w:highlight w:val="none"/>
          <w:u w:val="single"/>
        </w:rPr>
        <w:t>（采购文件中明确的所属行业）</w:t>
      </w:r>
      <w:r>
        <w:rPr>
          <w:rFonts w:hint="eastAsia"/>
          <w:highlight w:val="none"/>
        </w:rPr>
        <w:t xml:space="preserve">行业 ；制造商为 </w:t>
      </w:r>
      <w:r>
        <w:rPr>
          <w:rFonts w:hint="eastAsia"/>
          <w:highlight w:val="none"/>
          <w:u w:val="single"/>
        </w:rPr>
        <w:t>（企业名称）</w:t>
      </w:r>
      <w:r>
        <w:rPr>
          <w:rFonts w:hint="eastAsia"/>
          <w:highlight w:val="none"/>
        </w:rPr>
        <w:t xml:space="preserve"> ，从业人员 </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 xml:space="preserve">万元，属于 </w:t>
      </w:r>
      <w:r>
        <w:rPr>
          <w:rFonts w:hint="eastAsia"/>
          <w:highlight w:val="none"/>
          <w:u w:val="single"/>
        </w:rPr>
        <w:t>（中型企业、小型企业、微型企业）</w:t>
      </w:r>
      <w:r>
        <w:rPr>
          <w:rFonts w:hint="eastAsia"/>
          <w:highlight w:val="none"/>
        </w:rPr>
        <w:t>；</w:t>
      </w:r>
    </w:p>
    <w:p w14:paraId="35E4C5AF">
      <w:pPr>
        <w:spacing w:line="360" w:lineRule="auto"/>
        <w:rPr>
          <w:highlight w:val="none"/>
        </w:rPr>
      </w:pPr>
      <w:r>
        <w:rPr>
          <w:rFonts w:hint="eastAsia"/>
          <w:highlight w:val="none"/>
        </w:rPr>
        <w:t>……</w:t>
      </w:r>
    </w:p>
    <w:p w14:paraId="24809A00">
      <w:pPr>
        <w:spacing w:line="360" w:lineRule="auto"/>
        <w:rPr>
          <w:highlight w:val="none"/>
        </w:rPr>
      </w:pPr>
      <w:r>
        <w:rPr>
          <w:rFonts w:hint="eastAsia"/>
          <w:highlight w:val="none"/>
        </w:rPr>
        <w:t>以上企业，不属于大企业的分支机构，不存在控股股东为大企业的情形，也不存在与大企业的负责人为同一人的情形。</w:t>
      </w:r>
    </w:p>
    <w:p w14:paraId="74A0BA27">
      <w:pPr>
        <w:spacing w:line="360" w:lineRule="auto"/>
        <w:rPr>
          <w:highlight w:val="none"/>
        </w:rPr>
      </w:pPr>
      <w:r>
        <w:rPr>
          <w:rFonts w:hint="eastAsia"/>
          <w:highlight w:val="none"/>
        </w:rPr>
        <w:t>本企业对上述声明内容的真实性负责。如有虚假，将依法承担相应责任。</w:t>
      </w:r>
    </w:p>
    <w:p w14:paraId="5512674C">
      <w:pPr>
        <w:spacing w:line="360" w:lineRule="auto"/>
        <w:rPr>
          <w:highlight w:val="none"/>
        </w:rPr>
      </w:pPr>
    </w:p>
    <w:p w14:paraId="3E11B5A3">
      <w:pPr>
        <w:spacing w:line="360" w:lineRule="auto"/>
        <w:rPr>
          <w:highlight w:val="none"/>
        </w:rPr>
      </w:pPr>
      <w:r>
        <w:rPr>
          <w:rFonts w:hint="eastAsia"/>
          <w:highlight w:val="none"/>
        </w:rPr>
        <w:t>投标人名称</w:t>
      </w:r>
      <w:r>
        <w:rPr>
          <w:rFonts w:hint="eastAsia" w:cs="仿宋_GB2312"/>
          <w:highlight w:val="none"/>
        </w:rPr>
        <w:t>（</w:t>
      </w:r>
      <w:r>
        <w:rPr>
          <w:rFonts w:hint="eastAsia"/>
          <w:kern w:val="0"/>
          <w:highlight w:val="none"/>
        </w:rPr>
        <w:t>公章）</w:t>
      </w:r>
      <w:r>
        <w:rPr>
          <w:rFonts w:hint="eastAsia"/>
          <w:highlight w:val="none"/>
        </w:rPr>
        <w:t>：</w:t>
      </w:r>
    </w:p>
    <w:p w14:paraId="4871FEB0">
      <w:pPr>
        <w:spacing w:line="360" w:lineRule="auto"/>
        <w:rPr>
          <w:highlight w:val="none"/>
        </w:rPr>
      </w:pPr>
      <w:r>
        <w:rPr>
          <w:rFonts w:hint="eastAsia"/>
          <w:highlight w:val="none"/>
        </w:rPr>
        <w:t>日期：   年  月  日</w:t>
      </w:r>
    </w:p>
    <w:p w14:paraId="584482EC">
      <w:pPr>
        <w:spacing w:line="360" w:lineRule="auto"/>
        <w:rPr>
          <w:highlight w:val="none"/>
        </w:rPr>
      </w:pPr>
    </w:p>
    <w:p w14:paraId="575F8188">
      <w:pPr>
        <w:spacing w:line="360" w:lineRule="auto"/>
        <w:rPr>
          <w:highlight w:val="none"/>
        </w:rPr>
      </w:pPr>
      <w:r>
        <w:rPr>
          <w:rFonts w:hint="eastAsia"/>
          <w:highlight w:val="none"/>
        </w:rPr>
        <w:t>说明：1.重要提示：供应商应仔细阅读本函附件1关于</w:t>
      </w:r>
      <w:r>
        <w:rPr>
          <w:rFonts w:hint="eastAsia"/>
          <w:spacing w:val="-6"/>
          <w:kern w:val="0"/>
          <w:highlight w:val="none"/>
          <w:lang w:bidi="ar"/>
        </w:rPr>
        <w:t>“</w:t>
      </w:r>
      <w:r>
        <w:rPr>
          <w:rFonts w:hint="eastAsia"/>
          <w:highlight w:val="none"/>
        </w:rPr>
        <w:t>中小企业声明函”的填写要求及提交要求，否则，因填写或提交等产生的一切不利后果，须自行承担。</w:t>
      </w:r>
    </w:p>
    <w:p w14:paraId="05F92A88">
      <w:pPr>
        <w:spacing w:line="360" w:lineRule="auto"/>
        <w:rPr>
          <w:highlight w:val="none"/>
        </w:rPr>
      </w:pPr>
      <w:r>
        <w:rPr>
          <w:rFonts w:hint="eastAsia"/>
          <w:b/>
          <w:bCs/>
          <w:highlight w:val="none"/>
        </w:rPr>
        <w:t>2.</w:t>
      </w:r>
      <w:r>
        <w:rPr>
          <w:rFonts w:hint="eastAsia"/>
          <w:highlight w:val="none"/>
        </w:rPr>
        <w:t>从业人员、营业收入、资产总额填报上一年度数据，无上一年度数据的新成立企业可不填报。</w:t>
      </w:r>
    </w:p>
    <w:p w14:paraId="42E15B01">
      <w:pPr>
        <w:spacing w:line="360" w:lineRule="auto"/>
        <w:rPr>
          <w:highlight w:val="none"/>
        </w:rPr>
      </w:pPr>
      <w:r>
        <w:rPr>
          <w:highlight w:val="none"/>
        </w:rPr>
        <w:br w:type="page"/>
      </w:r>
    </w:p>
    <w:p w14:paraId="5A6D06A9">
      <w:pPr>
        <w:spacing w:line="360" w:lineRule="auto"/>
        <w:rPr>
          <w:highlight w:val="none"/>
        </w:rPr>
      </w:pPr>
      <w:r>
        <w:rPr>
          <w:rFonts w:hint="eastAsia"/>
          <w:highlight w:val="none"/>
        </w:rPr>
        <w:t xml:space="preserve">附件1 </w:t>
      </w:r>
    </w:p>
    <w:p w14:paraId="23A55E4F">
      <w:pPr>
        <w:spacing w:line="360" w:lineRule="auto"/>
        <w:rPr>
          <w:rStyle w:val="33"/>
          <w:rFonts w:cs="宋体"/>
          <w:kern w:val="0"/>
          <w:szCs w:val="24"/>
          <w:highlight w:val="none"/>
          <w:lang w:bidi="ar"/>
        </w:rPr>
      </w:pPr>
      <w:r>
        <w:rPr>
          <w:rStyle w:val="33"/>
          <w:rFonts w:hint="eastAsia" w:cs="宋体"/>
          <w:kern w:val="0"/>
          <w:szCs w:val="24"/>
          <w:highlight w:val="none"/>
          <w:lang w:bidi="ar"/>
        </w:rPr>
        <w:t>（一）关于“中小企业声明函”的填写要求</w:t>
      </w:r>
    </w:p>
    <w:p w14:paraId="1A1FB92B">
      <w:pPr>
        <w:spacing w:line="360" w:lineRule="auto"/>
        <w:rPr>
          <w:highlight w:val="none"/>
          <w:lang w:bidi="ar"/>
        </w:rPr>
      </w:pPr>
      <w:r>
        <w:rPr>
          <w:rFonts w:hint="eastAsia"/>
          <w:highlight w:val="none"/>
          <w:lang w:bidi="ar"/>
        </w:rPr>
        <w:t>“中小企业声明函”具体填写要求如下：</w:t>
      </w:r>
    </w:p>
    <w:p w14:paraId="4E0F7080">
      <w:pPr>
        <w:spacing w:line="360" w:lineRule="auto"/>
        <w:rPr>
          <w:highlight w:val="none"/>
          <w:lang w:bidi="ar"/>
        </w:rPr>
      </w:pPr>
      <w:r>
        <w:rPr>
          <w:rFonts w:hint="eastAsia"/>
          <w:highlight w:val="none"/>
          <w:lang w:bidi="ar"/>
        </w:rPr>
        <w:t>1.“单位名称”应填写采购人名称。</w:t>
      </w:r>
    </w:p>
    <w:p w14:paraId="415BBC16">
      <w:pPr>
        <w:spacing w:line="360" w:lineRule="auto"/>
        <w:rPr>
          <w:highlight w:val="none"/>
          <w:lang w:bidi="ar"/>
        </w:rPr>
      </w:pPr>
      <w:r>
        <w:rPr>
          <w:rFonts w:hint="eastAsia"/>
          <w:highlight w:val="none"/>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774B6CCF">
      <w:pPr>
        <w:spacing w:line="360" w:lineRule="auto"/>
        <w:rPr>
          <w:highlight w:val="none"/>
          <w:lang w:bidi="ar"/>
        </w:rPr>
      </w:pPr>
      <w:r>
        <w:rPr>
          <w:rFonts w:hint="eastAsia"/>
          <w:highlight w:val="none"/>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39A32B8">
      <w:pPr>
        <w:spacing w:line="360" w:lineRule="auto"/>
        <w:rPr>
          <w:highlight w:val="none"/>
          <w:lang w:bidi="ar"/>
        </w:rPr>
      </w:pPr>
      <w:r>
        <w:rPr>
          <w:rFonts w:hint="eastAsia"/>
          <w:highlight w:val="none"/>
          <w:lang w:bidi="ar"/>
        </w:rPr>
        <w:t>4.“采购文件中明确的所属行业”应填写采购文件中明确的采购标的所属行业，并应确保与采购标的涉及的货物制造商/服务承接商/工程承建商（根据项目属性确定）本身的所属行业保持一致。</w:t>
      </w:r>
    </w:p>
    <w:p w14:paraId="6D987783">
      <w:pPr>
        <w:spacing w:line="360" w:lineRule="auto"/>
        <w:rPr>
          <w:highlight w:val="none"/>
          <w:lang w:bidi="ar"/>
        </w:rPr>
      </w:pPr>
      <w:r>
        <w:rPr>
          <w:rFonts w:hint="eastAsia"/>
          <w:highlight w:val="none"/>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0D2DBF0D">
      <w:pPr>
        <w:spacing w:line="360" w:lineRule="auto"/>
        <w:rPr>
          <w:highlight w:val="none"/>
          <w:lang w:bidi="ar"/>
        </w:rPr>
      </w:pPr>
      <w:r>
        <w:rPr>
          <w:rFonts w:hint="eastAsia"/>
          <w:highlight w:val="none"/>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2F06FCE9">
      <w:pPr>
        <w:spacing w:line="360" w:lineRule="auto"/>
        <w:rPr>
          <w:highlight w:val="none"/>
          <w:lang w:bidi="ar"/>
        </w:rPr>
      </w:pPr>
      <w:r>
        <w:rPr>
          <w:rFonts w:hint="eastAsia"/>
          <w:highlight w:val="none"/>
          <w:lang w:bidi="ar"/>
        </w:rPr>
        <w:t>5.“企业名称”应填写投标（响应）的货物制造商/服务承接商/工程承建商（根据项目属性确定）。</w:t>
      </w:r>
    </w:p>
    <w:p w14:paraId="3A215069">
      <w:pPr>
        <w:spacing w:line="360" w:lineRule="auto"/>
        <w:rPr>
          <w:highlight w:val="none"/>
          <w:lang w:bidi="ar"/>
        </w:rPr>
      </w:pPr>
      <w:r>
        <w:rPr>
          <w:rFonts w:hint="eastAsia"/>
          <w:highlight w:val="none"/>
          <w:lang w:bidi="ar"/>
        </w:rPr>
        <w:t>对于分包方式面向中小企业采购的项目，“企业名称”应填写分包部分采购标的对应的货物制造商/服务承接商/工程承建商（根据项目属性确定）。</w:t>
      </w:r>
    </w:p>
    <w:p w14:paraId="2B1696DA">
      <w:pPr>
        <w:spacing w:line="360" w:lineRule="auto"/>
        <w:rPr>
          <w:highlight w:val="none"/>
          <w:lang w:bidi="ar"/>
        </w:rPr>
      </w:pPr>
      <w:r>
        <w:rPr>
          <w:rFonts w:hint="eastAsia"/>
          <w:highlight w:val="none"/>
          <w:lang w:bidi="ar"/>
        </w:rPr>
        <w:t>对于以联合体方式面向中小企业采购的项目，“企业名称”应填写联合体中中小企业承担采购标的对应的货物制造商/服务承接商/工程承建商（根据项目属性确定）。</w:t>
      </w:r>
    </w:p>
    <w:p w14:paraId="1CA5E058">
      <w:pPr>
        <w:spacing w:line="360" w:lineRule="auto"/>
        <w:rPr>
          <w:highlight w:val="none"/>
          <w:lang w:bidi="ar"/>
        </w:rPr>
      </w:pPr>
      <w:r>
        <w:rPr>
          <w:rFonts w:hint="eastAsia"/>
          <w:highlight w:val="none"/>
          <w:lang w:bidi="ar"/>
        </w:rPr>
        <w:t>6.从业人员、资产总额指标以上年度末数据为依据，营业收入指标以上年度累计数据为依据。无上年度数据的新成立企业可不填报。</w:t>
      </w:r>
    </w:p>
    <w:p w14:paraId="229C5DD2">
      <w:pPr>
        <w:spacing w:line="360" w:lineRule="auto"/>
        <w:rPr>
          <w:highlight w:val="none"/>
          <w:lang w:bidi="ar"/>
        </w:rPr>
      </w:pPr>
      <w:r>
        <w:rPr>
          <w:rFonts w:hint="eastAsia"/>
          <w:highlight w:val="none"/>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63C81090">
      <w:pPr>
        <w:spacing w:line="360" w:lineRule="auto"/>
        <w:rPr>
          <w:highlight w:val="none"/>
          <w:lang w:bidi="ar"/>
        </w:rPr>
      </w:pPr>
      <w:r>
        <w:rPr>
          <w:rFonts w:hint="eastAsia"/>
          <w:highlight w:val="none"/>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0D3044E6">
      <w:pPr>
        <w:spacing w:line="360" w:lineRule="auto"/>
        <w:rPr>
          <w:rStyle w:val="33"/>
          <w:rFonts w:cs="宋体"/>
          <w:kern w:val="0"/>
          <w:szCs w:val="24"/>
          <w:highlight w:val="none"/>
          <w:lang w:bidi="ar"/>
        </w:rPr>
      </w:pPr>
      <w:r>
        <w:rPr>
          <w:rStyle w:val="33"/>
          <w:rFonts w:hint="eastAsia" w:cs="宋体"/>
          <w:kern w:val="0"/>
          <w:szCs w:val="24"/>
          <w:highlight w:val="none"/>
          <w:lang w:bidi="ar"/>
        </w:rPr>
        <w:t>（二）关于“中小企业声明函”的提交要求</w:t>
      </w:r>
    </w:p>
    <w:p w14:paraId="0FCFE434">
      <w:pPr>
        <w:spacing w:line="360" w:lineRule="auto"/>
        <w:rPr>
          <w:highlight w:val="none"/>
          <w:lang w:bidi="ar"/>
        </w:rPr>
      </w:pPr>
      <w:r>
        <w:rPr>
          <w:rFonts w:hint="eastAsia"/>
          <w:highlight w:val="none"/>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35725EA8">
      <w:pPr>
        <w:spacing w:line="360" w:lineRule="auto"/>
        <w:rPr>
          <w:highlight w:val="none"/>
          <w:lang w:bidi="ar"/>
        </w:rPr>
      </w:pPr>
      <w:r>
        <w:rPr>
          <w:rFonts w:hint="eastAsia"/>
          <w:highlight w:val="none"/>
          <w:lang w:bidi="ar"/>
        </w:rPr>
        <w:t>2.鼓励供应商在投标（响应）时一并提供对货物制造商、服务承接商、工程承建商相关信息的核实核验情况以及其他佐证材料。</w:t>
      </w:r>
    </w:p>
    <w:p w14:paraId="7FA61C9B">
      <w:pPr>
        <w:spacing w:line="360" w:lineRule="auto"/>
        <w:rPr>
          <w:highlight w:val="none"/>
          <w:lang w:bidi="ar"/>
        </w:rPr>
      </w:pPr>
      <w:r>
        <w:rPr>
          <w:rFonts w:hint="eastAsia"/>
          <w:highlight w:val="none"/>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2A474C0">
      <w:pPr>
        <w:spacing w:line="360" w:lineRule="auto"/>
        <w:rPr>
          <w:highlight w:val="none"/>
        </w:rPr>
      </w:pPr>
      <w:r>
        <w:rPr>
          <w:rFonts w:hint="eastAsia"/>
          <w:highlight w:val="none"/>
        </w:rPr>
        <w:br w:type="page"/>
      </w:r>
    </w:p>
    <w:p w14:paraId="1A1FA8C4">
      <w:pPr>
        <w:spacing w:line="360" w:lineRule="auto"/>
        <w:rPr>
          <w:highlight w:val="none"/>
        </w:rPr>
      </w:pPr>
      <w:r>
        <w:rPr>
          <w:rFonts w:hint="eastAsia"/>
          <w:highlight w:val="none"/>
        </w:rPr>
        <w:t>附件2：</w:t>
      </w:r>
    </w:p>
    <w:p w14:paraId="4B9A37D3">
      <w:pPr>
        <w:pStyle w:val="17"/>
        <w:spacing w:line="360" w:lineRule="auto"/>
        <w:rPr>
          <w:highlight w:val="none"/>
        </w:rPr>
      </w:pPr>
      <w:r>
        <w:rPr>
          <w:rFonts w:hint="eastAsia"/>
          <w:highlight w:val="none"/>
        </w:rPr>
        <w:t>关于印发中小企业划型标准规定的通知</w:t>
      </w:r>
    </w:p>
    <w:p w14:paraId="765C8492">
      <w:pPr>
        <w:spacing w:line="360" w:lineRule="auto"/>
        <w:rPr>
          <w:rStyle w:val="33"/>
          <w:rFonts w:cs="宋体"/>
          <w:b w:val="0"/>
          <w:szCs w:val="24"/>
          <w:highlight w:val="none"/>
        </w:rPr>
      </w:pPr>
      <w:r>
        <w:rPr>
          <w:rStyle w:val="33"/>
          <w:rFonts w:hint="eastAsia" w:cs="宋体"/>
          <w:b w:val="0"/>
          <w:szCs w:val="24"/>
          <w:highlight w:val="none"/>
        </w:rPr>
        <w:t>工信部联企业〔2011〕300号</w:t>
      </w:r>
    </w:p>
    <w:p w14:paraId="5656DCF5">
      <w:pPr>
        <w:spacing w:line="360" w:lineRule="auto"/>
        <w:rPr>
          <w:rStyle w:val="33"/>
          <w:rFonts w:cs="宋体"/>
          <w:b w:val="0"/>
          <w:szCs w:val="24"/>
          <w:highlight w:val="none"/>
        </w:rPr>
      </w:pPr>
    </w:p>
    <w:p w14:paraId="5D679006">
      <w:pPr>
        <w:spacing w:line="360" w:lineRule="auto"/>
        <w:rPr>
          <w:rStyle w:val="33"/>
          <w:rFonts w:cs="宋体"/>
          <w:b w:val="0"/>
          <w:szCs w:val="24"/>
          <w:highlight w:val="none"/>
        </w:rPr>
      </w:pPr>
      <w:r>
        <w:rPr>
          <w:rStyle w:val="33"/>
          <w:rFonts w:hint="eastAsia" w:cs="宋体"/>
          <w:b w:val="0"/>
          <w:szCs w:val="24"/>
          <w:highlight w:val="none"/>
        </w:rPr>
        <w:t>各省、自治区、直辖市人民政府，国务院各部委、各直属机构及有关单位：</w:t>
      </w:r>
    </w:p>
    <w:p w14:paraId="690D1B08">
      <w:pPr>
        <w:spacing w:line="360" w:lineRule="auto"/>
        <w:rPr>
          <w:rStyle w:val="33"/>
          <w:rFonts w:cs="宋体"/>
          <w:b w:val="0"/>
          <w:bCs w:val="0"/>
          <w:szCs w:val="24"/>
          <w:highlight w:val="none"/>
        </w:rPr>
      </w:pPr>
      <w:r>
        <w:rPr>
          <w:rStyle w:val="33"/>
          <w:rFonts w:hint="eastAsia" w:cs="宋体"/>
          <w:b w:val="0"/>
          <w:bCs w:val="0"/>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36D2EE7A">
      <w:pPr>
        <w:spacing w:line="360" w:lineRule="auto"/>
        <w:rPr>
          <w:rStyle w:val="33"/>
          <w:rFonts w:cs="宋体"/>
          <w:b w:val="0"/>
          <w:bCs w:val="0"/>
          <w:szCs w:val="24"/>
          <w:highlight w:val="none"/>
        </w:rPr>
      </w:pPr>
      <w:r>
        <w:rPr>
          <w:rStyle w:val="33"/>
          <w:rFonts w:hint="eastAsia" w:cs="宋体"/>
          <w:b w:val="0"/>
          <w:bCs w:val="0"/>
          <w:szCs w:val="24"/>
          <w:highlight w:val="none"/>
        </w:rPr>
        <w:t>工业和信息化部　国家统计局</w:t>
      </w:r>
    </w:p>
    <w:p w14:paraId="55139FBA">
      <w:pPr>
        <w:spacing w:line="360" w:lineRule="auto"/>
        <w:rPr>
          <w:rStyle w:val="33"/>
          <w:rFonts w:cs="宋体"/>
          <w:b w:val="0"/>
          <w:bCs w:val="0"/>
          <w:szCs w:val="24"/>
          <w:highlight w:val="none"/>
        </w:rPr>
      </w:pPr>
      <w:r>
        <w:rPr>
          <w:rStyle w:val="33"/>
          <w:rFonts w:hint="eastAsia" w:cs="宋体"/>
          <w:b w:val="0"/>
          <w:bCs w:val="0"/>
          <w:szCs w:val="24"/>
          <w:highlight w:val="none"/>
        </w:rPr>
        <w:t>国家发展和改革委员会　财政部</w:t>
      </w:r>
    </w:p>
    <w:p w14:paraId="6CE38181">
      <w:pPr>
        <w:spacing w:line="360" w:lineRule="auto"/>
        <w:rPr>
          <w:rStyle w:val="33"/>
          <w:rFonts w:cs="宋体"/>
          <w:b w:val="0"/>
          <w:bCs w:val="0"/>
          <w:szCs w:val="24"/>
          <w:highlight w:val="none"/>
        </w:rPr>
      </w:pPr>
      <w:r>
        <w:rPr>
          <w:rStyle w:val="33"/>
          <w:rFonts w:hint="eastAsia" w:cs="宋体"/>
          <w:b w:val="0"/>
          <w:bCs w:val="0"/>
          <w:szCs w:val="24"/>
          <w:highlight w:val="none"/>
        </w:rPr>
        <w:t>二○一一年六月十八日</w:t>
      </w:r>
    </w:p>
    <w:p w14:paraId="6EEC1105">
      <w:pPr>
        <w:spacing w:line="360" w:lineRule="auto"/>
        <w:rPr>
          <w:rStyle w:val="33"/>
          <w:rFonts w:cs="宋体"/>
          <w:b w:val="0"/>
          <w:bCs w:val="0"/>
          <w:szCs w:val="24"/>
          <w:highlight w:val="none"/>
        </w:rPr>
      </w:pPr>
      <w:r>
        <w:rPr>
          <w:rStyle w:val="33"/>
          <w:rFonts w:hint="eastAsia" w:cs="宋体"/>
          <w:b w:val="0"/>
          <w:bCs w:val="0"/>
          <w:szCs w:val="24"/>
          <w:highlight w:val="none"/>
        </w:rPr>
        <w:t xml:space="preserve"> </w:t>
      </w:r>
    </w:p>
    <w:p w14:paraId="7155E107">
      <w:pPr>
        <w:spacing w:line="360" w:lineRule="auto"/>
        <w:rPr>
          <w:rStyle w:val="33"/>
          <w:rFonts w:cs="宋体"/>
          <w:bCs w:val="0"/>
          <w:sz w:val="28"/>
          <w:szCs w:val="28"/>
          <w:highlight w:val="none"/>
        </w:rPr>
      </w:pPr>
      <w:r>
        <w:rPr>
          <w:rStyle w:val="33"/>
          <w:rFonts w:hint="eastAsia" w:cs="宋体"/>
          <w:bCs w:val="0"/>
          <w:sz w:val="28"/>
          <w:szCs w:val="28"/>
          <w:highlight w:val="none"/>
        </w:rPr>
        <w:t>中小企业划型标准规定</w:t>
      </w:r>
    </w:p>
    <w:p w14:paraId="06A6BF42">
      <w:pPr>
        <w:spacing w:line="360" w:lineRule="auto"/>
        <w:rPr>
          <w:rStyle w:val="33"/>
          <w:rFonts w:cs="宋体"/>
          <w:b w:val="0"/>
          <w:bCs w:val="0"/>
          <w:szCs w:val="24"/>
          <w:highlight w:val="none"/>
        </w:rPr>
      </w:pPr>
      <w:r>
        <w:rPr>
          <w:rStyle w:val="33"/>
          <w:rFonts w:hint="eastAsia" w:cs="宋体"/>
          <w:b w:val="0"/>
          <w:bCs w:val="0"/>
          <w:szCs w:val="24"/>
          <w:highlight w:val="none"/>
        </w:rPr>
        <w:t>　　一、根据《中华人民共和国中小企业促进法》和《国务院关于进一步促进中小企业发展的若干意见》(国发〔2009〕36号)，制定本规定。</w:t>
      </w:r>
    </w:p>
    <w:p w14:paraId="4604083D">
      <w:pPr>
        <w:spacing w:line="360" w:lineRule="auto"/>
        <w:rPr>
          <w:rStyle w:val="33"/>
          <w:rFonts w:cs="宋体"/>
          <w:b w:val="0"/>
          <w:bCs w:val="0"/>
          <w:szCs w:val="24"/>
          <w:highlight w:val="none"/>
        </w:rPr>
      </w:pPr>
      <w:r>
        <w:rPr>
          <w:rStyle w:val="33"/>
          <w:rFonts w:hint="eastAsia" w:cs="宋体"/>
          <w:b w:val="0"/>
          <w:bCs w:val="0"/>
          <w:szCs w:val="24"/>
          <w:highlight w:val="none"/>
        </w:rPr>
        <w:t>　　二、中小企业划分为中型、小型、微型三种类型，具体标准根据企业从业人员、营业收入、资产总额等指标，结合行业特点制定。</w:t>
      </w:r>
    </w:p>
    <w:p w14:paraId="23BCEE05">
      <w:pPr>
        <w:spacing w:line="360" w:lineRule="auto"/>
        <w:rPr>
          <w:rStyle w:val="33"/>
          <w:rFonts w:cs="宋体"/>
          <w:b w:val="0"/>
          <w:bCs w:val="0"/>
          <w:szCs w:val="24"/>
          <w:highlight w:val="none"/>
        </w:rPr>
      </w:pPr>
      <w:r>
        <w:rPr>
          <w:rStyle w:val="33"/>
          <w:rFonts w:hint="eastAsia" w:cs="宋体"/>
          <w:b w:val="0"/>
          <w:bCs w:val="0"/>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203F1D6">
      <w:pPr>
        <w:spacing w:line="360" w:lineRule="auto"/>
        <w:rPr>
          <w:rStyle w:val="33"/>
          <w:rFonts w:cs="宋体"/>
          <w:b w:val="0"/>
          <w:bCs w:val="0"/>
          <w:szCs w:val="24"/>
          <w:highlight w:val="none"/>
        </w:rPr>
      </w:pPr>
      <w:r>
        <w:rPr>
          <w:rStyle w:val="33"/>
          <w:rFonts w:hint="eastAsia" w:cs="宋体"/>
          <w:b w:val="0"/>
          <w:bCs w:val="0"/>
          <w:szCs w:val="24"/>
          <w:highlight w:val="none"/>
        </w:rPr>
        <w:t>　　四、各行业划型标准为：</w:t>
      </w:r>
    </w:p>
    <w:p w14:paraId="0C61652E">
      <w:pPr>
        <w:spacing w:line="360" w:lineRule="auto"/>
        <w:rPr>
          <w:rStyle w:val="33"/>
          <w:rFonts w:cs="宋体"/>
          <w:b w:val="0"/>
          <w:bCs w:val="0"/>
          <w:szCs w:val="24"/>
          <w:highlight w:val="none"/>
        </w:rPr>
      </w:pPr>
      <w:r>
        <w:rPr>
          <w:rStyle w:val="33"/>
          <w:rFonts w:hint="eastAsia" w:cs="宋体"/>
          <w:b w:val="0"/>
          <w:bCs w:val="0"/>
          <w:szCs w:val="24"/>
          <w:highlight w:val="none"/>
        </w:rPr>
        <w:t>　　（一）农、林、牧、渔业。营业收入20000万元以下的为中小微型企业。其中，营业收入500万元及以上的为中型企业，营业收入50万元及以上的为小型企业，营业收入50万元以下的为微型企业。</w:t>
      </w:r>
    </w:p>
    <w:p w14:paraId="0F733F4D">
      <w:pPr>
        <w:spacing w:line="360" w:lineRule="auto"/>
        <w:rPr>
          <w:rStyle w:val="33"/>
          <w:rFonts w:cs="宋体"/>
          <w:b w:val="0"/>
          <w:bCs w:val="0"/>
          <w:szCs w:val="24"/>
          <w:highlight w:val="none"/>
        </w:rPr>
      </w:pPr>
      <w:r>
        <w:rPr>
          <w:rStyle w:val="33"/>
          <w:rFonts w:hint="eastAsia" w:cs="宋体"/>
          <w:b w:val="0"/>
          <w:bCs w:val="0"/>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350192E">
      <w:pPr>
        <w:spacing w:line="360" w:lineRule="auto"/>
        <w:rPr>
          <w:rStyle w:val="33"/>
          <w:rFonts w:cs="宋体"/>
          <w:b w:val="0"/>
          <w:bCs w:val="0"/>
          <w:szCs w:val="24"/>
          <w:highlight w:val="none"/>
        </w:rPr>
      </w:pPr>
      <w:r>
        <w:rPr>
          <w:rStyle w:val="33"/>
          <w:rFonts w:hint="eastAsia" w:cs="宋体"/>
          <w:b w:val="0"/>
          <w:bCs w:val="0"/>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2E2D9FE">
      <w:pPr>
        <w:spacing w:line="360" w:lineRule="auto"/>
        <w:rPr>
          <w:rStyle w:val="33"/>
          <w:rFonts w:cs="宋体"/>
          <w:b w:val="0"/>
          <w:bCs w:val="0"/>
          <w:szCs w:val="24"/>
          <w:highlight w:val="none"/>
        </w:rPr>
      </w:pPr>
      <w:r>
        <w:rPr>
          <w:rStyle w:val="33"/>
          <w:rFonts w:hint="eastAsia" w:cs="宋体"/>
          <w:b w:val="0"/>
          <w:bCs w:val="0"/>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3D1CEC7">
      <w:pPr>
        <w:spacing w:line="360" w:lineRule="auto"/>
        <w:rPr>
          <w:rStyle w:val="33"/>
          <w:rFonts w:cs="宋体"/>
          <w:b w:val="0"/>
          <w:bCs w:val="0"/>
          <w:szCs w:val="24"/>
          <w:highlight w:val="none"/>
        </w:rPr>
      </w:pPr>
      <w:r>
        <w:rPr>
          <w:rStyle w:val="33"/>
          <w:rFonts w:hint="eastAsia" w:cs="宋体"/>
          <w:b w:val="0"/>
          <w:bCs w:val="0"/>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2F6522D">
      <w:pPr>
        <w:spacing w:line="360" w:lineRule="auto"/>
        <w:rPr>
          <w:rStyle w:val="33"/>
          <w:rFonts w:cs="宋体"/>
          <w:b w:val="0"/>
          <w:bCs w:val="0"/>
          <w:szCs w:val="24"/>
          <w:highlight w:val="none"/>
        </w:rPr>
      </w:pPr>
      <w:r>
        <w:rPr>
          <w:rStyle w:val="33"/>
          <w:rFonts w:hint="eastAsia" w:cs="宋体"/>
          <w:b w:val="0"/>
          <w:bCs w:val="0"/>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EBB76CA">
      <w:pPr>
        <w:spacing w:line="360" w:lineRule="auto"/>
        <w:rPr>
          <w:rStyle w:val="33"/>
          <w:rFonts w:cs="宋体"/>
          <w:b w:val="0"/>
          <w:bCs w:val="0"/>
          <w:szCs w:val="24"/>
          <w:highlight w:val="none"/>
        </w:rPr>
      </w:pPr>
      <w:r>
        <w:rPr>
          <w:rStyle w:val="33"/>
          <w:rFonts w:hint="eastAsia" w:cs="宋体"/>
          <w:b w:val="0"/>
          <w:bCs w:val="0"/>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8C919B2">
      <w:pPr>
        <w:spacing w:line="360" w:lineRule="auto"/>
        <w:rPr>
          <w:rStyle w:val="33"/>
          <w:rFonts w:cs="宋体"/>
          <w:b w:val="0"/>
          <w:bCs w:val="0"/>
          <w:szCs w:val="24"/>
          <w:highlight w:val="none"/>
        </w:rPr>
      </w:pPr>
      <w:r>
        <w:rPr>
          <w:rStyle w:val="33"/>
          <w:rFonts w:hint="eastAsia" w:cs="宋体"/>
          <w:b w:val="0"/>
          <w:bCs w:val="0"/>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5EB944F">
      <w:pPr>
        <w:spacing w:line="360" w:lineRule="auto"/>
        <w:rPr>
          <w:rStyle w:val="33"/>
          <w:rFonts w:cs="宋体"/>
          <w:b w:val="0"/>
          <w:bCs w:val="0"/>
          <w:szCs w:val="24"/>
          <w:highlight w:val="none"/>
        </w:rPr>
      </w:pPr>
      <w:r>
        <w:rPr>
          <w:rStyle w:val="33"/>
          <w:rFonts w:hint="eastAsia" w:cs="宋体"/>
          <w:b w:val="0"/>
          <w:bCs w:val="0"/>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9A581F2">
      <w:pPr>
        <w:spacing w:line="360" w:lineRule="auto"/>
        <w:rPr>
          <w:rStyle w:val="33"/>
          <w:rFonts w:cs="宋体"/>
          <w:b w:val="0"/>
          <w:bCs w:val="0"/>
          <w:szCs w:val="24"/>
          <w:highlight w:val="none"/>
        </w:rPr>
      </w:pPr>
      <w:r>
        <w:rPr>
          <w:rStyle w:val="33"/>
          <w:rFonts w:hint="eastAsia" w:cs="宋体"/>
          <w:b w:val="0"/>
          <w:bCs w:val="0"/>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D772CA7">
      <w:pPr>
        <w:spacing w:line="360" w:lineRule="auto"/>
        <w:rPr>
          <w:rStyle w:val="33"/>
          <w:rFonts w:cs="宋体"/>
          <w:b w:val="0"/>
          <w:bCs w:val="0"/>
          <w:szCs w:val="24"/>
          <w:highlight w:val="none"/>
        </w:rPr>
      </w:pPr>
      <w:r>
        <w:rPr>
          <w:rStyle w:val="33"/>
          <w:rFonts w:hint="eastAsia" w:cs="宋体"/>
          <w:b w:val="0"/>
          <w:bCs w:val="0"/>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FF8F9BB">
      <w:pPr>
        <w:spacing w:line="360" w:lineRule="auto"/>
        <w:rPr>
          <w:rStyle w:val="33"/>
          <w:rFonts w:cs="宋体"/>
          <w:b w:val="0"/>
          <w:bCs w:val="0"/>
          <w:szCs w:val="24"/>
          <w:highlight w:val="none"/>
        </w:rPr>
      </w:pPr>
      <w:r>
        <w:rPr>
          <w:rStyle w:val="33"/>
          <w:rFonts w:hint="eastAsia" w:cs="宋体"/>
          <w:b w:val="0"/>
          <w:bCs w:val="0"/>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D914676">
      <w:pPr>
        <w:spacing w:line="360" w:lineRule="auto"/>
        <w:rPr>
          <w:rStyle w:val="33"/>
          <w:rFonts w:cs="宋体"/>
          <w:b w:val="0"/>
          <w:bCs w:val="0"/>
          <w:szCs w:val="24"/>
          <w:highlight w:val="none"/>
        </w:rPr>
      </w:pPr>
      <w:r>
        <w:rPr>
          <w:rStyle w:val="33"/>
          <w:rFonts w:hint="eastAsia" w:cs="宋体"/>
          <w:b w:val="0"/>
          <w:bCs w:val="0"/>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948FA4D">
      <w:pPr>
        <w:spacing w:line="360" w:lineRule="auto"/>
        <w:rPr>
          <w:rStyle w:val="33"/>
          <w:rFonts w:cs="宋体"/>
          <w:b w:val="0"/>
          <w:bCs w:val="0"/>
          <w:szCs w:val="24"/>
          <w:highlight w:val="none"/>
        </w:rPr>
      </w:pPr>
      <w:r>
        <w:rPr>
          <w:rStyle w:val="33"/>
          <w:rFonts w:hint="eastAsia" w:cs="宋体"/>
          <w:b w:val="0"/>
          <w:bCs w:val="0"/>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FB74937">
      <w:pPr>
        <w:spacing w:line="360" w:lineRule="auto"/>
        <w:rPr>
          <w:rStyle w:val="33"/>
          <w:rFonts w:cs="宋体"/>
          <w:b w:val="0"/>
          <w:bCs w:val="0"/>
          <w:szCs w:val="24"/>
          <w:highlight w:val="none"/>
        </w:rPr>
      </w:pPr>
      <w:r>
        <w:rPr>
          <w:rStyle w:val="33"/>
          <w:rFonts w:hint="eastAsia" w:cs="宋体"/>
          <w:b w:val="0"/>
          <w:bCs w:val="0"/>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580BCBE">
      <w:pPr>
        <w:spacing w:line="360" w:lineRule="auto"/>
        <w:rPr>
          <w:rStyle w:val="33"/>
          <w:rFonts w:cs="宋体"/>
          <w:b w:val="0"/>
          <w:bCs w:val="0"/>
          <w:szCs w:val="24"/>
          <w:highlight w:val="none"/>
        </w:rPr>
      </w:pPr>
      <w:r>
        <w:rPr>
          <w:rStyle w:val="33"/>
          <w:rFonts w:hint="eastAsia" w:cs="宋体"/>
          <w:b w:val="0"/>
          <w:bCs w:val="0"/>
          <w:szCs w:val="24"/>
          <w:highlight w:val="none"/>
        </w:rPr>
        <w:t>（十六）其他未列明行业。从业人员300人以下的为中小微型企业。其中，从业人员100人及以上的为中型企业；从业人员10人及以上的为小型企业；从业人员10人以下的为微型企业。　　</w:t>
      </w:r>
    </w:p>
    <w:p w14:paraId="06D57EDF">
      <w:pPr>
        <w:spacing w:line="360" w:lineRule="auto"/>
        <w:rPr>
          <w:rStyle w:val="33"/>
          <w:rFonts w:cs="宋体"/>
          <w:b w:val="0"/>
          <w:bCs w:val="0"/>
          <w:szCs w:val="24"/>
          <w:highlight w:val="none"/>
        </w:rPr>
      </w:pPr>
      <w:r>
        <w:rPr>
          <w:rStyle w:val="33"/>
          <w:rFonts w:hint="eastAsia" w:cs="宋体"/>
          <w:b w:val="0"/>
          <w:bCs w:val="0"/>
          <w:szCs w:val="24"/>
          <w:highlight w:val="none"/>
        </w:rPr>
        <w:t>五、企业类型的划分以统计部门的统计数据为依据。</w:t>
      </w:r>
    </w:p>
    <w:p w14:paraId="4770ED2E">
      <w:pPr>
        <w:spacing w:line="360" w:lineRule="auto"/>
        <w:rPr>
          <w:rStyle w:val="33"/>
          <w:rFonts w:cs="宋体"/>
          <w:b w:val="0"/>
          <w:bCs w:val="0"/>
          <w:szCs w:val="24"/>
          <w:highlight w:val="none"/>
        </w:rPr>
      </w:pPr>
      <w:r>
        <w:rPr>
          <w:rStyle w:val="33"/>
          <w:rFonts w:hint="eastAsia" w:cs="宋体"/>
          <w:b w:val="0"/>
          <w:bCs w:val="0"/>
          <w:szCs w:val="24"/>
          <w:highlight w:val="none"/>
        </w:rPr>
        <w:t>　　六、本规定适用于在中华人民共和国境内依法设立的各类所有制和各种组织形式的企业。个体工商户和本规定以外的行业，参照本规定进行划型。</w:t>
      </w:r>
    </w:p>
    <w:p w14:paraId="5247D214">
      <w:pPr>
        <w:spacing w:line="360" w:lineRule="auto"/>
        <w:rPr>
          <w:rStyle w:val="33"/>
          <w:rFonts w:cs="宋体"/>
          <w:b w:val="0"/>
          <w:bCs w:val="0"/>
          <w:szCs w:val="24"/>
          <w:highlight w:val="none"/>
        </w:rPr>
      </w:pPr>
      <w:r>
        <w:rPr>
          <w:rStyle w:val="33"/>
          <w:rFonts w:hint="eastAsia" w:cs="宋体"/>
          <w:b w:val="0"/>
          <w:bCs w:val="0"/>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8533756">
      <w:pPr>
        <w:spacing w:line="360" w:lineRule="auto"/>
        <w:rPr>
          <w:rStyle w:val="33"/>
          <w:rFonts w:cs="宋体"/>
          <w:b w:val="0"/>
          <w:bCs w:val="0"/>
          <w:szCs w:val="24"/>
          <w:highlight w:val="none"/>
        </w:rPr>
      </w:pPr>
      <w:r>
        <w:rPr>
          <w:rStyle w:val="33"/>
          <w:rFonts w:hint="eastAsia" w:cs="宋体"/>
          <w:b w:val="0"/>
          <w:bCs w:val="0"/>
          <w:szCs w:val="24"/>
          <w:highlight w:val="none"/>
        </w:rPr>
        <w:t>　　八、本规定由工业和信息化部、国家统计局会同有关部门根据《国民经济行业分类》修订情况和企业发展变化情况适时修订。</w:t>
      </w:r>
    </w:p>
    <w:p w14:paraId="1B7EB191">
      <w:pPr>
        <w:spacing w:line="360" w:lineRule="auto"/>
        <w:rPr>
          <w:rStyle w:val="33"/>
          <w:rFonts w:cs="宋体"/>
          <w:b w:val="0"/>
          <w:bCs w:val="0"/>
          <w:szCs w:val="24"/>
          <w:highlight w:val="none"/>
        </w:rPr>
      </w:pPr>
      <w:r>
        <w:rPr>
          <w:rStyle w:val="33"/>
          <w:rFonts w:hint="eastAsia" w:cs="宋体"/>
          <w:b w:val="0"/>
          <w:bCs w:val="0"/>
          <w:szCs w:val="24"/>
          <w:highlight w:val="none"/>
        </w:rPr>
        <w:t>　　九、本规定由工业和信息化部、国家统计局会同有关部门负责解释。</w:t>
      </w:r>
    </w:p>
    <w:p w14:paraId="666EBA8D">
      <w:pPr>
        <w:spacing w:line="360" w:lineRule="auto"/>
        <w:rPr>
          <w:spacing w:val="6"/>
          <w:sz w:val="21"/>
          <w:szCs w:val="21"/>
          <w:highlight w:val="none"/>
        </w:rPr>
      </w:pPr>
      <w:r>
        <w:rPr>
          <w:rStyle w:val="33"/>
          <w:rFonts w:hint="eastAsia" w:cs="宋体"/>
          <w:b w:val="0"/>
          <w:bCs w:val="0"/>
          <w:szCs w:val="24"/>
          <w:highlight w:val="none"/>
        </w:rPr>
        <w:t>十、本规定自发布之日起执行，原国家经贸委、原国家计委、财政部和国家统计局2003年颁布的《中小企业标准暂行规定》同时废止。</w:t>
      </w:r>
    </w:p>
    <w:p w14:paraId="40F799E0">
      <w:pPr>
        <w:spacing w:line="360" w:lineRule="auto"/>
        <w:rPr>
          <w:highlight w:val="none"/>
        </w:rPr>
      </w:pPr>
    </w:p>
    <w:p w14:paraId="75D6FA5E">
      <w:pPr>
        <w:spacing w:line="360" w:lineRule="auto"/>
        <w:rPr>
          <w:highlight w:val="none"/>
        </w:rPr>
      </w:pPr>
    </w:p>
    <w:p w14:paraId="534FD9BD">
      <w:pPr>
        <w:spacing w:line="360" w:lineRule="auto"/>
        <w:rPr>
          <w:highlight w:val="none"/>
        </w:rPr>
      </w:pPr>
    </w:p>
    <w:p w14:paraId="39610F96">
      <w:pPr>
        <w:spacing w:line="360" w:lineRule="auto"/>
        <w:rPr>
          <w:highlight w:val="none"/>
        </w:rPr>
      </w:pPr>
      <w:r>
        <w:rPr>
          <w:rFonts w:hint="eastAsia"/>
          <w:highlight w:val="none"/>
        </w:rPr>
        <w:t>附件3：</w:t>
      </w:r>
    </w:p>
    <w:p w14:paraId="5B9FC4DB">
      <w:pPr>
        <w:spacing w:line="360" w:lineRule="auto"/>
        <w:rPr>
          <w:highlight w:val="none"/>
        </w:rPr>
      </w:pPr>
    </w:p>
    <w:p w14:paraId="1B4FFDD2">
      <w:pPr>
        <w:pStyle w:val="17"/>
        <w:spacing w:line="360" w:lineRule="auto"/>
        <w:rPr>
          <w:highlight w:val="none"/>
        </w:rPr>
      </w:pPr>
      <w:r>
        <w:rPr>
          <w:rFonts w:hint="eastAsia"/>
          <w:highlight w:val="none"/>
        </w:rPr>
        <w:t>关于印发《金融业企业划型标准规定》的通知</w:t>
      </w:r>
    </w:p>
    <w:p w14:paraId="66C92938">
      <w:pPr>
        <w:spacing w:line="360" w:lineRule="auto"/>
        <w:rPr>
          <w:rStyle w:val="33"/>
          <w:rFonts w:cs="宋体"/>
          <w:b w:val="0"/>
          <w:szCs w:val="24"/>
          <w:highlight w:val="none"/>
        </w:rPr>
      </w:pPr>
      <w:r>
        <w:rPr>
          <w:rStyle w:val="33"/>
          <w:rFonts w:hint="eastAsia" w:cs="宋体"/>
          <w:b w:val="0"/>
          <w:szCs w:val="24"/>
          <w:highlight w:val="none"/>
        </w:rPr>
        <w:t>银发〔2015〕309号</w:t>
      </w:r>
    </w:p>
    <w:p w14:paraId="4E3F3192">
      <w:pPr>
        <w:spacing w:line="360" w:lineRule="auto"/>
        <w:rPr>
          <w:rStyle w:val="33"/>
          <w:rFonts w:cs="宋体"/>
          <w:b w:val="0"/>
          <w:bCs w:val="0"/>
          <w:szCs w:val="24"/>
          <w:highlight w:val="none"/>
        </w:rPr>
      </w:pPr>
      <w:r>
        <w:rPr>
          <w:rStyle w:val="33"/>
          <w:rFonts w:hint="eastAsia" w:cs="宋体"/>
          <w:b w:val="0"/>
          <w:bCs w:val="0"/>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695D7AEA">
      <w:pPr>
        <w:spacing w:line="360" w:lineRule="auto"/>
        <w:rPr>
          <w:rStyle w:val="33"/>
          <w:rFonts w:cs="宋体"/>
          <w:b w:val="0"/>
          <w:bCs w:val="0"/>
          <w:szCs w:val="24"/>
          <w:highlight w:val="none"/>
        </w:rPr>
      </w:pPr>
      <w:r>
        <w:rPr>
          <w:rStyle w:val="33"/>
          <w:rFonts w:hint="eastAsia" w:cs="宋体"/>
          <w:b w:val="0"/>
          <w:bCs w:val="0"/>
          <w:szCs w:val="24"/>
          <w:highlight w:val="none"/>
        </w:rPr>
        <w:t>请人民银行上海总部，各分行、营业管理部、省会（首府）城市中心支行、副省级城市中心支行会同所在省（区、市）银监局、证监局、保监局、统计局将本通知联合转发至辖内相关机构。</w:t>
      </w:r>
    </w:p>
    <w:p w14:paraId="42414AC9">
      <w:pPr>
        <w:spacing w:line="360" w:lineRule="auto"/>
        <w:rPr>
          <w:rStyle w:val="33"/>
          <w:rFonts w:cs="宋体"/>
          <w:b w:val="0"/>
          <w:bCs w:val="0"/>
          <w:szCs w:val="24"/>
          <w:highlight w:val="none"/>
        </w:rPr>
      </w:pPr>
    </w:p>
    <w:p w14:paraId="5DDECA73">
      <w:pPr>
        <w:spacing w:line="360" w:lineRule="auto"/>
        <w:rPr>
          <w:rStyle w:val="33"/>
          <w:rFonts w:cs="宋体"/>
          <w:b w:val="0"/>
          <w:bCs w:val="0"/>
          <w:szCs w:val="24"/>
          <w:highlight w:val="none"/>
        </w:rPr>
      </w:pPr>
      <w:r>
        <w:rPr>
          <w:rStyle w:val="33"/>
          <w:rFonts w:hint="eastAsia" w:cs="宋体"/>
          <w:b w:val="0"/>
          <w:bCs w:val="0"/>
          <w:szCs w:val="24"/>
          <w:highlight w:val="none"/>
        </w:rPr>
        <w:t>附件：金融业企业划型标准规定</w:t>
      </w:r>
    </w:p>
    <w:p w14:paraId="470977EA">
      <w:pPr>
        <w:spacing w:line="360" w:lineRule="auto"/>
        <w:rPr>
          <w:rStyle w:val="33"/>
          <w:rFonts w:cs="宋体"/>
          <w:b w:val="0"/>
          <w:bCs w:val="0"/>
          <w:szCs w:val="24"/>
          <w:highlight w:val="none"/>
        </w:rPr>
      </w:pPr>
      <w:r>
        <w:rPr>
          <w:rFonts w:hint="eastAsia"/>
          <w:spacing w:val="6"/>
          <w:highlight w:val="none"/>
        </w:rPr>
        <w:t>                                      </w:t>
      </w:r>
      <w:r>
        <w:rPr>
          <w:rStyle w:val="33"/>
          <w:rFonts w:hint="eastAsia" w:cs="宋体"/>
          <w:b w:val="0"/>
          <w:bCs w:val="0"/>
          <w:szCs w:val="24"/>
          <w:highlight w:val="none"/>
        </w:rPr>
        <w:t>                                   中国人民银行</w:t>
      </w:r>
    </w:p>
    <w:p w14:paraId="514A398D">
      <w:pPr>
        <w:spacing w:line="360" w:lineRule="auto"/>
        <w:rPr>
          <w:rStyle w:val="33"/>
          <w:rFonts w:cs="宋体"/>
          <w:b w:val="0"/>
          <w:bCs w:val="0"/>
          <w:szCs w:val="24"/>
          <w:highlight w:val="none"/>
        </w:rPr>
      </w:pPr>
      <w:r>
        <w:rPr>
          <w:rStyle w:val="33"/>
          <w:rFonts w:hint="eastAsia" w:cs="宋体"/>
          <w:b w:val="0"/>
          <w:bCs w:val="0"/>
          <w:szCs w:val="24"/>
          <w:highlight w:val="none"/>
        </w:rPr>
        <w:t>          中国银行业监督管理委员会</w:t>
      </w:r>
    </w:p>
    <w:p w14:paraId="278EC57E">
      <w:pPr>
        <w:spacing w:line="360" w:lineRule="auto"/>
        <w:rPr>
          <w:rStyle w:val="33"/>
          <w:rFonts w:cs="宋体"/>
          <w:b w:val="0"/>
          <w:bCs w:val="0"/>
          <w:szCs w:val="24"/>
          <w:highlight w:val="none"/>
        </w:rPr>
      </w:pPr>
      <w:r>
        <w:rPr>
          <w:rStyle w:val="33"/>
          <w:rFonts w:hint="eastAsia" w:cs="宋体"/>
          <w:b w:val="0"/>
          <w:bCs w:val="0"/>
          <w:szCs w:val="24"/>
          <w:highlight w:val="none"/>
        </w:rPr>
        <w:t>           中国证券监督管理委员会</w:t>
      </w:r>
    </w:p>
    <w:p w14:paraId="2B3B4280">
      <w:pPr>
        <w:spacing w:line="360" w:lineRule="auto"/>
        <w:rPr>
          <w:rStyle w:val="33"/>
          <w:rFonts w:cs="宋体"/>
          <w:b w:val="0"/>
          <w:bCs w:val="0"/>
          <w:szCs w:val="24"/>
          <w:highlight w:val="none"/>
        </w:rPr>
      </w:pPr>
      <w:r>
        <w:rPr>
          <w:rStyle w:val="33"/>
          <w:rFonts w:hint="eastAsia" w:cs="宋体"/>
          <w:b w:val="0"/>
          <w:bCs w:val="0"/>
          <w:szCs w:val="24"/>
          <w:highlight w:val="none"/>
        </w:rPr>
        <w:t>           中国保险监督管理委员会</w:t>
      </w:r>
    </w:p>
    <w:p w14:paraId="1B72E62B">
      <w:pPr>
        <w:spacing w:line="360" w:lineRule="auto"/>
        <w:rPr>
          <w:rStyle w:val="33"/>
          <w:rFonts w:cs="宋体"/>
          <w:b w:val="0"/>
          <w:bCs w:val="0"/>
          <w:szCs w:val="24"/>
          <w:highlight w:val="none"/>
        </w:rPr>
      </w:pPr>
      <w:r>
        <w:rPr>
          <w:rStyle w:val="33"/>
          <w:rFonts w:hint="eastAsia" w:cs="宋体"/>
          <w:b w:val="0"/>
          <w:bCs w:val="0"/>
          <w:szCs w:val="24"/>
          <w:highlight w:val="none"/>
        </w:rPr>
        <w:t>           中华人民共和国国家统计局</w:t>
      </w:r>
    </w:p>
    <w:p w14:paraId="21F4C5E8">
      <w:pPr>
        <w:spacing w:line="360" w:lineRule="auto"/>
        <w:rPr>
          <w:rStyle w:val="33"/>
          <w:rFonts w:cs="宋体"/>
          <w:b w:val="0"/>
          <w:bCs w:val="0"/>
          <w:szCs w:val="24"/>
          <w:highlight w:val="none"/>
        </w:rPr>
      </w:pPr>
      <w:r>
        <w:rPr>
          <w:rStyle w:val="33"/>
          <w:rFonts w:hint="eastAsia" w:cs="宋体"/>
          <w:b w:val="0"/>
          <w:bCs w:val="0"/>
          <w:szCs w:val="24"/>
          <w:highlight w:val="none"/>
        </w:rPr>
        <w:t>                                                           2015年9月28日</w:t>
      </w:r>
    </w:p>
    <w:p w14:paraId="4659174B">
      <w:pPr>
        <w:spacing w:line="360" w:lineRule="auto"/>
        <w:rPr>
          <w:highlight w:val="none"/>
        </w:rPr>
      </w:pPr>
    </w:p>
    <w:p w14:paraId="62DF730F">
      <w:pPr>
        <w:spacing w:line="360" w:lineRule="auto"/>
        <w:rPr>
          <w:highlight w:val="none"/>
        </w:rPr>
      </w:pPr>
    </w:p>
    <w:p w14:paraId="314DE5FC">
      <w:pPr>
        <w:spacing w:line="360" w:lineRule="auto"/>
        <w:rPr>
          <w:highlight w:val="none"/>
        </w:rPr>
      </w:pPr>
      <w:r>
        <w:rPr>
          <w:rFonts w:hint="eastAsia"/>
          <w:highlight w:val="none"/>
        </w:rPr>
        <w:br w:type="page"/>
      </w:r>
    </w:p>
    <w:p w14:paraId="147CBEBB">
      <w:pPr>
        <w:pStyle w:val="4"/>
        <w:spacing w:line="360" w:lineRule="auto"/>
        <w:rPr>
          <w:sz w:val="24"/>
          <w:szCs w:val="24"/>
          <w:highlight w:val="none"/>
        </w:rPr>
      </w:pPr>
      <w:bookmarkStart w:id="389" w:name="_Toc163492940"/>
      <w:r>
        <w:rPr>
          <w:rFonts w:hint="eastAsia"/>
          <w:highlight w:val="none"/>
        </w:rPr>
        <w:t>（三）监狱企业证明文件</w:t>
      </w:r>
      <w:r>
        <w:rPr>
          <w:rFonts w:hint="eastAsia"/>
          <w:sz w:val="24"/>
          <w:szCs w:val="24"/>
          <w:highlight w:val="none"/>
        </w:rPr>
        <w:t>【如适用】</w:t>
      </w:r>
      <w:bookmarkEnd w:id="389"/>
    </w:p>
    <w:p w14:paraId="10ADB8AB">
      <w:pPr>
        <w:spacing w:line="360" w:lineRule="auto"/>
        <w:rPr>
          <w:highlight w:val="none"/>
        </w:rPr>
      </w:pPr>
    </w:p>
    <w:p w14:paraId="73923C74">
      <w:pPr>
        <w:spacing w:line="360" w:lineRule="auto"/>
        <w:rPr>
          <w:highlight w:val="none"/>
        </w:rPr>
      </w:pPr>
      <w:r>
        <w:rPr>
          <w:rFonts w:hint="eastAsia"/>
          <w:highlight w:val="none"/>
        </w:rPr>
        <w:t>【监狱企业应当提供由省级及以上监狱管理局、戒毒管理局（含新疆生产建设兵团）出具的监狱企业的证明文件，格式如下】。</w:t>
      </w:r>
    </w:p>
    <w:p w14:paraId="4C262128">
      <w:pPr>
        <w:pStyle w:val="17"/>
        <w:spacing w:line="360" w:lineRule="auto"/>
        <w:rPr>
          <w:highlight w:val="none"/>
        </w:rPr>
      </w:pPr>
    </w:p>
    <w:p w14:paraId="6DD2CE79">
      <w:pPr>
        <w:pStyle w:val="17"/>
        <w:spacing w:line="360" w:lineRule="auto"/>
        <w:rPr>
          <w:highlight w:val="none"/>
        </w:rPr>
      </w:pPr>
      <w:r>
        <w:rPr>
          <w:rFonts w:hint="eastAsia"/>
          <w:highlight w:val="none"/>
        </w:rPr>
        <w:t>监狱企业证明函</w:t>
      </w:r>
    </w:p>
    <w:p w14:paraId="4B47FB15">
      <w:pPr>
        <w:spacing w:line="360" w:lineRule="auto"/>
        <w:rPr>
          <w:highlight w:val="none"/>
        </w:rPr>
      </w:pPr>
    </w:p>
    <w:p w14:paraId="237829AD">
      <w:pPr>
        <w:spacing w:line="360" w:lineRule="auto"/>
        <w:rPr>
          <w:highlight w:val="none"/>
        </w:rPr>
      </w:pPr>
      <w:r>
        <w:rPr>
          <w:rFonts w:hint="eastAsia"/>
          <w:highlight w:val="none"/>
        </w:rPr>
        <w:t>本公司郑重声明，根据财政部、司法部《关于政府采购支持监狱企业发展有关问题的通知》（财库〔2014〕68号）的规定，本公司为监狱企业。</w:t>
      </w:r>
    </w:p>
    <w:p w14:paraId="53E38B8B">
      <w:pPr>
        <w:spacing w:line="360" w:lineRule="auto"/>
        <w:rPr>
          <w:highlight w:val="none"/>
        </w:rPr>
      </w:pPr>
    </w:p>
    <w:p w14:paraId="5B6D2817">
      <w:pPr>
        <w:spacing w:line="360" w:lineRule="auto"/>
        <w:rPr>
          <w:highlight w:val="none"/>
        </w:rPr>
      </w:pPr>
    </w:p>
    <w:p w14:paraId="05A7D6F9">
      <w:pPr>
        <w:spacing w:line="360" w:lineRule="auto"/>
        <w:rPr>
          <w:highlight w:val="none"/>
        </w:rPr>
      </w:pPr>
    </w:p>
    <w:p w14:paraId="12EEAF0E">
      <w:pPr>
        <w:spacing w:line="360" w:lineRule="auto"/>
        <w:rPr>
          <w:highlight w:val="none"/>
        </w:rPr>
      </w:pPr>
      <w:r>
        <w:rPr>
          <w:rFonts w:hint="eastAsia"/>
          <w:highlight w:val="none"/>
        </w:rPr>
        <w:t>投标人名称（</w:t>
      </w:r>
      <w:r>
        <w:rPr>
          <w:rFonts w:hint="eastAsia"/>
          <w:kern w:val="0"/>
          <w:highlight w:val="none"/>
        </w:rPr>
        <w:t>公章）</w:t>
      </w:r>
      <w:r>
        <w:rPr>
          <w:rFonts w:hint="eastAsia"/>
          <w:highlight w:val="none"/>
        </w:rPr>
        <w:t>：</w:t>
      </w:r>
    </w:p>
    <w:p w14:paraId="69BE6015">
      <w:pPr>
        <w:spacing w:line="360" w:lineRule="auto"/>
        <w:rPr>
          <w:highlight w:val="none"/>
        </w:rPr>
      </w:pPr>
      <w:r>
        <w:rPr>
          <w:rFonts w:hint="eastAsia"/>
          <w:highlight w:val="none"/>
        </w:rPr>
        <w:t>日期：   年  月  日</w:t>
      </w:r>
    </w:p>
    <w:p w14:paraId="47790814">
      <w:pPr>
        <w:spacing w:line="360" w:lineRule="auto"/>
        <w:rPr>
          <w:highlight w:val="none"/>
        </w:rPr>
      </w:pPr>
    </w:p>
    <w:p w14:paraId="0937CA2D">
      <w:pPr>
        <w:spacing w:line="360" w:lineRule="auto"/>
        <w:rPr>
          <w:highlight w:val="none"/>
        </w:rPr>
      </w:pPr>
    </w:p>
    <w:p w14:paraId="3C53CAD5">
      <w:pPr>
        <w:spacing w:line="360" w:lineRule="auto"/>
        <w:rPr>
          <w:highlight w:val="none"/>
        </w:rPr>
      </w:pPr>
      <w:r>
        <w:rPr>
          <w:rFonts w:hint="eastAsia"/>
          <w:highlight w:val="none"/>
        </w:rPr>
        <w:t>省级以上监狱管理局、戒毒管理局</w:t>
      </w:r>
    </w:p>
    <w:p w14:paraId="759926D7">
      <w:pPr>
        <w:spacing w:line="360" w:lineRule="auto"/>
        <w:rPr>
          <w:highlight w:val="none"/>
        </w:rPr>
      </w:pPr>
      <w:r>
        <w:rPr>
          <w:rFonts w:hint="eastAsia"/>
          <w:highlight w:val="none"/>
        </w:rPr>
        <w:t>（含新疆生产建设兵团）（</w:t>
      </w:r>
      <w:r>
        <w:rPr>
          <w:rFonts w:hint="eastAsia"/>
          <w:kern w:val="0"/>
          <w:highlight w:val="none"/>
        </w:rPr>
        <w:t>盖章）</w:t>
      </w:r>
      <w:r>
        <w:rPr>
          <w:rFonts w:hint="eastAsia"/>
          <w:highlight w:val="none"/>
        </w:rPr>
        <w:t xml:space="preserve">：  </w:t>
      </w:r>
    </w:p>
    <w:p w14:paraId="0F7401AA">
      <w:pPr>
        <w:spacing w:line="360" w:lineRule="auto"/>
        <w:rPr>
          <w:highlight w:val="none"/>
        </w:rPr>
      </w:pPr>
      <w:r>
        <w:rPr>
          <w:rFonts w:hint="eastAsia"/>
          <w:highlight w:val="none"/>
        </w:rPr>
        <w:t>日期：   年  月  日</w:t>
      </w:r>
    </w:p>
    <w:p w14:paraId="70709E76">
      <w:pPr>
        <w:spacing w:line="360" w:lineRule="auto"/>
        <w:rPr>
          <w:highlight w:val="none"/>
        </w:rPr>
      </w:pPr>
    </w:p>
    <w:p w14:paraId="2B7C0E8D">
      <w:pPr>
        <w:spacing w:line="360" w:lineRule="auto"/>
        <w:rPr>
          <w:highlight w:val="none"/>
        </w:rPr>
      </w:pPr>
    </w:p>
    <w:p w14:paraId="51471076">
      <w:pPr>
        <w:spacing w:line="360" w:lineRule="auto"/>
        <w:rPr>
          <w:highlight w:val="none"/>
        </w:rPr>
      </w:pPr>
    </w:p>
    <w:p w14:paraId="2E4F6585">
      <w:pPr>
        <w:spacing w:line="360" w:lineRule="auto"/>
        <w:rPr>
          <w:highlight w:val="none"/>
        </w:rPr>
      </w:pPr>
    </w:p>
    <w:p w14:paraId="36F67350">
      <w:pPr>
        <w:spacing w:line="360" w:lineRule="auto"/>
        <w:rPr>
          <w:highlight w:val="none"/>
        </w:rPr>
      </w:pPr>
    </w:p>
    <w:p w14:paraId="27B28F4B">
      <w:pPr>
        <w:rPr>
          <w:b/>
          <w:bCs/>
          <w:sz w:val="30"/>
          <w:szCs w:val="32"/>
          <w:highlight w:val="none"/>
        </w:rPr>
      </w:pPr>
      <w:bookmarkStart w:id="390" w:name="_Toc163492941"/>
      <w:r>
        <w:rPr>
          <w:highlight w:val="none"/>
        </w:rPr>
        <w:br w:type="page"/>
      </w:r>
    </w:p>
    <w:p w14:paraId="082FF1D0">
      <w:pPr>
        <w:pStyle w:val="4"/>
        <w:spacing w:line="360" w:lineRule="auto"/>
        <w:rPr>
          <w:highlight w:val="none"/>
        </w:rPr>
      </w:pPr>
      <w:r>
        <w:rPr>
          <w:rFonts w:hint="eastAsia"/>
          <w:highlight w:val="none"/>
        </w:rPr>
        <w:t>（四）残疾人福利性单位声明函【如适用】</w:t>
      </w:r>
      <w:bookmarkEnd w:id="390"/>
    </w:p>
    <w:p w14:paraId="325C6991">
      <w:pPr>
        <w:pStyle w:val="40"/>
        <w:spacing w:line="360" w:lineRule="auto"/>
        <w:rPr>
          <w:highlight w:val="none"/>
        </w:rPr>
      </w:pPr>
    </w:p>
    <w:p w14:paraId="1E4AB193">
      <w:pPr>
        <w:pStyle w:val="40"/>
        <w:spacing w:line="360" w:lineRule="auto"/>
        <w:rPr>
          <w:highlight w:val="none"/>
        </w:rPr>
      </w:pPr>
      <w:r>
        <w:rPr>
          <w:rFonts w:hint="eastAsia"/>
          <w:highlight w:val="none"/>
        </w:rPr>
        <w:t>残疾人福利性单位声明函</w:t>
      </w:r>
    </w:p>
    <w:p w14:paraId="328B1C56">
      <w:pPr>
        <w:spacing w:line="360" w:lineRule="auto"/>
        <w:rPr>
          <w:highlight w:val="none"/>
        </w:rPr>
      </w:pPr>
    </w:p>
    <w:p w14:paraId="1DCAD11B">
      <w:pPr>
        <w:spacing w:line="360" w:lineRule="auto"/>
        <w:rPr>
          <w:highlight w:val="none"/>
        </w:rPr>
      </w:pPr>
      <w:r>
        <w:rPr>
          <w:rFonts w:hint="eastAsia"/>
          <w:highlight w:val="none"/>
        </w:rPr>
        <w:t>本公司（联合体）郑重声明，根据《财政部 民政部 中国残疾人联合会关于促进残疾人就业政府采购政策的通知》（财库〔2017〕141号）的规定，本公司（联合体）参加</w:t>
      </w:r>
      <w:r>
        <w:rPr>
          <w:rFonts w:hint="eastAsia"/>
          <w:highlight w:val="none"/>
          <w:u w:val="single"/>
        </w:rPr>
        <w:t xml:space="preserve"> （单位名称） </w:t>
      </w:r>
      <w:r>
        <w:rPr>
          <w:rFonts w:hint="eastAsia"/>
          <w:highlight w:val="none"/>
        </w:rPr>
        <w:t>的</w:t>
      </w:r>
      <w:r>
        <w:rPr>
          <w:rFonts w:hint="eastAsia"/>
          <w:highlight w:val="none"/>
          <w:u w:val="single"/>
        </w:rPr>
        <w:t xml:space="preserve"> （项目名称） </w:t>
      </w:r>
      <w:r>
        <w:rPr>
          <w:rFonts w:hint="eastAsia"/>
          <w:highlight w:val="none"/>
        </w:rPr>
        <w:t>采购活动，提供的货物</w:t>
      </w:r>
      <w:r>
        <w:rPr>
          <w:rFonts w:hint="eastAsia"/>
          <w:b/>
          <w:highlight w:val="none"/>
        </w:rPr>
        <w:t>全部由</w:t>
      </w:r>
      <w:r>
        <w:rPr>
          <w:rFonts w:hint="eastAsia"/>
          <w:highlight w:val="none"/>
        </w:rPr>
        <w:t>符合政策要求的</w:t>
      </w:r>
      <w:r>
        <w:rPr>
          <w:rFonts w:hint="eastAsia"/>
          <w:b/>
          <w:highlight w:val="none"/>
        </w:rPr>
        <w:t>残疾人福利性单位制造</w:t>
      </w:r>
      <w:r>
        <w:rPr>
          <w:rFonts w:hint="eastAsia"/>
          <w:highlight w:val="none"/>
        </w:rPr>
        <w:t>。相关企业（含联合体中的残疾人福利性单位、签订分包意向协议书的残疾人福利性单位）的具体情况如下：</w:t>
      </w:r>
    </w:p>
    <w:p w14:paraId="08C4C5B0">
      <w:pPr>
        <w:spacing w:line="360" w:lineRule="auto"/>
        <w:rPr>
          <w:highlight w:val="none"/>
        </w:rPr>
      </w:pPr>
      <w:r>
        <w:rPr>
          <w:rFonts w:hint="eastAsia"/>
          <w:highlight w:val="none"/>
        </w:rPr>
        <w:t>1.</w:t>
      </w:r>
      <w:r>
        <w:rPr>
          <w:rFonts w:hint="eastAsia"/>
          <w:highlight w:val="none"/>
          <w:u w:val="single"/>
        </w:rPr>
        <w:t xml:space="preserve"> （标的名称） </w:t>
      </w:r>
      <w:r>
        <w:rPr>
          <w:rFonts w:hint="eastAsia"/>
          <w:highlight w:val="none"/>
        </w:rPr>
        <w:t xml:space="preserve">，制造商为 </w:t>
      </w:r>
      <w:r>
        <w:rPr>
          <w:highlight w:val="none"/>
          <w:u w:val="single"/>
        </w:rPr>
        <w:t xml:space="preserve">  </w:t>
      </w:r>
      <w:r>
        <w:rPr>
          <w:rFonts w:hint="eastAsia"/>
          <w:highlight w:val="none"/>
          <w:u w:val="single"/>
        </w:rPr>
        <w:t xml:space="preserve">（企业名称） </w:t>
      </w:r>
      <w:r>
        <w:rPr>
          <w:rFonts w:hint="eastAsia"/>
          <w:highlight w:val="none"/>
        </w:rPr>
        <w:t>，属于残疾人福利性单位；</w:t>
      </w:r>
    </w:p>
    <w:p w14:paraId="7FE0B259">
      <w:pPr>
        <w:spacing w:line="360" w:lineRule="auto"/>
        <w:rPr>
          <w:highlight w:val="none"/>
        </w:rPr>
      </w:pPr>
      <w:r>
        <w:rPr>
          <w:rFonts w:hint="eastAsia"/>
          <w:highlight w:val="none"/>
        </w:rPr>
        <w:t xml:space="preserve">2. </w:t>
      </w:r>
      <w:r>
        <w:rPr>
          <w:rFonts w:hint="eastAsia"/>
          <w:highlight w:val="none"/>
          <w:u w:val="single"/>
        </w:rPr>
        <w:t xml:space="preserve">（标的名称） </w:t>
      </w:r>
      <w:r>
        <w:rPr>
          <w:rFonts w:hint="eastAsia"/>
          <w:highlight w:val="none"/>
        </w:rPr>
        <w:t xml:space="preserve">，制造商为 </w:t>
      </w:r>
      <w:r>
        <w:rPr>
          <w:highlight w:val="none"/>
          <w:u w:val="single"/>
        </w:rPr>
        <w:t xml:space="preserve">  </w:t>
      </w:r>
      <w:r>
        <w:rPr>
          <w:rFonts w:hint="eastAsia"/>
          <w:highlight w:val="none"/>
          <w:u w:val="single"/>
        </w:rPr>
        <w:t xml:space="preserve">（企业名称） </w:t>
      </w:r>
      <w:r>
        <w:rPr>
          <w:rFonts w:hint="eastAsia"/>
          <w:highlight w:val="none"/>
        </w:rPr>
        <w:t>，属于残疾人福利性单位；</w:t>
      </w:r>
    </w:p>
    <w:p w14:paraId="6A26F01F">
      <w:pPr>
        <w:spacing w:line="360" w:lineRule="auto"/>
        <w:rPr>
          <w:highlight w:val="none"/>
        </w:rPr>
      </w:pPr>
      <w:r>
        <w:rPr>
          <w:rFonts w:hint="eastAsia"/>
          <w:highlight w:val="none"/>
        </w:rPr>
        <w:t>……</w:t>
      </w:r>
    </w:p>
    <w:p w14:paraId="72D6D5C3">
      <w:pPr>
        <w:spacing w:line="360" w:lineRule="auto"/>
        <w:rPr>
          <w:highlight w:val="none"/>
        </w:rPr>
      </w:pPr>
      <w:r>
        <w:rPr>
          <w:rFonts w:hint="eastAsia"/>
          <w:highlight w:val="none"/>
        </w:rPr>
        <w:t>以上企业，不属于大企业的分支机构，不存在控股股东为大企业的情形，也不存在与大企业的负责人为同一人的情形。</w:t>
      </w:r>
    </w:p>
    <w:p w14:paraId="36D38763">
      <w:pPr>
        <w:spacing w:line="360" w:lineRule="auto"/>
        <w:rPr>
          <w:highlight w:val="none"/>
        </w:rPr>
      </w:pPr>
      <w:r>
        <w:rPr>
          <w:rFonts w:hint="eastAsia"/>
          <w:highlight w:val="none"/>
        </w:rPr>
        <w:t>本企业对上述声明内容的真实性负责。如有虚假，将依法承担相应责任。</w:t>
      </w:r>
    </w:p>
    <w:p w14:paraId="6BFDAA04">
      <w:pPr>
        <w:spacing w:line="360" w:lineRule="auto"/>
        <w:rPr>
          <w:highlight w:val="none"/>
        </w:rPr>
      </w:pPr>
    </w:p>
    <w:p w14:paraId="7D705F79">
      <w:pPr>
        <w:spacing w:line="360" w:lineRule="auto"/>
        <w:rPr>
          <w:szCs w:val="24"/>
          <w:highlight w:val="none"/>
        </w:rPr>
      </w:pPr>
      <w:r>
        <w:rPr>
          <w:rFonts w:hint="eastAsia"/>
          <w:b/>
          <w:szCs w:val="24"/>
          <w:highlight w:val="none"/>
        </w:rPr>
        <w:t>说明：</w:t>
      </w:r>
      <w:r>
        <w:rPr>
          <w:rFonts w:hint="eastAsia"/>
          <w:szCs w:val="24"/>
          <w:highlight w:val="none"/>
        </w:rPr>
        <w:t>1、</w:t>
      </w:r>
      <w:r>
        <w:rPr>
          <w:rFonts w:hint="eastAsia"/>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5B0BA742">
      <w:pPr>
        <w:spacing w:line="360" w:lineRule="auto"/>
        <w:rPr>
          <w:highlight w:val="none"/>
        </w:rPr>
      </w:pPr>
      <w:r>
        <w:rPr>
          <w:rFonts w:hint="eastAsia"/>
          <w:bCs/>
          <w:highlight w:val="none"/>
          <w:lang w:val="zh-CN"/>
        </w:rPr>
        <w:t xml:space="preserve">      2、</w:t>
      </w:r>
      <w:r>
        <w:rPr>
          <w:rFonts w:hint="eastAsia"/>
          <w:highlight w:val="none"/>
        </w:rPr>
        <w:t>以联合体形式参加的，应</w:t>
      </w:r>
      <w:r>
        <w:rPr>
          <w:rFonts w:hint="eastAsia"/>
          <w:bCs/>
          <w:highlight w:val="none"/>
          <w:lang w:val="zh-CN"/>
        </w:rPr>
        <w:t>当</w:t>
      </w:r>
      <w:r>
        <w:rPr>
          <w:rFonts w:hint="eastAsia"/>
          <w:highlight w:val="none"/>
        </w:rPr>
        <w:t>由联合体各方盖章。</w:t>
      </w:r>
    </w:p>
    <w:p w14:paraId="691C6405">
      <w:pPr>
        <w:spacing w:line="360" w:lineRule="auto"/>
        <w:rPr>
          <w:highlight w:val="none"/>
          <w:lang w:val="zh-CN"/>
        </w:rPr>
      </w:pPr>
      <w:r>
        <w:rPr>
          <w:rFonts w:hint="eastAsia"/>
          <w:highlight w:val="none"/>
          <w:lang w:val="zh-CN"/>
        </w:rPr>
        <w:t>投标人</w:t>
      </w:r>
      <w:r>
        <w:rPr>
          <w:rFonts w:hint="eastAsia"/>
          <w:highlight w:val="none"/>
        </w:rPr>
        <w:t>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rFonts w:hint="eastAsia"/>
          <w:highlight w:val="none"/>
          <w:lang w:val="zh-CN"/>
        </w:rPr>
        <w:t xml:space="preserve">：              </w:t>
      </w:r>
    </w:p>
    <w:p w14:paraId="0135F3E1">
      <w:pPr>
        <w:spacing w:line="360" w:lineRule="auto"/>
        <w:rPr>
          <w:highlight w:val="none"/>
        </w:rPr>
      </w:pPr>
      <w:r>
        <w:rPr>
          <w:rFonts w:hint="eastAsia"/>
          <w:highlight w:val="none"/>
        </w:rPr>
        <w:t>日</w:t>
      </w:r>
      <w:r>
        <w:rPr>
          <w:highlight w:val="none"/>
        </w:rPr>
        <w:t xml:space="preserve">  </w:t>
      </w:r>
      <w:r>
        <w:rPr>
          <w:rFonts w:hint="eastAsia"/>
          <w:highlight w:val="none"/>
        </w:rPr>
        <w:t>期：</w:t>
      </w:r>
      <w:r>
        <w:rPr>
          <w:highlight w:val="none"/>
        </w:rPr>
        <w:t xml:space="preserve">                         </w:t>
      </w:r>
    </w:p>
    <w:p w14:paraId="0DD9ACF9">
      <w:pPr>
        <w:spacing w:line="360" w:lineRule="auto"/>
        <w:rPr>
          <w:highlight w:val="none"/>
        </w:rPr>
      </w:pPr>
      <w:r>
        <w:rPr>
          <w:rFonts w:hint="eastAsia"/>
          <w:highlight w:val="none"/>
        </w:rPr>
        <w:br w:type="page"/>
      </w:r>
    </w:p>
    <w:p w14:paraId="72CD82B4">
      <w:pPr>
        <w:pStyle w:val="3"/>
        <w:spacing w:line="360" w:lineRule="auto"/>
        <w:rPr>
          <w:highlight w:val="none"/>
        </w:rPr>
      </w:pPr>
      <w:bookmarkStart w:id="391" w:name="_Toc229390304"/>
      <w:bookmarkStart w:id="392" w:name="_Toc163492942"/>
      <w:r>
        <w:rPr>
          <w:rFonts w:hint="eastAsia"/>
          <w:highlight w:val="none"/>
        </w:rPr>
        <w:t>五、不参与围标串标承诺书</w:t>
      </w:r>
      <w:bookmarkEnd w:id="391"/>
    </w:p>
    <w:p w14:paraId="511C2C36">
      <w:pPr>
        <w:spacing w:line="360" w:lineRule="auto"/>
        <w:rPr>
          <w:highlight w:val="none"/>
        </w:rPr>
      </w:pPr>
      <w:r>
        <w:rPr>
          <w:rFonts w:hint="eastAsia"/>
          <w:highlight w:val="none"/>
        </w:rPr>
        <w:t>不参与围标串标承诺书</w:t>
      </w:r>
    </w:p>
    <w:p w14:paraId="40D8FCBE">
      <w:pPr>
        <w:spacing w:line="360" w:lineRule="auto"/>
        <w:rPr>
          <w:highlight w:val="none"/>
        </w:rPr>
      </w:pPr>
      <w:r>
        <w:rPr>
          <w:rFonts w:hint="eastAsia"/>
          <w:highlight w:val="none"/>
        </w:rPr>
        <w:t>  </w:t>
      </w:r>
    </w:p>
    <w:p w14:paraId="5F64D8CB">
      <w:pPr>
        <w:spacing w:line="360" w:lineRule="auto"/>
        <w:rPr>
          <w:highlight w:val="none"/>
        </w:rPr>
      </w:pPr>
      <w:r>
        <w:rPr>
          <w:rFonts w:hint="eastAsia"/>
          <w:highlight w:val="none"/>
        </w:rPr>
        <w:t>本人作为经授权的投标人代表,清楚知晓我单位本项目投标活动,对以下事项作出承诺：</w:t>
      </w:r>
    </w:p>
    <w:p w14:paraId="3ADDC06F">
      <w:pPr>
        <w:spacing w:line="360" w:lineRule="auto"/>
        <w:rPr>
          <w:highlight w:val="none"/>
        </w:rPr>
      </w:pPr>
    </w:p>
    <w:p w14:paraId="682C303F">
      <w:pPr>
        <w:spacing w:line="360" w:lineRule="auto"/>
        <w:rPr>
          <w:highlight w:val="none"/>
        </w:rPr>
      </w:pPr>
      <w:r>
        <w:rPr>
          <w:rFonts w:hint="eastAsia"/>
          <w:highlight w:val="none"/>
        </w:rPr>
        <w:t>一、我单位和我本人遵循公开透明、公平竞争、公正和诚实信用的原则,依法依规参与本项目竞标。</w:t>
      </w:r>
    </w:p>
    <w:p w14:paraId="0243DD7F">
      <w:pPr>
        <w:spacing w:line="360" w:lineRule="auto"/>
        <w:rPr>
          <w:highlight w:val="none"/>
        </w:rPr>
      </w:pPr>
      <w:r>
        <w:rPr>
          <w:rFonts w:hint="eastAsia"/>
          <w:highlight w:val="none"/>
        </w:rPr>
        <w:t>二、我单位和我本人在本项目政府采购投标活动中,未参与围标串标。</w:t>
      </w:r>
    </w:p>
    <w:p w14:paraId="0095073D">
      <w:pPr>
        <w:spacing w:line="360" w:lineRule="auto"/>
        <w:rPr>
          <w:highlight w:val="none"/>
        </w:rPr>
      </w:pPr>
      <w:r>
        <w:rPr>
          <w:rFonts w:hint="eastAsia"/>
          <w:highlight w:val="none"/>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7043682E">
      <w:pPr>
        <w:pStyle w:val="13"/>
        <w:spacing w:line="360" w:lineRule="auto"/>
        <w:rPr>
          <w:highlight w:val="none"/>
        </w:rPr>
      </w:pPr>
    </w:p>
    <w:p w14:paraId="6500A650">
      <w:pPr>
        <w:spacing w:line="360" w:lineRule="auto"/>
        <w:rPr>
          <w:highlight w:val="none"/>
        </w:rPr>
      </w:pPr>
    </w:p>
    <w:p w14:paraId="64F93097">
      <w:pPr>
        <w:spacing w:line="360" w:lineRule="auto"/>
        <w:rPr>
          <w:highlight w:val="none"/>
        </w:rPr>
      </w:pPr>
      <w:r>
        <w:rPr>
          <w:rFonts w:hint="eastAsia"/>
          <w:highlight w:val="none"/>
        </w:rPr>
        <w:t>投标人名称</w:t>
      </w:r>
      <w:r>
        <w:rPr>
          <w:rFonts w:hint="eastAsia" w:cs="仿宋_GB2312"/>
          <w:highlight w:val="none"/>
        </w:rPr>
        <w:t>（</w:t>
      </w:r>
      <w:r>
        <w:rPr>
          <w:rFonts w:hint="eastAsia"/>
          <w:highlight w:val="none"/>
        </w:rPr>
        <w:t>公章</w:t>
      </w:r>
      <w:r>
        <w:rPr>
          <w:rFonts w:hint="eastAsia"/>
          <w:highlight w:val="none"/>
          <w:lang w:val="zh-CN"/>
        </w:rPr>
        <w:t>)</w:t>
      </w:r>
      <w:r>
        <w:rPr>
          <w:rFonts w:hint="eastAsia"/>
          <w:highlight w:val="none"/>
        </w:rPr>
        <w:t>：</w:t>
      </w:r>
    </w:p>
    <w:p w14:paraId="46C9EF6A">
      <w:pPr>
        <w:spacing w:line="360" w:lineRule="auto"/>
        <w:rPr>
          <w:highlight w:val="none"/>
        </w:rPr>
      </w:pPr>
      <w:r>
        <w:rPr>
          <w:rFonts w:hint="eastAsia"/>
          <w:highlight w:val="none"/>
        </w:rPr>
        <w:t>法定代表人（负责人或本人）或授权代表（签字或盖章）：</w:t>
      </w:r>
    </w:p>
    <w:p w14:paraId="4BF29830">
      <w:pPr>
        <w:spacing w:line="360" w:lineRule="auto"/>
        <w:rPr>
          <w:highlight w:val="none"/>
        </w:rPr>
      </w:pPr>
      <w:r>
        <w:rPr>
          <w:rFonts w:hint="eastAsia"/>
          <w:highlight w:val="none"/>
        </w:rPr>
        <w:t>日期： 年 月 日</w:t>
      </w:r>
    </w:p>
    <w:p w14:paraId="34C54BBF">
      <w:pPr>
        <w:spacing w:line="360" w:lineRule="auto"/>
        <w:rPr>
          <w:highlight w:val="none"/>
        </w:rPr>
      </w:pPr>
    </w:p>
    <w:p w14:paraId="0FF79DDB">
      <w:pPr>
        <w:pStyle w:val="13"/>
        <w:spacing w:line="360" w:lineRule="auto"/>
        <w:rPr>
          <w:highlight w:val="none"/>
        </w:rPr>
      </w:pPr>
    </w:p>
    <w:p w14:paraId="296F8844">
      <w:pPr>
        <w:pStyle w:val="13"/>
        <w:spacing w:line="360" w:lineRule="auto"/>
        <w:rPr>
          <w:highlight w:val="none"/>
        </w:rPr>
      </w:pPr>
    </w:p>
    <w:p w14:paraId="36CB6AE6">
      <w:pPr>
        <w:pStyle w:val="13"/>
        <w:spacing w:line="360" w:lineRule="auto"/>
        <w:rPr>
          <w:highlight w:val="none"/>
        </w:rPr>
      </w:pPr>
    </w:p>
    <w:p w14:paraId="34D0DD5C">
      <w:pPr>
        <w:pStyle w:val="13"/>
        <w:spacing w:line="360" w:lineRule="auto"/>
        <w:rPr>
          <w:highlight w:val="none"/>
        </w:rPr>
      </w:pPr>
    </w:p>
    <w:p w14:paraId="4BC8EA2A">
      <w:pPr>
        <w:pStyle w:val="13"/>
        <w:spacing w:line="360" w:lineRule="auto"/>
        <w:rPr>
          <w:highlight w:val="none"/>
        </w:rPr>
      </w:pPr>
    </w:p>
    <w:p w14:paraId="75CC1BA1">
      <w:pPr>
        <w:pStyle w:val="13"/>
        <w:spacing w:line="360" w:lineRule="auto"/>
        <w:rPr>
          <w:highlight w:val="none"/>
        </w:rPr>
      </w:pPr>
    </w:p>
    <w:p w14:paraId="324CEF8B">
      <w:pPr>
        <w:spacing w:line="360" w:lineRule="auto"/>
        <w:rPr>
          <w:highlight w:val="none"/>
        </w:rPr>
      </w:pPr>
      <w:r>
        <w:rPr>
          <w:rFonts w:hint="eastAsia"/>
          <w:highlight w:val="none"/>
        </w:rPr>
        <w:br w:type="page"/>
      </w:r>
    </w:p>
    <w:p w14:paraId="4C8E6B4E">
      <w:pPr>
        <w:pStyle w:val="3"/>
        <w:spacing w:line="360" w:lineRule="auto"/>
        <w:rPr>
          <w:highlight w:val="none"/>
          <w:lang w:val="zh-CN"/>
        </w:rPr>
      </w:pPr>
      <w:bookmarkStart w:id="393" w:name="_Toc229390305"/>
      <w:r>
        <w:rPr>
          <w:rFonts w:hint="eastAsia"/>
          <w:highlight w:val="none"/>
        </w:rPr>
        <w:t>六、</w:t>
      </w:r>
      <w:bookmarkEnd w:id="392"/>
      <w:r>
        <w:rPr>
          <w:rFonts w:hint="eastAsia"/>
          <w:highlight w:val="none"/>
          <w:lang w:val="zh-CN"/>
        </w:rPr>
        <w:t>其他资格证明文件</w:t>
      </w:r>
      <w:bookmarkEnd w:id="393"/>
    </w:p>
    <w:p w14:paraId="0EB777F0">
      <w:pPr>
        <w:pStyle w:val="38"/>
        <w:spacing w:line="360" w:lineRule="auto"/>
        <w:rPr>
          <w:highlight w:val="none"/>
        </w:rPr>
      </w:pPr>
      <w:r>
        <w:rPr>
          <w:rFonts w:hint="eastAsia"/>
          <w:highlight w:val="none"/>
        </w:rPr>
        <w:t>投标人认为需提供的其它相关资格证明材料</w:t>
      </w:r>
    </w:p>
    <w:p w14:paraId="2F80FB8B">
      <w:pPr>
        <w:pStyle w:val="38"/>
        <w:spacing w:line="360" w:lineRule="auto"/>
        <w:rPr>
          <w:highlight w:val="none"/>
        </w:rPr>
      </w:pPr>
    </w:p>
    <w:p w14:paraId="023ED6AC">
      <w:pPr>
        <w:pStyle w:val="38"/>
        <w:spacing w:line="360" w:lineRule="auto"/>
        <w:rPr>
          <w:highlight w:val="none"/>
        </w:rPr>
      </w:pPr>
    </w:p>
    <w:p w14:paraId="3FBE296D">
      <w:pPr>
        <w:pStyle w:val="38"/>
        <w:spacing w:line="360" w:lineRule="auto"/>
        <w:rPr>
          <w:highlight w:val="none"/>
        </w:rPr>
      </w:pPr>
    </w:p>
    <w:p w14:paraId="7D480321">
      <w:pPr>
        <w:pStyle w:val="38"/>
        <w:spacing w:line="360" w:lineRule="auto"/>
        <w:rPr>
          <w:highlight w:val="none"/>
        </w:rPr>
      </w:pPr>
    </w:p>
    <w:p w14:paraId="4EACF33C">
      <w:pPr>
        <w:pStyle w:val="38"/>
        <w:spacing w:line="360" w:lineRule="auto"/>
        <w:rPr>
          <w:highlight w:val="none"/>
        </w:rPr>
      </w:pPr>
    </w:p>
    <w:p w14:paraId="5BFC3483">
      <w:pPr>
        <w:pStyle w:val="38"/>
        <w:spacing w:line="360" w:lineRule="auto"/>
        <w:rPr>
          <w:highlight w:val="none"/>
        </w:rPr>
      </w:pPr>
    </w:p>
    <w:p w14:paraId="75777F1F">
      <w:pPr>
        <w:pStyle w:val="38"/>
        <w:spacing w:line="360" w:lineRule="auto"/>
        <w:rPr>
          <w:highlight w:val="none"/>
        </w:rPr>
      </w:pPr>
    </w:p>
    <w:p w14:paraId="0454B9EF">
      <w:pPr>
        <w:pStyle w:val="38"/>
        <w:spacing w:line="360" w:lineRule="auto"/>
        <w:rPr>
          <w:highlight w:val="none"/>
        </w:rPr>
      </w:pPr>
    </w:p>
    <w:p w14:paraId="416DA811">
      <w:pPr>
        <w:pStyle w:val="38"/>
        <w:spacing w:line="360" w:lineRule="auto"/>
        <w:rPr>
          <w:highlight w:val="none"/>
        </w:rPr>
      </w:pPr>
    </w:p>
    <w:p w14:paraId="26D56E64">
      <w:pPr>
        <w:pStyle w:val="38"/>
        <w:spacing w:line="360" w:lineRule="auto"/>
        <w:rPr>
          <w:highlight w:val="none"/>
        </w:rPr>
      </w:pPr>
    </w:p>
    <w:p w14:paraId="64F8C07A">
      <w:pPr>
        <w:pStyle w:val="38"/>
        <w:spacing w:line="360" w:lineRule="auto"/>
        <w:rPr>
          <w:highlight w:val="none"/>
        </w:rPr>
      </w:pPr>
    </w:p>
    <w:p w14:paraId="35FCF378">
      <w:pPr>
        <w:pStyle w:val="38"/>
        <w:spacing w:line="360" w:lineRule="auto"/>
        <w:rPr>
          <w:highlight w:val="none"/>
        </w:rPr>
      </w:pPr>
    </w:p>
    <w:p w14:paraId="441512B1">
      <w:pPr>
        <w:pStyle w:val="61"/>
        <w:spacing w:line="360" w:lineRule="auto"/>
        <w:rPr>
          <w:rFonts w:ascii="宋体" w:hAnsi="宋体" w:eastAsia="宋体" w:cs="宋体"/>
          <w:b/>
          <w:bCs/>
          <w:highlight w:val="none"/>
        </w:rPr>
      </w:pPr>
    </w:p>
    <w:p w14:paraId="777AF0CE">
      <w:pPr>
        <w:spacing w:line="360" w:lineRule="auto"/>
        <w:rPr>
          <w:highlight w:val="none"/>
          <w:lang w:val="zh-CN"/>
        </w:rPr>
      </w:pPr>
      <w:r>
        <w:rPr>
          <w:highlight w:val="none"/>
          <w:lang w:val="zh-CN"/>
        </w:rPr>
        <w:br w:type="page"/>
      </w:r>
    </w:p>
    <w:p w14:paraId="42750D3D">
      <w:pPr>
        <w:spacing w:line="360" w:lineRule="auto"/>
        <w:rPr>
          <w:highlight w:val="none"/>
          <w:lang w:val="zh-CN"/>
        </w:rPr>
      </w:pPr>
      <w:r>
        <w:rPr>
          <w:rFonts w:hint="eastAsia"/>
          <w:highlight w:val="none"/>
          <w:lang w:val="zh-CN"/>
        </w:rPr>
        <w:t>封面：</w:t>
      </w:r>
    </w:p>
    <w:p w14:paraId="1F89C77C">
      <w:pPr>
        <w:spacing w:line="360" w:lineRule="auto"/>
        <w:rPr>
          <w:highlight w:val="none"/>
        </w:rPr>
      </w:pPr>
    </w:p>
    <w:p w14:paraId="03B6B039">
      <w:pPr>
        <w:spacing w:line="360" w:lineRule="auto"/>
        <w:rPr>
          <w:highlight w:val="none"/>
        </w:rPr>
      </w:pPr>
    </w:p>
    <w:p w14:paraId="12933BD3">
      <w:pPr>
        <w:spacing w:line="360" w:lineRule="auto"/>
        <w:rPr>
          <w:highlight w:val="none"/>
        </w:rPr>
      </w:pPr>
    </w:p>
    <w:p w14:paraId="356ABB36">
      <w:pPr>
        <w:pStyle w:val="2"/>
        <w:spacing w:line="360" w:lineRule="auto"/>
        <w:rPr>
          <w:highlight w:val="none"/>
        </w:rPr>
      </w:pPr>
      <w:bookmarkStart w:id="394" w:name="_Toc229390306"/>
      <w:r>
        <w:rPr>
          <w:rFonts w:hint="eastAsia"/>
          <w:highlight w:val="none"/>
        </w:rPr>
        <w:t>投 标 文 件</w:t>
      </w:r>
      <w:bookmarkEnd w:id="394"/>
    </w:p>
    <w:p w14:paraId="5A9CCAE0">
      <w:pPr>
        <w:pStyle w:val="2"/>
        <w:spacing w:line="360" w:lineRule="auto"/>
        <w:rPr>
          <w:highlight w:val="none"/>
        </w:rPr>
      </w:pPr>
      <w:bookmarkStart w:id="395" w:name="_Toc229390307"/>
      <w:r>
        <w:rPr>
          <w:rFonts w:hint="eastAsia"/>
          <w:highlight w:val="none"/>
        </w:rPr>
        <w:t>报价文件</w:t>
      </w:r>
      <w:bookmarkEnd w:id="395"/>
    </w:p>
    <w:p w14:paraId="4C1FDF6C">
      <w:pPr>
        <w:spacing w:line="360" w:lineRule="auto"/>
        <w:rPr>
          <w:highlight w:val="none"/>
        </w:rPr>
      </w:pPr>
      <w:r>
        <w:rPr>
          <w:rFonts w:hint="eastAsia"/>
          <w:highlight w:val="none"/>
        </w:rPr>
        <w:t>（第XX包）【如不分包，请删去本行】</w:t>
      </w:r>
    </w:p>
    <w:p w14:paraId="7DCB0939">
      <w:pPr>
        <w:spacing w:line="360" w:lineRule="auto"/>
        <w:rPr>
          <w:highlight w:val="none"/>
        </w:rPr>
      </w:pPr>
    </w:p>
    <w:p w14:paraId="712DCB7C">
      <w:pPr>
        <w:spacing w:line="360" w:lineRule="auto"/>
        <w:rPr>
          <w:highlight w:val="none"/>
        </w:rPr>
      </w:pPr>
    </w:p>
    <w:p w14:paraId="04E456F3">
      <w:pPr>
        <w:spacing w:line="360" w:lineRule="auto"/>
        <w:rPr>
          <w:highlight w:val="none"/>
        </w:rPr>
      </w:pPr>
    </w:p>
    <w:p w14:paraId="46E86857">
      <w:pPr>
        <w:spacing w:line="360" w:lineRule="auto"/>
        <w:rPr>
          <w:highlight w:val="none"/>
        </w:rPr>
      </w:pPr>
      <w:r>
        <w:rPr>
          <w:rFonts w:hint="eastAsia"/>
          <w:highlight w:val="none"/>
        </w:rPr>
        <w:t xml:space="preserve">项目编号/包号：                            </w:t>
      </w:r>
    </w:p>
    <w:p w14:paraId="5CF7B70F">
      <w:pPr>
        <w:spacing w:line="360" w:lineRule="auto"/>
        <w:rPr>
          <w:highlight w:val="none"/>
        </w:rPr>
      </w:pPr>
      <w:r>
        <w:rPr>
          <w:rFonts w:hint="eastAsia"/>
          <w:highlight w:val="none"/>
        </w:rPr>
        <w:t xml:space="preserve">项目名称：                                 </w:t>
      </w:r>
    </w:p>
    <w:p w14:paraId="2636920B">
      <w:pPr>
        <w:spacing w:line="360" w:lineRule="auto"/>
        <w:rPr>
          <w:highlight w:val="none"/>
        </w:rPr>
      </w:pPr>
      <w:r>
        <w:rPr>
          <w:rFonts w:hint="eastAsia"/>
          <w:highlight w:val="none"/>
        </w:rPr>
        <w:t xml:space="preserve">投 标 人：                                 </w:t>
      </w:r>
    </w:p>
    <w:p w14:paraId="168D7070">
      <w:pPr>
        <w:spacing w:line="360" w:lineRule="auto"/>
        <w:rPr>
          <w:highlight w:val="none"/>
        </w:rPr>
      </w:pPr>
    </w:p>
    <w:p w14:paraId="4B1F3441">
      <w:pPr>
        <w:spacing w:line="360" w:lineRule="auto"/>
        <w:rPr>
          <w:highlight w:val="none"/>
        </w:rPr>
      </w:pPr>
    </w:p>
    <w:p w14:paraId="07248AF7">
      <w:pPr>
        <w:spacing w:line="360" w:lineRule="auto"/>
        <w:rPr>
          <w:highlight w:val="none"/>
        </w:rPr>
      </w:pPr>
      <w:r>
        <w:rPr>
          <w:rFonts w:hint="eastAsia"/>
          <w:highlight w:val="none"/>
        </w:rPr>
        <w:t>年   月    日</w:t>
      </w:r>
    </w:p>
    <w:p w14:paraId="1FF3E80B">
      <w:pPr>
        <w:spacing w:line="360" w:lineRule="auto"/>
        <w:rPr>
          <w:highlight w:val="none"/>
          <w:lang w:val="zh-CN"/>
        </w:rPr>
      </w:pPr>
      <w:r>
        <w:rPr>
          <w:highlight w:val="none"/>
          <w:lang w:val="zh-CN"/>
        </w:rPr>
        <w:br w:type="page"/>
      </w:r>
    </w:p>
    <w:p w14:paraId="6B19BE51">
      <w:pPr>
        <w:pStyle w:val="3"/>
        <w:spacing w:line="360" w:lineRule="auto"/>
        <w:rPr>
          <w:highlight w:val="none"/>
        </w:rPr>
      </w:pPr>
      <w:bookmarkStart w:id="396" w:name="_Toc229390308"/>
      <w:r>
        <w:rPr>
          <w:rFonts w:hint="eastAsia"/>
          <w:highlight w:val="none"/>
        </w:rPr>
        <w:t>一、开标一览表</w:t>
      </w:r>
      <w:bookmarkEnd w:id="396"/>
    </w:p>
    <w:p w14:paraId="55A71ED6">
      <w:pPr>
        <w:spacing w:line="360" w:lineRule="auto"/>
        <w:rPr>
          <w:highlight w:val="none"/>
        </w:rPr>
      </w:pPr>
    </w:p>
    <w:p w14:paraId="0756E9DD">
      <w:pPr>
        <w:spacing w:line="360" w:lineRule="auto"/>
        <w:rPr>
          <w:highlight w:val="none"/>
          <w:lang w:val="zh-CN"/>
        </w:rPr>
      </w:pPr>
      <w:r>
        <w:rPr>
          <w:rFonts w:hint="eastAsia"/>
          <w:highlight w:val="none"/>
          <w:lang w:val="zh-CN"/>
        </w:rPr>
        <w:t xml:space="preserve">项目名称：                     </w:t>
      </w:r>
    </w:p>
    <w:p w14:paraId="2C5668E7">
      <w:pPr>
        <w:spacing w:line="360" w:lineRule="auto"/>
        <w:rPr>
          <w:highlight w:val="none"/>
          <w:lang w:val="zh-CN"/>
        </w:rPr>
      </w:pPr>
      <w:r>
        <w:rPr>
          <w:rFonts w:hint="eastAsia"/>
          <w:highlight w:val="none"/>
          <w:lang w:val="zh-CN"/>
        </w:rPr>
        <w:t>项目编号</w:t>
      </w:r>
      <w:r>
        <w:rPr>
          <w:rFonts w:hint="eastAsia"/>
          <w:highlight w:val="none"/>
        </w:rPr>
        <w:t>/</w:t>
      </w:r>
      <w:r>
        <w:rPr>
          <w:rFonts w:hint="eastAsia"/>
          <w:highlight w:val="none"/>
          <w:lang w:val="zh-CN"/>
        </w:rPr>
        <w:t xml:space="preserve">包号：                </w:t>
      </w:r>
    </w:p>
    <w:tbl>
      <w:tblPr>
        <w:tblStyle w:val="30"/>
        <w:tblW w:w="11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594"/>
        <w:gridCol w:w="1271"/>
        <w:gridCol w:w="1966"/>
        <w:gridCol w:w="808"/>
        <w:gridCol w:w="808"/>
        <w:gridCol w:w="812"/>
        <w:gridCol w:w="1327"/>
        <w:gridCol w:w="1327"/>
        <w:gridCol w:w="782"/>
      </w:tblGrid>
      <w:tr w14:paraId="6169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800" w:type="dxa"/>
            <w:vAlign w:val="center"/>
          </w:tcPr>
          <w:p w14:paraId="76976FDD">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序号</w:t>
            </w:r>
          </w:p>
        </w:tc>
        <w:tc>
          <w:tcPr>
            <w:tcW w:w="1594" w:type="dxa"/>
            <w:vAlign w:val="center"/>
          </w:tcPr>
          <w:p w14:paraId="2AAB6FB1">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货物总名称</w:t>
            </w:r>
          </w:p>
        </w:tc>
        <w:tc>
          <w:tcPr>
            <w:tcW w:w="1271" w:type="dxa"/>
            <w:vAlign w:val="center"/>
          </w:tcPr>
          <w:p w14:paraId="0DE89D44">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品牌</w:t>
            </w:r>
          </w:p>
        </w:tc>
        <w:tc>
          <w:tcPr>
            <w:tcW w:w="1966" w:type="dxa"/>
            <w:vAlign w:val="center"/>
          </w:tcPr>
          <w:p w14:paraId="2FE5E384">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生产厂家</w:t>
            </w:r>
          </w:p>
        </w:tc>
        <w:tc>
          <w:tcPr>
            <w:tcW w:w="808" w:type="dxa"/>
          </w:tcPr>
          <w:p w14:paraId="21560011">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产地/国别</w:t>
            </w:r>
          </w:p>
        </w:tc>
        <w:tc>
          <w:tcPr>
            <w:tcW w:w="808" w:type="dxa"/>
            <w:vAlign w:val="center"/>
          </w:tcPr>
          <w:p w14:paraId="7B4D6018">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单位</w:t>
            </w:r>
          </w:p>
        </w:tc>
        <w:tc>
          <w:tcPr>
            <w:tcW w:w="812" w:type="dxa"/>
            <w:vAlign w:val="center"/>
          </w:tcPr>
          <w:p w14:paraId="626C6357">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数量</w:t>
            </w:r>
          </w:p>
        </w:tc>
        <w:tc>
          <w:tcPr>
            <w:tcW w:w="1327" w:type="dxa"/>
            <w:vAlign w:val="center"/>
          </w:tcPr>
          <w:p w14:paraId="732BECB9">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投标限价</w:t>
            </w:r>
          </w:p>
        </w:tc>
        <w:tc>
          <w:tcPr>
            <w:tcW w:w="1327" w:type="dxa"/>
            <w:vAlign w:val="center"/>
          </w:tcPr>
          <w:p w14:paraId="77257987">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投标报价</w:t>
            </w:r>
          </w:p>
        </w:tc>
        <w:tc>
          <w:tcPr>
            <w:tcW w:w="782" w:type="dxa"/>
            <w:vAlign w:val="center"/>
          </w:tcPr>
          <w:p w14:paraId="73B427DA">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备注</w:t>
            </w:r>
          </w:p>
        </w:tc>
      </w:tr>
      <w:tr w14:paraId="720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800" w:type="dxa"/>
            <w:vAlign w:val="center"/>
          </w:tcPr>
          <w:p w14:paraId="31227D88">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1</w:t>
            </w:r>
          </w:p>
        </w:tc>
        <w:tc>
          <w:tcPr>
            <w:tcW w:w="1594" w:type="dxa"/>
            <w:vAlign w:val="center"/>
          </w:tcPr>
          <w:p w14:paraId="133697E3">
            <w:pPr>
              <w:adjustRightInd w:val="0"/>
              <w:spacing w:line="360" w:lineRule="auto"/>
              <w:jc w:val="center"/>
              <w:textAlignment w:val="center"/>
              <w:rPr>
                <w:rFonts w:cs="方正仿宋_GB2312"/>
                <w:color w:val="000000"/>
                <w:kern w:val="0"/>
                <w:szCs w:val="18"/>
                <w:highlight w:val="none"/>
                <w:lang w:bidi="ar"/>
              </w:rPr>
            </w:pPr>
            <w:r>
              <w:rPr>
                <w:rFonts w:hint="eastAsia"/>
                <w:highlight w:val="none"/>
              </w:rPr>
              <w:t>三去鱼类</w:t>
            </w:r>
          </w:p>
        </w:tc>
        <w:tc>
          <w:tcPr>
            <w:tcW w:w="1271" w:type="dxa"/>
            <w:vAlign w:val="center"/>
          </w:tcPr>
          <w:p w14:paraId="306D8BE6">
            <w:pPr>
              <w:adjustRightInd w:val="0"/>
              <w:spacing w:line="360" w:lineRule="auto"/>
              <w:jc w:val="center"/>
              <w:textAlignment w:val="center"/>
              <w:rPr>
                <w:rFonts w:cs="方正仿宋_GB2312"/>
                <w:color w:val="000000"/>
                <w:kern w:val="0"/>
                <w:szCs w:val="18"/>
                <w:highlight w:val="none"/>
                <w:lang w:bidi="ar"/>
              </w:rPr>
            </w:pPr>
          </w:p>
        </w:tc>
        <w:tc>
          <w:tcPr>
            <w:tcW w:w="1966" w:type="dxa"/>
            <w:vAlign w:val="center"/>
          </w:tcPr>
          <w:p w14:paraId="759CC560">
            <w:pPr>
              <w:widowControl w:val="0"/>
              <w:adjustRightInd w:val="0"/>
              <w:spacing w:line="360" w:lineRule="auto"/>
              <w:jc w:val="center"/>
              <w:textAlignment w:val="baseline"/>
              <w:rPr>
                <w:rFonts w:cs="宋体"/>
                <w:kern w:val="0"/>
                <w:szCs w:val="24"/>
                <w:highlight w:val="none"/>
              </w:rPr>
            </w:pPr>
          </w:p>
        </w:tc>
        <w:tc>
          <w:tcPr>
            <w:tcW w:w="808" w:type="dxa"/>
          </w:tcPr>
          <w:p w14:paraId="1A4CF760">
            <w:pPr>
              <w:widowControl w:val="0"/>
              <w:adjustRightInd w:val="0"/>
              <w:spacing w:line="360" w:lineRule="auto"/>
              <w:jc w:val="center"/>
              <w:textAlignment w:val="baseline"/>
              <w:rPr>
                <w:rFonts w:cs="宋体"/>
                <w:kern w:val="0"/>
                <w:szCs w:val="24"/>
                <w:highlight w:val="none"/>
              </w:rPr>
            </w:pPr>
          </w:p>
        </w:tc>
        <w:tc>
          <w:tcPr>
            <w:tcW w:w="808" w:type="dxa"/>
            <w:vAlign w:val="center"/>
          </w:tcPr>
          <w:p w14:paraId="15BAEF53">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1</w:t>
            </w:r>
          </w:p>
        </w:tc>
        <w:tc>
          <w:tcPr>
            <w:tcW w:w="812" w:type="dxa"/>
            <w:vAlign w:val="center"/>
          </w:tcPr>
          <w:p w14:paraId="3F7C07A3">
            <w:pPr>
              <w:adjustRightInd w:val="0"/>
              <w:spacing w:line="360" w:lineRule="auto"/>
              <w:jc w:val="center"/>
              <w:textAlignment w:val="center"/>
              <w:rPr>
                <w:rFonts w:cs="宋体"/>
                <w:szCs w:val="24"/>
                <w:highlight w:val="none"/>
              </w:rPr>
            </w:pPr>
            <w:r>
              <w:rPr>
                <w:rFonts w:hint="eastAsia"/>
                <w:highlight w:val="none"/>
              </w:rPr>
              <w:t>公斤</w:t>
            </w:r>
          </w:p>
        </w:tc>
        <w:tc>
          <w:tcPr>
            <w:tcW w:w="1327" w:type="dxa"/>
            <w:vAlign w:val="center"/>
          </w:tcPr>
          <w:p w14:paraId="143DD2CE">
            <w:pPr>
              <w:widowControl w:val="0"/>
              <w:adjustRightInd w:val="0"/>
              <w:spacing w:line="360" w:lineRule="auto"/>
              <w:jc w:val="center"/>
              <w:textAlignment w:val="center"/>
              <w:rPr>
                <w:rFonts w:cs="仿宋"/>
                <w:color w:val="000000"/>
                <w:kern w:val="0"/>
                <w:szCs w:val="24"/>
                <w:highlight w:val="none"/>
                <w:lang w:bidi="ar"/>
              </w:rPr>
            </w:pPr>
            <w:r>
              <w:rPr>
                <w:rFonts w:hint="eastAsia"/>
                <w:highlight w:val="none"/>
              </w:rPr>
              <w:t>上浮率X≤35</w:t>
            </w:r>
            <w:r>
              <w:rPr>
                <w:highlight w:val="none"/>
              </w:rPr>
              <w:t>.00%</w:t>
            </w:r>
          </w:p>
        </w:tc>
        <w:tc>
          <w:tcPr>
            <w:tcW w:w="1327" w:type="dxa"/>
            <w:vAlign w:val="center"/>
          </w:tcPr>
          <w:p w14:paraId="22CCF377">
            <w:pPr>
              <w:widowControl w:val="0"/>
              <w:adjustRightInd w:val="0"/>
              <w:spacing w:line="360" w:lineRule="auto"/>
              <w:jc w:val="center"/>
              <w:textAlignment w:val="center"/>
              <w:rPr>
                <w:rFonts w:cs="仿宋"/>
                <w:color w:val="000000"/>
                <w:kern w:val="0"/>
                <w:szCs w:val="24"/>
                <w:highlight w:val="none"/>
                <w:lang w:bidi="ar"/>
              </w:rPr>
            </w:pPr>
            <w:r>
              <w:rPr>
                <w:rFonts w:hint="eastAsia"/>
                <w:highlight w:val="none"/>
              </w:rPr>
              <w:t>上浮率X</w:t>
            </w:r>
            <w:r>
              <w:rPr>
                <w:rFonts w:hint="eastAsia" w:ascii="Calibri" w:hAnsi="Calibri" w:cs="Times New Roman"/>
                <w:szCs w:val="24"/>
                <w:highlight w:val="none"/>
              </w:rPr>
              <w:t>=</w:t>
            </w:r>
            <w:r>
              <w:rPr>
                <w:rFonts w:ascii="Calibri" w:hAnsi="Calibri" w:cs="Times New Roman"/>
                <w:szCs w:val="24"/>
                <w:highlight w:val="none"/>
                <w:u w:val="single"/>
              </w:rPr>
              <w:t xml:space="preserve">    </w:t>
            </w:r>
            <w:r>
              <w:rPr>
                <w:highlight w:val="none"/>
              </w:rPr>
              <w:t>%</w:t>
            </w:r>
          </w:p>
        </w:tc>
        <w:tc>
          <w:tcPr>
            <w:tcW w:w="782" w:type="dxa"/>
            <w:vAlign w:val="center"/>
          </w:tcPr>
          <w:p w14:paraId="2BA4F2C6">
            <w:pPr>
              <w:widowControl w:val="0"/>
              <w:adjustRightInd w:val="0"/>
              <w:spacing w:line="360" w:lineRule="auto"/>
              <w:jc w:val="center"/>
              <w:textAlignment w:val="baseline"/>
              <w:rPr>
                <w:rFonts w:cs="宋体"/>
                <w:kern w:val="0"/>
                <w:szCs w:val="24"/>
                <w:highlight w:val="none"/>
              </w:rPr>
            </w:pPr>
          </w:p>
        </w:tc>
      </w:tr>
      <w:tr w14:paraId="32B2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800" w:type="dxa"/>
            <w:vAlign w:val="center"/>
          </w:tcPr>
          <w:p w14:paraId="6158D7D1">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2</w:t>
            </w:r>
          </w:p>
        </w:tc>
        <w:tc>
          <w:tcPr>
            <w:tcW w:w="1594" w:type="dxa"/>
            <w:vAlign w:val="center"/>
          </w:tcPr>
          <w:p w14:paraId="285C511B">
            <w:pPr>
              <w:adjustRightInd w:val="0"/>
              <w:spacing w:line="360" w:lineRule="auto"/>
              <w:jc w:val="center"/>
              <w:textAlignment w:val="center"/>
              <w:rPr>
                <w:rFonts w:cs="方正仿宋_GB2312"/>
                <w:color w:val="000000"/>
                <w:kern w:val="0"/>
                <w:szCs w:val="18"/>
                <w:highlight w:val="none"/>
                <w:lang w:bidi="ar"/>
              </w:rPr>
            </w:pPr>
            <w:r>
              <w:rPr>
                <w:rFonts w:hint="eastAsia"/>
                <w:highlight w:val="none"/>
              </w:rPr>
              <w:t>两去鱼类</w:t>
            </w:r>
          </w:p>
        </w:tc>
        <w:tc>
          <w:tcPr>
            <w:tcW w:w="1271" w:type="dxa"/>
            <w:vAlign w:val="center"/>
          </w:tcPr>
          <w:p w14:paraId="78A04D06">
            <w:pPr>
              <w:adjustRightInd w:val="0"/>
              <w:spacing w:line="360" w:lineRule="auto"/>
              <w:jc w:val="center"/>
              <w:textAlignment w:val="center"/>
              <w:rPr>
                <w:rFonts w:cs="方正仿宋_GB2312"/>
                <w:color w:val="000000"/>
                <w:kern w:val="0"/>
                <w:szCs w:val="18"/>
                <w:highlight w:val="none"/>
                <w:lang w:bidi="ar"/>
              </w:rPr>
            </w:pPr>
          </w:p>
        </w:tc>
        <w:tc>
          <w:tcPr>
            <w:tcW w:w="1966" w:type="dxa"/>
            <w:vAlign w:val="center"/>
          </w:tcPr>
          <w:p w14:paraId="38B7E5AD">
            <w:pPr>
              <w:widowControl w:val="0"/>
              <w:adjustRightInd w:val="0"/>
              <w:spacing w:line="360" w:lineRule="auto"/>
              <w:jc w:val="center"/>
              <w:textAlignment w:val="baseline"/>
              <w:rPr>
                <w:rFonts w:cs="宋体"/>
                <w:kern w:val="0"/>
                <w:szCs w:val="24"/>
                <w:highlight w:val="none"/>
              </w:rPr>
            </w:pPr>
          </w:p>
        </w:tc>
        <w:tc>
          <w:tcPr>
            <w:tcW w:w="808" w:type="dxa"/>
          </w:tcPr>
          <w:p w14:paraId="01F2F97D">
            <w:pPr>
              <w:widowControl w:val="0"/>
              <w:adjustRightInd w:val="0"/>
              <w:spacing w:line="360" w:lineRule="auto"/>
              <w:jc w:val="center"/>
              <w:textAlignment w:val="baseline"/>
              <w:rPr>
                <w:rFonts w:cs="宋体"/>
                <w:kern w:val="0"/>
                <w:szCs w:val="24"/>
                <w:highlight w:val="none"/>
              </w:rPr>
            </w:pPr>
          </w:p>
        </w:tc>
        <w:tc>
          <w:tcPr>
            <w:tcW w:w="808" w:type="dxa"/>
            <w:vAlign w:val="center"/>
          </w:tcPr>
          <w:p w14:paraId="6159E981">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1</w:t>
            </w:r>
          </w:p>
        </w:tc>
        <w:tc>
          <w:tcPr>
            <w:tcW w:w="812" w:type="dxa"/>
            <w:vAlign w:val="center"/>
          </w:tcPr>
          <w:p w14:paraId="515FE370">
            <w:pPr>
              <w:adjustRightInd w:val="0"/>
              <w:spacing w:line="360" w:lineRule="auto"/>
              <w:jc w:val="center"/>
              <w:textAlignment w:val="center"/>
              <w:rPr>
                <w:rFonts w:cs="宋体"/>
                <w:szCs w:val="24"/>
                <w:highlight w:val="none"/>
              </w:rPr>
            </w:pPr>
            <w:r>
              <w:rPr>
                <w:rFonts w:hint="eastAsia"/>
                <w:highlight w:val="none"/>
              </w:rPr>
              <w:t>公斤</w:t>
            </w:r>
          </w:p>
        </w:tc>
        <w:tc>
          <w:tcPr>
            <w:tcW w:w="1327" w:type="dxa"/>
            <w:vAlign w:val="center"/>
          </w:tcPr>
          <w:p w14:paraId="66A52DE8">
            <w:pPr>
              <w:widowControl w:val="0"/>
              <w:adjustRightInd w:val="0"/>
              <w:spacing w:line="360" w:lineRule="auto"/>
              <w:jc w:val="center"/>
              <w:textAlignment w:val="center"/>
              <w:rPr>
                <w:rFonts w:cs="仿宋"/>
                <w:color w:val="000000"/>
                <w:kern w:val="0"/>
                <w:szCs w:val="24"/>
                <w:highlight w:val="none"/>
                <w:lang w:bidi="ar"/>
              </w:rPr>
            </w:pPr>
            <w:r>
              <w:rPr>
                <w:rFonts w:hint="eastAsia"/>
                <w:highlight w:val="none"/>
              </w:rPr>
              <w:t>上浮率</w:t>
            </w:r>
            <w:r>
              <w:rPr>
                <w:highlight w:val="none"/>
              </w:rPr>
              <w:t>Y</w:t>
            </w:r>
            <w:r>
              <w:rPr>
                <w:rFonts w:hint="eastAsia"/>
                <w:highlight w:val="none"/>
              </w:rPr>
              <w:t>≤</w:t>
            </w:r>
            <w:r>
              <w:rPr>
                <w:highlight w:val="none"/>
              </w:rPr>
              <w:t>20.00%</w:t>
            </w:r>
          </w:p>
        </w:tc>
        <w:tc>
          <w:tcPr>
            <w:tcW w:w="1327" w:type="dxa"/>
            <w:vAlign w:val="center"/>
          </w:tcPr>
          <w:p w14:paraId="69DEFE89">
            <w:pPr>
              <w:widowControl w:val="0"/>
              <w:adjustRightInd w:val="0"/>
              <w:spacing w:line="360" w:lineRule="auto"/>
              <w:jc w:val="center"/>
              <w:textAlignment w:val="center"/>
              <w:rPr>
                <w:rFonts w:cs="仿宋"/>
                <w:color w:val="000000"/>
                <w:kern w:val="0"/>
                <w:szCs w:val="24"/>
                <w:highlight w:val="none"/>
                <w:lang w:bidi="ar"/>
              </w:rPr>
            </w:pPr>
            <w:r>
              <w:rPr>
                <w:rFonts w:hint="eastAsia"/>
                <w:highlight w:val="none"/>
              </w:rPr>
              <w:t>上浮率</w:t>
            </w:r>
            <w:r>
              <w:rPr>
                <w:highlight w:val="none"/>
              </w:rPr>
              <w:t>Y</w:t>
            </w:r>
            <w:r>
              <w:rPr>
                <w:rFonts w:hint="eastAsia" w:ascii="Calibri" w:hAnsi="Calibri" w:cs="Times New Roman"/>
                <w:szCs w:val="24"/>
                <w:highlight w:val="none"/>
              </w:rPr>
              <w:t>=</w:t>
            </w:r>
            <w:r>
              <w:rPr>
                <w:rFonts w:ascii="Calibri" w:hAnsi="Calibri" w:cs="Times New Roman"/>
                <w:szCs w:val="24"/>
                <w:highlight w:val="none"/>
                <w:u w:val="single"/>
              </w:rPr>
              <w:t xml:space="preserve">    </w:t>
            </w:r>
            <w:r>
              <w:rPr>
                <w:highlight w:val="none"/>
              </w:rPr>
              <w:t>%</w:t>
            </w:r>
          </w:p>
        </w:tc>
        <w:tc>
          <w:tcPr>
            <w:tcW w:w="782" w:type="dxa"/>
            <w:vAlign w:val="center"/>
          </w:tcPr>
          <w:p w14:paraId="2AD7C522">
            <w:pPr>
              <w:widowControl w:val="0"/>
              <w:adjustRightInd w:val="0"/>
              <w:spacing w:line="360" w:lineRule="auto"/>
              <w:jc w:val="center"/>
              <w:textAlignment w:val="baseline"/>
              <w:rPr>
                <w:rFonts w:cs="宋体"/>
                <w:kern w:val="0"/>
                <w:szCs w:val="24"/>
                <w:highlight w:val="none"/>
              </w:rPr>
            </w:pPr>
          </w:p>
        </w:tc>
      </w:tr>
      <w:tr w14:paraId="15D9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800" w:type="dxa"/>
            <w:vAlign w:val="center"/>
          </w:tcPr>
          <w:p w14:paraId="01A84B49">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3</w:t>
            </w:r>
          </w:p>
        </w:tc>
        <w:tc>
          <w:tcPr>
            <w:tcW w:w="1594" w:type="dxa"/>
            <w:vAlign w:val="center"/>
          </w:tcPr>
          <w:p w14:paraId="305CD18A">
            <w:pPr>
              <w:adjustRightInd w:val="0"/>
              <w:spacing w:line="360" w:lineRule="auto"/>
              <w:jc w:val="center"/>
              <w:textAlignment w:val="center"/>
              <w:rPr>
                <w:rFonts w:cs="方正仿宋_GB2312"/>
                <w:color w:val="000000"/>
                <w:kern w:val="0"/>
                <w:szCs w:val="18"/>
                <w:highlight w:val="none"/>
                <w:lang w:bidi="ar"/>
              </w:rPr>
            </w:pPr>
            <w:r>
              <w:rPr>
                <w:rFonts w:hint="eastAsia"/>
                <w:highlight w:val="none"/>
              </w:rPr>
              <w:t>其他水产</w:t>
            </w:r>
          </w:p>
        </w:tc>
        <w:tc>
          <w:tcPr>
            <w:tcW w:w="1271" w:type="dxa"/>
            <w:vAlign w:val="center"/>
          </w:tcPr>
          <w:p w14:paraId="73DF6071">
            <w:pPr>
              <w:adjustRightInd w:val="0"/>
              <w:spacing w:line="360" w:lineRule="auto"/>
              <w:jc w:val="center"/>
              <w:textAlignment w:val="center"/>
              <w:rPr>
                <w:rFonts w:cs="方正仿宋_GB2312"/>
                <w:color w:val="000000"/>
                <w:kern w:val="0"/>
                <w:szCs w:val="18"/>
                <w:highlight w:val="none"/>
                <w:lang w:bidi="ar"/>
              </w:rPr>
            </w:pPr>
          </w:p>
        </w:tc>
        <w:tc>
          <w:tcPr>
            <w:tcW w:w="1966" w:type="dxa"/>
            <w:vAlign w:val="center"/>
          </w:tcPr>
          <w:p w14:paraId="5B83B510">
            <w:pPr>
              <w:widowControl w:val="0"/>
              <w:adjustRightInd w:val="0"/>
              <w:spacing w:line="360" w:lineRule="auto"/>
              <w:jc w:val="center"/>
              <w:textAlignment w:val="baseline"/>
              <w:rPr>
                <w:rFonts w:cs="宋体"/>
                <w:kern w:val="0"/>
                <w:szCs w:val="24"/>
                <w:highlight w:val="none"/>
              </w:rPr>
            </w:pPr>
          </w:p>
        </w:tc>
        <w:tc>
          <w:tcPr>
            <w:tcW w:w="808" w:type="dxa"/>
          </w:tcPr>
          <w:p w14:paraId="66C61F85">
            <w:pPr>
              <w:widowControl w:val="0"/>
              <w:adjustRightInd w:val="0"/>
              <w:spacing w:line="360" w:lineRule="auto"/>
              <w:jc w:val="center"/>
              <w:textAlignment w:val="baseline"/>
              <w:rPr>
                <w:rFonts w:cs="宋体"/>
                <w:kern w:val="0"/>
                <w:szCs w:val="24"/>
                <w:highlight w:val="none"/>
              </w:rPr>
            </w:pPr>
          </w:p>
        </w:tc>
        <w:tc>
          <w:tcPr>
            <w:tcW w:w="808" w:type="dxa"/>
            <w:vAlign w:val="center"/>
          </w:tcPr>
          <w:p w14:paraId="59B4230E">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1</w:t>
            </w:r>
          </w:p>
        </w:tc>
        <w:tc>
          <w:tcPr>
            <w:tcW w:w="812" w:type="dxa"/>
            <w:vAlign w:val="center"/>
          </w:tcPr>
          <w:p w14:paraId="6EB1C5F2">
            <w:pPr>
              <w:adjustRightInd w:val="0"/>
              <w:spacing w:line="360" w:lineRule="auto"/>
              <w:jc w:val="center"/>
              <w:textAlignment w:val="center"/>
              <w:rPr>
                <w:rFonts w:cs="宋体"/>
                <w:szCs w:val="24"/>
                <w:highlight w:val="none"/>
              </w:rPr>
            </w:pPr>
            <w:r>
              <w:rPr>
                <w:rFonts w:hint="eastAsia"/>
                <w:highlight w:val="none"/>
              </w:rPr>
              <w:t>公斤</w:t>
            </w:r>
          </w:p>
        </w:tc>
        <w:tc>
          <w:tcPr>
            <w:tcW w:w="1327" w:type="dxa"/>
            <w:vAlign w:val="center"/>
          </w:tcPr>
          <w:p w14:paraId="3503CA67">
            <w:pPr>
              <w:widowControl w:val="0"/>
              <w:adjustRightInd w:val="0"/>
              <w:spacing w:line="360" w:lineRule="auto"/>
              <w:jc w:val="center"/>
              <w:textAlignment w:val="center"/>
              <w:rPr>
                <w:rFonts w:cs="仿宋"/>
                <w:color w:val="000000"/>
                <w:kern w:val="0"/>
                <w:szCs w:val="24"/>
                <w:highlight w:val="none"/>
                <w:lang w:bidi="ar"/>
              </w:rPr>
            </w:pPr>
            <w:r>
              <w:rPr>
                <w:rFonts w:hint="eastAsia" w:ascii="Calibri" w:hAnsi="Calibri" w:cs="Times New Roman"/>
                <w:szCs w:val="24"/>
                <w:highlight w:val="none"/>
              </w:rPr>
              <w:t>下浮率Z≥10</w:t>
            </w:r>
            <w:r>
              <w:rPr>
                <w:highlight w:val="none"/>
              </w:rPr>
              <w:t>.00%</w:t>
            </w:r>
          </w:p>
        </w:tc>
        <w:tc>
          <w:tcPr>
            <w:tcW w:w="1327" w:type="dxa"/>
            <w:vAlign w:val="center"/>
          </w:tcPr>
          <w:p w14:paraId="6D78A410">
            <w:pPr>
              <w:widowControl w:val="0"/>
              <w:adjustRightInd w:val="0"/>
              <w:spacing w:line="360" w:lineRule="auto"/>
              <w:jc w:val="center"/>
              <w:textAlignment w:val="center"/>
              <w:rPr>
                <w:rFonts w:cs="仿宋"/>
                <w:color w:val="000000"/>
                <w:kern w:val="0"/>
                <w:szCs w:val="24"/>
                <w:highlight w:val="none"/>
                <w:lang w:bidi="ar"/>
              </w:rPr>
            </w:pPr>
            <w:r>
              <w:rPr>
                <w:rFonts w:hint="eastAsia" w:ascii="Calibri" w:hAnsi="Calibri" w:cs="Times New Roman"/>
                <w:szCs w:val="24"/>
                <w:highlight w:val="none"/>
              </w:rPr>
              <w:t>下浮率Z=</w:t>
            </w:r>
            <w:r>
              <w:rPr>
                <w:rFonts w:ascii="Calibri" w:hAnsi="Calibri" w:cs="Times New Roman"/>
                <w:szCs w:val="24"/>
                <w:highlight w:val="none"/>
                <w:u w:val="single"/>
              </w:rPr>
              <w:t xml:space="preserve">    </w:t>
            </w:r>
            <w:r>
              <w:rPr>
                <w:highlight w:val="none"/>
              </w:rPr>
              <w:t>%</w:t>
            </w:r>
          </w:p>
        </w:tc>
        <w:tc>
          <w:tcPr>
            <w:tcW w:w="782" w:type="dxa"/>
            <w:vAlign w:val="center"/>
          </w:tcPr>
          <w:p w14:paraId="483AE110">
            <w:pPr>
              <w:widowControl w:val="0"/>
              <w:adjustRightInd w:val="0"/>
              <w:spacing w:line="360" w:lineRule="auto"/>
              <w:jc w:val="center"/>
              <w:textAlignment w:val="baseline"/>
              <w:rPr>
                <w:rFonts w:cs="宋体"/>
                <w:kern w:val="0"/>
                <w:szCs w:val="24"/>
                <w:highlight w:val="none"/>
              </w:rPr>
            </w:pPr>
          </w:p>
        </w:tc>
      </w:tr>
      <w:tr w14:paraId="7FEF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800" w:type="dxa"/>
            <w:vAlign w:val="center"/>
          </w:tcPr>
          <w:p w14:paraId="4221D02A">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4</w:t>
            </w:r>
          </w:p>
        </w:tc>
        <w:tc>
          <w:tcPr>
            <w:tcW w:w="1594" w:type="dxa"/>
            <w:vAlign w:val="center"/>
          </w:tcPr>
          <w:p w14:paraId="263BBDF1">
            <w:pPr>
              <w:adjustRightInd w:val="0"/>
              <w:spacing w:line="360" w:lineRule="auto"/>
              <w:jc w:val="center"/>
              <w:textAlignment w:val="center"/>
              <w:rPr>
                <w:rFonts w:cs="方正仿宋_GB2312"/>
                <w:color w:val="000000"/>
                <w:kern w:val="0"/>
                <w:szCs w:val="18"/>
                <w:highlight w:val="none"/>
                <w:lang w:bidi="ar"/>
              </w:rPr>
            </w:pPr>
            <w:r>
              <w:rPr>
                <w:rFonts w:hint="eastAsia"/>
                <w:highlight w:val="none"/>
              </w:rPr>
              <w:t>白条鸡</w:t>
            </w:r>
          </w:p>
        </w:tc>
        <w:tc>
          <w:tcPr>
            <w:tcW w:w="1271" w:type="dxa"/>
            <w:vAlign w:val="center"/>
          </w:tcPr>
          <w:p w14:paraId="5CF2827E">
            <w:pPr>
              <w:adjustRightInd w:val="0"/>
              <w:spacing w:line="360" w:lineRule="auto"/>
              <w:jc w:val="center"/>
              <w:textAlignment w:val="center"/>
              <w:rPr>
                <w:rFonts w:cs="方正仿宋_GB2312"/>
                <w:color w:val="000000"/>
                <w:kern w:val="0"/>
                <w:szCs w:val="18"/>
                <w:highlight w:val="none"/>
                <w:lang w:bidi="ar"/>
              </w:rPr>
            </w:pPr>
          </w:p>
        </w:tc>
        <w:tc>
          <w:tcPr>
            <w:tcW w:w="1966" w:type="dxa"/>
            <w:vAlign w:val="center"/>
          </w:tcPr>
          <w:p w14:paraId="5E850199">
            <w:pPr>
              <w:widowControl w:val="0"/>
              <w:adjustRightInd w:val="0"/>
              <w:spacing w:line="360" w:lineRule="auto"/>
              <w:jc w:val="center"/>
              <w:textAlignment w:val="baseline"/>
              <w:rPr>
                <w:rFonts w:cs="宋体"/>
                <w:kern w:val="0"/>
                <w:szCs w:val="24"/>
                <w:highlight w:val="none"/>
              </w:rPr>
            </w:pPr>
          </w:p>
        </w:tc>
        <w:tc>
          <w:tcPr>
            <w:tcW w:w="808" w:type="dxa"/>
          </w:tcPr>
          <w:p w14:paraId="2F9B4504">
            <w:pPr>
              <w:widowControl w:val="0"/>
              <w:adjustRightInd w:val="0"/>
              <w:spacing w:line="360" w:lineRule="auto"/>
              <w:jc w:val="center"/>
              <w:textAlignment w:val="baseline"/>
              <w:rPr>
                <w:rFonts w:cs="宋体"/>
                <w:kern w:val="0"/>
                <w:szCs w:val="24"/>
                <w:highlight w:val="none"/>
              </w:rPr>
            </w:pPr>
          </w:p>
        </w:tc>
        <w:tc>
          <w:tcPr>
            <w:tcW w:w="808" w:type="dxa"/>
            <w:vAlign w:val="center"/>
          </w:tcPr>
          <w:p w14:paraId="72B37CA6">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1</w:t>
            </w:r>
          </w:p>
        </w:tc>
        <w:tc>
          <w:tcPr>
            <w:tcW w:w="812" w:type="dxa"/>
            <w:vAlign w:val="center"/>
          </w:tcPr>
          <w:p w14:paraId="6AC1D01B">
            <w:pPr>
              <w:adjustRightInd w:val="0"/>
              <w:spacing w:line="360" w:lineRule="auto"/>
              <w:jc w:val="center"/>
              <w:textAlignment w:val="center"/>
              <w:rPr>
                <w:rFonts w:cs="宋体"/>
                <w:szCs w:val="24"/>
                <w:highlight w:val="none"/>
              </w:rPr>
            </w:pPr>
            <w:r>
              <w:rPr>
                <w:rFonts w:hint="eastAsia"/>
                <w:highlight w:val="none"/>
              </w:rPr>
              <w:t>公斤</w:t>
            </w:r>
          </w:p>
        </w:tc>
        <w:tc>
          <w:tcPr>
            <w:tcW w:w="1327" w:type="dxa"/>
            <w:vAlign w:val="center"/>
          </w:tcPr>
          <w:p w14:paraId="285999EA">
            <w:pPr>
              <w:widowControl w:val="0"/>
              <w:adjustRightInd w:val="0"/>
              <w:spacing w:line="360" w:lineRule="auto"/>
              <w:jc w:val="center"/>
              <w:textAlignment w:val="center"/>
              <w:rPr>
                <w:rFonts w:cs="仿宋"/>
                <w:color w:val="000000"/>
                <w:kern w:val="0"/>
                <w:szCs w:val="24"/>
                <w:highlight w:val="none"/>
                <w:lang w:bidi="ar"/>
              </w:rPr>
            </w:pPr>
            <w:r>
              <w:rPr>
                <w:rFonts w:hint="eastAsia" w:ascii="Calibri" w:hAnsi="Calibri" w:cs="Times New Roman"/>
                <w:szCs w:val="24"/>
                <w:highlight w:val="none"/>
              </w:rPr>
              <w:t>下浮率</w:t>
            </w:r>
            <w:r>
              <w:rPr>
                <w:rFonts w:ascii="Calibri" w:hAnsi="Calibri" w:cs="Times New Roman"/>
                <w:szCs w:val="24"/>
                <w:highlight w:val="none"/>
              </w:rPr>
              <w:t>A</w:t>
            </w:r>
            <w:r>
              <w:rPr>
                <w:rFonts w:hint="eastAsia" w:ascii="Calibri" w:hAnsi="Calibri" w:cs="Times New Roman"/>
                <w:szCs w:val="24"/>
                <w:highlight w:val="none"/>
              </w:rPr>
              <w:t>≥</w:t>
            </w:r>
            <w:r>
              <w:rPr>
                <w:rFonts w:ascii="Calibri" w:hAnsi="Calibri" w:cs="Times New Roman"/>
                <w:szCs w:val="24"/>
                <w:highlight w:val="none"/>
              </w:rPr>
              <w:t>5</w:t>
            </w:r>
            <w:r>
              <w:rPr>
                <w:highlight w:val="none"/>
              </w:rPr>
              <w:t>.00%</w:t>
            </w:r>
          </w:p>
        </w:tc>
        <w:tc>
          <w:tcPr>
            <w:tcW w:w="1327" w:type="dxa"/>
            <w:vAlign w:val="center"/>
          </w:tcPr>
          <w:p w14:paraId="10727463">
            <w:pPr>
              <w:widowControl w:val="0"/>
              <w:adjustRightInd w:val="0"/>
              <w:spacing w:line="360" w:lineRule="auto"/>
              <w:jc w:val="center"/>
              <w:textAlignment w:val="center"/>
              <w:rPr>
                <w:rFonts w:cs="仿宋"/>
                <w:color w:val="000000"/>
                <w:kern w:val="0"/>
                <w:szCs w:val="24"/>
                <w:highlight w:val="none"/>
                <w:lang w:bidi="ar"/>
              </w:rPr>
            </w:pPr>
            <w:r>
              <w:rPr>
                <w:rFonts w:hint="eastAsia" w:ascii="Calibri" w:hAnsi="Calibri" w:cs="Times New Roman"/>
                <w:szCs w:val="24"/>
                <w:highlight w:val="none"/>
              </w:rPr>
              <w:t>下浮率</w:t>
            </w:r>
            <w:r>
              <w:rPr>
                <w:rFonts w:ascii="Calibri" w:hAnsi="Calibri" w:cs="Times New Roman"/>
                <w:szCs w:val="24"/>
                <w:highlight w:val="none"/>
              </w:rPr>
              <w:t>A</w:t>
            </w:r>
            <w:r>
              <w:rPr>
                <w:rFonts w:hint="eastAsia" w:ascii="Calibri" w:hAnsi="Calibri" w:cs="Times New Roman"/>
                <w:szCs w:val="24"/>
                <w:highlight w:val="none"/>
              </w:rPr>
              <w:t>=</w:t>
            </w:r>
            <w:r>
              <w:rPr>
                <w:rFonts w:ascii="Calibri" w:hAnsi="Calibri" w:cs="Times New Roman"/>
                <w:szCs w:val="24"/>
                <w:highlight w:val="none"/>
                <w:u w:val="single"/>
              </w:rPr>
              <w:t xml:space="preserve">    </w:t>
            </w:r>
            <w:r>
              <w:rPr>
                <w:highlight w:val="none"/>
              </w:rPr>
              <w:t>%</w:t>
            </w:r>
          </w:p>
        </w:tc>
        <w:tc>
          <w:tcPr>
            <w:tcW w:w="782" w:type="dxa"/>
            <w:vAlign w:val="center"/>
          </w:tcPr>
          <w:p w14:paraId="11E7AD4B">
            <w:pPr>
              <w:widowControl w:val="0"/>
              <w:adjustRightInd w:val="0"/>
              <w:spacing w:line="360" w:lineRule="auto"/>
              <w:jc w:val="center"/>
              <w:textAlignment w:val="baseline"/>
              <w:rPr>
                <w:rFonts w:cs="宋体"/>
                <w:kern w:val="0"/>
                <w:szCs w:val="24"/>
                <w:highlight w:val="none"/>
              </w:rPr>
            </w:pPr>
          </w:p>
        </w:tc>
      </w:tr>
      <w:tr w14:paraId="20CE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800" w:type="dxa"/>
            <w:vAlign w:val="center"/>
          </w:tcPr>
          <w:p w14:paraId="2F8A53D1">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5</w:t>
            </w:r>
          </w:p>
        </w:tc>
        <w:tc>
          <w:tcPr>
            <w:tcW w:w="1594" w:type="dxa"/>
            <w:vAlign w:val="center"/>
          </w:tcPr>
          <w:p w14:paraId="68BE4679">
            <w:pPr>
              <w:adjustRightInd w:val="0"/>
              <w:spacing w:line="360" w:lineRule="auto"/>
              <w:jc w:val="center"/>
              <w:textAlignment w:val="center"/>
              <w:rPr>
                <w:rFonts w:cs="方正仿宋_GB2312"/>
                <w:color w:val="000000"/>
                <w:kern w:val="0"/>
                <w:szCs w:val="18"/>
                <w:highlight w:val="none"/>
                <w:lang w:bidi="ar"/>
              </w:rPr>
            </w:pPr>
            <w:r>
              <w:rPr>
                <w:rFonts w:hint="eastAsia"/>
                <w:highlight w:val="none"/>
              </w:rPr>
              <w:t>鱿鱼</w:t>
            </w:r>
          </w:p>
        </w:tc>
        <w:tc>
          <w:tcPr>
            <w:tcW w:w="1271" w:type="dxa"/>
            <w:vAlign w:val="center"/>
          </w:tcPr>
          <w:p w14:paraId="66A29015">
            <w:pPr>
              <w:adjustRightInd w:val="0"/>
              <w:spacing w:line="360" w:lineRule="auto"/>
              <w:jc w:val="center"/>
              <w:textAlignment w:val="center"/>
              <w:rPr>
                <w:rFonts w:cs="方正仿宋_GB2312"/>
                <w:color w:val="000000"/>
                <w:kern w:val="0"/>
                <w:szCs w:val="18"/>
                <w:highlight w:val="none"/>
                <w:lang w:bidi="ar"/>
              </w:rPr>
            </w:pPr>
          </w:p>
        </w:tc>
        <w:tc>
          <w:tcPr>
            <w:tcW w:w="1966" w:type="dxa"/>
            <w:vAlign w:val="center"/>
          </w:tcPr>
          <w:p w14:paraId="057E66B3">
            <w:pPr>
              <w:widowControl w:val="0"/>
              <w:adjustRightInd w:val="0"/>
              <w:spacing w:line="360" w:lineRule="auto"/>
              <w:jc w:val="center"/>
              <w:textAlignment w:val="baseline"/>
              <w:rPr>
                <w:rFonts w:cs="宋体"/>
                <w:kern w:val="0"/>
                <w:szCs w:val="24"/>
                <w:highlight w:val="none"/>
              </w:rPr>
            </w:pPr>
          </w:p>
        </w:tc>
        <w:tc>
          <w:tcPr>
            <w:tcW w:w="808" w:type="dxa"/>
          </w:tcPr>
          <w:p w14:paraId="5D36982C">
            <w:pPr>
              <w:widowControl w:val="0"/>
              <w:adjustRightInd w:val="0"/>
              <w:spacing w:line="360" w:lineRule="auto"/>
              <w:jc w:val="center"/>
              <w:textAlignment w:val="baseline"/>
              <w:rPr>
                <w:rFonts w:cs="宋体"/>
                <w:kern w:val="0"/>
                <w:szCs w:val="24"/>
                <w:highlight w:val="none"/>
              </w:rPr>
            </w:pPr>
          </w:p>
        </w:tc>
        <w:tc>
          <w:tcPr>
            <w:tcW w:w="808" w:type="dxa"/>
            <w:vAlign w:val="center"/>
          </w:tcPr>
          <w:p w14:paraId="1278C434">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1</w:t>
            </w:r>
          </w:p>
        </w:tc>
        <w:tc>
          <w:tcPr>
            <w:tcW w:w="812" w:type="dxa"/>
            <w:vAlign w:val="center"/>
          </w:tcPr>
          <w:p w14:paraId="3E0BA7CD">
            <w:pPr>
              <w:adjustRightInd w:val="0"/>
              <w:spacing w:line="360" w:lineRule="auto"/>
              <w:jc w:val="center"/>
              <w:textAlignment w:val="center"/>
              <w:rPr>
                <w:rFonts w:cs="宋体"/>
                <w:szCs w:val="24"/>
                <w:highlight w:val="none"/>
              </w:rPr>
            </w:pPr>
            <w:r>
              <w:rPr>
                <w:rFonts w:hint="eastAsia"/>
                <w:highlight w:val="none"/>
              </w:rPr>
              <w:t>公斤</w:t>
            </w:r>
          </w:p>
        </w:tc>
        <w:tc>
          <w:tcPr>
            <w:tcW w:w="1327" w:type="dxa"/>
            <w:vAlign w:val="center"/>
          </w:tcPr>
          <w:p w14:paraId="6031440E">
            <w:pPr>
              <w:widowControl w:val="0"/>
              <w:adjustRightInd w:val="0"/>
              <w:spacing w:line="360" w:lineRule="auto"/>
              <w:jc w:val="center"/>
              <w:textAlignment w:val="center"/>
              <w:rPr>
                <w:rFonts w:cs="仿宋"/>
                <w:color w:val="000000"/>
                <w:kern w:val="0"/>
                <w:szCs w:val="24"/>
                <w:highlight w:val="none"/>
                <w:lang w:bidi="ar"/>
              </w:rPr>
            </w:pPr>
            <w:r>
              <w:rPr>
                <w:rFonts w:hint="eastAsia" w:cs="仿宋"/>
                <w:color w:val="000000"/>
                <w:kern w:val="0"/>
                <w:szCs w:val="24"/>
                <w:highlight w:val="none"/>
                <w:lang w:bidi="ar"/>
              </w:rPr>
              <w:t>/</w:t>
            </w:r>
          </w:p>
        </w:tc>
        <w:tc>
          <w:tcPr>
            <w:tcW w:w="1327" w:type="dxa"/>
            <w:vAlign w:val="center"/>
          </w:tcPr>
          <w:p w14:paraId="5D0CAC18">
            <w:pPr>
              <w:widowControl w:val="0"/>
              <w:adjustRightInd w:val="0"/>
              <w:spacing w:line="360" w:lineRule="auto"/>
              <w:jc w:val="center"/>
              <w:textAlignment w:val="center"/>
              <w:rPr>
                <w:rFonts w:cs="仿宋"/>
                <w:color w:val="000000"/>
                <w:kern w:val="0"/>
                <w:szCs w:val="24"/>
                <w:highlight w:val="none"/>
                <w:lang w:bidi="ar"/>
              </w:rPr>
            </w:pPr>
            <w:r>
              <w:rPr>
                <w:rFonts w:hint="eastAsia" w:cs="仿宋"/>
                <w:color w:val="000000"/>
                <w:kern w:val="0"/>
                <w:szCs w:val="24"/>
                <w:highlight w:val="none"/>
                <w:u w:val="single"/>
                <w:lang w:bidi="ar"/>
              </w:rPr>
              <w:t xml:space="preserve"> </w:t>
            </w:r>
            <w:r>
              <w:rPr>
                <w:rFonts w:cs="仿宋"/>
                <w:color w:val="000000"/>
                <w:kern w:val="0"/>
                <w:szCs w:val="24"/>
                <w:highlight w:val="none"/>
                <w:u w:val="single"/>
                <w:lang w:bidi="ar"/>
              </w:rPr>
              <w:t xml:space="preserve">  </w:t>
            </w:r>
            <w:r>
              <w:rPr>
                <w:rFonts w:hint="eastAsia" w:cs="仿宋"/>
                <w:color w:val="000000"/>
                <w:kern w:val="0"/>
                <w:szCs w:val="24"/>
                <w:highlight w:val="none"/>
                <w:lang w:bidi="ar"/>
              </w:rPr>
              <w:t>元/公斤</w:t>
            </w:r>
          </w:p>
        </w:tc>
        <w:tc>
          <w:tcPr>
            <w:tcW w:w="782" w:type="dxa"/>
            <w:vAlign w:val="center"/>
          </w:tcPr>
          <w:p w14:paraId="4A32FAD9">
            <w:pPr>
              <w:widowControl w:val="0"/>
              <w:adjustRightInd w:val="0"/>
              <w:spacing w:line="360" w:lineRule="auto"/>
              <w:jc w:val="center"/>
              <w:textAlignment w:val="baseline"/>
              <w:rPr>
                <w:rFonts w:cs="宋体"/>
                <w:kern w:val="0"/>
                <w:szCs w:val="24"/>
                <w:highlight w:val="none"/>
              </w:rPr>
            </w:pPr>
          </w:p>
        </w:tc>
      </w:tr>
    </w:tbl>
    <w:p w14:paraId="7ACF09C5">
      <w:pPr>
        <w:spacing w:line="360" w:lineRule="auto"/>
        <w:rPr>
          <w:highlight w:val="none"/>
        </w:rPr>
      </w:pPr>
    </w:p>
    <w:p w14:paraId="73B6B855">
      <w:pPr>
        <w:spacing w:line="360" w:lineRule="auto"/>
        <w:rPr>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43CA9921">
      <w:pPr>
        <w:spacing w:line="360" w:lineRule="auto"/>
        <w:rPr>
          <w:highlight w:val="none"/>
          <w:u w:val="single"/>
        </w:rPr>
      </w:pPr>
      <w:r>
        <w:rPr>
          <w:highlight w:val="none"/>
        </w:rPr>
        <w:t>日期：</w:t>
      </w:r>
    </w:p>
    <w:p w14:paraId="067C5155">
      <w:pPr>
        <w:pStyle w:val="13"/>
        <w:spacing w:line="360" w:lineRule="auto"/>
        <w:rPr>
          <w:highlight w:val="none"/>
        </w:rPr>
      </w:pPr>
    </w:p>
    <w:p w14:paraId="6A48E1D9">
      <w:pPr>
        <w:spacing w:line="360" w:lineRule="auto"/>
        <w:rPr>
          <w:highlight w:val="none"/>
        </w:rPr>
      </w:pPr>
      <w:r>
        <w:rPr>
          <w:rFonts w:hint="eastAsia"/>
          <w:highlight w:val="none"/>
        </w:rPr>
        <w:t>注：</w:t>
      </w:r>
    </w:p>
    <w:p w14:paraId="090D35F9">
      <w:pPr>
        <w:spacing w:line="360" w:lineRule="auto"/>
        <w:rPr>
          <w:highlight w:val="none"/>
        </w:rPr>
      </w:pPr>
      <w:r>
        <w:rPr>
          <w:rFonts w:hint="eastAsia"/>
          <w:highlight w:val="none"/>
        </w:rPr>
        <w:t>1.此表用于开标唱标之用。</w:t>
      </w:r>
    </w:p>
    <w:p w14:paraId="5ADC59C3">
      <w:pPr>
        <w:spacing w:line="360" w:lineRule="auto"/>
        <w:rPr>
          <w:highlight w:val="none"/>
        </w:rPr>
      </w:pPr>
      <w:r>
        <w:rPr>
          <w:rFonts w:hint="eastAsia"/>
          <w:highlight w:val="none"/>
        </w:rPr>
        <w:t>2.表中投标报价即为优惠后报价，并作为评审及定标依据。任何有选择或有条件的投标报价，或者表中某一包填写多个报价，均为无效报价。</w:t>
      </w:r>
    </w:p>
    <w:p w14:paraId="526C728B">
      <w:pPr>
        <w:pStyle w:val="13"/>
        <w:spacing w:line="360" w:lineRule="auto"/>
        <w:rPr>
          <w:highlight w:val="none"/>
        </w:rPr>
      </w:pPr>
      <w:r>
        <w:rPr>
          <w:rFonts w:hint="eastAsia"/>
          <w:highlight w:val="none"/>
        </w:rPr>
        <w:t>3.表中大写与小写不一致的，以大写为准。</w:t>
      </w:r>
    </w:p>
    <w:p w14:paraId="1DEE9F67">
      <w:pPr>
        <w:pStyle w:val="13"/>
        <w:spacing w:line="360" w:lineRule="auto"/>
        <w:rPr>
          <w:highlight w:val="none"/>
        </w:rPr>
      </w:pPr>
    </w:p>
    <w:p w14:paraId="6665F241">
      <w:pPr>
        <w:pStyle w:val="3"/>
        <w:spacing w:line="360" w:lineRule="auto"/>
        <w:rPr>
          <w:highlight w:val="none"/>
        </w:rPr>
        <w:sectPr>
          <w:footerReference r:id="rId8" w:type="default"/>
          <w:pgSz w:w="11906" w:h="16838"/>
          <w:pgMar w:top="1440" w:right="1800" w:bottom="1440" w:left="1800" w:header="851" w:footer="992" w:gutter="0"/>
          <w:pgNumType w:fmt="numberInDash"/>
          <w:cols w:space="425" w:num="1"/>
          <w:docGrid w:type="lines" w:linePitch="312" w:charSpace="0"/>
        </w:sectPr>
      </w:pPr>
    </w:p>
    <w:p w14:paraId="5BBD22F5">
      <w:pPr>
        <w:pStyle w:val="3"/>
        <w:spacing w:line="360" w:lineRule="auto"/>
        <w:rPr>
          <w:highlight w:val="none"/>
        </w:rPr>
      </w:pPr>
      <w:bookmarkStart w:id="397" w:name="_Toc229390309"/>
      <w:r>
        <w:rPr>
          <w:rFonts w:hint="eastAsia"/>
          <w:highlight w:val="none"/>
        </w:rPr>
        <w:t>二、关于符合本国产品标准的声明函或财政部规定的其他证明文件</w:t>
      </w:r>
      <w:bookmarkEnd w:id="397"/>
    </w:p>
    <w:p w14:paraId="01F30A18">
      <w:pPr>
        <w:spacing w:line="360" w:lineRule="auto"/>
        <w:rPr>
          <w:highlight w:val="none"/>
        </w:rPr>
      </w:pPr>
      <w:r>
        <w:rPr>
          <w:rFonts w:hint="eastAsia"/>
          <w:highlight w:val="none"/>
        </w:rPr>
        <w:t>附件1</w:t>
      </w:r>
    </w:p>
    <w:p w14:paraId="63D6DC36">
      <w:pPr>
        <w:spacing w:line="360" w:lineRule="auto"/>
        <w:rPr>
          <w:highlight w:val="none"/>
          <w:lang w:bidi="ar"/>
        </w:rPr>
      </w:pPr>
      <w:r>
        <w:rPr>
          <w:rFonts w:hint="eastAsia"/>
          <w:highlight w:val="none"/>
          <w:lang w:bidi="ar"/>
        </w:rPr>
        <w:t>（一）关于符合本国产品标准的声明函</w:t>
      </w:r>
    </w:p>
    <w:p w14:paraId="44CAE4E0">
      <w:pPr>
        <w:spacing w:line="360" w:lineRule="auto"/>
        <w:rPr>
          <w:highlight w:val="none"/>
          <w:lang w:bidi="ar"/>
        </w:rPr>
      </w:pPr>
      <w:r>
        <w:rPr>
          <w:rFonts w:hint="eastAsia"/>
          <w:highlight w:val="none"/>
          <w:lang w:bidi="ar"/>
        </w:rPr>
        <w:t>本公司（单位）郑重声明，根据《国务院办公厅关于在政府采购中实施本国产品标准及相关政策的通知》（国办发〔2025〕34号）的规定，本公司（单位）提供的以下产品属于本国产品。具体情况如下：</w:t>
      </w:r>
    </w:p>
    <w:p w14:paraId="36BB4D60">
      <w:pPr>
        <w:spacing w:line="360" w:lineRule="auto"/>
        <w:rPr>
          <w:highlight w:val="none"/>
          <w:lang w:bidi="ar"/>
        </w:rPr>
      </w:pPr>
      <w:r>
        <w:rPr>
          <w:rFonts w:hint="eastAsia"/>
          <w:highlight w:val="none"/>
          <w:lang w:bidi="ar"/>
        </w:rPr>
        <w:t>1.（产品名称1）1，生产厂为（厂名）2，厂址为（生产厂址）。（产品名称1）的中国境内生产的组件成本占比≥（规定比例）3。（产品名称1）的（关键组件）4在中国境内生产。（产品名称1）的（关键工序）5在中国境内完成。</w:t>
      </w:r>
    </w:p>
    <w:p w14:paraId="4A943A36">
      <w:pPr>
        <w:spacing w:line="360" w:lineRule="auto"/>
        <w:rPr>
          <w:highlight w:val="none"/>
          <w:lang w:bidi="ar"/>
        </w:rPr>
      </w:pPr>
      <w:r>
        <w:rPr>
          <w:rFonts w:hint="eastAsia"/>
          <w:highlight w:val="none"/>
          <w:lang w:bidi="ar"/>
        </w:rPr>
        <w:t>2.</w:t>
      </w:r>
      <w:r>
        <w:rPr>
          <w:rFonts w:hint="eastAsia"/>
          <w:highlight w:val="none"/>
          <w:u w:val="single"/>
          <w:lang w:bidi="ar"/>
        </w:rPr>
        <w:t>（产品名称2）</w:t>
      </w:r>
      <w:r>
        <w:rPr>
          <w:rFonts w:hint="eastAsia"/>
          <w:highlight w:val="none"/>
          <w:lang w:bidi="ar"/>
        </w:rPr>
        <w:t>，生产厂为</w:t>
      </w:r>
      <w:r>
        <w:rPr>
          <w:rFonts w:hint="eastAsia"/>
          <w:highlight w:val="none"/>
          <w:u w:val="single"/>
          <w:lang w:bidi="ar"/>
        </w:rPr>
        <w:t>（厂名）</w:t>
      </w:r>
      <w:r>
        <w:rPr>
          <w:rFonts w:hint="eastAsia"/>
          <w:highlight w:val="none"/>
          <w:lang w:bidi="ar"/>
        </w:rPr>
        <w:t>，厂址为</w:t>
      </w:r>
      <w:r>
        <w:rPr>
          <w:rFonts w:hint="eastAsia"/>
          <w:highlight w:val="none"/>
          <w:u w:val="single"/>
          <w:lang w:bidi="ar"/>
        </w:rPr>
        <w:t>（生产厂址）</w:t>
      </w:r>
      <w:r>
        <w:rPr>
          <w:rFonts w:hint="eastAsia"/>
          <w:highlight w:val="none"/>
          <w:lang w:bidi="ar"/>
        </w:rPr>
        <w:t>。</w:t>
      </w:r>
      <w:r>
        <w:rPr>
          <w:rFonts w:hint="eastAsia"/>
          <w:highlight w:val="none"/>
          <w:u w:val="single"/>
          <w:lang w:bidi="ar"/>
        </w:rPr>
        <w:t>（产品名称2）</w:t>
      </w:r>
      <w:r>
        <w:rPr>
          <w:rFonts w:hint="eastAsia"/>
          <w:highlight w:val="none"/>
          <w:lang w:bidi="ar"/>
        </w:rPr>
        <w:t>的中国境内生产的组件成本占比≥</w:t>
      </w:r>
      <w:r>
        <w:rPr>
          <w:rFonts w:hint="eastAsia"/>
          <w:highlight w:val="none"/>
          <w:u w:val="single"/>
          <w:lang w:bidi="ar"/>
        </w:rPr>
        <w:t>（规定比例）</w:t>
      </w:r>
      <w:r>
        <w:rPr>
          <w:rFonts w:hint="eastAsia"/>
          <w:highlight w:val="none"/>
          <w:lang w:bidi="ar"/>
        </w:rPr>
        <w:t>。</w:t>
      </w:r>
      <w:r>
        <w:rPr>
          <w:rFonts w:hint="eastAsia"/>
          <w:highlight w:val="none"/>
          <w:u w:val="single"/>
          <w:lang w:bidi="ar"/>
        </w:rPr>
        <w:t>（产品名称2）</w:t>
      </w:r>
      <w:r>
        <w:rPr>
          <w:rFonts w:hint="eastAsia"/>
          <w:highlight w:val="none"/>
          <w:lang w:bidi="ar"/>
        </w:rPr>
        <w:t>的</w:t>
      </w:r>
      <w:r>
        <w:rPr>
          <w:rFonts w:hint="eastAsia"/>
          <w:highlight w:val="none"/>
          <w:u w:val="single"/>
          <w:lang w:bidi="ar"/>
        </w:rPr>
        <w:t>（关键组件）</w:t>
      </w:r>
      <w:r>
        <w:rPr>
          <w:rFonts w:hint="eastAsia"/>
          <w:highlight w:val="none"/>
          <w:lang w:bidi="ar"/>
        </w:rPr>
        <w:t>在中国境内生产。</w:t>
      </w:r>
      <w:r>
        <w:rPr>
          <w:rFonts w:hint="eastAsia"/>
          <w:highlight w:val="none"/>
          <w:u w:val="single"/>
          <w:lang w:bidi="ar"/>
        </w:rPr>
        <w:t>（产品名称2）</w:t>
      </w:r>
      <w:r>
        <w:rPr>
          <w:rFonts w:hint="eastAsia"/>
          <w:highlight w:val="none"/>
          <w:lang w:bidi="ar"/>
        </w:rPr>
        <w:t>的（关键工序）在中国境内完成。</w:t>
      </w:r>
    </w:p>
    <w:p w14:paraId="3389F765">
      <w:pPr>
        <w:spacing w:line="360" w:lineRule="auto"/>
        <w:rPr>
          <w:highlight w:val="none"/>
          <w:lang w:bidi="ar"/>
        </w:rPr>
      </w:pPr>
      <w:r>
        <w:rPr>
          <w:rFonts w:hint="eastAsia"/>
          <w:highlight w:val="none"/>
          <w:lang w:bidi="ar"/>
        </w:rPr>
        <w:t>……</w:t>
      </w:r>
    </w:p>
    <w:p w14:paraId="4EE4A5FF">
      <w:pPr>
        <w:spacing w:line="360" w:lineRule="auto"/>
        <w:rPr>
          <w:highlight w:val="none"/>
          <w:lang w:bidi="ar"/>
        </w:rPr>
      </w:pPr>
      <w:r>
        <w:rPr>
          <w:rFonts w:hint="eastAsia"/>
          <w:highlight w:val="none"/>
          <w:lang w:bidi="ar"/>
        </w:rPr>
        <w:t>本公司（单位）对上述声明内容的真实性负责。如有虚假，愿承担相应法律责任。</w:t>
      </w:r>
    </w:p>
    <w:p w14:paraId="34C10C57">
      <w:pPr>
        <w:spacing w:line="360" w:lineRule="auto"/>
        <w:rPr>
          <w:highlight w:val="none"/>
          <w:lang w:bidi="ar"/>
        </w:rPr>
      </w:pPr>
    </w:p>
    <w:p w14:paraId="6D03443D">
      <w:pPr>
        <w:spacing w:line="360" w:lineRule="auto"/>
        <w:rPr>
          <w:highlight w:val="none"/>
          <w:lang w:bidi="ar"/>
        </w:rPr>
      </w:pPr>
      <w:r>
        <w:rPr>
          <w:rFonts w:hint="eastAsia"/>
          <w:highlight w:val="none"/>
          <w:lang w:bidi="ar"/>
        </w:rPr>
        <w:t>公司（单位）名称（盖章）：　        </w:t>
      </w:r>
    </w:p>
    <w:p w14:paraId="315DC1CF">
      <w:pPr>
        <w:spacing w:line="360" w:lineRule="auto"/>
        <w:rPr>
          <w:highlight w:val="none"/>
          <w:lang w:bidi="ar"/>
        </w:rPr>
      </w:pPr>
      <w:r>
        <w:rPr>
          <w:rFonts w:hint="eastAsia"/>
          <w:highlight w:val="none"/>
          <w:lang w:bidi="ar"/>
        </w:rPr>
        <w:t>日期：　     </w:t>
      </w:r>
      <w:r>
        <w:rPr>
          <w:rFonts w:hint="eastAsia" w:cs="宋体"/>
          <w:highlight w:val="none"/>
          <w:lang w:bidi="ar"/>
        </w:rPr>
        <w:t>年　</w:t>
      </w:r>
      <w:r>
        <w:rPr>
          <w:rFonts w:hint="eastAsia"/>
          <w:highlight w:val="none"/>
          <w:lang w:bidi="ar"/>
        </w:rPr>
        <w:t>  </w:t>
      </w:r>
      <w:r>
        <w:rPr>
          <w:rFonts w:hint="eastAsia" w:cs="宋体"/>
          <w:highlight w:val="none"/>
          <w:lang w:bidi="ar"/>
        </w:rPr>
        <w:t>月　</w:t>
      </w:r>
      <w:r>
        <w:rPr>
          <w:rFonts w:hint="eastAsia"/>
          <w:highlight w:val="none"/>
          <w:lang w:bidi="ar"/>
        </w:rPr>
        <w:t>  </w:t>
      </w:r>
      <w:r>
        <w:rPr>
          <w:rFonts w:hint="eastAsia" w:cs="宋体"/>
          <w:highlight w:val="none"/>
          <w:lang w:bidi="ar"/>
        </w:rPr>
        <w:t>日</w:t>
      </w:r>
      <w:r>
        <w:rPr>
          <w:rFonts w:hint="eastAsia"/>
          <w:highlight w:val="none"/>
          <w:lang w:bidi="ar"/>
        </w:rPr>
        <w:t>         </w:t>
      </w:r>
    </w:p>
    <w:p w14:paraId="74E10088">
      <w:pPr>
        <w:spacing w:line="360" w:lineRule="auto"/>
        <w:rPr>
          <w:highlight w:val="none"/>
          <w:lang w:bidi="ar"/>
        </w:rPr>
      </w:pPr>
    </w:p>
    <w:p w14:paraId="76DE558B">
      <w:pPr>
        <w:spacing w:line="360" w:lineRule="auto"/>
        <w:rPr>
          <w:highlight w:val="none"/>
          <w:lang w:bidi="ar"/>
        </w:rPr>
      </w:pPr>
      <w:r>
        <w:rPr>
          <w:rFonts w:hint="eastAsia"/>
          <w:b/>
          <w:bCs/>
          <w:highlight w:val="none"/>
          <w:lang w:bidi="ar"/>
        </w:rPr>
        <w:t>注：</w:t>
      </w:r>
      <w:r>
        <w:rPr>
          <w:rFonts w:hint="eastAsia"/>
          <w:highlight w:val="none"/>
          <w:lang w:bidi="ar"/>
        </w:rPr>
        <w:t>1.产品如有型号，请在“产品名称”栏一并填写。</w:t>
      </w:r>
    </w:p>
    <w:p w14:paraId="4A84A451">
      <w:pPr>
        <w:spacing w:line="360" w:lineRule="auto"/>
        <w:rPr>
          <w:highlight w:val="none"/>
          <w:lang w:bidi="ar"/>
        </w:rPr>
      </w:pPr>
      <w:r>
        <w:rPr>
          <w:rFonts w:hint="eastAsia"/>
          <w:highlight w:val="none"/>
          <w:lang w:bidi="ar"/>
        </w:rPr>
        <w:t>2.生产厂名与厂址应与生产厂营业执照载明的相关信息保持一致。</w:t>
      </w:r>
    </w:p>
    <w:p w14:paraId="5DA083C7">
      <w:pPr>
        <w:spacing w:line="360" w:lineRule="auto"/>
        <w:rPr>
          <w:highlight w:val="none"/>
          <w:lang w:bidi="ar"/>
        </w:rPr>
      </w:pPr>
      <w:r>
        <w:rPr>
          <w:rFonts w:hint="eastAsia"/>
          <w:highlight w:val="none"/>
          <w:lang w:bidi="ar"/>
        </w:rPr>
        <w:t>3.该产品的中国境内生产的组件成本占比相关要求实施前，“规定比例”栏可不填，下同。</w:t>
      </w:r>
    </w:p>
    <w:p w14:paraId="71EC46A7">
      <w:pPr>
        <w:spacing w:line="360" w:lineRule="auto"/>
        <w:rPr>
          <w:highlight w:val="none"/>
          <w:lang w:bidi="ar"/>
        </w:rPr>
      </w:pPr>
      <w:r>
        <w:rPr>
          <w:rFonts w:hint="eastAsia"/>
          <w:highlight w:val="none"/>
          <w:lang w:bidi="ar"/>
        </w:rPr>
        <w:t>4.该产品的关键组件要求实施前，“关键组件”栏可不填，下同。</w:t>
      </w:r>
    </w:p>
    <w:p w14:paraId="105F5AF3">
      <w:pPr>
        <w:spacing w:line="360" w:lineRule="auto"/>
        <w:rPr>
          <w:highlight w:val="none"/>
          <w:lang w:bidi="ar"/>
        </w:rPr>
      </w:pPr>
      <w:r>
        <w:rPr>
          <w:rFonts w:hint="eastAsia"/>
          <w:highlight w:val="none"/>
          <w:lang w:bidi="ar"/>
        </w:rPr>
        <w:t>5.该产品的关键工序要求实施前，“关键工序”栏可不填，下同。</w:t>
      </w:r>
    </w:p>
    <w:p w14:paraId="3530CD82">
      <w:pPr>
        <w:spacing w:line="360" w:lineRule="auto"/>
        <w:rPr>
          <w:highlight w:val="none"/>
          <w:lang w:bidi="ar"/>
        </w:rPr>
      </w:pPr>
    </w:p>
    <w:p w14:paraId="2C48B4AB">
      <w:pPr>
        <w:spacing w:line="360" w:lineRule="auto"/>
        <w:rPr>
          <w:highlight w:val="none"/>
        </w:rPr>
      </w:pPr>
      <w:r>
        <w:rPr>
          <w:rFonts w:hint="eastAsia"/>
          <w:highlight w:val="none"/>
        </w:rPr>
        <w:t>附件2</w:t>
      </w:r>
    </w:p>
    <w:p w14:paraId="7C47BFB0">
      <w:pPr>
        <w:spacing w:line="360" w:lineRule="auto"/>
        <w:rPr>
          <w:highlight w:val="none"/>
          <w:lang w:bidi="ar"/>
        </w:rPr>
      </w:pPr>
      <w:r>
        <w:rPr>
          <w:rFonts w:hint="eastAsia"/>
          <w:highlight w:val="none"/>
          <w:lang w:bidi="ar"/>
        </w:rPr>
        <w:t>（二）本国产品成本占比承诺函</w:t>
      </w:r>
    </w:p>
    <w:p w14:paraId="6791AC49">
      <w:pPr>
        <w:spacing w:line="360" w:lineRule="auto"/>
        <w:rPr>
          <w:highlight w:val="none"/>
        </w:rPr>
      </w:pPr>
    </w:p>
    <w:p w14:paraId="5A8B5558">
      <w:pPr>
        <w:spacing w:line="360" w:lineRule="auto"/>
        <w:rPr>
          <w:highlight w:val="none"/>
          <w:lang w:bidi="ar"/>
        </w:rPr>
      </w:pPr>
      <w:r>
        <w:rPr>
          <w:rFonts w:hint="eastAsia"/>
          <w:highlight w:val="none"/>
          <w:lang w:bidi="ar"/>
        </w:rPr>
        <w:t>致:[采购人/采购代理机构名称]</w:t>
      </w:r>
    </w:p>
    <w:p w14:paraId="2E55EF3B">
      <w:pPr>
        <w:spacing w:line="360" w:lineRule="auto"/>
        <w:rPr>
          <w:highlight w:val="none"/>
          <w:lang w:bidi="ar"/>
        </w:rPr>
      </w:pPr>
      <w:r>
        <w:rPr>
          <w:rFonts w:hint="eastAsia"/>
          <w:highlight w:val="none"/>
          <w:lang w:bidi="ar"/>
        </w:rPr>
        <w:t>本单位就参与[项目名称      、编号      ]政府采购项目，郑重承诺如下:</w:t>
      </w:r>
    </w:p>
    <w:p w14:paraId="31C7713E">
      <w:pPr>
        <w:spacing w:line="360" w:lineRule="auto"/>
        <w:rPr>
          <w:highlight w:val="none"/>
          <w:lang w:bidi="ar"/>
        </w:rPr>
      </w:pPr>
      <w:r>
        <w:rPr>
          <w:rFonts w:hint="eastAsia"/>
          <w:highlight w:val="none"/>
          <w:lang w:bidi="ar"/>
        </w:rPr>
        <w:t>本单位为该项目(或采购包)提供的符合本国产品标准的产品成本之和，占所提供全部产品成本之和的比例为</w:t>
      </w:r>
      <w:r>
        <w:rPr>
          <w:rFonts w:hint="eastAsia"/>
          <w:highlight w:val="none"/>
          <w:u w:val="single"/>
          <w:lang w:bidi="ar"/>
        </w:rPr>
        <w:t xml:space="preserve">     </w:t>
      </w:r>
      <w:r>
        <w:rPr>
          <w:rFonts w:hint="eastAsia"/>
          <w:highlight w:val="none"/>
          <w:lang w:bidi="ar"/>
        </w:rPr>
        <w:t>%。本承诺内容真实有效，若存在虚假承诺，愿意承担相应法律责任，放弃中标(成交)资格，并接受政府采购监管部门处罚。</w:t>
      </w:r>
    </w:p>
    <w:p w14:paraId="4B5023F3">
      <w:pPr>
        <w:spacing w:line="360" w:lineRule="auto"/>
        <w:rPr>
          <w:highlight w:val="none"/>
          <w:lang w:bidi="ar"/>
        </w:rPr>
      </w:pPr>
    </w:p>
    <w:p w14:paraId="5C80059B">
      <w:pPr>
        <w:spacing w:line="360" w:lineRule="auto"/>
        <w:rPr>
          <w:highlight w:val="none"/>
          <w:lang w:bidi="ar"/>
        </w:rPr>
      </w:pPr>
      <w:r>
        <w:rPr>
          <w:rFonts w:hint="eastAsia"/>
          <w:highlight w:val="none"/>
          <w:lang w:bidi="ar"/>
        </w:rPr>
        <w:t>承诺人(供应商公章):</w:t>
      </w:r>
    </w:p>
    <w:p w14:paraId="3663ED77">
      <w:pPr>
        <w:spacing w:line="360" w:lineRule="auto"/>
        <w:rPr>
          <w:highlight w:val="none"/>
          <w:lang w:bidi="ar"/>
        </w:rPr>
      </w:pPr>
      <w:r>
        <w:rPr>
          <w:rFonts w:hint="eastAsia"/>
          <w:highlight w:val="none"/>
          <w:lang w:bidi="ar"/>
        </w:rPr>
        <w:t>法定代表人或授权代表签字:</w:t>
      </w:r>
    </w:p>
    <w:p w14:paraId="3299C61F">
      <w:pPr>
        <w:spacing w:line="360" w:lineRule="auto"/>
        <w:rPr>
          <w:highlight w:val="none"/>
          <w:lang w:bidi="ar"/>
        </w:rPr>
      </w:pPr>
      <w:r>
        <w:rPr>
          <w:rFonts w:hint="eastAsia"/>
          <w:highlight w:val="none"/>
          <w:lang w:bidi="ar"/>
        </w:rPr>
        <w:t>日期:  年  月  日</w:t>
      </w:r>
    </w:p>
    <w:p w14:paraId="50526F93">
      <w:pPr>
        <w:spacing w:line="360" w:lineRule="auto"/>
        <w:rPr>
          <w:highlight w:val="none"/>
          <w:lang w:bidi="ar"/>
        </w:rPr>
      </w:pPr>
    </w:p>
    <w:p w14:paraId="058F2BDA">
      <w:pPr>
        <w:spacing w:line="360" w:lineRule="auto"/>
        <w:rPr>
          <w:highlight w:val="none"/>
          <w:lang w:bidi="ar"/>
        </w:rPr>
      </w:pPr>
    </w:p>
    <w:p w14:paraId="60920EAE">
      <w:pPr>
        <w:spacing w:line="360" w:lineRule="auto"/>
        <w:rPr>
          <w:highlight w:val="none"/>
          <w:lang w:bidi="ar"/>
        </w:rPr>
      </w:pPr>
    </w:p>
    <w:p w14:paraId="5E4A03CC">
      <w:pPr>
        <w:spacing w:line="360" w:lineRule="auto"/>
        <w:rPr>
          <w:highlight w:val="none"/>
          <w:lang w:bidi="ar"/>
        </w:rPr>
      </w:pPr>
    </w:p>
    <w:p w14:paraId="58809A1A">
      <w:pPr>
        <w:spacing w:line="360" w:lineRule="auto"/>
        <w:rPr>
          <w:highlight w:val="none"/>
          <w:lang w:bidi="ar"/>
        </w:rPr>
      </w:pPr>
    </w:p>
    <w:p w14:paraId="58A4ADFC">
      <w:pPr>
        <w:spacing w:line="360" w:lineRule="auto"/>
        <w:rPr>
          <w:highlight w:val="none"/>
          <w:lang w:bidi="ar"/>
        </w:rPr>
      </w:pPr>
    </w:p>
    <w:p w14:paraId="40B394E2">
      <w:pPr>
        <w:spacing w:line="360" w:lineRule="auto"/>
        <w:rPr>
          <w:highlight w:val="none"/>
          <w:lang w:bidi="ar"/>
        </w:rPr>
      </w:pPr>
    </w:p>
    <w:p w14:paraId="44637100">
      <w:pPr>
        <w:spacing w:line="360" w:lineRule="auto"/>
        <w:rPr>
          <w:highlight w:val="none"/>
          <w:lang w:bidi="ar"/>
        </w:rPr>
      </w:pPr>
    </w:p>
    <w:p w14:paraId="35F2F11B">
      <w:pPr>
        <w:spacing w:line="360" w:lineRule="auto"/>
        <w:rPr>
          <w:highlight w:val="none"/>
          <w:lang w:bidi="ar"/>
        </w:rPr>
      </w:pPr>
    </w:p>
    <w:p w14:paraId="4418660F">
      <w:pPr>
        <w:spacing w:line="360" w:lineRule="auto"/>
        <w:rPr>
          <w:highlight w:val="none"/>
          <w:lang w:bidi="ar"/>
        </w:rPr>
      </w:pPr>
    </w:p>
    <w:p w14:paraId="771031B3">
      <w:pPr>
        <w:spacing w:line="360" w:lineRule="auto"/>
        <w:rPr>
          <w:highlight w:val="none"/>
          <w:lang w:bidi="ar"/>
        </w:rPr>
        <w:sectPr>
          <w:pgSz w:w="11906" w:h="16838"/>
          <w:pgMar w:top="1440" w:right="1803" w:bottom="1440" w:left="1803" w:header="851" w:footer="992" w:gutter="0"/>
          <w:pgNumType w:fmt="numberInDash"/>
          <w:cols w:space="0" w:num="1"/>
          <w:docGrid w:type="lines" w:linePitch="332" w:charSpace="0"/>
        </w:sectPr>
      </w:pPr>
      <w:r>
        <w:rPr>
          <w:rFonts w:hint="eastAsia"/>
          <w:b/>
          <w:bCs/>
          <w:highlight w:val="none"/>
          <w:lang w:bidi="ar"/>
        </w:rPr>
        <w:t>注：</w:t>
      </w:r>
      <w:r>
        <w:rPr>
          <w:rFonts w:hint="eastAsia"/>
          <w:highlight w:val="none"/>
          <w:lang w:bidi="ar"/>
        </w:rPr>
        <w:t>若供应商所投产品均符合本国产品标准，且已提供《声明函》，可不填写《承诺函》。</w:t>
      </w:r>
    </w:p>
    <w:p w14:paraId="434FA194">
      <w:pPr>
        <w:pStyle w:val="61"/>
        <w:spacing w:line="360" w:lineRule="auto"/>
        <w:rPr>
          <w:rFonts w:ascii="宋体" w:hAnsi="宋体" w:eastAsia="宋体" w:cs="宋体"/>
          <w:b/>
          <w:bCs/>
          <w:highlight w:val="none"/>
        </w:rPr>
      </w:pPr>
    </w:p>
    <w:p w14:paraId="60F686DA">
      <w:pPr>
        <w:spacing w:line="360" w:lineRule="auto"/>
        <w:rPr>
          <w:highlight w:val="none"/>
          <w:lang w:val="zh-CN"/>
        </w:rPr>
      </w:pPr>
      <w:r>
        <w:rPr>
          <w:rFonts w:hint="eastAsia"/>
          <w:highlight w:val="none"/>
          <w:lang w:val="zh-CN"/>
        </w:rPr>
        <w:t>封面：</w:t>
      </w:r>
    </w:p>
    <w:p w14:paraId="6CA03C19">
      <w:pPr>
        <w:spacing w:line="360" w:lineRule="auto"/>
        <w:rPr>
          <w:highlight w:val="none"/>
        </w:rPr>
      </w:pPr>
    </w:p>
    <w:p w14:paraId="5A2E824B">
      <w:pPr>
        <w:spacing w:line="360" w:lineRule="auto"/>
        <w:rPr>
          <w:highlight w:val="none"/>
        </w:rPr>
      </w:pPr>
    </w:p>
    <w:p w14:paraId="454950C9">
      <w:pPr>
        <w:spacing w:line="360" w:lineRule="auto"/>
        <w:rPr>
          <w:highlight w:val="none"/>
        </w:rPr>
      </w:pPr>
    </w:p>
    <w:p w14:paraId="28AD0B2F">
      <w:pPr>
        <w:pStyle w:val="2"/>
        <w:spacing w:line="360" w:lineRule="auto"/>
        <w:rPr>
          <w:highlight w:val="none"/>
        </w:rPr>
      </w:pPr>
      <w:bookmarkStart w:id="398" w:name="_Toc229390310"/>
      <w:r>
        <w:rPr>
          <w:rFonts w:hint="eastAsia"/>
          <w:highlight w:val="none"/>
        </w:rPr>
        <w:t>投 标 文 件</w:t>
      </w:r>
      <w:bookmarkEnd w:id="398"/>
    </w:p>
    <w:p w14:paraId="1192CD96">
      <w:pPr>
        <w:pStyle w:val="2"/>
        <w:spacing w:line="360" w:lineRule="auto"/>
        <w:rPr>
          <w:highlight w:val="none"/>
        </w:rPr>
      </w:pPr>
      <w:bookmarkStart w:id="399" w:name="_Toc229390311"/>
      <w:r>
        <w:rPr>
          <w:rFonts w:hint="eastAsia"/>
          <w:highlight w:val="none"/>
        </w:rPr>
        <w:t>商务技术文件</w:t>
      </w:r>
      <w:bookmarkEnd w:id="399"/>
    </w:p>
    <w:p w14:paraId="47E5C038">
      <w:pPr>
        <w:spacing w:line="360" w:lineRule="auto"/>
        <w:rPr>
          <w:highlight w:val="none"/>
        </w:rPr>
      </w:pPr>
      <w:r>
        <w:rPr>
          <w:rFonts w:hint="eastAsia"/>
          <w:highlight w:val="none"/>
        </w:rPr>
        <w:t>（第XX包）【如不分包，请删去本行】</w:t>
      </w:r>
    </w:p>
    <w:p w14:paraId="540BFE2F">
      <w:pPr>
        <w:spacing w:line="360" w:lineRule="auto"/>
        <w:rPr>
          <w:highlight w:val="none"/>
        </w:rPr>
      </w:pPr>
    </w:p>
    <w:p w14:paraId="6B2322BE">
      <w:pPr>
        <w:spacing w:line="360" w:lineRule="auto"/>
        <w:rPr>
          <w:highlight w:val="none"/>
        </w:rPr>
      </w:pPr>
    </w:p>
    <w:p w14:paraId="3DF8D2C7">
      <w:pPr>
        <w:spacing w:line="360" w:lineRule="auto"/>
        <w:rPr>
          <w:highlight w:val="none"/>
        </w:rPr>
      </w:pPr>
    </w:p>
    <w:p w14:paraId="0DBAEA99">
      <w:pPr>
        <w:spacing w:line="360" w:lineRule="auto"/>
        <w:rPr>
          <w:highlight w:val="none"/>
        </w:rPr>
      </w:pPr>
    </w:p>
    <w:p w14:paraId="56C69BF0">
      <w:pPr>
        <w:spacing w:line="360" w:lineRule="auto"/>
        <w:rPr>
          <w:highlight w:val="none"/>
        </w:rPr>
      </w:pPr>
      <w:r>
        <w:rPr>
          <w:rFonts w:hint="eastAsia"/>
          <w:highlight w:val="none"/>
        </w:rPr>
        <w:t xml:space="preserve">项目编号/包号：                           </w:t>
      </w:r>
    </w:p>
    <w:p w14:paraId="1C593469">
      <w:pPr>
        <w:spacing w:line="360" w:lineRule="auto"/>
        <w:rPr>
          <w:highlight w:val="none"/>
        </w:rPr>
      </w:pPr>
      <w:r>
        <w:rPr>
          <w:rFonts w:hint="eastAsia"/>
          <w:highlight w:val="none"/>
        </w:rPr>
        <w:t xml:space="preserve">项目名称：                                </w:t>
      </w:r>
    </w:p>
    <w:p w14:paraId="253C5B0A">
      <w:pPr>
        <w:spacing w:line="360" w:lineRule="auto"/>
        <w:rPr>
          <w:highlight w:val="none"/>
        </w:rPr>
      </w:pPr>
      <w:r>
        <w:rPr>
          <w:rFonts w:hint="eastAsia"/>
          <w:highlight w:val="none"/>
        </w:rPr>
        <w:t xml:space="preserve">投 标 人：                                </w:t>
      </w:r>
    </w:p>
    <w:p w14:paraId="177D5FA2">
      <w:pPr>
        <w:spacing w:line="360" w:lineRule="auto"/>
        <w:rPr>
          <w:highlight w:val="none"/>
        </w:rPr>
      </w:pPr>
    </w:p>
    <w:p w14:paraId="3FCA8AE4">
      <w:pPr>
        <w:spacing w:line="360" w:lineRule="auto"/>
        <w:rPr>
          <w:highlight w:val="none"/>
        </w:rPr>
      </w:pPr>
    </w:p>
    <w:p w14:paraId="583F19C7">
      <w:pPr>
        <w:spacing w:line="360" w:lineRule="auto"/>
        <w:rPr>
          <w:highlight w:val="none"/>
        </w:rPr>
      </w:pPr>
    </w:p>
    <w:p w14:paraId="07CCD60A">
      <w:pPr>
        <w:spacing w:line="360" w:lineRule="auto"/>
        <w:rPr>
          <w:highlight w:val="none"/>
        </w:rPr>
      </w:pPr>
      <w:r>
        <w:rPr>
          <w:rFonts w:hint="eastAsia"/>
          <w:highlight w:val="none"/>
        </w:rPr>
        <w:t>年   月    日</w:t>
      </w:r>
    </w:p>
    <w:p w14:paraId="583C02F1">
      <w:pPr>
        <w:spacing w:line="360" w:lineRule="auto"/>
        <w:rPr>
          <w:highlight w:val="none"/>
          <w:lang w:val="zh-CN"/>
        </w:rPr>
      </w:pPr>
      <w:r>
        <w:rPr>
          <w:highlight w:val="none"/>
          <w:lang w:val="zh-CN"/>
        </w:rPr>
        <w:br w:type="page"/>
      </w:r>
    </w:p>
    <w:p w14:paraId="1149B211">
      <w:pPr>
        <w:pStyle w:val="3"/>
        <w:spacing w:line="360" w:lineRule="auto"/>
        <w:rPr>
          <w:highlight w:val="none"/>
        </w:rPr>
      </w:pPr>
      <w:bookmarkStart w:id="400" w:name="_Toc155185921"/>
      <w:bookmarkStart w:id="401" w:name="_Toc109899908"/>
      <w:bookmarkStart w:id="402" w:name="_Toc109900327"/>
      <w:bookmarkStart w:id="403" w:name="_Toc3577"/>
      <w:bookmarkStart w:id="404" w:name="_Toc163492915"/>
      <w:bookmarkStart w:id="405" w:name="_Toc140132831"/>
      <w:bookmarkStart w:id="406" w:name="_Toc109899489"/>
      <w:bookmarkStart w:id="407" w:name="_Toc25402"/>
      <w:bookmarkStart w:id="408" w:name="_Toc229390312"/>
      <w:r>
        <w:rPr>
          <w:rFonts w:hint="eastAsia"/>
          <w:highlight w:val="none"/>
        </w:rPr>
        <w:t>一、投标函</w:t>
      </w:r>
      <w:bookmarkEnd w:id="400"/>
      <w:bookmarkEnd w:id="401"/>
      <w:bookmarkEnd w:id="402"/>
      <w:bookmarkEnd w:id="403"/>
      <w:bookmarkEnd w:id="404"/>
      <w:bookmarkEnd w:id="405"/>
      <w:bookmarkEnd w:id="406"/>
      <w:bookmarkEnd w:id="407"/>
      <w:bookmarkEnd w:id="408"/>
    </w:p>
    <w:p w14:paraId="5340F9D6">
      <w:pPr>
        <w:spacing w:line="360" w:lineRule="auto"/>
        <w:rPr>
          <w:highlight w:val="none"/>
        </w:rPr>
      </w:pPr>
      <w:r>
        <w:rPr>
          <w:rFonts w:hint="eastAsia"/>
          <w:highlight w:val="none"/>
        </w:rPr>
        <w:t>致：（采购人）</w:t>
      </w:r>
    </w:p>
    <w:p w14:paraId="7EBD6167">
      <w:pPr>
        <w:spacing w:line="360" w:lineRule="auto"/>
        <w:rPr>
          <w:b/>
          <w:bCs/>
          <w:highlight w:val="none"/>
        </w:rPr>
      </w:pPr>
      <w:r>
        <w:rPr>
          <w:rFonts w:hint="eastAsia"/>
          <w:highlight w:val="none"/>
        </w:rPr>
        <w:t>根据贵方</w:t>
      </w:r>
      <w:r>
        <w:rPr>
          <w:rFonts w:hint="eastAsia"/>
          <w:highlight w:val="none"/>
          <w:u w:val="single"/>
        </w:rPr>
        <w:t>（项目名称）（项目编号/包号）</w:t>
      </w:r>
      <w:r>
        <w:rPr>
          <w:rFonts w:hint="eastAsia"/>
          <w:highlight w:val="none"/>
        </w:rPr>
        <w:t>项目的招标公告，签字代表</w:t>
      </w:r>
      <w:r>
        <w:rPr>
          <w:rFonts w:hint="eastAsia"/>
          <w:highlight w:val="none"/>
          <w:u w:val="single"/>
        </w:rPr>
        <w:t>（姓名、职务）</w:t>
      </w:r>
      <w:r>
        <w:rPr>
          <w:rFonts w:hint="eastAsia"/>
          <w:highlight w:val="none"/>
        </w:rPr>
        <w:t>经正式授权并代表投标人</w:t>
      </w:r>
      <w:r>
        <w:rPr>
          <w:rFonts w:hint="eastAsia"/>
          <w:highlight w:val="none"/>
          <w:u w:val="single"/>
        </w:rPr>
        <w:t>（投标人名称、地址）</w:t>
      </w:r>
      <w:r>
        <w:rPr>
          <w:rFonts w:hint="eastAsia"/>
          <w:highlight w:val="none"/>
        </w:rPr>
        <w:t>提交下述文件</w:t>
      </w:r>
      <w:r>
        <w:rPr>
          <w:rFonts w:hint="eastAsia"/>
          <w:b/>
          <w:bCs/>
          <w:highlight w:val="none"/>
        </w:rPr>
        <w:t>：</w:t>
      </w:r>
    </w:p>
    <w:p w14:paraId="424EA461">
      <w:pPr>
        <w:spacing w:line="360" w:lineRule="auto"/>
        <w:rPr>
          <w:highlight w:val="none"/>
        </w:rPr>
      </w:pPr>
      <w:r>
        <w:rPr>
          <w:rFonts w:hint="eastAsia"/>
          <w:highlight w:val="none"/>
        </w:rPr>
        <w:t>1.资格证明文件</w:t>
      </w:r>
      <w:r>
        <w:rPr>
          <w:highlight w:val="none"/>
        </w:rPr>
        <w:t>；</w:t>
      </w:r>
    </w:p>
    <w:p w14:paraId="5E04EFBC">
      <w:pPr>
        <w:spacing w:line="360" w:lineRule="auto"/>
        <w:rPr>
          <w:highlight w:val="none"/>
        </w:rPr>
      </w:pPr>
      <w:r>
        <w:rPr>
          <w:rFonts w:hint="eastAsia"/>
          <w:highlight w:val="none"/>
        </w:rPr>
        <w:t>2.投标报价</w:t>
      </w:r>
      <w:r>
        <w:rPr>
          <w:highlight w:val="none"/>
        </w:rPr>
        <w:t>文件</w:t>
      </w:r>
      <w:r>
        <w:rPr>
          <w:rFonts w:hint="eastAsia"/>
          <w:highlight w:val="none"/>
        </w:rPr>
        <w:t>；</w:t>
      </w:r>
    </w:p>
    <w:p w14:paraId="7E6DD89C">
      <w:pPr>
        <w:spacing w:line="360" w:lineRule="auto"/>
        <w:rPr>
          <w:highlight w:val="none"/>
        </w:rPr>
      </w:pPr>
      <w:r>
        <w:rPr>
          <w:rFonts w:hint="eastAsia"/>
          <w:highlight w:val="none"/>
        </w:rPr>
        <w:t>3.商务技术文件</w:t>
      </w:r>
      <w:r>
        <w:rPr>
          <w:highlight w:val="none"/>
        </w:rPr>
        <w:t>。</w:t>
      </w:r>
    </w:p>
    <w:p w14:paraId="571BC64A">
      <w:pPr>
        <w:spacing w:line="360" w:lineRule="auto"/>
        <w:rPr>
          <w:highlight w:val="none"/>
        </w:rPr>
      </w:pPr>
      <w:r>
        <w:rPr>
          <w:highlight w:val="none"/>
        </w:rPr>
        <w:t>根据此函，签字代表宣布同意如下：</w:t>
      </w:r>
    </w:p>
    <w:p w14:paraId="5F92FB31">
      <w:pPr>
        <w:spacing w:line="360" w:lineRule="auto"/>
        <w:rPr>
          <w:highlight w:val="none"/>
        </w:rPr>
      </w:pPr>
      <w:r>
        <w:rPr>
          <w:rFonts w:hint="eastAsia"/>
          <w:highlight w:val="none"/>
        </w:rPr>
        <w:t>1.</w:t>
      </w:r>
      <w:r>
        <w:rPr>
          <w:highlight w:val="none"/>
        </w:rPr>
        <w:t>所附投标价格表中规定的应提交和交付的</w:t>
      </w:r>
      <w:r>
        <w:rPr>
          <w:rFonts w:hint="eastAsia"/>
          <w:highlight w:val="none"/>
        </w:rPr>
        <w:t>货物</w:t>
      </w:r>
      <w:r>
        <w:rPr>
          <w:highlight w:val="none"/>
        </w:rPr>
        <w:t>和</w:t>
      </w:r>
      <w:r>
        <w:rPr>
          <w:rFonts w:hint="eastAsia"/>
          <w:highlight w:val="none"/>
        </w:rPr>
        <w:t>相关</w:t>
      </w:r>
      <w:r>
        <w:rPr>
          <w:highlight w:val="none"/>
        </w:rPr>
        <w:t>服务</w:t>
      </w:r>
      <w:r>
        <w:rPr>
          <w:rFonts w:hint="eastAsia"/>
          <w:highlight w:val="none"/>
        </w:rPr>
        <w:t>（如有）</w:t>
      </w:r>
      <w:r>
        <w:rPr>
          <w:highlight w:val="none"/>
        </w:rPr>
        <w:t>的</w:t>
      </w:r>
      <w:r>
        <w:rPr>
          <w:rFonts w:hint="eastAsia"/>
          <w:highlight w:val="none"/>
        </w:rPr>
        <w:t>投标报价</w:t>
      </w:r>
      <w:r>
        <w:rPr>
          <w:highlight w:val="none"/>
        </w:rPr>
        <w:t>为</w:t>
      </w:r>
      <w:r>
        <w:rPr>
          <w:rFonts w:hint="eastAsia"/>
          <w:highlight w:val="none"/>
        </w:rPr>
        <w:t xml:space="preserve"> </w:t>
      </w:r>
      <w:r>
        <w:rPr>
          <w:rFonts w:hint="eastAsia"/>
          <w:highlight w:val="none"/>
          <w:u w:val="single"/>
        </w:rPr>
        <w:t xml:space="preserve">                  </w:t>
      </w:r>
      <w:r>
        <w:rPr>
          <w:highlight w:val="none"/>
        </w:rPr>
        <w:t>。</w:t>
      </w:r>
    </w:p>
    <w:p w14:paraId="24BB7FBD">
      <w:pPr>
        <w:spacing w:line="360" w:lineRule="auto"/>
        <w:rPr>
          <w:highlight w:val="none"/>
        </w:rPr>
      </w:pPr>
      <w:r>
        <w:rPr>
          <w:rFonts w:hint="eastAsia"/>
          <w:highlight w:val="none"/>
        </w:rPr>
        <w:t>2.我方</w:t>
      </w:r>
      <w:r>
        <w:rPr>
          <w:highlight w:val="none"/>
        </w:rPr>
        <w:t>将按招标文件的规定履行合同责任和义务。</w:t>
      </w:r>
    </w:p>
    <w:p w14:paraId="48202F94">
      <w:pPr>
        <w:spacing w:line="360" w:lineRule="auto"/>
        <w:rPr>
          <w:highlight w:val="none"/>
        </w:rPr>
      </w:pPr>
      <w:r>
        <w:rPr>
          <w:rFonts w:hint="eastAsia"/>
          <w:highlight w:val="none"/>
        </w:rPr>
        <w:t>3.我方</w:t>
      </w:r>
      <w:r>
        <w:rPr>
          <w:highlight w:val="none"/>
        </w:rPr>
        <w:t>已详细审查全部招标文件，包括第</w:t>
      </w:r>
      <w:r>
        <w:rPr>
          <w:iCs/>
          <w:highlight w:val="none"/>
          <w:u w:val="single"/>
        </w:rPr>
        <w:t>（编号、补遗书）（如果有的话）</w:t>
      </w:r>
      <w:r>
        <w:rPr>
          <w:highlight w:val="none"/>
        </w:rPr>
        <w:t>。我</w:t>
      </w:r>
      <w:r>
        <w:rPr>
          <w:rFonts w:hint="eastAsia"/>
          <w:highlight w:val="none"/>
        </w:rPr>
        <w:t>方</w:t>
      </w:r>
      <w:r>
        <w:rPr>
          <w:highlight w:val="none"/>
        </w:rPr>
        <w:t>完全理解并同意放弃对这方面有不明及误解的权力。</w:t>
      </w:r>
    </w:p>
    <w:p w14:paraId="15CE2A44">
      <w:pPr>
        <w:spacing w:line="360" w:lineRule="auto"/>
        <w:rPr>
          <w:highlight w:val="none"/>
        </w:rPr>
      </w:pPr>
      <w:r>
        <w:rPr>
          <w:rFonts w:hint="eastAsia"/>
          <w:highlight w:val="none"/>
        </w:rPr>
        <w:t>4.投标有效期为自提交投标文件的截止之日起</w:t>
      </w:r>
      <w:r>
        <w:rPr>
          <w:rFonts w:hint="eastAsia"/>
          <w:i/>
          <w:highlight w:val="none"/>
          <w:u w:val="single"/>
        </w:rPr>
        <w:t xml:space="preserve"> </w:t>
      </w:r>
      <w:r>
        <w:rPr>
          <w:rFonts w:hint="eastAsia"/>
          <w:iCs/>
          <w:highlight w:val="none"/>
          <w:u w:val="single"/>
        </w:rPr>
        <w:t>（由投标人填写）</w:t>
      </w:r>
      <w:r>
        <w:rPr>
          <w:highlight w:val="none"/>
        </w:rPr>
        <w:t>个日历天。</w:t>
      </w:r>
    </w:p>
    <w:p w14:paraId="213842F4">
      <w:pPr>
        <w:spacing w:line="360" w:lineRule="auto"/>
        <w:rPr>
          <w:highlight w:val="none"/>
        </w:rPr>
      </w:pPr>
      <w:r>
        <w:rPr>
          <w:rFonts w:hint="eastAsia"/>
          <w:highlight w:val="none"/>
        </w:rPr>
        <w:t>5.我方</w:t>
      </w:r>
      <w:r>
        <w:rPr>
          <w:highlight w:val="none"/>
        </w:rPr>
        <w:t>同意提供按照贵方</w:t>
      </w:r>
      <w:r>
        <w:rPr>
          <w:rFonts w:hint="eastAsia"/>
          <w:highlight w:val="none"/>
        </w:rPr>
        <w:t>招标文件</w:t>
      </w:r>
      <w:r>
        <w:rPr>
          <w:highlight w:val="none"/>
        </w:rPr>
        <w:t>要求的与投标有关的一切数据或资料，</w:t>
      </w:r>
      <w:r>
        <w:rPr>
          <w:rFonts w:hint="eastAsia"/>
          <w:highlight w:val="none"/>
        </w:rPr>
        <w:t>采用综合评分法时，我方</w:t>
      </w:r>
      <w:r>
        <w:rPr>
          <w:highlight w:val="none"/>
        </w:rPr>
        <w:t>完全理解贵方不一定接受最低价的投标。</w:t>
      </w:r>
    </w:p>
    <w:p w14:paraId="066D52BA">
      <w:pPr>
        <w:spacing w:line="360" w:lineRule="auto"/>
        <w:rPr>
          <w:highlight w:val="none"/>
        </w:rPr>
      </w:pPr>
      <w:r>
        <w:rPr>
          <w:rFonts w:hint="eastAsia"/>
          <w:highlight w:val="none"/>
        </w:rPr>
        <w:t>6.本项目如由中标人支付采购代理服务费，我方同意按投标人须知前附表中规定向采购代理机构支付采购代理服务费。</w:t>
      </w:r>
    </w:p>
    <w:p w14:paraId="2B0B5302">
      <w:pPr>
        <w:spacing w:line="360" w:lineRule="auto"/>
        <w:rPr>
          <w:highlight w:val="none"/>
        </w:rPr>
      </w:pPr>
      <w:r>
        <w:rPr>
          <w:rFonts w:hint="eastAsia"/>
          <w:highlight w:val="none"/>
        </w:rPr>
        <w:t>7.重要声明：</w:t>
      </w:r>
    </w:p>
    <w:p w14:paraId="6C7C385C">
      <w:pPr>
        <w:spacing w:line="360" w:lineRule="auto"/>
        <w:rPr>
          <w:highlight w:val="none"/>
        </w:rPr>
      </w:pPr>
      <w:r>
        <w:rPr>
          <w:rFonts w:hint="eastAsia"/>
          <w:highlight w:val="none"/>
        </w:rPr>
        <w:t>1）与我方单位负责人为同一人的其他单位名称：</w:t>
      </w:r>
    </w:p>
    <w:p w14:paraId="748B09F2">
      <w:pPr>
        <w:spacing w:line="360" w:lineRule="auto"/>
        <w:rPr>
          <w:iCs/>
          <w:highlight w:val="none"/>
        </w:rPr>
      </w:pPr>
      <w:r>
        <w:rPr>
          <w:rFonts w:hint="eastAsia"/>
          <w:highlight w:val="none"/>
        </w:rPr>
        <w:t>□无；□有，具体单位名称为：</w:t>
      </w:r>
      <w:r>
        <w:rPr>
          <w:rFonts w:hint="eastAsia" w:cs="Arial"/>
          <w:iCs/>
          <w:highlight w:val="none"/>
          <w:u w:val="single"/>
        </w:rPr>
        <w:t>（由投标人如实填写）</w:t>
      </w:r>
      <w:r>
        <w:rPr>
          <w:rFonts w:hint="eastAsia"/>
          <w:iCs/>
          <w:highlight w:val="none"/>
        </w:rPr>
        <w:t>。</w:t>
      </w:r>
    </w:p>
    <w:p w14:paraId="150971BE">
      <w:pPr>
        <w:spacing w:line="360" w:lineRule="auto"/>
        <w:rPr>
          <w:highlight w:val="none"/>
        </w:rPr>
      </w:pPr>
      <w:r>
        <w:rPr>
          <w:rFonts w:hint="eastAsia"/>
          <w:highlight w:val="none"/>
        </w:rPr>
        <w:t>2）与我方存在控股、管理关系的其他单位的名称：</w:t>
      </w:r>
    </w:p>
    <w:p w14:paraId="265D3DFF">
      <w:pPr>
        <w:spacing w:line="360" w:lineRule="auto"/>
        <w:rPr>
          <w:highlight w:val="none"/>
        </w:rPr>
      </w:pPr>
      <w:r>
        <w:rPr>
          <w:rFonts w:hint="eastAsia"/>
          <w:highlight w:val="none"/>
        </w:rPr>
        <w:t xml:space="preserve">□无；□有，具体单位名称为： </w:t>
      </w:r>
      <w:r>
        <w:rPr>
          <w:rFonts w:hint="eastAsia" w:cs="Arial"/>
          <w:highlight w:val="none"/>
          <w:u w:val="single"/>
        </w:rPr>
        <w:t>（由投标人如实填写）</w:t>
      </w:r>
      <w:r>
        <w:rPr>
          <w:rFonts w:hint="eastAsia"/>
          <w:highlight w:val="none"/>
        </w:rPr>
        <w:t>。</w:t>
      </w:r>
    </w:p>
    <w:p w14:paraId="62202D69">
      <w:pPr>
        <w:spacing w:line="360" w:lineRule="auto"/>
        <w:rPr>
          <w:highlight w:val="none"/>
        </w:rPr>
      </w:pPr>
      <w:r>
        <w:rPr>
          <w:rFonts w:hint="eastAsia"/>
          <w:highlight w:val="none"/>
        </w:rPr>
        <w:t>3）参与本项目采购活动前，是否为本项目前期准备提供过整体设计、规范编制或者项目管理、监理、检测等服务：</w:t>
      </w:r>
    </w:p>
    <w:p w14:paraId="077B03D1">
      <w:pPr>
        <w:spacing w:line="360" w:lineRule="auto"/>
        <w:rPr>
          <w:highlight w:val="none"/>
        </w:rPr>
      </w:pPr>
      <w:r>
        <w:rPr>
          <w:rFonts w:hint="eastAsia"/>
          <w:highlight w:val="none"/>
        </w:rPr>
        <w:t xml:space="preserve">□无；□有，已提供的具体服务内容为： </w:t>
      </w:r>
      <w:r>
        <w:rPr>
          <w:rFonts w:hint="eastAsia" w:cs="Arial"/>
          <w:highlight w:val="none"/>
          <w:u w:val="single"/>
        </w:rPr>
        <w:t>（由投标人如实填写）</w:t>
      </w:r>
      <w:r>
        <w:rPr>
          <w:rFonts w:hint="eastAsia"/>
          <w:highlight w:val="none"/>
        </w:rPr>
        <w:t>。</w:t>
      </w:r>
    </w:p>
    <w:p w14:paraId="154E2745">
      <w:pPr>
        <w:spacing w:line="360" w:lineRule="auto"/>
        <w:rPr>
          <w:highlight w:val="none"/>
        </w:rPr>
      </w:pPr>
      <w:r>
        <w:rPr>
          <w:rFonts w:hint="eastAsia"/>
          <w:highlight w:val="none"/>
        </w:rPr>
        <w:t>（备注：以上</w:t>
      </w:r>
      <w:r>
        <w:rPr>
          <w:highlight w:val="none"/>
        </w:rPr>
        <w:t>3</w:t>
      </w:r>
      <w:r>
        <w:rPr>
          <w:rFonts w:hint="eastAsia"/>
          <w:highlight w:val="none"/>
        </w:rPr>
        <w:t>项声明，必须如实选择，选中项用</w:t>
      </w:r>
      <w:r>
        <w:rPr>
          <w:rFonts w:ascii="Segoe UI Symbol" w:hAnsi="Segoe UI Symbol" w:cs="Segoe UI Symbol"/>
          <w:highlight w:val="none"/>
        </w:rPr>
        <w:t>☑</w:t>
      </w:r>
      <w:r>
        <w:rPr>
          <w:rFonts w:hint="eastAsia" w:cs="宋体"/>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72453A56">
      <w:pPr>
        <w:spacing w:line="360" w:lineRule="auto"/>
        <w:rPr>
          <w:highlight w:val="none"/>
        </w:rPr>
      </w:pPr>
      <w:r>
        <w:rPr>
          <w:rFonts w:hint="eastAsia"/>
          <w:highlight w:val="none"/>
        </w:rPr>
        <w:t>4）我方在本投标文件中所提供的全部资料均真实有效，我方承诺对其真实性负责并承担相应后果。</w:t>
      </w:r>
    </w:p>
    <w:p w14:paraId="64DBDEE4">
      <w:pPr>
        <w:spacing w:line="360" w:lineRule="auto"/>
        <w:rPr>
          <w:highlight w:val="none"/>
        </w:rPr>
      </w:pPr>
      <w:r>
        <w:rPr>
          <w:rFonts w:hint="eastAsia"/>
          <w:highlight w:val="none"/>
        </w:rPr>
        <w:t>5）</w:t>
      </w:r>
      <w:bookmarkStart w:id="409" w:name="_Hlk161604053"/>
      <w:r>
        <w:rPr>
          <w:rFonts w:hint="eastAsia"/>
          <w:highlight w:val="none"/>
        </w:rPr>
        <w:t>我方承诺本《投标函》的签章对本投标文件全部内容具有约束力并承担法律责任。</w:t>
      </w:r>
      <w:bookmarkEnd w:id="409"/>
    </w:p>
    <w:p w14:paraId="6202AF29">
      <w:pPr>
        <w:spacing w:line="360" w:lineRule="auto"/>
        <w:rPr>
          <w:highlight w:val="none"/>
        </w:rPr>
      </w:pPr>
    </w:p>
    <w:p w14:paraId="1C06AC09">
      <w:pPr>
        <w:spacing w:line="360" w:lineRule="auto"/>
        <w:rPr>
          <w:highlight w:val="none"/>
        </w:rPr>
      </w:pPr>
    </w:p>
    <w:p w14:paraId="47029D93">
      <w:pPr>
        <w:spacing w:line="360" w:lineRule="auto"/>
        <w:rPr>
          <w:highlight w:val="none"/>
        </w:rPr>
      </w:pPr>
    </w:p>
    <w:p w14:paraId="4A63F51B">
      <w:pPr>
        <w:spacing w:line="360" w:lineRule="auto"/>
        <w:rPr>
          <w:highlight w:val="none"/>
          <w:lang w:val="zh-CN"/>
        </w:rPr>
      </w:pPr>
      <w:r>
        <w:rPr>
          <w:rFonts w:hint="eastAsia"/>
          <w:highlight w:val="none"/>
          <w:lang w:bidi="ar"/>
        </w:rPr>
        <w:t>投标人名称</w:t>
      </w:r>
      <w:r>
        <w:rPr>
          <w:rFonts w:hint="eastAsia" w:cs="仿宋_GB2312"/>
          <w:highlight w:val="none"/>
        </w:rPr>
        <w:t>（</w:t>
      </w:r>
      <w:r>
        <w:rPr>
          <w:rFonts w:hint="eastAsia"/>
          <w:highlight w:val="none"/>
        </w:rPr>
        <w:t>公章）</w:t>
      </w:r>
      <w:r>
        <w:rPr>
          <w:rFonts w:hint="eastAsia"/>
          <w:highlight w:val="none"/>
          <w:lang w:val="zh-CN"/>
        </w:rPr>
        <w:t>：</w:t>
      </w:r>
    </w:p>
    <w:p w14:paraId="77BEEB71">
      <w:pPr>
        <w:spacing w:line="360" w:lineRule="auto"/>
        <w:rPr>
          <w:highlight w:val="none"/>
          <w:lang w:bidi="ar"/>
        </w:rPr>
      </w:pPr>
      <w:r>
        <w:rPr>
          <w:rFonts w:hint="eastAsia"/>
          <w:highlight w:val="none"/>
          <w:lang w:bidi="ar"/>
        </w:rPr>
        <w:t>法定代表人或授权代表（签字或印章）：</w:t>
      </w:r>
    </w:p>
    <w:p w14:paraId="725B37B2">
      <w:pPr>
        <w:spacing w:line="360" w:lineRule="auto"/>
        <w:rPr>
          <w:highlight w:val="none"/>
        </w:rPr>
      </w:pPr>
      <w:r>
        <w:rPr>
          <w:rFonts w:hint="eastAsia"/>
          <w:highlight w:val="none"/>
        </w:rPr>
        <w:t>通  讯  地  址：</w:t>
      </w:r>
    </w:p>
    <w:p w14:paraId="3074AC5D">
      <w:pPr>
        <w:spacing w:line="360" w:lineRule="auto"/>
        <w:rPr>
          <w:highlight w:val="none"/>
        </w:rPr>
      </w:pPr>
      <w:r>
        <w:rPr>
          <w:rFonts w:hint="eastAsia"/>
          <w:highlight w:val="none"/>
        </w:rPr>
        <w:t xml:space="preserve">传       </w:t>
      </w:r>
      <w:r>
        <w:rPr>
          <w:highlight w:val="none"/>
        </w:rPr>
        <w:t xml:space="preserve">   </w:t>
      </w:r>
      <w:r>
        <w:rPr>
          <w:rFonts w:hint="eastAsia"/>
          <w:highlight w:val="none"/>
        </w:rPr>
        <w:t>真：</w:t>
      </w:r>
    </w:p>
    <w:p w14:paraId="070539A4">
      <w:pPr>
        <w:spacing w:line="360" w:lineRule="auto"/>
        <w:rPr>
          <w:highlight w:val="none"/>
        </w:rPr>
      </w:pPr>
      <w:r>
        <w:rPr>
          <w:rFonts w:hint="eastAsia"/>
          <w:highlight w:val="none"/>
        </w:rPr>
        <w:t>电          话：</w:t>
      </w:r>
    </w:p>
    <w:p w14:paraId="6E80F17D">
      <w:pPr>
        <w:spacing w:line="360" w:lineRule="auto"/>
        <w:rPr>
          <w:rFonts w:cs="Arial"/>
          <w:szCs w:val="24"/>
          <w:highlight w:val="none"/>
        </w:rPr>
      </w:pPr>
      <w:r>
        <w:rPr>
          <w:rFonts w:hint="eastAsia"/>
          <w:highlight w:val="none"/>
        </w:rPr>
        <w:t xml:space="preserve">日     </w:t>
      </w:r>
      <w:r>
        <w:rPr>
          <w:highlight w:val="none"/>
        </w:rPr>
        <w:t xml:space="preserve">  </w:t>
      </w:r>
      <w:r>
        <w:rPr>
          <w:rFonts w:hint="eastAsia"/>
          <w:highlight w:val="none"/>
        </w:rPr>
        <w:t xml:space="preserve">    期：</w:t>
      </w:r>
    </w:p>
    <w:p w14:paraId="63BD28FE">
      <w:pPr>
        <w:spacing w:line="360" w:lineRule="auto"/>
        <w:rPr>
          <w:highlight w:val="none"/>
        </w:rPr>
      </w:pPr>
    </w:p>
    <w:p w14:paraId="6ADA775B">
      <w:pPr>
        <w:spacing w:line="360" w:lineRule="auto"/>
        <w:rPr>
          <w:highlight w:val="none"/>
        </w:rPr>
      </w:pPr>
      <w:r>
        <w:rPr>
          <w:highlight w:val="none"/>
        </w:rPr>
        <w:br w:type="page"/>
      </w:r>
    </w:p>
    <w:p w14:paraId="5A21CB27">
      <w:pPr>
        <w:pStyle w:val="3"/>
        <w:spacing w:line="360" w:lineRule="auto"/>
        <w:rPr>
          <w:highlight w:val="none"/>
        </w:rPr>
      </w:pPr>
      <w:bookmarkStart w:id="410" w:name="_Toc229390313"/>
      <w:bookmarkStart w:id="411" w:name="_Toc163492918"/>
      <w:bookmarkStart w:id="412" w:name="_Toc155185924"/>
      <w:r>
        <w:rPr>
          <w:rFonts w:hint="eastAsia"/>
          <w:highlight w:val="none"/>
        </w:rPr>
        <w:t>二、法定代表人（单位负责人）身份证明</w:t>
      </w:r>
      <w:bookmarkEnd w:id="410"/>
      <w:bookmarkEnd w:id="411"/>
      <w:bookmarkEnd w:id="412"/>
    </w:p>
    <w:p w14:paraId="5D7B82FD">
      <w:pPr>
        <w:spacing w:line="360" w:lineRule="auto"/>
        <w:rPr>
          <w:highlight w:val="none"/>
        </w:rPr>
      </w:pPr>
      <w:r>
        <w:rPr>
          <w:rFonts w:hint="eastAsia"/>
          <w:highlight w:val="none"/>
        </w:rPr>
        <w:t xml:space="preserve">致：（采购人或采购代理机构） </w:t>
      </w:r>
    </w:p>
    <w:p w14:paraId="665D0C5C">
      <w:pPr>
        <w:spacing w:line="360" w:lineRule="auto"/>
        <w:rPr>
          <w:highlight w:val="none"/>
        </w:rPr>
      </w:pPr>
      <w:r>
        <w:rPr>
          <w:rFonts w:hint="eastAsia"/>
          <w:highlight w:val="none"/>
        </w:rPr>
        <w:t xml:space="preserve">兹证明， </w:t>
      </w:r>
    </w:p>
    <w:p w14:paraId="1AB00735">
      <w:pPr>
        <w:spacing w:line="360" w:lineRule="auto"/>
        <w:rPr>
          <w:highlight w:val="none"/>
        </w:rPr>
      </w:pPr>
      <w:r>
        <w:rPr>
          <w:rFonts w:hint="eastAsia"/>
          <w:highlight w:val="none"/>
        </w:rPr>
        <w:t xml:space="preserve">姓名：____性别：____年龄：____职务：____ </w:t>
      </w:r>
    </w:p>
    <w:p w14:paraId="6E11314D">
      <w:pPr>
        <w:spacing w:line="360" w:lineRule="auto"/>
        <w:rPr>
          <w:highlight w:val="none"/>
        </w:rPr>
      </w:pPr>
      <w:r>
        <w:rPr>
          <w:rFonts w:hint="eastAsia"/>
          <w:highlight w:val="none"/>
        </w:rPr>
        <w:t xml:space="preserve">系 </w:t>
      </w:r>
      <w:r>
        <w:rPr>
          <w:rFonts w:hint="eastAsia"/>
          <w:highlight w:val="none"/>
          <w:u w:val="single"/>
        </w:rPr>
        <w:t xml:space="preserve">            </w:t>
      </w:r>
      <w:r>
        <w:rPr>
          <w:rFonts w:hint="eastAsia"/>
          <w:highlight w:val="none"/>
        </w:rPr>
        <w:t xml:space="preserve">（投标人名称）的法定代表人（单位负责人）。 </w:t>
      </w:r>
    </w:p>
    <w:p w14:paraId="249D47E4">
      <w:pPr>
        <w:spacing w:line="360" w:lineRule="auto"/>
        <w:rPr>
          <w:highlight w:val="none"/>
        </w:rPr>
      </w:pPr>
      <w:r>
        <w:rPr>
          <w:rFonts w:hint="eastAsia"/>
          <w:highlight w:val="none"/>
        </w:rPr>
        <w:t xml:space="preserve">附：法定代表人（单位负责人）身份证、护照等身份证明文件电子件： </w:t>
      </w:r>
    </w:p>
    <w:p w14:paraId="40DBC57A">
      <w:pPr>
        <w:spacing w:line="360" w:lineRule="auto"/>
        <w:rPr>
          <w:highlight w:val="none"/>
        </w:rPr>
      </w:pPr>
    </w:p>
    <w:p w14:paraId="4A33B662">
      <w:pPr>
        <w:spacing w:line="360" w:lineRule="auto"/>
        <w:rPr>
          <w:highlight w:val="none"/>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421C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1" w:hRule="atLeast"/>
        </w:trPr>
        <w:tc>
          <w:tcPr>
            <w:tcW w:w="8527" w:type="dxa"/>
          </w:tcPr>
          <w:p w14:paraId="3CE89802">
            <w:pPr>
              <w:spacing w:line="360" w:lineRule="auto"/>
              <w:rPr>
                <w:highlight w:val="none"/>
              </w:rPr>
            </w:pPr>
          </w:p>
        </w:tc>
      </w:tr>
    </w:tbl>
    <w:p w14:paraId="51C43C1E">
      <w:pPr>
        <w:spacing w:line="360" w:lineRule="auto"/>
        <w:rPr>
          <w:highlight w:val="none"/>
        </w:rPr>
      </w:pPr>
    </w:p>
    <w:p w14:paraId="70433F09">
      <w:pPr>
        <w:spacing w:line="360" w:lineRule="auto"/>
        <w:rPr>
          <w:highlight w:val="none"/>
        </w:rPr>
      </w:pPr>
      <w:r>
        <w:rPr>
          <w:rFonts w:hint="eastAsia" w:cs="宋体"/>
          <w:highlight w:val="none"/>
          <w:lang w:bidi="ar"/>
        </w:rPr>
        <w:t>投标人名称</w:t>
      </w:r>
      <w:r>
        <w:rPr>
          <w:rFonts w:hint="eastAsia" w:cs="仿宋_GB2312"/>
          <w:highlight w:val="none"/>
        </w:rPr>
        <w:t>（</w:t>
      </w:r>
      <w:r>
        <w:rPr>
          <w:rFonts w:hint="eastAsia" w:cs="宋体"/>
          <w:highlight w:val="none"/>
        </w:rPr>
        <w:t>公章）</w:t>
      </w:r>
      <w:r>
        <w:rPr>
          <w:rFonts w:hint="eastAsia" w:cs="宋体"/>
          <w:highlight w:val="none"/>
          <w:lang w:bidi="ar"/>
        </w:rPr>
        <w:t>：</w:t>
      </w:r>
      <w:r>
        <w:rPr>
          <w:highlight w:val="none"/>
          <w:lang w:bidi="ar"/>
        </w:rPr>
        <w:t xml:space="preserve">________________ </w:t>
      </w:r>
    </w:p>
    <w:p w14:paraId="5ED62AF0">
      <w:pPr>
        <w:spacing w:line="360" w:lineRule="auto"/>
        <w:rPr>
          <w:highlight w:val="none"/>
        </w:rPr>
      </w:pPr>
      <w:r>
        <w:rPr>
          <w:rFonts w:hint="eastAsia"/>
          <w:highlight w:val="none"/>
          <w:lang w:bidi="ar"/>
        </w:rPr>
        <w:t>法定代表人（单位负责人）（签字或</w:t>
      </w:r>
      <w:r>
        <w:rPr>
          <w:rFonts w:hint="eastAsia"/>
          <w:highlight w:val="none"/>
        </w:rPr>
        <w:t>盖章</w:t>
      </w:r>
      <w:r>
        <w:rPr>
          <w:rFonts w:hint="eastAsia"/>
          <w:highlight w:val="none"/>
          <w:lang w:bidi="ar"/>
        </w:rPr>
        <w:t>）：</w:t>
      </w:r>
      <w:r>
        <w:rPr>
          <w:rFonts w:ascii="DejaVuSans" w:hAnsi="DejaVuSans" w:eastAsia="DejaVuSans" w:cs="DejaVuSans"/>
          <w:highlight w:val="none"/>
          <w:lang w:bidi="ar"/>
        </w:rPr>
        <w:t xml:space="preserve">_______ </w:t>
      </w:r>
    </w:p>
    <w:p w14:paraId="593A1DF7">
      <w:pPr>
        <w:spacing w:line="360" w:lineRule="auto"/>
        <w:rPr>
          <w:highlight w:val="none"/>
          <w:lang w:bidi="ar"/>
        </w:rPr>
      </w:pPr>
    </w:p>
    <w:p w14:paraId="259C7256">
      <w:pPr>
        <w:spacing w:line="360" w:lineRule="auto"/>
        <w:rPr>
          <w:highlight w:val="none"/>
        </w:rPr>
      </w:pPr>
      <w:r>
        <w:rPr>
          <w:rFonts w:hint="eastAsia" w:cs="宋体"/>
          <w:highlight w:val="none"/>
          <w:lang w:bidi="ar"/>
        </w:rPr>
        <w:t>日期：</w:t>
      </w:r>
      <w:r>
        <w:rPr>
          <w:highlight w:val="none"/>
          <w:lang w:bidi="ar"/>
        </w:rPr>
        <w:t>_____</w:t>
      </w:r>
      <w:r>
        <w:rPr>
          <w:rFonts w:hint="eastAsia" w:cs="宋体"/>
          <w:highlight w:val="none"/>
          <w:lang w:bidi="ar"/>
        </w:rPr>
        <w:t>年</w:t>
      </w:r>
      <w:r>
        <w:rPr>
          <w:highlight w:val="none"/>
          <w:lang w:bidi="ar"/>
        </w:rPr>
        <w:t>______</w:t>
      </w:r>
      <w:r>
        <w:rPr>
          <w:rFonts w:hint="eastAsia" w:cs="宋体"/>
          <w:highlight w:val="none"/>
          <w:lang w:bidi="ar"/>
        </w:rPr>
        <w:t>月</w:t>
      </w:r>
      <w:r>
        <w:rPr>
          <w:highlight w:val="none"/>
          <w:lang w:bidi="ar"/>
        </w:rPr>
        <w:t>______</w:t>
      </w:r>
      <w:r>
        <w:rPr>
          <w:rFonts w:hint="eastAsia" w:cs="宋体"/>
          <w:highlight w:val="none"/>
          <w:lang w:bidi="ar"/>
        </w:rPr>
        <w:t>日</w:t>
      </w:r>
    </w:p>
    <w:p w14:paraId="7DDB0C67">
      <w:pPr>
        <w:spacing w:line="360" w:lineRule="auto"/>
        <w:rPr>
          <w:highlight w:val="none"/>
        </w:rPr>
      </w:pPr>
    </w:p>
    <w:p w14:paraId="5777D057">
      <w:pPr>
        <w:spacing w:line="360" w:lineRule="auto"/>
        <w:rPr>
          <w:highlight w:val="none"/>
        </w:rPr>
      </w:pPr>
      <w:r>
        <w:rPr>
          <w:highlight w:val="none"/>
        </w:rPr>
        <w:br w:type="page"/>
      </w:r>
    </w:p>
    <w:p w14:paraId="2A807C70">
      <w:pPr>
        <w:pStyle w:val="3"/>
        <w:spacing w:line="360" w:lineRule="auto"/>
        <w:rPr>
          <w:highlight w:val="none"/>
        </w:rPr>
      </w:pPr>
      <w:bookmarkStart w:id="413" w:name="_Toc155185925"/>
      <w:bookmarkStart w:id="414" w:name="_Toc163492919"/>
      <w:bookmarkStart w:id="415" w:name="_Toc229390314"/>
      <w:r>
        <w:rPr>
          <w:rFonts w:hint="eastAsia"/>
          <w:highlight w:val="none"/>
        </w:rPr>
        <w:t>三、授权委托书</w:t>
      </w:r>
      <w:bookmarkEnd w:id="413"/>
      <w:bookmarkEnd w:id="414"/>
      <w:bookmarkEnd w:id="415"/>
    </w:p>
    <w:p w14:paraId="1E329E92">
      <w:pPr>
        <w:spacing w:line="360" w:lineRule="auto"/>
        <w:rPr>
          <w:highlight w:val="none"/>
        </w:rPr>
      </w:pPr>
      <w:r>
        <w:rPr>
          <w:rFonts w:hint="eastAsia"/>
          <w:highlight w:val="none"/>
        </w:rPr>
        <w:t>本人</w:t>
      </w:r>
      <w:r>
        <w:rPr>
          <w:highlight w:val="none"/>
          <w:u w:val="single"/>
        </w:rPr>
        <w:t xml:space="preserve">     </w:t>
      </w:r>
      <w:r>
        <w:rPr>
          <w:rFonts w:hint="eastAsia"/>
          <w:highlight w:val="none"/>
        </w:rPr>
        <w:t>（姓名）系</w:t>
      </w:r>
      <w:r>
        <w:rPr>
          <w:rFonts w:hint="eastAsia"/>
          <w:highlight w:val="none"/>
          <w:u w:val="single"/>
        </w:rPr>
        <w:t xml:space="preserve">          </w:t>
      </w:r>
      <w:r>
        <w:rPr>
          <w:rFonts w:hint="eastAsia"/>
          <w:highlight w:val="none"/>
        </w:rPr>
        <w:t>（投标人名称）的法定代表人（单位负责人），现委托</w:t>
      </w:r>
      <w:r>
        <w:rPr>
          <w:rFonts w:hint="eastAsia"/>
          <w:highlight w:val="none"/>
          <w:u w:val="single"/>
        </w:rPr>
        <w:t xml:space="preserve">     </w:t>
      </w:r>
      <w:r>
        <w:rPr>
          <w:rFonts w:hint="eastAsia"/>
          <w:highlight w:val="none"/>
        </w:rPr>
        <w:t>（姓名）为我方代理人。代理人根据授权，以我方名义签署、澄清确认、说明、补正、递交、撤回、修改</w:t>
      </w:r>
      <w:r>
        <w:rPr>
          <w:rFonts w:hint="eastAsia"/>
          <w:highlight w:val="none"/>
          <w:u w:val="single"/>
        </w:rPr>
        <w:t xml:space="preserve">           </w:t>
      </w:r>
      <w:r>
        <w:rPr>
          <w:rFonts w:hint="eastAsia"/>
          <w:highlight w:val="none"/>
        </w:rPr>
        <w:t>（项目名称）投标文件、签订合同和处理有关事宜，其法律后果由我方承担。</w:t>
      </w:r>
    </w:p>
    <w:p w14:paraId="16F9FE44">
      <w:pPr>
        <w:spacing w:line="360" w:lineRule="auto"/>
        <w:rPr>
          <w:highlight w:val="none"/>
        </w:rPr>
      </w:pPr>
      <w:r>
        <w:rPr>
          <w:rFonts w:hint="eastAsia"/>
          <w:highlight w:val="none"/>
        </w:rPr>
        <w:t>委托期限：自本授权委托书签署之日起至投标有效期届满之日止。</w:t>
      </w:r>
    </w:p>
    <w:p w14:paraId="0F9C2529">
      <w:pPr>
        <w:spacing w:line="360" w:lineRule="auto"/>
        <w:rPr>
          <w:highlight w:val="none"/>
        </w:rPr>
      </w:pPr>
      <w:r>
        <w:rPr>
          <w:rFonts w:hint="eastAsia"/>
          <w:highlight w:val="none"/>
        </w:rPr>
        <w:t>代理人无转委托权。</w:t>
      </w:r>
    </w:p>
    <w:p w14:paraId="744A610B">
      <w:pPr>
        <w:spacing w:line="360" w:lineRule="auto"/>
        <w:rPr>
          <w:highlight w:val="none"/>
        </w:rPr>
      </w:pPr>
    </w:p>
    <w:p w14:paraId="6479EA51">
      <w:pPr>
        <w:spacing w:line="360" w:lineRule="auto"/>
        <w:rPr>
          <w:highlight w:val="none"/>
        </w:rPr>
      </w:pPr>
      <w:r>
        <w:rPr>
          <w:rFonts w:hint="eastAsia" w:cs="宋体"/>
          <w:highlight w:val="none"/>
          <w:lang w:bidi="ar"/>
        </w:rPr>
        <w:t>投标人名称</w:t>
      </w:r>
      <w:r>
        <w:rPr>
          <w:rFonts w:hint="eastAsia" w:cs="仿宋_GB2312"/>
          <w:highlight w:val="none"/>
        </w:rPr>
        <w:t>（</w:t>
      </w:r>
      <w:r>
        <w:rPr>
          <w:rFonts w:hint="eastAsia" w:cs="宋体"/>
          <w:highlight w:val="none"/>
        </w:rPr>
        <w:t>公章）</w:t>
      </w:r>
      <w:r>
        <w:rPr>
          <w:rFonts w:hint="eastAsia" w:cs="宋体"/>
          <w:highlight w:val="none"/>
          <w:lang w:bidi="ar"/>
        </w:rPr>
        <w:t>：</w:t>
      </w:r>
      <w:r>
        <w:rPr>
          <w:highlight w:val="none"/>
          <w:lang w:bidi="ar"/>
        </w:rPr>
        <w:t xml:space="preserve">________________ </w:t>
      </w:r>
    </w:p>
    <w:p w14:paraId="341F0110">
      <w:pPr>
        <w:spacing w:line="360" w:lineRule="auto"/>
        <w:rPr>
          <w:highlight w:val="none"/>
        </w:rPr>
      </w:pPr>
      <w:r>
        <w:rPr>
          <w:rFonts w:hint="eastAsia"/>
          <w:highlight w:val="none"/>
          <w:lang w:bidi="ar"/>
        </w:rPr>
        <w:t>法定代表人（单位负责人）（签字或</w:t>
      </w:r>
      <w:r>
        <w:rPr>
          <w:rFonts w:hint="eastAsia"/>
          <w:highlight w:val="none"/>
        </w:rPr>
        <w:t>盖章）</w:t>
      </w:r>
      <w:r>
        <w:rPr>
          <w:rFonts w:hint="eastAsia"/>
          <w:highlight w:val="none"/>
          <w:lang w:bidi="ar"/>
        </w:rPr>
        <w:t>：</w:t>
      </w:r>
      <w:r>
        <w:rPr>
          <w:rFonts w:ascii="DejaVuSans" w:hAnsi="DejaVuSans" w:eastAsia="DejaVuSans" w:cs="DejaVuSans"/>
          <w:highlight w:val="none"/>
          <w:lang w:bidi="ar"/>
        </w:rPr>
        <w:t xml:space="preserve">________________ </w:t>
      </w:r>
    </w:p>
    <w:p w14:paraId="2478A246">
      <w:pPr>
        <w:spacing w:line="360" w:lineRule="auto"/>
        <w:rPr>
          <w:highlight w:val="none"/>
        </w:rPr>
      </w:pPr>
      <w:r>
        <w:rPr>
          <w:rFonts w:hint="eastAsia" w:cs="宋体"/>
          <w:highlight w:val="none"/>
          <w:lang w:bidi="ar"/>
        </w:rPr>
        <w:t>委托代理人（签字或</w:t>
      </w:r>
      <w:r>
        <w:rPr>
          <w:rFonts w:hint="eastAsia" w:cs="宋体"/>
          <w:highlight w:val="none"/>
        </w:rPr>
        <w:t>盖章）</w:t>
      </w:r>
      <w:r>
        <w:rPr>
          <w:rFonts w:hint="eastAsia" w:cs="宋体"/>
          <w:highlight w:val="none"/>
          <w:lang w:bidi="ar"/>
        </w:rPr>
        <w:t>：</w:t>
      </w:r>
      <w:r>
        <w:rPr>
          <w:highlight w:val="none"/>
          <w:lang w:bidi="ar"/>
        </w:rPr>
        <w:t xml:space="preserve">________________ </w:t>
      </w:r>
      <w:r>
        <w:rPr>
          <w:rFonts w:hint="eastAsia"/>
          <w:highlight w:val="none"/>
          <w:lang w:bidi="ar"/>
        </w:rPr>
        <w:t xml:space="preserve">   联系电话：</w:t>
      </w:r>
      <w:r>
        <w:rPr>
          <w:highlight w:val="none"/>
          <w:lang w:bidi="ar"/>
        </w:rPr>
        <w:t>________</w:t>
      </w:r>
    </w:p>
    <w:p w14:paraId="42F61AA4">
      <w:pPr>
        <w:spacing w:line="360" w:lineRule="auto"/>
        <w:rPr>
          <w:highlight w:val="none"/>
        </w:rPr>
      </w:pPr>
      <w:r>
        <w:rPr>
          <w:rFonts w:hint="eastAsia" w:cs="宋体"/>
          <w:highlight w:val="none"/>
          <w:lang w:bidi="ar"/>
        </w:rPr>
        <w:t>日期：</w:t>
      </w:r>
      <w:r>
        <w:rPr>
          <w:highlight w:val="none"/>
          <w:lang w:bidi="ar"/>
        </w:rPr>
        <w:t>_____</w:t>
      </w:r>
      <w:r>
        <w:rPr>
          <w:rFonts w:hint="eastAsia" w:cs="宋体"/>
          <w:highlight w:val="none"/>
          <w:lang w:bidi="ar"/>
        </w:rPr>
        <w:t>年</w:t>
      </w:r>
      <w:r>
        <w:rPr>
          <w:highlight w:val="none"/>
          <w:lang w:bidi="ar"/>
        </w:rPr>
        <w:t>______</w:t>
      </w:r>
      <w:r>
        <w:rPr>
          <w:rFonts w:hint="eastAsia" w:cs="宋体"/>
          <w:highlight w:val="none"/>
          <w:lang w:bidi="ar"/>
        </w:rPr>
        <w:t>月</w:t>
      </w:r>
      <w:r>
        <w:rPr>
          <w:highlight w:val="none"/>
          <w:lang w:bidi="ar"/>
        </w:rPr>
        <w:t>______</w:t>
      </w:r>
      <w:r>
        <w:rPr>
          <w:rFonts w:hint="eastAsia" w:cs="宋体"/>
          <w:highlight w:val="none"/>
          <w:lang w:bidi="ar"/>
        </w:rPr>
        <w:t xml:space="preserve">日 </w:t>
      </w:r>
    </w:p>
    <w:p w14:paraId="7668DCCB">
      <w:pPr>
        <w:spacing w:line="360" w:lineRule="auto"/>
        <w:rPr>
          <w:highlight w:val="none"/>
        </w:rPr>
      </w:pPr>
    </w:p>
    <w:p w14:paraId="2FEB4212">
      <w:pPr>
        <w:spacing w:line="360" w:lineRule="auto"/>
        <w:rPr>
          <w:highlight w:val="none"/>
        </w:rPr>
      </w:pPr>
      <w:r>
        <w:rPr>
          <w:rFonts w:hint="eastAsia"/>
          <w:highlight w:val="none"/>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4A8A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F527CC9">
            <w:pPr>
              <w:spacing w:line="360" w:lineRule="auto"/>
              <w:rPr>
                <w:highlight w:val="none"/>
              </w:rPr>
            </w:pPr>
          </w:p>
        </w:tc>
      </w:tr>
    </w:tbl>
    <w:p w14:paraId="2EFFBA2E">
      <w:pPr>
        <w:spacing w:line="360" w:lineRule="auto"/>
        <w:rPr>
          <w:highlight w:val="none"/>
        </w:rPr>
      </w:pPr>
      <w:r>
        <w:rPr>
          <w:rFonts w:hint="eastAsia"/>
          <w:highlight w:val="none"/>
        </w:rPr>
        <w:t xml:space="preserve">说明： </w:t>
      </w:r>
    </w:p>
    <w:p w14:paraId="23964949">
      <w:pPr>
        <w:spacing w:line="360" w:lineRule="auto"/>
        <w:rPr>
          <w:highlight w:val="none"/>
        </w:rPr>
      </w:pPr>
      <w:r>
        <w:rPr>
          <w:rFonts w:hint="eastAsia"/>
          <w:highlight w:val="none"/>
        </w:rPr>
        <w:t xml:space="preserve">1.若投标人为事业单位或其他组织或分支机构，则法定代表人（单位负责人）处的签署人可为单位负责人。 </w:t>
      </w:r>
    </w:p>
    <w:p w14:paraId="57862F70">
      <w:pPr>
        <w:spacing w:line="360" w:lineRule="auto"/>
        <w:rPr>
          <w:highlight w:val="none"/>
        </w:rPr>
      </w:pPr>
      <w:r>
        <w:rPr>
          <w:highlight w:val="none"/>
        </w:rPr>
        <w:t>2.</w:t>
      </w:r>
      <w:r>
        <w:rPr>
          <w:rFonts w:hint="eastAsia"/>
          <w:highlight w:val="none"/>
        </w:rPr>
        <w:t xml:space="preserve">若投标文件中签字之处均为法定代表人（单位负责人）本人签署，则可不提供本《授权委托书》，但须提供《法定代表人（单位负责人）身份证明》。 </w:t>
      </w:r>
    </w:p>
    <w:p w14:paraId="51D6C530">
      <w:pPr>
        <w:spacing w:line="360" w:lineRule="auto"/>
        <w:rPr>
          <w:highlight w:val="none"/>
        </w:rPr>
      </w:pPr>
      <w:r>
        <w:rPr>
          <w:highlight w:val="none"/>
        </w:rPr>
        <w:t>3.</w:t>
      </w:r>
      <w:r>
        <w:rPr>
          <w:rFonts w:hint="eastAsia"/>
          <w:highlight w:val="none"/>
        </w:rPr>
        <w:t xml:space="preserve">投标人为自然人的情形，可不提供本《授权委托书》。 </w:t>
      </w:r>
    </w:p>
    <w:p w14:paraId="375792B0">
      <w:pPr>
        <w:spacing w:line="360" w:lineRule="auto"/>
        <w:rPr>
          <w:highlight w:val="none"/>
        </w:rPr>
      </w:pPr>
      <w:r>
        <w:rPr>
          <w:highlight w:val="none"/>
        </w:rPr>
        <w:t>4.</w:t>
      </w:r>
      <w:r>
        <w:rPr>
          <w:rFonts w:hint="eastAsia"/>
          <w:highlight w:val="none"/>
        </w:rPr>
        <w:t>投标人应随本《授权委托书》同时提供法定代表人（单位负责人）及委托代理人的有效的身份证、护照等身份证明文件电子件。提供身份证的，应同时提供身份证</w:t>
      </w:r>
      <w:r>
        <w:rPr>
          <w:rFonts w:hint="eastAsia"/>
          <w:b/>
          <w:bCs/>
          <w:highlight w:val="none"/>
        </w:rPr>
        <w:t>双面</w:t>
      </w:r>
      <w:r>
        <w:rPr>
          <w:rFonts w:hint="eastAsia"/>
          <w:highlight w:val="none"/>
        </w:rPr>
        <w:t>电子件。</w:t>
      </w:r>
    </w:p>
    <w:p w14:paraId="35A33205">
      <w:pPr>
        <w:spacing w:line="360" w:lineRule="auto"/>
        <w:rPr>
          <w:rFonts w:asciiTheme="majorHAnsi" w:hAnsiTheme="majorHAnsi" w:cstheme="majorBidi"/>
          <w:b/>
          <w:bCs/>
          <w:sz w:val="32"/>
          <w:szCs w:val="32"/>
          <w:highlight w:val="none"/>
        </w:rPr>
      </w:pPr>
      <w:bookmarkStart w:id="416" w:name="_Toc155185934"/>
      <w:bookmarkStart w:id="417" w:name="_Toc163492928"/>
      <w:r>
        <w:rPr>
          <w:highlight w:val="none"/>
        </w:rPr>
        <w:br w:type="page"/>
      </w:r>
    </w:p>
    <w:p w14:paraId="50C2B99D">
      <w:pPr>
        <w:pStyle w:val="3"/>
        <w:spacing w:line="360" w:lineRule="auto"/>
        <w:rPr>
          <w:highlight w:val="none"/>
        </w:rPr>
      </w:pPr>
      <w:bookmarkStart w:id="418" w:name="_Toc229390315"/>
      <w:r>
        <w:rPr>
          <w:rFonts w:hint="eastAsia"/>
          <w:highlight w:val="none"/>
        </w:rPr>
        <w:t>四、</w:t>
      </w:r>
      <w:bookmarkEnd w:id="416"/>
      <w:bookmarkEnd w:id="417"/>
      <w:bookmarkStart w:id="419" w:name="_Toc163492929"/>
      <w:r>
        <w:rPr>
          <w:rFonts w:hint="eastAsia"/>
          <w:highlight w:val="none"/>
          <w:lang w:val="zh-CN"/>
        </w:rPr>
        <w:t>政府采购</w:t>
      </w:r>
      <w:r>
        <w:rPr>
          <w:rFonts w:hint="eastAsia"/>
          <w:highlight w:val="none"/>
        </w:rPr>
        <w:t>投标人</w:t>
      </w:r>
      <w:r>
        <w:rPr>
          <w:rFonts w:hint="eastAsia"/>
          <w:highlight w:val="none"/>
          <w:lang w:val="zh-CN"/>
        </w:rPr>
        <w:t>廉洁自律承诺书</w:t>
      </w:r>
      <w:bookmarkEnd w:id="418"/>
    </w:p>
    <w:p w14:paraId="5957A708">
      <w:pPr>
        <w:pStyle w:val="13"/>
        <w:spacing w:line="360" w:lineRule="auto"/>
        <w:rPr>
          <w:highlight w:val="none"/>
        </w:rPr>
      </w:pPr>
    </w:p>
    <w:p w14:paraId="12AFC66F">
      <w:pPr>
        <w:spacing w:line="360" w:lineRule="auto"/>
        <w:rPr>
          <w:kern w:val="0"/>
          <w:highlight w:val="none"/>
        </w:rPr>
      </w:pPr>
      <w:r>
        <w:rPr>
          <w:rFonts w:hint="eastAsia"/>
          <w:highlight w:val="none"/>
        </w:rPr>
        <w:t>（采购人）、（采购代理机构）</w:t>
      </w:r>
      <w:r>
        <w:rPr>
          <w:rFonts w:hint="eastAsia"/>
          <w:kern w:val="0"/>
          <w:highlight w:val="none"/>
          <w:lang w:val="zh-CN"/>
        </w:rPr>
        <w:t>：</w:t>
      </w:r>
    </w:p>
    <w:p w14:paraId="7C5C52B5">
      <w:pPr>
        <w:spacing w:line="360" w:lineRule="auto"/>
        <w:rPr>
          <w:highlight w:val="none"/>
          <w:lang w:val="zh-CN"/>
        </w:rPr>
      </w:pPr>
      <w:r>
        <w:rPr>
          <w:rFonts w:hint="eastAsia"/>
          <w:highlight w:val="none"/>
          <w:lang w:val="zh-CN"/>
        </w:rPr>
        <w:t>我单位响应你</w:t>
      </w:r>
      <w:r>
        <w:rPr>
          <w:rFonts w:hint="eastAsia"/>
          <w:highlight w:val="none"/>
        </w:rPr>
        <w:t>单位</w:t>
      </w:r>
      <w:r>
        <w:rPr>
          <w:rFonts w:hint="eastAsia"/>
          <w:highlight w:val="none"/>
          <w:lang w:val="zh-CN"/>
        </w:rPr>
        <w:t>项目招标</w:t>
      </w:r>
      <w:r>
        <w:rPr>
          <w:rFonts w:hint="eastAsia"/>
          <w:highlight w:val="none"/>
        </w:rPr>
        <w:t>文件</w:t>
      </w:r>
      <w:r>
        <w:rPr>
          <w:rFonts w:hint="eastAsia"/>
          <w:highlight w:val="none"/>
          <w:lang w:val="zh-CN"/>
        </w:rPr>
        <w:t>要求参加投标。在这次投标过程中和中标后，我们将严格遵守国家法律法规要求，并郑重承诺：</w:t>
      </w:r>
    </w:p>
    <w:p w14:paraId="7CDDE768">
      <w:pPr>
        <w:spacing w:line="360" w:lineRule="auto"/>
        <w:rPr>
          <w:highlight w:val="none"/>
          <w:lang w:val="zh-CN"/>
        </w:rPr>
      </w:pPr>
      <w:r>
        <w:rPr>
          <w:rFonts w:hint="eastAsia"/>
          <w:highlight w:val="none"/>
          <w:lang w:val="zh-CN"/>
        </w:rPr>
        <w:t xml:space="preserve">一、不向项目有关人员及部门赠送礼金礼物、有价证券、回扣以及中介费、介绍费、咨询费等好处费； </w:t>
      </w:r>
    </w:p>
    <w:p w14:paraId="68037225">
      <w:pPr>
        <w:spacing w:line="360" w:lineRule="auto"/>
        <w:rPr>
          <w:highlight w:val="none"/>
          <w:lang w:val="zh-CN"/>
        </w:rPr>
      </w:pPr>
      <w:r>
        <w:rPr>
          <w:rFonts w:hint="eastAsia"/>
          <w:highlight w:val="none"/>
          <w:lang w:val="zh-CN"/>
        </w:rPr>
        <w:t xml:space="preserve">二、不为项目有关人员及部门报销应由你方单位或个人支付的费用； </w:t>
      </w:r>
    </w:p>
    <w:p w14:paraId="673EEEE6">
      <w:pPr>
        <w:spacing w:line="360" w:lineRule="auto"/>
        <w:rPr>
          <w:highlight w:val="none"/>
          <w:lang w:val="zh-CN"/>
        </w:rPr>
      </w:pPr>
      <w:r>
        <w:rPr>
          <w:rFonts w:hint="eastAsia"/>
          <w:highlight w:val="none"/>
          <w:lang w:val="zh-CN"/>
        </w:rPr>
        <w:t>三、不向项目有关人员及部门提供有可能影响公正的宴请和健身娱乐等活动；</w:t>
      </w:r>
    </w:p>
    <w:p w14:paraId="745FD840">
      <w:pPr>
        <w:spacing w:line="360" w:lineRule="auto"/>
        <w:rPr>
          <w:highlight w:val="none"/>
          <w:lang w:val="zh-CN"/>
        </w:rPr>
      </w:pPr>
      <w:r>
        <w:rPr>
          <w:rFonts w:hint="eastAsia"/>
          <w:highlight w:val="none"/>
          <w:lang w:val="zh-CN"/>
        </w:rPr>
        <w:t>四、不为项目有关人员及部门出国（境）、旅游等提供方便；</w:t>
      </w:r>
    </w:p>
    <w:p w14:paraId="1BF80244">
      <w:pPr>
        <w:spacing w:line="360" w:lineRule="auto"/>
        <w:rPr>
          <w:highlight w:val="none"/>
          <w:lang w:val="zh-CN"/>
        </w:rPr>
      </w:pPr>
      <w:r>
        <w:rPr>
          <w:rFonts w:hint="eastAsia"/>
          <w:highlight w:val="none"/>
          <w:lang w:val="zh-CN"/>
        </w:rPr>
        <w:t>五、不为项目有关人员个人装修住房、婚丧嫁娶、配偶子女工作安排等提供好处；</w:t>
      </w:r>
    </w:p>
    <w:p w14:paraId="147BBDA7">
      <w:pPr>
        <w:spacing w:line="360" w:lineRule="auto"/>
        <w:rPr>
          <w:highlight w:val="none"/>
          <w:lang w:val="zh-CN"/>
        </w:rPr>
      </w:pPr>
      <w:r>
        <w:rPr>
          <w:rFonts w:hint="eastAsia"/>
          <w:highlight w:val="none"/>
          <w:lang w:val="zh-CN"/>
        </w:rPr>
        <w:t>六、严格遵守《中华人民共和国政府采购法》《中华人民共和国政府采购法</w:t>
      </w:r>
      <w:r>
        <w:rPr>
          <w:rFonts w:hint="eastAsia"/>
          <w:highlight w:val="none"/>
        </w:rPr>
        <w:t>实施条例</w:t>
      </w:r>
      <w:r>
        <w:rPr>
          <w:rFonts w:hint="eastAsia"/>
          <w:highlight w:val="none"/>
          <w:lang w:val="zh-CN"/>
        </w:rPr>
        <w:t xml:space="preserve">》《中华人民共和国民法典》等法律法规，诚实守信，合法经营，坚决抵制各种违法违纪行为。 </w:t>
      </w:r>
    </w:p>
    <w:p w14:paraId="6A276610">
      <w:pPr>
        <w:spacing w:line="360" w:lineRule="auto"/>
        <w:rPr>
          <w:highlight w:val="none"/>
          <w:lang w:val="zh-CN"/>
        </w:rPr>
      </w:pPr>
      <w:r>
        <w:rPr>
          <w:rFonts w:hint="eastAsia"/>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highlight w:val="none"/>
        </w:rPr>
        <w:t>兵团</w:t>
      </w:r>
      <w:r>
        <w:rPr>
          <w:rFonts w:hint="eastAsia"/>
          <w:highlight w:val="none"/>
          <w:lang w:val="zh-CN"/>
        </w:rPr>
        <w:t>财政局。由此引起的相应损失均由我单位承担。</w:t>
      </w:r>
    </w:p>
    <w:p w14:paraId="04836F13">
      <w:pPr>
        <w:spacing w:line="360" w:lineRule="auto"/>
        <w:rPr>
          <w:highlight w:val="none"/>
          <w:lang w:val="zh-CN"/>
        </w:rPr>
      </w:pPr>
    </w:p>
    <w:p w14:paraId="4148D7A9">
      <w:pPr>
        <w:spacing w:line="360" w:lineRule="auto"/>
        <w:rPr>
          <w:highlight w:val="none"/>
          <w:lang w:val="zh-CN"/>
        </w:rPr>
      </w:pPr>
    </w:p>
    <w:p w14:paraId="22864B3C">
      <w:pPr>
        <w:spacing w:line="360" w:lineRule="auto"/>
        <w:rPr>
          <w:highlight w:val="none"/>
          <w:lang w:val="zh-CN"/>
        </w:rPr>
      </w:pPr>
    </w:p>
    <w:p w14:paraId="1500F24C">
      <w:pPr>
        <w:spacing w:line="360" w:lineRule="auto"/>
        <w:rPr>
          <w:highlight w:val="none"/>
          <w:lang w:val="zh-CN"/>
        </w:rPr>
      </w:pPr>
      <w:r>
        <w:rPr>
          <w:rFonts w:hint="eastAsia"/>
          <w:highlight w:val="none"/>
          <w:lang w:val="zh-CN"/>
        </w:rPr>
        <w:t>投标人名称</w:t>
      </w:r>
      <w:r>
        <w:rPr>
          <w:rFonts w:hint="eastAsia" w:cs="仿宋_GB2312"/>
          <w:highlight w:val="none"/>
        </w:rPr>
        <w:t>（</w:t>
      </w:r>
      <w:r>
        <w:rPr>
          <w:rFonts w:hint="eastAsia"/>
          <w:highlight w:val="none"/>
        </w:rPr>
        <w:t>公章）</w:t>
      </w:r>
      <w:r>
        <w:rPr>
          <w:rFonts w:hint="eastAsia"/>
          <w:highlight w:val="none"/>
          <w:lang w:val="zh-CN"/>
        </w:rPr>
        <w:t xml:space="preserve">：                                                                                                                                                                                                               </w:t>
      </w:r>
    </w:p>
    <w:p w14:paraId="605C1B9C">
      <w:pPr>
        <w:spacing w:line="360" w:lineRule="auto"/>
        <w:rPr>
          <w:rFonts w:asciiTheme="majorHAnsi" w:hAnsiTheme="majorHAnsi" w:cstheme="majorBidi"/>
          <w:b/>
          <w:bCs/>
          <w:highlight w:val="none"/>
        </w:rPr>
      </w:pPr>
      <w:r>
        <w:rPr>
          <w:rFonts w:hint="eastAsia"/>
          <w:highlight w:val="none"/>
          <w:lang w:val="zh-CN"/>
        </w:rPr>
        <w:t>日期</w:t>
      </w:r>
      <w:r>
        <w:rPr>
          <w:rFonts w:hint="eastAsia"/>
          <w:highlight w:val="none"/>
        </w:rPr>
        <w:t>：</w:t>
      </w:r>
      <w:r>
        <w:rPr>
          <w:rFonts w:hint="eastAsia"/>
          <w:highlight w:val="none"/>
          <w:lang w:val="zh-CN"/>
        </w:rPr>
        <w:t xml:space="preserve">   年   月   日</w:t>
      </w:r>
    </w:p>
    <w:p w14:paraId="489C0CE2">
      <w:pPr>
        <w:spacing w:line="360" w:lineRule="auto"/>
        <w:rPr>
          <w:highlight w:val="none"/>
        </w:rPr>
      </w:pPr>
    </w:p>
    <w:p w14:paraId="25A71272">
      <w:pPr>
        <w:pStyle w:val="13"/>
        <w:spacing w:line="360" w:lineRule="auto"/>
        <w:rPr>
          <w:highlight w:val="none"/>
        </w:rPr>
      </w:pPr>
    </w:p>
    <w:p w14:paraId="157B58D0">
      <w:pPr>
        <w:pStyle w:val="13"/>
        <w:spacing w:line="360" w:lineRule="auto"/>
        <w:rPr>
          <w:highlight w:val="none"/>
        </w:rPr>
      </w:pPr>
    </w:p>
    <w:p w14:paraId="380ADC49">
      <w:pPr>
        <w:spacing w:line="360" w:lineRule="auto"/>
        <w:rPr>
          <w:rFonts w:asciiTheme="majorHAnsi" w:hAnsiTheme="majorHAnsi" w:cstheme="majorBidi"/>
          <w:b/>
          <w:bCs/>
          <w:sz w:val="32"/>
          <w:szCs w:val="32"/>
          <w:highlight w:val="none"/>
        </w:rPr>
      </w:pPr>
      <w:r>
        <w:rPr>
          <w:highlight w:val="none"/>
        </w:rPr>
        <w:br w:type="page"/>
      </w:r>
    </w:p>
    <w:p w14:paraId="13B1A341">
      <w:pPr>
        <w:pStyle w:val="3"/>
        <w:spacing w:line="360" w:lineRule="auto"/>
        <w:rPr>
          <w:highlight w:val="none"/>
        </w:rPr>
      </w:pPr>
      <w:bookmarkStart w:id="420" w:name="_Toc229390316"/>
      <w:r>
        <w:rPr>
          <w:rFonts w:hint="eastAsia"/>
          <w:highlight w:val="none"/>
        </w:rPr>
        <w:t>五、</w:t>
      </w:r>
      <w:r>
        <w:rPr>
          <w:rFonts w:hint="eastAsia"/>
          <w:highlight w:val="none"/>
          <w:lang w:val="zh-CN"/>
        </w:rPr>
        <w:t>实质性响应一览表【</w:t>
      </w:r>
      <w:r>
        <w:rPr>
          <w:rFonts w:hint="eastAsia"/>
          <w:highlight w:val="none"/>
        </w:rPr>
        <w:t>本表须与第五章的一致】</w:t>
      </w:r>
      <w:bookmarkEnd w:id="420"/>
    </w:p>
    <w:p w14:paraId="20D0BA13">
      <w:pPr>
        <w:spacing w:line="360" w:lineRule="auto"/>
        <w:rPr>
          <w:highlight w:val="none"/>
        </w:rPr>
      </w:pPr>
      <w:r>
        <w:rPr>
          <w:rFonts w:hint="eastAsia"/>
          <w:highlight w:val="none"/>
        </w:rPr>
        <w:t>（投标人须对本附表所有内容逐条响应且无负偏离，否则其</w:t>
      </w:r>
      <w:r>
        <w:rPr>
          <w:rFonts w:hint="eastAsia"/>
          <w:b/>
          <w:highlight w:val="none"/>
        </w:rPr>
        <w:t>投标无效</w:t>
      </w:r>
      <w:r>
        <w:rPr>
          <w:rFonts w:hint="eastAsia"/>
          <w:highlight w:val="none"/>
        </w:rPr>
        <w:t>）</w:t>
      </w:r>
    </w:p>
    <w:p w14:paraId="027F2CFE">
      <w:pPr>
        <w:pStyle w:val="24"/>
        <w:spacing w:line="360" w:lineRule="auto"/>
        <w:rPr>
          <w:highlight w:val="none"/>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329E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63EDC7B1">
            <w:pPr>
              <w:spacing w:line="360" w:lineRule="auto"/>
              <w:rPr>
                <w:highlight w:val="none"/>
              </w:rPr>
            </w:pPr>
            <w:r>
              <w:rPr>
                <w:rFonts w:hint="eastAsia"/>
                <w:highlight w:val="none"/>
              </w:rPr>
              <w:t>序号</w:t>
            </w:r>
          </w:p>
        </w:tc>
        <w:tc>
          <w:tcPr>
            <w:tcW w:w="3178" w:type="pct"/>
            <w:gridSpan w:val="2"/>
            <w:vAlign w:val="center"/>
          </w:tcPr>
          <w:p w14:paraId="3412ACB7">
            <w:pPr>
              <w:spacing w:line="360" w:lineRule="auto"/>
              <w:rPr>
                <w:highlight w:val="none"/>
              </w:rPr>
            </w:pPr>
            <w:r>
              <w:rPr>
                <w:rFonts w:hint="eastAsia"/>
                <w:highlight w:val="none"/>
              </w:rPr>
              <w:t>招标文件要求的实质性响应内容</w:t>
            </w:r>
          </w:p>
        </w:tc>
        <w:tc>
          <w:tcPr>
            <w:tcW w:w="1083" w:type="pct"/>
            <w:vMerge w:val="restart"/>
            <w:vAlign w:val="center"/>
          </w:tcPr>
          <w:p w14:paraId="4B78CA09">
            <w:pPr>
              <w:spacing w:line="360" w:lineRule="auto"/>
              <w:rPr>
                <w:highlight w:val="none"/>
              </w:rPr>
            </w:pPr>
            <w:r>
              <w:rPr>
                <w:rFonts w:hint="eastAsia"/>
                <w:highlight w:val="none"/>
              </w:rPr>
              <w:t>投标文件响应的具体内容</w:t>
            </w:r>
          </w:p>
        </w:tc>
        <w:tc>
          <w:tcPr>
            <w:tcW w:w="511" w:type="pct"/>
            <w:vMerge w:val="restart"/>
            <w:vAlign w:val="center"/>
          </w:tcPr>
          <w:p w14:paraId="73EBA823">
            <w:pPr>
              <w:spacing w:line="360" w:lineRule="auto"/>
              <w:rPr>
                <w:highlight w:val="none"/>
              </w:rPr>
            </w:pPr>
            <w:r>
              <w:rPr>
                <w:rFonts w:hint="eastAsia"/>
                <w:highlight w:val="none"/>
              </w:rPr>
              <w:t>备注</w:t>
            </w:r>
          </w:p>
        </w:tc>
      </w:tr>
      <w:tr w14:paraId="1972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7CA35C15">
            <w:pPr>
              <w:spacing w:line="360" w:lineRule="auto"/>
              <w:rPr>
                <w:highlight w:val="none"/>
              </w:rPr>
            </w:pPr>
          </w:p>
        </w:tc>
        <w:tc>
          <w:tcPr>
            <w:tcW w:w="1103" w:type="pct"/>
            <w:vAlign w:val="center"/>
          </w:tcPr>
          <w:p w14:paraId="221098A7">
            <w:pPr>
              <w:spacing w:line="360" w:lineRule="auto"/>
              <w:rPr>
                <w:highlight w:val="none"/>
              </w:rPr>
            </w:pPr>
            <w:r>
              <w:rPr>
                <w:rFonts w:hint="eastAsia"/>
                <w:highlight w:val="none"/>
              </w:rPr>
              <w:t>实质性要求</w:t>
            </w:r>
          </w:p>
        </w:tc>
        <w:tc>
          <w:tcPr>
            <w:tcW w:w="2074" w:type="pct"/>
            <w:vAlign w:val="center"/>
          </w:tcPr>
          <w:p w14:paraId="71BCFE6E">
            <w:pPr>
              <w:spacing w:line="360" w:lineRule="auto"/>
              <w:rPr>
                <w:highlight w:val="none"/>
              </w:rPr>
            </w:pPr>
            <w:r>
              <w:rPr>
                <w:rFonts w:hint="eastAsia"/>
                <w:highlight w:val="none"/>
              </w:rPr>
              <w:t>招标文件中的规定</w:t>
            </w:r>
          </w:p>
        </w:tc>
        <w:tc>
          <w:tcPr>
            <w:tcW w:w="1083" w:type="pct"/>
            <w:vMerge w:val="continue"/>
            <w:vAlign w:val="center"/>
          </w:tcPr>
          <w:p w14:paraId="7A79B1E7">
            <w:pPr>
              <w:spacing w:line="360" w:lineRule="auto"/>
              <w:rPr>
                <w:highlight w:val="none"/>
              </w:rPr>
            </w:pPr>
          </w:p>
        </w:tc>
        <w:tc>
          <w:tcPr>
            <w:tcW w:w="511" w:type="pct"/>
            <w:vMerge w:val="continue"/>
            <w:vAlign w:val="center"/>
          </w:tcPr>
          <w:p w14:paraId="29AAD325">
            <w:pPr>
              <w:spacing w:line="360" w:lineRule="auto"/>
              <w:rPr>
                <w:highlight w:val="none"/>
              </w:rPr>
            </w:pPr>
          </w:p>
        </w:tc>
      </w:tr>
      <w:tr w14:paraId="34CC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BBC8E12">
            <w:pPr>
              <w:spacing w:line="360" w:lineRule="auto"/>
              <w:rPr>
                <w:highlight w:val="none"/>
              </w:rPr>
            </w:pPr>
            <w:r>
              <w:rPr>
                <w:rFonts w:hint="eastAsia"/>
                <w:highlight w:val="none"/>
              </w:rPr>
              <w:t>1</w:t>
            </w:r>
          </w:p>
        </w:tc>
        <w:tc>
          <w:tcPr>
            <w:tcW w:w="1103" w:type="pct"/>
            <w:shd w:val="clear" w:color="auto" w:fill="auto"/>
            <w:vAlign w:val="center"/>
          </w:tcPr>
          <w:p w14:paraId="3BA33436">
            <w:pPr>
              <w:spacing w:line="360" w:lineRule="auto"/>
              <w:rPr>
                <w:highlight w:val="none"/>
              </w:rPr>
            </w:pPr>
          </w:p>
        </w:tc>
        <w:tc>
          <w:tcPr>
            <w:tcW w:w="2074" w:type="pct"/>
            <w:shd w:val="clear" w:color="auto" w:fill="auto"/>
            <w:vAlign w:val="center"/>
          </w:tcPr>
          <w:p w14:paraId="7F16D634">
            <w:pPr>
              <w:spacing w:line="360" w:lineRule="auto"/>
              <w:rPr>
                <w:highlight w:val="none"/>
              </w:rPr>
            </w:pPr>
          </w:p>
        </w:tc>
        <w:tc>
          <w:tcPr>
            <w:tcW w:w="1083" w:type="pct"/>
            <w:vAlign w:val="center"/>
          </w:tcPr>
          <w:p w14:paraId="2A2479E2">
            <w:pPr>
              <w:spacing w:line="360" w:lineRule="auto"/>
              <w:rPr>
                <w:highlight w:val="none"/>
              </w:rPr>
            </w:pPr>
          </w:p>
        </w:tc>
        <w:tc>
          <w:tcPr>
            <w:tcW w:w="511" w:type="pct"/>
            <w:vAlign w:val="center"/>
          </w:tcPr>
          <w:p w14:paraId="5464A9A5">
            <w:pPr>
              <w:spacing w:line="360" w:lineRule="auto"/>
              <w:rPr>
                <w:highlight w:val="none"/>
              </w:rPr>
            </w:pPr>
          </w:p>
        </w:tc>
      </w:tr>
      <w:tr w14:paraId="025F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5430FE9">
            <w:pPr>
              <w:spacing w:line="360" w:lineRule="auto"/>
              <w:rPr>
                <w:highlight w:val="none"/>
              </w:rPr>
            </w:pPr>
            <w:r>
              <w:rPr>
                <w:rFonts w:hint="eastAsia"/>
                <w:highlight w:val="none"/>
              </w:rPr>
              <w:t>2</w:t>
            </w:r>
          </w:p>
        </w:tc>
        <w:tc>
          <w:tcPr>
            <w:tcW w:w="1103" w:type="pct"/>
            <w:shd w:val="clear" w:color="auto" w:fill="auto"/>
            <w:vAlign w:val="center"/>
          </w:tcPr>
          <w:p w14:paraId="68C61B62">
            <w:pPr>
              <w:spacing w:line="360" w:lineRule="auto"/>
              <w:rPr>
                <w:highlight w:val="none"/>
              </w:rPr>
            </w:pPr>
          </w:p>
        </w:tc>
        <w:tc>
          <w:tcPr>
            <w:tcW w:w="2074" w:type="pct"/>
            <w:shd w:val="clear" w:color="auto" w:fill="auto"/>
            <w:vAlign w:val="center"/>
          </w:tcPr>
          <w:p w14:paraId="13157238">
            <w:pPr>
              <w:spacing w:line="360" w:lineRule="auto"/>
              <w:rPr>
                <w:highlight w:val="none"/>
              </w:rPr>
            </w:pPr>
          </w:p>
        </w:tc>
        <w:tc>
          <w:tcPr>
            <w:tcW w:w="1083" w:type="pct"/>
            <w:vAlign w:val="center"/>
          </w:tcPr>
          <w:p w14:paraId="38CB8C3C">
            <w:pPr>
              <w:spacing w:line="360" w:lineRule="auto"/>
              <w:rPr>
                <w:highlight w:val="none"/>
              </w:rPr>
            </w:pPr>
          </w:p>
        </w:tc>
        <w:tc>
          <w:tcPr>
            <w:tcW w:w="511" w:type="pct"/>
            <w:vAlign w:val="center"/>
          </w:tcPr>
          <w:p w14:paraId="73CFB4FB">
            <w:pPr>
              <w:spacing w:line="360" w:lineRule="auto"/>
              <w:rPr>
                <w:highlight w:val="none"/>
              </w:rPr>
            </w:pPr>
          </w:p>
        </w:tc>
      </w:tr>
      <w:tr w14:paraId="1A87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121860E4">
            <w:pPr>
              <w:spacing w:line="360" w:lineRule="auto"/>
              <w:rPr>
                <w:highlight w:val="none"/>
              </w:rPr>
            </w:pPr>
            <w:r>
              <w:rPr>
                <w:rFonts w:hint="eastAsia"/>
                <w:highlight w:val="none"/>
              </w:rPr>
              <w:t>3</w:t>
            </w:r>
          </w:p>
        </w:tc>
        <w:tc>
          <w:tcPr>
            <w:tcW w:w="1103" w:type="pct"/>
            <w:shd w:val="clear" w:color="auto" w:fill="auto"/>
            <w:vAlign w:val="center"/>
          </w:tcPr>
          <w:p w14:paraId="4C49B96F">
            <w:pPr>
              <w:pStyle w:val="50"/>
              <w:spacing w:line="360" w:lineRule="auto"/>
              <w:rPr>
                <w:rFonts w:cs="宋体"/>
                <w:szCs w:val="24"/>
                <w:highlight w:val="none"/>
              </w:rPr>
            </w:pPr>
          </w:p>
        </w:tc>
        <w:tc>
          <w:tcPr>
            <w:tcW w:w="2074" w:type="pct"/>
            <w:shd w:val="clear" w:color="auto" w:fill="auto"/>
            <w:vAlign w:val="center"/>
          </w:tcPr>
          <w:p w14:paraId="435BC76B">
            <w:pPr>
              <w:pStyle w:val="50"/>
              <w:spacing w:line="360" w:lineRule="auto"/>
              <w:rPr>
                <w:rFonts w:cs="宋体"/>
                <w:szCs w:val="24"/>
                <w:highlight w:val="none"/>
              </w:rPr>
            </w:pPr>
          </w:p>
        </w:tc>
        <w:tc>
          <w:tcPr>
            <w:tcW w:w="1083" w:type="pct"/>
            <w:vAlign w:val="center"/>
          </w:tcPr>
          <w:p w14:paraId="32FE2385">
            <w:pPr>
              <w:spacing w:line="360" w:lineRule="auto"/>
              <w:rPr>
                <w:highlight w:val="none"/>
              </w:rPr>
            </w:pPr>
          </w:p>
        </w:tc>
        <w:tc>
          <w:tcPr>
            <w:tcW w:w="511" w:type="pct"/>
            <w:vAlign w:val="center"/>
          </w:tcPr>
          <w:p w14:paraId="5AA58260">
            <w:pPr>
              <w:spacing w:line="360" w:lineRule="auto"/>
              <w:rPr>
                <w:highlight w:val="none"/>
              </w:rPr>
            </w:pPr>
          </w:p>
        </w:tc>
      </w:tr>
      <w:tr w14:paraId="7362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5D51B494">
            <w:pPr>
              <w:spacing w:line="360" w:lineRule="auto"/>
              <w:rPr>
                <w:highlight w:val="none"/>
              </w:rPr>
            </w:pPr>
            <w:r>
              <w:rPr>
                <w:rFonts w:hint="eastAsia"/>
                <w:highlight w:val="none"/>
              </w:rPr>
              <w:t>4</w:t>
            </w:r>
          </w:p>
        </w:tc>
        <w:tc>
          <w:tcPr>
            <w:tcW w:w="1103" w:type="pct"/>
            <w:shd w:val="clear" w:color="auto" w:fill="auto"/>
            <w:vAlign w:val="center"/>
          </w:tcPr>
          <w:p w14:paraId="2289701A">
            <w:pPr>
              <w:pStyle w:val="50"/>
              <w:spacing w:line="360" w:lineRule="auto"/>
              <w:rPr>
                <w:rFonts w:cs="宋体"/>
                <w:szCs w:val="24"/>
                <w:highlight w:val="none"/>
              </w:rPr>
            </w:pPr>
          </w:p>
        </w:tc>
        <w:tc>
          <w:tcPr>
            <w:tcW w:w="2074" w:type="pct"/>
            <w:shd w:val="clear" w:color="auto" w:fill="auto"/>
            <w:vAlign w:val="center"/>
          </w:tcPr>
          <w:p w14:paraId="0D9E6339">
            <w:pPr>
              <w:pStyle w:val="50"/>
              <w:spacing w:line="360" w:lineRule="auto"/>
              <w:rPr>
                <w:rFonts w:cs="宋体"/>
                <w:szCs w:val="24"/>
                <w:highlight w:val="none"/>
              </w:rPr>
            </w:pPr>
          </w:p>
        </w:tc>
        <w:tc>
          <w:tcPr>
            <w:tcW w:w="1083" w:type="pct"/>
            <w:vAlign w:val="center"/>
          </w:tcPr>
          <w:p w14:paraId="10514A04">
            <w:pPr>
              <w:spacing w:line="360" w:lineRule="auto"/>
              <w:rPr>
                <w:highlight w:val="none"/>
              </w:rPr>
            </w:pPr>
          </w:p>
        </w:tc>
        <w:tc>
          <w:tcPr>
            <w:tcW w:w="511" w:type="pct"/>
            <w:vAlign w:val="center"/>
          </w:tcPr>
          <w:p w14:paraId="199139CC">
            <w:pPr>
              <w:spacing w:line="360" w:lineRule="auto"/>
              <w:rPr>
                <w:highlight w:val="none"/>
              </w:rPr>
            </w:pPr>
          </w:p>
        </w:tc>
      </w:tr>
      <w:tr w14:paraId="4303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37EC15E3">
            <w:pPr>
              <w:spacing w:line="360" w:lineRule="auto"/>
              <w:rPr>
                <w:highlight w:val="none"/>
              </w:rPr>
            </w:pPr>
            <w:r>
              <w:rPr>
                <w:rFonts w:hint="eastAsia"/>
                <w:highlight w:val="none"/>
              </w:rPr>
              <w:t>5</w:t>
            </w:r>
          </w:p>
        </w:tc>
        <w:tc>
          <w:tcPr>
            <w:tcW w:w="1103" w:type="pct"/>
            <w:vAlign w:val="center"/>
          </w:tcPr>
          <w:p w14:paraId="771083CC">
            <w:pPr>
              <w:spacing w:line="360" w:lineRule="auto"/>
              <w:rPr>
                <w:highlight w:val="none"/>
              </w:rPr>
            </w:pPr>
            <w:r>
              <w:rPr>
                <w:rFonts w:hint="eastAsia"/>
                <w:highlight w:val="none"/>
                <w:lang w:val="zh-CN"/>
              </w:rPr>
              <w:t>……</w:t>
            </w:r>
          </w:p>
        </w:tc>
        <w:tc>
          <w:tcPr>
            <w:tcW w:w="2074" w:type="pct"/>
            <w:vAlign w:val="center"/>
          </w:tcPr>
          <w:p w14:paraId="4F9D1D3F">
            <w:pPr>
              <w:pStyle w:val="74"/>
              <w:spacing w:line="360" w:lineRule="auto"/>
              <w:rPr>
                <w:highlight w:val="none"/>
              </w:rPr>
            </w:pPr>
          </w:p>
        </w:tc>
        <w:tc>
          <w:tcPr>
            <w:tcW w:w="1083" w:type="pct"/>
            <w:vAlign w:val="center"/>
          </w:tcPr>
          <w:p w14:paraId="5977E8B4">
            <w:pPr>
              <w:spacing w:line="360" w:lineRule="auto"/>
              <w:rPr>
                <w:highlight w:val="none"/>
              </w:rPr>
            </w:pPr>
          </w:p>
        </w:tc>
        <w:tc>
          <w:tcPr>
            <w:tcW w:w="511" w:type="pct"/>
            <w:vAlign w:val="center"/>
          </w:tcPr>
          <w:p w14:paraId="68273407">
            <w:pPr>
              <w:spacing w:line="360" w:lineRule="auto"/>
              <w:rPr>
                <w:highlight w:val="none"/>
              </w:rPr>
            </w:pPr>
          </w:p>
        </w:tc>
      </w:tr>
      <w:tr w14:paraId="1451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08B36703">
            <w:pPr>
              <w:spacing w:line="360" w:lineRule="auto"/>
              <w:rPr>
                <w:highlight w:val="none"/>
              </w:rPr>
            </w:pPr>
            <w:r>
              <w:rPr>
                <w:rFonts w:hint="eastAsia"/>
                <w:highlight w:val="none"/>
              </w:rPr>
              <w:t>6</w:t>
            </w:r>
          </w:p>
        </w:tc>
        <w:tc>
          <w:tcPr>
            <w:tcW w:w="1103" w:type="pct"/>
            <w:vAlign w:val="center"/>
          </w:tcPr>
          <w:p w14:paraId="65838EDE">
            <w:pPr>
              <w:spacing w:line="360" w:lineRule="auto"/>
              <w:rPr>
                <w:highlight w:val="none"/>
              </w:rPr>
            </w:pPr>
            <w:r>
              <w:rPr>
                <w:rFonts w:hint="eastAsia"/>
                <w:highlight w:val="none"/>
                <w:lang w:val="zh-CN"/>
              </w:rPr>
              <w:t>……</w:t>
            </w:r>
          </w:p>
        </w:tc>
        <w:tc>
          <w:tcPr>
            <w:tcW w:w="2074" w:type="pct"/>
            <w:vAlign w:val="center"/>
          </w:tcPr>
          <w:p w14:paraId="030CBE02">
            <w:pPr>
              <w:spacing w:line="360" w:lineRule="auto"/>
              <w:rPr>
                <w:highlight w:val="none"/>
              </w:rPr>
            </w:pPr>
          </w:p>
        </w:tc>
        <w:tc>
          <w:tcPr>
            <w:tcW w:w="1083" w:type="pct"/>
            <w:vAlign w:val="center"/>
          </w:tcPr>
          <w:p w14:paraId="1AE200A9">
            <w:pPr>
              <w:spacing w:line="360" w:lineRule="auto"/>
              <w:rPr>
                <w:highlight w:val="none"/>
              </w:rPr>
            </w:pPr>
          </w:p>
        </w:tc>
        <w:tc>
          <w:tcPr>
            <w:tcW w:w="511" w:type="pct"/>
            <w:vAlign w:val="center"/>
          </w:tcPr>
          <w:p w14:paraId="6B401422">
            <w:pPr>
              <w:spacing w:line="360" w:lineRule="auto"/>
              <w:rPr>
                <w:highlight w:val="none"/>
              </w:rPr>
            </w:pPr>
          </w:p>
        </w:tc>
      </w:tr>
      <w:tr w14:paraId="1F55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0DAF4410">
            <w:pPr>
              <w:spacing w:line="360" w:lineRule="auto"/>
              <w:rPr>
                <w:highlight w:val="none"/>
              </w:rPr>
            </w:pPr>
            <w:r>
              <w:rPr>
                <w:rFonts w:hint="eastAsia"/>
                <w:highlight w:val="none"/>
              </w:rPr>
              <w:t>7</w:t>
            </w:r>
          </w:p>
        </w:tc>
        <w:tc>
          <w:tcPr>
            <w:tcW w:w="1103" w:type="pct"/>
            <w:vAlign w:val="center"/>
          </w:tcPr>
          <w:p w14:paraId="17D2C606">
            <w:pPr>
              <w:spacing w:line="360" w:lineRule="auto"/>
              <w:rPr>
                <w:highlight w:val="none"/>
              </w:rPr>
            </w:pPr>
            <w:r>
              <w:rPr>
                <w:rFonts w:hint="eastAsia"/>
                <w:highlight w:val="none"/>
                <w:lang w:val="zh-CN"/>
              </w:rPr>
              <w:t>……</w:t>
            </w:r>
          </w:p>
        </w:tc>
        <w:tc>
          <w:tcPr>
            <w:tcW w:w="2074" w:type="pct"/>
            <w:vAlign w:val="center"/>
          </w:tcPr>
          <w:p w14:paraId="0C038E1A">
            <w:pPr>
              <w:spacing w:line="360" w:lineRule="auto"/>
              <w:rPr>
                <w:highlight w:val="none"/>
              </w:rPr>
            </w:pPr>
          </w:p>
        </w:tc>
        <w:tc>
          <w:tcPr>
            <w:tcW w:w="1083" w:type="pct"/>
            <w:vAlign w:val="center"/>
          </w:tcPr>
          <w:p w14:paraId="7F6F3E94">
            <w:pPr>
              <w:spacing w:line="360" w:lineRule="auto"/>
              <w:rPr>
                <w:highlight w:val="none"/>
              </w:rPr>
            </w:pPr>
          </w:p>
        </w:tc>
        <w:tc>
          <w:tcPr>
            <w:tcW w:w="511" w:type="pct"/>
            <w:vAlign w:val="center"/>
          </w:tcPr>
          <w:p w14:paraId="69C0AA60">
            <w:pPr>
              <w:spacing w:line="360" w:lineRule="auto"/>
              <w:rPr>
                <w:highlight w:val="none"/>
              </w:rPr>
            </w:pPr>
          </w:p>
        </w:tc>
      </w:tr>
      <w:tr w14:paraId="2589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DD5E076">
            <w:pPr>
              <w:spacing w:line="360" w:lineRule="auto"/>
              <w:rPr>
                <w:highlight w:val="none"/>
              </w:rPr>
            </w:pPr>
          </w:p>
        </w:tc>
        <w:tc>
          <w:tcPr>
            <w:tcW w:w="1103" w:type="pct"/>
            <w:shd w:val="clear" w:color="auto" w:fill="auto"/>
            <w:vAlign w:val="center"/>
          </w:tcPr>
          <w:p w14:paraId="3110CF62">
            <w:pPr>
              <w:spacing w:line="360" w:lineRule="auto"/>
              <w:rPr>
                <w:highlight w:val="none"/>
                <w:lang w:val="zh-CN"/>
              </w:rPr>
            </w:pPr>
            <w:r>
              <w:rPr>
                <w:rFonts w:hint="eastAsia"/>
                <w:highlight w:val="none"/>
                <w:lang w:val="zh-CN"/>
              </w:rPr>
              <w:t>……</w:t>
            </w:r>
          </w:p>
        </w:tc>
        <w:tc>
          <w:tcPr>
            <w:tcW w:w="2074" w:type="pct"/>
            <w:vAlign w:val="center"/>
          </w:tcPr>
          <w:p w14:paraId="6CF0A523">
            <w:pPr>
              <w:spacing w:line="360" w:lineRule="auto"/>
              <w:rPr>
                <w:highlight w:val="none"/>
              </w:rPr>
            </w:pPr>
          </w:p>
        </w:tc>
        <w:tc>
          <w:tcPr>
            <w:tcW w:w="1083" w:type="pct"/>
            <w:vAlign w:val="center"/>
          </w:tcPr>
          <w:p w14:paraId="66FC14F1">
            <w:pPr>
              <w:spacing w:line="360" w:lineRule="auto"/>
              <w:rPr>
                <w:highlight w:val="none"/>
              </w:rPr>
            </w:pPr>
          </w:p>
        </w:tc>
        <w:tc>
          <w:tcPr>
            <w:tcW w:w="511" w:type="pct"/>
            <w:vAlign w:val="center"/>
          </w:tcPr>
          <w:p w14:paraId="6FBC4AAC">
            <w:pPr>
              <w:spacing w:line="360" w:lineRule="auto"/>
              <w:rPr>
                <w:highlight w:val="none"/>
              </w:rPr>
            </w:pPr>
          </w:p>
        </w:tc>
      </w:tr>
    </w:tbl>
    <w:p w14:paraId="2C30643C">
      <w:pPr>
        <w:spacing w:line="360" w:lineRule="auto"/>
        <w:rPr>
          <w:highlight w:val="none"/>
        </w:rPr>
      </w:pPr>
    </w:p>
    <w:p w14:paraId="57822DA8">
      <w:pPr>
        <w:spacing w:line="360" w:lineRule="auto"/>
        <w:rPr>
          <w:highlight w:val="none"/>
        </w:rPr>
      </w:pPr>
      <w:r>
        <w:rPr>
          <w:rFonts w:hint="eastAsia"/>
          <w:highlight w:val="none"/>
        </w:rPr>
        <w:br w:type="page"/>
      </w:r>
    </w:p>
    <w:p w14:paraId="381E7A65">
      <w:pPr>
        <w:pStyle w:val="3"/>
        <w:spacing w:line="360" w:lineRule="auto"/>
        <w:rPr>
          <w:highlight w:val="none"/>
        </w:rPr>
      </w:pPr>
      <w:bookmarkStart w:id="421" w:name="_Toc229390317"/>
      <w:r>
        <w:rPr>
          <w:rFonts w:hint="eastAsia"/>
          <w:highlight w:val="none"/>
        </w:rPr>
        <w:t>六、商务响应偏离表</w:t>
      </w:r>
      <w:bookmarkEnd w:id="419"/>
      <w:bookmarkEnd w:id="421"/>
    </w:p>
    <w:p w14:paraId="044A51E8">
      <w:pPr>
        <w:spacing w:line="360" w:lineRule="auto"/>
        <w:rPr>
          <w:highlight w:val="none"/>
        </w:rPr>
      </w:pPr>
      <w:r>
        <w:rPr>
          <w:rFonts w:hint="eastAsia"/>
          <w:highlight w:val="none"/>
        </w:rPr>
        <w:t xml:space="preserve">项目名称：                                         </w:t>
      </w:r>
    </w:p>
    <w:p w14:paraId="3234E342">
      <w:pPr>
        <w:spacing w:line="360" w:lineRule="auto"/>
        <w:rPr>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394"/>
        <w:gridCol w:w="1721"/>
        <w:gridCol w:w="1872"/>
        <w:gridCol w:w="1872"/>
      </w:tblGrid>
      <w:tr w14:paraId="6005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19" w:type="pct"/>
            <w:vAlign w:val="center"/>
          </w:tcPr>
          <w:p w14:paraId="31FF3ABC">
            <w:pPr>
              <w:pStyle w:val="50"/>
              <w:spacing w:line="360" w:lineRule="auto"/>
              <w:jc w:val="center"/>
              <w:rPr>
                <w:rFonts w:cs="宋体"/>
                <w:sz w:val="21"/>
                <w:szCs w:val="21"/>
                <w:highlight w:val="none"/>
              </w:rPr>
            </w:pPr>
            <w:r>
              <w:rPr>
                <w:rFonts w:hint="eastAsia" w:cs="宋体"/>
                <w:sz w:val="21"/>
                <w:szCs w:val="21"/>
                <w:highlight w:val="none"/>
              </w:rPr>
              <w:t>序号</w:t>
            </w:r>
          </w:p>
        </w:tc>
        <w:tc>
          <w:tcPr>
            <w:tcW w:w="1395" w:type="pct"/>
            <w:vAlign w:val="center"/>
          </w:tcPr>
          <w:p w14:paraId="277D1D62">
            <w:pPr>
              <w:pStyle w:val="50"/>
              <w:spacing w:line="360" w:lineRule="auto"/>
              <w:jc w:val="center"/>
              <w:rPr>
                <w:rFonts w:cs="宋体"/>
                <w:sz w:val="21"/>
                <w:szCs w:val="21"/>
                <w:highlight w:val="none"/>
              </w:rPr>
            </w:pPr>
            <w:r>
              <w:rPr>
                <w:rFonts w:hint="eastAsia" w:cs="宋体"/>
                <w:sz w:val="21"/>
                <w:szCs w:val="21"/>
                <w:highlight w:val="none"/>
              </w:rPr>
              <w:t>招标文件的商务条款</w:t>
            </w:r>
          </w:p>
        </w:tc>
        <w:tc>
          <w:tcPr>
            <w:tcW w:w="1003" w:type="pct"/>
            <w:vAlign w:val="center"/>
          </w:tcPr>
          <w:p w14:paraId="05DCFF56">
            <w:pPr>
              <w:pStyle w:val="50"/>
              <w:spacing w:line="360" w:lineRule="auto"/>
              <w:jc w:val="center"/>
              <w:rPr>
                <w:rFonts w:cs="宋体"/>
                <w:sz w:val="21"/>
                <w:szCs w:val="21"/>
                <w:highlight w:val="none"/>
              </w:rPr>
            </w:pPr>
            <w:r>
              <w:rPr>
                <w:rFonts w:hint="eastAsia" w:cs="宋体"/>
                <w:sz w:val="21"/>
                <w:szCs w:val="21"/>
                <w:highlight w:val="none"/>
              </w:rPr>
              <w:t>投标文件的响应内容</w:t>
            </w:r>
          </w:p>
        </w:tc>
        <w:tc>
          <w:tcPr>
            <w:tcW w:w="1091" w:type="pct"/>
            <w:vAlign w:val="center"/>
          </w:tcPr>
          <w:p w14:paraId="0A3C4BB4">
            <w:pPr>
              <w:pStyle w:val="50"/>
              <w:spacing w:line="360" w:lineRule="auto"/>
              <w:jc w:val="center"/>
              <w:rPr>
                <w:rFonts w:cs="宋体"/>
                <w:sz w:val="21"/>
                <w:szCs w:val="21"/>
                <w:highlight w:val="none"/>
              </w:rPr>
            </w:pPr>
            <w:r>
              <w:rPr>
                <w:rFonts w:hint="eastAsia" w:cs="宋体"/>
                <w:sz w:val="21"/>
                <w:szCs w:val="21"/>
                <w:highlight w:val="none"/>
              </w:rPr>
              <w:t>响应情况</w:t>
            </w:r>
          </w:p>
        </w:tc>
        <w:tc>
          <w:tcPr>
            <w:tcW w:w="1091" w:type="pct"/>
            <w:vAlign w:val="center"/>
          </w:tcPr>
          <w:p w14:paraId="4630FA7A">
            <w:pPr>
              <w:pStyle w:val="50"/>
              <w:spacing w:line="360" w:lineRule="auto"/>
              <w:jc w:val="center"/>
              <w:rPr>
                <w:rFonts w:cs="宋体"/>
                <w:sz w:val="21"/>
                <w:szCs w:val="21"/>
                <w:highlight w:val="none"/>
              </w:rPr>
            </w:pPr>
            <w:r>
              <w:rPr>
                <w:rFonts w:hint="eastAsia" w:cs="宋体"/>
                <w:sz w:val="21"/>
                <w:szCs w:val="21"/>
                <w:highlight w:val="none"/>
              </w:rPr>
              <w:t>说明及索引</w:t>
            </w:r>
          </w:p>
        </w:tc>
      </w:tr>
      <w:tr w14:paraId="5EAD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60A54CDB">
            <w:pPr>
              <w:pStyle w:val="50"/>
              <w:spacing w:line="360" w:lineRule="auto"/>
              <w:jc w:val="center"/>
              <w:rPr>
                <w:rFonts w:cs="宋体"/>
                <w:sz w:val="21"/>
                <w:szCs w:val="21"/>
                <w:highlight w:val="none"/>
              </w:rPr>
            </w:pPr>
            <w:r>
              <w:rPr>
                <w:rFonts w:hint="eastAsia" w:cs="宋体"/>
                <w:sz w:val="21"/>
                <w:szCs w:val="21"/>
                <w:highlight w:val="none"/>
              </w:rPr>
              <w:t>1</w:t>
            </w:r>
          </w:p>
        </w:tc>
        <w:tc>
          <w:tcPr>
            <w:tcW w:w="1395" w:type="pct"/>
            <w:vAlign w:val="center"/>
          </w:tcPr>
          <w:p w14:paraId="40825E7A">
            <w:pPr>
              <w:pStyle w:val="50"/>
              <w:spacing w:line="360" w:lineRule="auto"/>
              <w:jc w:val="center"/>
              <w:rPr>
                <w:rFonts w:cs="宋体"/>
                <w:sz w:val="21"/>
                <w:szCs w:val="21"/>
                <w:highlight w:val="none"/>
              </w:rPr>
            </w:pPr>
            <w:r>
              <w:rPr>
                <w:rFonts w:hint="eastAsia" w:cs="宋体"/>
                <w:sz w:val="21"/>
                <w:szCs w:val="21"/>
                <w:highlight w:val="none"/>
              </w:rPr>
              <w:t>*******</w:t>
            </w:r>
          </w:p>
        </w:tc>
        <w:tc>
          <w:tcPr>
            <w:tcW w:w="1003" w:type="pct"/>
            <w:vAlign w:val="center"/>
          </w:tcPr>
          <w:p w14:paraId="646F3DE4">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1AA65049">
            <w:pPr>
              <w:pStyle w:val="50"/>
              <w:spacing w:line="360" w:lineRule="auto"/>
              <w:jc w:val="center"/>
              <w:rPr>
                <w:rFonts w:cs="宋体"/>
                <w:sz w:val="21"/>
                <w:szCs w:val="21"/>
                <w:highlight w:val="none"/>
              </w:rPr>
            </w:pPr>
            <w:r>
              <w:rPr>
                <w:rFonts w:hint="eastAsia" w:cs="宋体"/>
                <w:sz w:val="21"/>
                <w:szCs w:val="21"/>
                <w:highlight w:val="none"/>
              </w:rPr>
              <w:t>响应/偏离</w:t>
            </w:r>
          </w:p>
        </w:tc>
        <w:tc>
          <w:tcPr>
            <w:tcW w:w="1091" w:type="pct"/>
            <w:vAlign w:val="center"/>
          </w:tcPr>
          <w:p w14:paraId="7962CF0B">
            <w:pPr>
              <w:pStyle w:val="50"/>
              <w:spacing w:line="360" w:lineRule="auto"/>
              <w:jc w:val="center"/>
              <w:rPr>
                <w:rFonts w:cs="宋体"/>
                <w:sz w:val="21"/>
                <w:szCs w:val="21"/>
                <w:highlight w:val="none"/>
              </w:rPr>
            </w:pPr>
          </w:p>
        </w:tc>
      </w:tr>
      <w:tr w14:paraId="3C95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4AC375B1">
            <w:pPr>
              <w:pStyle w:val="50"/>
              <w:spacing w:line="360" w:lineRule="auto"/>
              <w:jc w:val="center"/>
              <w:rPr>
                <w:rFonts w:cs="宋体"/>
                <w:sz w:val="21"/>
                <w:szCs w:val="21"/>
                <w:highlight w:val="none"/>
              </w:rPr>
            </w:pPr>
            <w:r>
              <w:rPr>
                <w:rFonts w:hint="eastAsia" w:cs="宋体"/>
                <w:sz w:val="21"/>
                <w:szCs w:val="21"/>
                <w:highlight w:val="none"/>
              </w:rPr>
              <w:t>2</w:t>
            </w:r>
          </w:p>
        </w:tc>
        <w:tc>
          <w:tcPr>
            <w:tcW w:w="1395" w:type="pct"/>
            <w:vAlign w:val="center"/>
          </w:tcPr>
          <w:p w14:paraId="4786F0A6">
            <w:pPr>
              <w:pStyle w:val="50"/>
              <w:spacing w:line="360" w:lineRule="auto"/>
              <w:jc w:val="center"/>
              <w:rPr>
                <w:rFonts w:cs="宋体"/>
                <w:sz w:val="21"/>
                <w:szCs w:val="21"/>
                <w:highlight w:val="none"/>
              </w:rPr>
            </w:pPr>
            <w:r>
              <w:rPr>
                <w:rFonts w:hint="eastAsia" w:cs="宋体"/>
                <w:sz w:val="21"/>
                <w:szCs w:val="21"/>
                <w:highlight w:val="none"/>
              </w:rPr>
              <w:t>*******</w:t>
            </w:r>
          </w:p>
        </w:tc>
        <w:tc>
          <w:tcPr>
            <w:tcW w:w="1003" w:type="pct"/>
            <w:vAlign w:val="center"/>
          </w:tcPr>
          <w:p w14:paraId="1ECAF8FB">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6BBE8581">
            <w:pPr>
              <w:pStyle w:val="50"/>
              <w:spacing w:line="360" w:lineRule="auto"/>
              <w:jc w:val="center"/>
              <w:rPr>
                <w:rFonts w:cs="宋体"/>
                <w:sz w:val="21"/>
                <w:szCs w:val="21"/>
                <w:highlight w:val="none"/>
              </w:rPr>
            </w:pPr>
          </w:p>
        </w:tc>
        <w:tc>
          <w:tcPr>
            <w:tcW w:w="1091" w:type="pct"/>
            <w:vAlign w:val="center"/>
          </w:tcPr>
          <w:p w14:paraId="07149B48">
            <w:pPr>
              <w:pStyle w:val="50"/>
              <w:spacing w:line="360" w:lineRule="auto"/>
              <w:jc w:val="center"/>
              <w:rPr>
                <w:rFonts w:cs="宋体"/>
                <w:sz w:val="21"/>
                <w:szCs w:val="21"/>
                <w:highlight w:val="none"/>
              </w:rPr>
            </w:pPr>
          </w:p>
        </w:tc>
      </w:tr>
      <w:tr w14:paraId="51A4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57BBCCD6">
            <w:pPr>
              <w:pStyle w:val="50"/>
              <w:spacing w:line="360" w:lineRule="auto"/>
              <w:jc w:val="center"/>
              <w:rPr>
                <w:rFonts w:cs="宋体"/>
                <w:sz w:val="21"/>
                <w:szCs w:val="21"/>
                <w:highlight w:val="none"/>
              </w:rPr>
            </w:pPr>
            <w:r>
              <w:rPr>
                <w:rFonts w:hint="eastAsia" w:cs="宋体"/>
                <w:sz w:val="21"/>
                <w:szCs w:val="21"/>
                <w:highlight w:val="none"/>
              </w:rPr>
              <w:t>3</w:t>
            </w:r>
          </w:p>
        </w:tc>
        <w:tc>
          <w:tcPr>
            <w:tcW w:w="1395" w:type="pct"/>
            <w:vAlign w:val="center"/>
          </w:tcPr>
          <w:p w14:paraId="5AAE0EA0">
            <w:pPr>
              <w:pStyle w:val="50"/>
              <w:spacing w:line="360" w:lineRule="auto"/>
              <w:jc w:val="center"/>
              <w:rPr>
                <w:rFonts w:cs="宋体"/>
                <w:sz w:val="21"/>
                <w:szCs w:val="21"/>
                <w:highlight w:val="none"/>
              </w:rPr>
            </w:pPr>
            <w:r>
              <w:rPr>
                <w:rFonts w:hint="eastAsia" w:cs="宋体"/>
                <w:sz w:val="21"/>
                <w:szCs w:val="21"/>
                <w:highlight w:val="none"/>
              </w:rPr>
              <w:t>*******</w:t>
            </w:r>
          </w:p>
        </w:tc>
        <w:tc>
          <w:tcPr>
            <w:tcW w:w="1003" w:type="pct"/>
            <w:vAlign w:val="center"/>
          </w:tcPr>
          <w:p w14:paraId="6273E4A4">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13176396">
            <w:pPr>
              <w:pStyle w:val="50"/>
              <w:spacing w:line="360" w:lineRule="auto"/>
              <w:jc w:val="center"/>
              <w:rPr>
                <w:rFonts w:cs="宋体"/>
                <w:sz w:val="21"/>
                <w:szCs w:val="21"/>
                <w:highlight w:val="none"/>
              </w:rPr>
            </w:pPr>
          </w:p>
        </w:tc>
        <w:tc>
          <w:tcPr>
            <w:tcW w:w="1091" w:type="pct"/>
            <w:vAlign w:val="center"/>
          </w:tcPr>
          <w:p w14:paraId="03543C93">
            <w:pPr>
              <w:pStyle w:val="50"/>
              <w:spacing w:line="360" w:lineRule="auto"/>
              <w:jc w:val="center"/>
              <w:rPr>
                <w:rFonts w:cs="宋体"/>
                <w:sz w:val="21"/>
                <w:szCs w:val="21"/>
                <w:highlight w:val="none"/>
              </w:rPr>
            </w:pPr>
          </w:p>
        </w:tc>
      </w:tr>
      <w:tr w14:paraId="1A6B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2FDCF728">
            <w:pPr>
              <w:pStyle w:val="50"/>
              <w:spacing w:line="360" w:lineRule="auto"/>
              <w:jc w:val="center"/>
              <w:rPr>
                <w:rFonts w:cs="宋体"/>
                <w:sz w:val="21"/>
                <w:szCs w:val="21"/>
                <w:highlight w:val="none"/>
              </w:rPr>
            </w:pPr>
          </w:p>
        </w:tc>
        <w:tc>
          <w:tcPr>
            <w:tcW w:w="1395" w:type="pct"/>
            <w:vAlign w:val="center"/>
          </w:tcPr>
          <w:p w14:paraId="4B027B51">
            <w:pPr>
              <w:pStyle w:val="50"/>
              <w:spacing w:line="360" w:lineRule="auto"/>
              <w:jc w:val="center"/>
              <w:rPr>
                <w:rFonts w:cs="宋体"/>
                <w:sz w:val="21"/>
                <w:szCs w:val="21"/>
                <w:highlight w:val="none"/>
              </w:rPr>
            </w:pPr>
          </w:p>
        </w:tc>
        <w:tc>
          <w:tcPr>
            <w:tcW w:w="1003" w:type="pct"/>
            <w:vAlign w:val="center"/>
          </w:tcPr>
          <w:p w14:paraId="3941BEB3">
            <w:pPr>
              <w:pStyle w:val="50"/>
              <w:spacing w:line="360" w:lineRule="auto"/>
              <w:jc w:val="center"/>
              <w:rPr>
                <w:rFonts w:cs="宋体"/>
                <w:sz w:val="21"/>
                <w:szCs w:val="21"/>
                <w:highlight w:val="none"/>
              </w:rPr>
            </w:pPr>
          </w:p>
        </w:tc>
        <w:tc>
          <w:tcPr>
            <w:tcW w:w="1091" w:type="pct"/>
            <w:vAlign w:val="center"/>
          </w:tcPr>
          <w:p w14:paraId="2A3D9E90">
            <w:pPr>
              <w:pStyle w:val="50"/>
              <w:spacing w:line="360" w:lineRule="auto"/>
              <w:jc w:val="center"/>
              <w:rPr>
                <w:rFonts w:cs="宋体"/>
                <w:sz w:val="21"/>
                <w:szCs w:val="21"/>
                <w:highlight w:val="none"/>
              </w:rPr>
            </w:pPr>
          </w:p>
        </w:tc>
        <w:tc>
          <w:tcPr>
            <w:tcW w:w="1091" w:type="pct"/>
            <w:vAlign w:val="center"/>
          </w:tcPr>
          <w:p w14:paraId="18F8C35F">
            <w:pPr>
              <w:pStyle w:val="50"/>
              <w:spacing w:line="360" w:lineRule="auto"/>
              <w:jc w:val="center"/>
              <w:rPr>
                <w:rFonts w:cs="宋体"/>
                <w:sz w:val="21"/>
                <w:szCs w:val="21"/>
                <w:highlight w:val="none"/>
              </w:rPr>
            </w:pPr>
          </w:p>
        </w:tc>
      </w:tr>
      <w:tr w14:paraId="549A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345042FD">
            <w:pPr>
              <w:pStyle w:val="50"/>
              <w:spacing w:line="360" w:lineRule="auto"/>
              <w:jc w:val="center"/>
              <w:rPr>
                <w:rFonts w:cs="宋体"/>
                <w:sz w:val="21"/>
                <w:szCs w:val="21"/>
                <w:highlight w:val="none"/>
              </w:rPr>
            </w:pPr>
          </w:p>
        </w:tc>
        <w:tc>
          <w:tcPr>
            <w:tcW w:w="1395" w:type="pct"/>
            <w:vAlign w:val="center"/>
          </w:tcPr>
          <w:p w14:paraId="0626AAF2">
            <w:pPr>
              <w:pStyle w:val="50"/>
              <w:spacing w:line="360" w:lineRule="auto"/>
              <w:jc w:val="center"/>
              <w:rPr>
                <w:rFonts w:cs="宋体"/>
                <w:sz w:val="21"/>
                <w:szCs w:val="21"/>
                <w:highlight w:val="none"/>
              </w:rPr>
            </w:pPr>
          </w:p>
        </w:tc>
        <w:tc>
          <w:tcPr>
            <w:tcW w:w="1003" w:type="pct"/>
            <w:vAlign w:val="center"/>
          </w:tcPr>
          <w:p w14:paraId="1478C0E3">
            <w:pPr>
              <w:pStyle w:val="50"/>
              <w:spacing w:line="360" w:lineRule="auto"/>
              <w:jc w:val="center"/>
              <w:rPr>
                <w:rFonts w:cs="宋体"/>
                <w:sz w:val="21"/>
                <w:szCs w:val="21"/>
                <w:highlight w:val="none"/>
              </w:rPr>
            </w:pPr>
          </w:p>
        </w:tc>
        <w:tc>
          <w:tcPr>
            <w:tcW w:w="1091" w:type="pct"/>
            <w:vAlign w:val="center"/>
          </w:tcPr>
          <w:p w14:paraId="778C7610">
            <w:pPr>
              <w:pStyle w:val="50"/>
              <w:spacing w:line="360" w:lineRule="auto"/>
              <w:jc w:val="center"/>
              <w:rPr>
                <w:rFonts w:cs="宋体"/>
                <w:sz w:val="21"/>
                <w:szCs w:val="21"/>
                <w:highlight w:val="none"/>
              </w:rPr>
            </w:pPr>
          </w:p>
        </w:tc>
        <w:tc>
          <w:tcPr>
            <w:tcW w:w="1091" w:type="pct"/>
            <w:vAlign w:val="center"/>
          </w:tcPr>
          <w:p w14:paraId="629A4D74">
            <w:pPr>
              <w:pStyle w:val="50"/>
              <w:spacing w:line="360" w:lineRule="auto"/>
              <w:jc w:val="center"/>
              <w:rPr>
                <w:rFonts w:cs="宋体"/>
                <w:sz w:val="21"/>
                <w:szCs w:val="21"/>
                <w:highlight w:val="none"/>
              </w:rPr>
            </w:pPr>
          </w:p>
        </w:tc>
      </w:tr>
      <w:tr w14:paraId="1E60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9" w:type="pct"/>
            <w:vAlign w:val="center"/>
          </w:tcPr>
          <w:p w14:paraId="3ED1E61C">
            <w:pPr>
              <w:pStyle w:val="50"/>
              <w:spacing w:line="360" w:lineRule="auto"/>
              <w:jc w:val="center"/>
              <w:rPr>
                <w:rFonts w:cs="宋体"/>
                <w:sz w:val="21"/>
                <w:szCs w:val="21"/>
                <w:highlight w:val="none"/>
              </w:rPr>
            </w:pPr>
            <w:r>
              <w:rPr>
                <w:rFonts w:hint="eastAsia" w:cs="宋体"/>
                <w:sz w:val="21"/>
                <w:szCs w:val="21"/>
                <w:highlight w:val="none"/>
              </w:rPr>
              <w:t>……</w:t>
            </w:r>
          </w:p>
        </w:tc>
        <w:tc>
          <w:tcPr>
            <w:tcW w:w="1395" w:type="pct"/>
            <w:vAlign w:val="center"/>
          </w:tcPr>
          <w:p w14:paraId="1575931F">
            <w:pPr>
              <w:pStyle w:val="50"/>
              <w:spacing w:line="360" w:lineRule="auto"/>
              <w:jc w:val="center"/>
              <w:rPr>
                <w:rFonts w:cs="宋体"/>
                <w:sz w:val="21"/>
                <w:szCs w:val="21"/>
                <w:highlight w:val="none"/>
              </w:rPr>
            </w:pPr>
            <w:r>
              <w:rPr>
                <w:rFonts w:hint="eastAsia" w:cs="宋体"/>
                <w:sz w:val="21"/>
                <w:szCs w:val="21"/>
                <w:highlight w:val="none"/>
              </w:rPr>
              <w:t>…………</w:t>
            </w:r>
          </w:p>
        </w:tc>
        <w:tc>
          <w:tcPr>
            <w:tcW w:w="1003" w:type="pct"/>
            <w:vAlign w:val="center"/>
          </w:tcPr>
          <w:p w14:paraId="5A99C2A9">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57CDA24A">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06D7C302">
            <w:pPr>
              <w:pStyle w:val="50"/>
              <w:spacing w:line="360" w:lineRule="auto"/>
              <w:jc w:val="center"/>
              <w:rPr>
                <w:rFonts w:cs="宋体"/>
                <w:sz w:val="21"/>
                <w:szCs w:val="21"/>
                <w:highlight w:val="none"/>
              </w:rPr>
            </w:pPr>
          </w:p>
        </w:tc>
      </w:tr>
    </w:tbl>
    <w:p w14:paraId="049FB265">
      <w:pPr>
        <w:spacing w:line="360" w:lineRule="auto"/>
        <w:rPr>
          <w:highlight w:val="none"/>
        </w:rPr>
      </w:pPr>
    </w:p>
    <w:p w14:paraId="7D8B7453">
      <w:pPr>
        <w:spacing w:line="360" w:lineRule="auto"/>
        <w:rPr>
          <w:highlight w:val="none"/>
        </w:rPr>
      </w:pPr>
      <w:r>
        <w:rPr>
          <w:rFonts w:hint="eastAsia"/>
          <w:highlight w:val="none"/>
        </w:rPr>
        <w:t>投标人名称（</w:t>
      </w:r>
      <w:r>
        <w:rPr>
          <w:rFonts w:hint="eastAsia" w:cs="宋体"/>
          <w:kern w:val="0"/>
          <w:highlight w:val="none"/>
        </w:rPr>
        <w:t>公章）</w:t>
      </w:r>
      <w:r>
        <w:rPr>
          <w:rFonts w:hint="eastAsia"/>
          <w:highlight w:val="none"/>
        </w:rPr>
        <w:t>：</w:t>
      </w:r>
      <w:r>
        <w:rPr>
          <w:highlight w:val="none"/>
        </w:rPr>
        <w:t xml:space="preserve"> </w:t>
      </w:r>
    </w:p>
    <w:p w14:paraId="69FA97B9">
      <w:pPr>
        <w:spacing w:line="360" w:lineRule="auto"/>
        <w:rPr>
          <w:highlight w:val="none"/>
        </w:rPr>
      </w:pPr>
      <w:r>
        <w:rPr>
          <w:rFonts w:hint="eastAsia"/>
          <w:highlight w:val="none"/>
        </w:rPr>
        <w:t>日      期：</w:t>
      </w:r>
    </w:p>
    <w:p w14:paraId="4D9B92E9">
      <w:pPr>
        <w:spacing w:line="360" w:lineRule="auto"/>
        <w:rPr>
          <w:highlight w:val="none"/>
        </w:rPr>
      </w:pPr>
    </w:p>
    <w:p w14:paraId="645FD467">
      <w:pPr>
        <w:spacing w:line="360" w:lineRule="auto"/>
        <w:rPr>
          <w:szCs w:val="24"/>
          <w:highlight w:val="none"/>
        </w:rPr>
      </w:pPr>
      <w:r>
        <w:rPr>
          <w:rFonts w:hint="eastAsia"/>
          <w:highlight w:val="none"/>
        </w:rPr>
        <w:t>注：投标人应按照招标文件“第三章 采购需求”中的商务要求填写：</w:t>
      </w:r>
    </w:p>
    <w:p w14:paraId="4B645280">
      <w:pPr>
        <w:spacing w:line="360" w:lineRule="auto"/>
        <w:rPr>
          <w:highlight w:val="none"/>
        </w:rPr>
      </w:pPr>
      <w:r>
        <w:rPr>
          <w:rFonts w:hint="eastAsia"/>
          <w:highlight w:val="none"/>
        </w:rPr>
        <w:t xml:space="preserve">1.“招标文件的商务条款”栏应详细列明招标文件中的商务要求。 </w:t>
      </w:r>
    </w:p>
    <w:p w14:paraId="62BDE598">
      <w:pPr>
        <w:spacing w:line="360" w:lineRule="auto"/>
        <w:rPr>
          <w:highlight w:val="none"/>
        </w:rPr>
      </w:pPr>
      <w:r>
        <w:rPr>
          <w:rFonts w:hint="eastAsia"/>
          <w:highlight w:val="none"/>
        </w:rPr>
        <w:t>2.“投标文件的响应内容”栏填写投标人对招标文件提出的商务条款作出的明确响应，并列明具体响应数值或内容，只注明符合、满足等无具体内容表述的，将视为未实质性满足招标文件要求</w:t>
      </w:r>
      <w:r>
        <w:rPr>
          <w:highlight w:val="none"/>
        </w:rPr>
        <w:t>，</w:t>
      </w:r>
      <w:r>
        <w:rPr>
          <w:rFonts w:hint="eastAsia"/>
          <w:b/>
          <w:bCs/>
          <w:highlight w:val="none"/>
        </w:rPr>
        <w:t>投标</w:t>
      </w:r>
      <w:r>
        <w:rPr>
          <w:b/>
          <w:bCs/>
          <w:highlight w:val="none"/>
        </w:rPr>
        <w:t>无效</w:t>
      </w:r>
      <w:r>
        <w:rPr>
          <w:rFonts w:hint="eastAsia"/>
          <w:highlight w:val="none"/>
        </w:rPr>
        <w:t xml:space="preserve">。 </w:t>
      </w:r>
    </w:p>
    <w:p w14:paraId="2A1DE40B">
      <w:pPr>
        <w:spacing w:line="360" w:lineRule="auto"/>
        <w:rPr>
          <w:highlight w:val="none"/>
        </w:rPr>
      </w:pPr>
      <w:r>
        <w:rPr>
          <w:rFonts w:hint="eastAsia"/>
          <w:highlight w:val="none"/>
        </w:rPr>
        <w:t xml:space="preserve">3.“响应情况”栏应据实填写“响应”、“正偏离”或“负偏离”。 </w:t>
      </w:r>
    </w:p>
    <w:p w14:paraId="57C23C15">
      <w:pPr>
        <w:spacing w:line="360" w:lineRule="auto"/>
        <w:rPr>
          <w:highlight w:val="none"/>
        </w:rPr>
      </w:pPr>
      <w:r>
        <w:rPr>
          <w:rFonts w:hint="eastAsia"/>
          <w:highlight w:val="none"/>
        </w:rPr>
        <w:t>4.“说明及索引”栏可填写偏离情况的具体说明及索引。</w:t>
      </w:r>
    </w:p>
    <w:p w14:paraId="5187D369">
      <w:pPr>
        <w:spacing w:line="360" w:lineRule="auto"/>
        <w:rPr>
          <w:highlight w:val="none"/>
        </w:rPr>
      </w:pPr>
      <w:r>
        <w:rPr>
          <w:rFonts w:hint="eastAsia"/>
          <w:highlight w:val="none"/>
        </w:rPr>
        <w:t>5.对招标文件中的所有商务要求，除本表所列明的所有偏离外，均视作供应商</w:t>
      </w:r>
      <w:r>
        <w:rPr>
          <w:highlight w:val="none"/>
        </w:rPr>
        <w:t>已对之理解和响应。此表中若无任何文字说明，内容为空白的，</w:t>
      </w:r>
      <w:r>
        <w:rPr>
          <w:b/>
          <w:bCs/>
          <w:highlight w:val="none"/>
        </w:rPr>
        <w:t>投标无效</w:t>
      </w:r>
      <w:r>
        <w:rPr>
          <w:highlight w:val="none"/>
        </w:rPr>
        <w:t>。</w:t>
      </w:r>
    </w:p>
    <w:p w14:paraId="62C63E8E">
      <w:pPr>
        <w:spacing w:line="360" w:lineRule="auto"/>
        <w:rPr>
          <w:highlight w:val="none"/>
        </w:rPr>
      </w:pPr>
      <w:r>
        <w:rPr>
          <w:highlight w:val="none"/>
        </w:rPr>
        <w:br w:type="page"/>
      </w:r>
    </w:p>
    <w:p w14:paraId="6A5ABE80">
      <w:pPr>
        <w:pStyle w:val="3"/>
        <w:spacing w:line="360" w:lineRule="auto"/>
        <w:rPr>
          <w:highlight w:val="none"/>
        </w:rPr>
      </w:pPr>
      <w:bookmarkStart w:id="422" w:name="_Toc229390318"/>
      <w:bookmarkStart w:id="423" w:name="_Toc163492930"/>
      <w:r>
        <w:rPr>
          <w:rFonts w:hint="eastAsia"/>
          <w:highlight w:val="none"/>
        </w:rPr>
        <w:t>七、业绩证明文件</w:t>
      </w:r>
      <w:bookmarkEnd w:id="422"/>
      <w:bookmarkEnd w:id="423"/>
    </w:p>
    <w:p w14:paraId="364B2A70">
      <w:pPr>
        <w:spacing w:line="360" w:lineRule="auto"/>
        <w:rPr>
          <w:rFonts w:cs="仿宋_GB2312"/>
          <w:szCs w:val="24"/>
          <w:highlight w:val="none"/>
        </w:rPr>
      </w:pPr>
      <w:r>
        <w:rPr>
          <w:highlight w:val="none"/>
        </w:rPr>
        <w:fldChar w:fldCharType="begin"/>
      </w:r>
      <w:r>
        <w:rPr>
          <w:highlight w:val="none"/>
        </w:rPr>
        <w:instrText xml:space="preserve"> LINK Word.Document.8 "D:\\音乐厅\\4通用设备\\招标文件\\音乐厅空调设备招标文件v1.0.doc" "OLE_LINK8" \r  \* MERGEFORMAT </w:instrText>
      </w:r>
      <w:r>
        <w:rPr>
          <w:highlight w:val="none"/>
        </w:rPr>
        <w:fldChar w:fldCharType="separate"/>
      </w:r>
      <w:r>
        <w:rPr>
          <w:rFonts w:hint="eastAsia" w:cs="仿宋_GB2312"/>
          <w:szCs w:val="24"/>
          <w:highlight w:val="none"/>
        </w:rPr>
        <w:t xml:space="preserve">项目名称：                                         </w:t>
      </w:r>
    </w:p>
    <w:p w14:paraId="7CA7E0C7">
      <w:pPr>
        <w:spacing w:line="360" w:lineRule="auto"/>
        <w:rPr>
          <w:rFonts w:cs="Arial"/>
          <w:bCs/>
          <w:szCs w:val="21"/>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r>
        <w:rPr>
          <w:rFonts w:cs="Arial"/>
          <w:bCs/>
          <w:szCs w:val="21"/>
          <w:highlight w:val="none"/>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0989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F67272E">
            <w:pPr>
              <w:spacing w:line="360" w:lineRule="auto"/>
              <w:rPr>
                <w:highlight w:val="none"/>
              </w:rPr>
            </w:pPr>
            <w:bookmarkStart w:id="424" w:name="_Hlk46779239"/>
            <w:r>
              <w:rPr>
                <w:rFonts w:hint="eastAsia"/>
                <w:highlight w:val="none"/>
              </w:rPr>
              <w:t>序号</w:t>
            </w:r>
          </w:p>
        </w:tc>
        <w:tc>
          <w:tcPr>
            <w:tcW w:w="1560" w:type="dxa"/>
            <w:shd w:val="clear" w:color="auto" w:fill="auto"/>
            <w:vAlign w:val="center"/>
          </w:tcPr>
          <w:p w14:paraId="4356F756">
            <w:pPr>
              <w:spacing w:line="360" w:lineRule="auto"/>
              <w:rPr>
                <w:highlight w:val="none"/>
              </w:rPr>
            </w:pPr>
            <w:r>
              <w:rPr>
                <w:rFonts w:hint="eastAsia"/>
                <w:highlight w:val="none"/>
              </w:rPr>
              <w:t>项目名称</w:t>
            </w:r>
          </w:p>
        </w:tc>
        <w:tc>
          <w:tcPr>
            <w:tcW w:w="1248" w:type="dxa"/>
            <w:shd w:val="clear" w:color="auto" w:fill="auto"/>
            <w:vAlign w:val="center"/>
          </w:tcPr>
          <w:p w14:paraId="7A5B8018">
            <w:pPr>
              <w:spacing w:line="360" w:lineRule="auto"/>
              <w:rPr>
                <w:highlight w:val="none"/>
              </w:rPr>
            </w:pPr>
            <w:r>
              <w:rPr>
                <w:rFonts w:hint="eastAsia"/>
                <w:highlight w:val="none"/>
              </w:rPr>
              <w:t>标的内容</w:t>
            </w:r>
          </w:p>
        </w:tc>
        <w:tc>
          <w:tcPr>
            <w:tcW w:w="1560" w:type="dxa"/>
            <w:shd w:val="clear" w:color="auto" w:fill="auto"/>
            <w:vAlign w:val="center"/>
          </w:tcPr>
          <w:p w14:paraId="234E2177">
            <w:pPr>
              <w:spacing w:line="360" w:lineRule="auto"/>
              <w:rPr>
                <w:highlight w:val="none"/>
              </w:rPr>
            </w:pPr>
            <w:r>
              <w:rPr>
                <w:rFonts w:hint="eastAsia"/>
                <w:highlight w:val="none"/>
              </w:rPr>
              <w:t>采购人名称</w:t>
            </w:r>
          </w:p>
        </w:tc>
        <w:tc>
          <w:tcPr>
            <w:tcW w:w="1344" w:type="dxa"/>
            <w:shd w:val="clear" w:color="auto" w:fill="auto"/>
            <w:vAlign w:val="center"/>
          </w:tcPr>
          <w:p w14:paraId="076698BE">
            <w:pPr>
              <w:spacing w:line="360" w:lineRule="auto"/>
              <w:rPr>
                <w:highlight w:val="none"/>
              </w:rPr>
            </w:pPr>
            <w:r>
              <w:rPr>
                <w:rFonts w:hint="eastAsia"/>
                <w:highlight w:val="none"/>
              </w:rPr>
              <w:t>中标（成交）金额</w:t>
            </w:r>
          </w:p>
        </w:tc>
        <w:tc>
          <w:tcPr>
            <w:tcW w:w="1525" w:type="dxa"/>
            <w:shd w:val="clear" w:color="auto" w:fill="auto"/>
            <w:vAlign w:val="center"/>
          </w:tcPr>
          <w:p w14:paraId="05FE6195">
            <w:pPr>
              <w:spacing w:line="360" w:lineRule="auto"/>
              <w:rPr>
                <w:highlight w:val="none"/>
              </w:rPr>
            </w:pPr>
            <w:r>
              <w:rPr>
                <w:rFonts w:hint="eastAsia"/>
                <w:highlight w:val="none"/>
              </w:rPr>
              <w:t>采购合同签订时间</w:t>
            </w:r>
          </w:p>
        </w:tc>
        <w:tc>
          <w:tcPr>
            <w:tcW w:w="1091" w:type="dxa"/>
            <w:vAlign w:val="center"/>
          </w:tcPr>
          <w:p w14:paraId="0AF23938">
            <w:pPr>
              <w:spacing w:line="360" w:lineRule="auto"/>
              <w:rPr>
                <w:highlight w:val="none"/>
              </w:rPr>
            </w:pPr>
            <w:r>
              <w:rPr>
                <w:rFonts w:hint="eastAsia"/>
                <w:highlight w:val="none"/>
              </w:rPr>
              <w:t>备注</w:t>
            </w:r>
          </w:p>
        </w:tc>
      </w:tr>
      <w:tr w14:paraId="3CFE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788FA32">
            <w:pPr>
              <w:spacing w:line="360" w:lineRule="auto"/>
              <w:rPr>
                <w:highlight w:val="none"/>
              </w:rPr>
            </w:pPr>
            <w:r>
              <w:rPr>
                <w:rFonts w:hint="eastAsia"/>
                <w:highlight w:val="none"/>
              </w:rPr>
              <w:t>1</w:t>
            </w:r>
          </w:p>
        </w:tc>
        <w:tc>
          <w:tcPr>
            <w:tcW w:w="1560" w:type="dxa"/>
            <w:vAlign w:val="center"/>
          </w:tcPr>
          <w:p w14:paraId="2CF30BCF">
            <w:pPr>
              <w:spacing w:line="360" w:lineRule="auto"/>
              <w:rPr>
                <w:highlight w:val="none"/>
              </w:rPr>
            </w:pPr>
          </w:p>
        </w:tc>
        <w:tc>
          <w:tcPr>
            <w:tcW w:w="1248" w:type="dxa"/>
            <w:vAlign w:val="center"/>
          </w:tcPr>
          <w:p w14:paraId="0318CE28">
            <w:pPr>
              <w:spacing w:line="360" w:lineRule="auto"/>
              <w:rPr>
                <w:highlight w:val="none"/>
              </w:rPr>
            </w:pPr>
          </w:p>
        </w:tc>
        <w:tc>
          <w:tcPr>
            <w:tcW w:w="1560" w:type="dxa"/>
            <w:vAlign w:val="center"/>
          </w:tcPr>
          <w:p w14:paraId="69A992B8">
            <w:pPr>
              <w:spacing w:line="360" w:lineRule="auto"/>
              <w:rPr>
                <w:highlight w:val="none"/>
              </w:rPr>
            </w:pPr>
          </w:p>
        </w:tc>
        <w:tc>
          <w:tcPr>
            <w:tcW w:w="1344" w:type="dxa"/>
            <w:vAlign w:val="center"/>
          </w:tcPr>
          <w:p w14:paraId="296E93E9">
            <w:pPr>
              <w:spacing w:line="360" w:lineRule="auto"/>
              <w:rPr>
                <w:highlight w:val="none"/>
              </w:rPr>
            </w:pPr>
          </w:p>
        </w:tc>
        <w:tc>
          <w:tcPr>
            <w:tcW w:w="1525" w:type="dxa"/>
            <w:vAlign w:val="center"/>
          </w:tcPr>
          <w:p w14:paraId="122D0DD1">
            <w:pPr>
              <w:spacing w:line="360" w:lineRule="auto"/>
              <w:rPr>
                <w:highlight w:val="none"/>
              </w:rPr>
            </w:pPr>
          </w:p>
        </w:tc>
        <w:tc>
          <w:tcPr>
            <w:tcW w:w="1091" w:type="dxa"/>
            <w:vAlign w:val="center"/>
          </w:tcPr>
          <w:p w14:paraId="6577B8EE">
            <w:pPr>
              <w:spacing w:line="360" w:lineRule="auto"/>
              <w:rPr>
                <w:highlight w:val="none"/>
              </w:rPr>
            </w:pPr>
          </w:p>
        </w:tc>
      </w:tr>
      <w:tr w14:paraId="03A3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82FE4BB">
            <w:pPr>
              <w:spacing w:line="360" w:lineRule="auto"/>
              <w:rPr>
                <w:highlight w:val="none"/>
              </w:rPr>
            </w:pPr>
            <w:r>
              <w:rPr>
                <w:rFonts w:hint="eastAsia"/>
                <w:highlight w:val="none"/>
              </w:rPr>
              <w:t>2</w:t>
            </w:r>
          </w:p>
        </w:tc>
        <w:tc>
          <w:tcPr>
            <w:tcW w:w="1560" w:type="dxa"/>
            <w:vAlign w:val="center"/>
          </w:tcPr>
          <w:p w14:paraId="30668CD0">
            <w:pPr>
              <w:spacing w:line="360" w:lineRule="auto"/>
              <w:rPr>
                <w:highlight w:val="none"/>
              </w:rPr>
            </w:pPr>
          </w:p>
        </w:tc>
        <w:tc>
          <w:tcPr>
            <w:tcW w:w="1248" w:type="dxa"/>
            <w:vAlign w:val="center"/>
          </w:tcPr>
          <w:p w14:paraId="6934C7D9">
            <w:pPr>
              <w:spacing w:line="360" w:lineRule="auto"/>
              <w:rPr>
                <w:highlight w:val="none"/>
              </w:rPr>
            </w:pPr>
          </w:p>
        </w:tc>
        <w:tc>
          <w:tcPr>
            <w:tcW w:w="1560" w:type="dxa"/>
            <w:vAlign w:val="center"/>
          </w:tcPr>
          <w:p w14:paraId="28E3CA31">
            <w:pPr>
              <w:spacing w:line="360" w:lineRule="auto"/>
              <w:rPr>
                <w:highlight w:val="none"/>
              </w:rPr>
            </w:pPr>
          </w:p>
        </w:tc>
        <w:tc>
          <w:tcPr>
            <w:tcW w:w="1344" w:type="dxa"/>
            <w:vAlign w:val="center"/>
          </w:tcPr>
          <w:p w14:paraId="45D08507">
            <w:pPr>
              <w:spacing w:line="360" w:lineRule="auto"/>
              <w:rPr>
                <w:highlight w:val="none"/>
              </w:rPr>
            </w:pPr>
          </w:p>
        </w:tc>
        <w:tc>
          <w:tcPr>
            <w:tcW w:w="1525" w:type="dxa"/>
            <w:vAlign w:val="center"/>
          </w:tcPr>
          <w:p w14:paraId="6B8C4577">
            <w:pPr>
              <w:spacing w:line="360" w:lineRule="auto"/>
              <w:rPr>
                <w:highlight w:val="none"/>
              </w:rPr>
            </w:pPr>
          </w:p>
        </w:tc>
        <w:tc>
          <w:tcPr>
            <w:tcW w:w="1091" w:type="dxa"/>
            <w:vAlign w:val="center"/>
          </w:tcPr>
          <w:p w14:paraId="7F51E3F5">
            <w:pPr>
              <w:spacing w:line="360" w:lineRule="auto"/>
              <w:rPr>
                <w:highlight w:val="none"/>
              </w:rPr>
            </w:pPr>
          </w:p>
        </w:tc>
      </w:tr>
      <w:tr w14:paraId="35AD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5058674">
            <w:pPr>
              <w:spacing w:line="360" w:lineRule="auto"/>
              <w:rPr>
                <w:highlight w:val="none"/>
              </w:rPr>
            </w:pPr>
            <w:r>
              <w:rPr>
                <w:rFonts w:hint="eastAsia"/>
                <w:highlight w:val="none"/>
              </w:rPr>
              <w:t>3</w:t>
            </w:r>
          </w:p>
        </w:tc>
        <w:tc>
          <w:tcPr>
            <w:tcW w:w="1560" w:type="dxa"/>
            <w:vAlign w:val="center"/>
          </w:tcPr>
          <w:p w14:paraId="6003D0BA">
            <w:pPr>
              <w:spacing w:line="360" w:lineRule="auto"/>
              <w:rPr>
                <w:highlight w:val="none"/>
              </w:rPr>
            </w:pPr>
          </w:p>
        </w:tc>
        <w:tc>
          <w:tcPr>
            <w:tcW w:w="1248" w:type="dxa"/>
            <w:vAlign w:val="center"/>
          </w:tcPr>
          <w:p w14:paraId="0D6B5F71">
            <w:pPr>
              <w:spacing w:line="360" w:lineRule="auto"/>
              <w:rPr>
                <w:highlight w:val="none"/>
              </w:rPr>
            </w:pPr>
          </w:p>
        </w:tc>
        <w:tc>
          <w:tcPr>
            <w:tcW w:w="1560" w:type="dxa"/>
            <w:vAlign w:val="center"/>
          </w:tcPr>
          <w:p w14:paraId="6B392CCB">
            <w:pPr>
              <w:spacing w:line="360" w:lineRule="auto"/>
              <w:rPr>
                <w:highlight w:val="none"/>
              </w:rPr>
            </w:pPr>
          </w:p>
        </w:tc>
        <w:tc>
          <w:tcPr>
            <w:tcW w:w="1344" w:type="dxa"/>
            <w:vAlign w:val="center"/>
          </w:tcPr>
          <w:p w14:paraId="0B78512C">
            <w:pPr>
              <w:spacing w:line="360" w:lineRule="auto"/>
              <w:rPr>
                <w:highlight w:val="none"/>
              </w:rPr>
            </w:pPr>
          </w:p>
        </w:tc>
        <w:tc>
          <w:tcPr>
            <w:tcW w:w="1525" w:type="dxa"/>
            <w:vAlign w:val="center"/>
          </w:tcPr>
          <w:p w14:paraId="21CECE57">
            <w:pPr>
              <w:spacing w:line="360" w:lineRule="auto"/>
              <w:rPr>
                <w:highlight w:val="none"/>
              </w:rPr>
            </w:pPr>
          </w:p>
        </w:tc>
        <w:tc>
          <w:tcPr>
            <w:tcW w:w="1091" w:type="dxa"/>
            <w:vAlign w:val="center"/>
          </w:tcPr>
          <w:p w14:paraId="15CEB2C7">
            <w:pPr>
              <w:spacing w:line="360" w:lineRule="auto"/>
              <w:rPr>
                <w:highlight w:val="none"/>
              </w:rPr>
            </w:pPr>
          </w:p>
        </w:tc>
      </w:tr>
      <w:tr w14:paraId="0A26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3A0811D">
            <w:pPr>
              <w:spacing w:line="360" w:lineRule="auto"/>
              <w:rPr>
                <w:highlight w:val="none"/>
              </w:rPr>
            </w:pPr>
            <w:r>
              <w:rPr>
                <w:rFonts w:hint="eastAsia"/>
                <w:highlight w:val="none"/>
              </w:rPr>
              <w:t>4</w:t>
            </w:r>
          </w:p>
        </w:tc>
        <w:tc>
          <w:tcPr>
            <w:tcW w:w="1560" w:type="dxa"/>
            <w:vAlign w:val="center"/>
          </w:tcPr>
          <w:p w14:paraId="4F8608C8">
            <w:pPr>
              <w:spacing w:line="360" w:lineRule="auto"/>
              <w:rPr>
                <w:highlight w:val="none"/>
              </w:rPr>
            </w:pPr>
          </w:p>
        </w:tc>
        <w:tc>
          <w:tcPr>
            <w:tcW w:w="1248" w:type="dxa"/>
            <w:vAlign w:val="center"/>
          </w:tcPr>
          <w:p w14:paraId="640BB2ED">
            <w:pPr>
              <w:spacing w:line="360" w:lineRule="auto"/>
              <w:rPr>
                <w:highlight w:val="none"/>
              </w:rPr>
            </w:pPr>
          </w:p>
        </w:tc>
        <w:tc>
          <w:tcPr>
            <w:tcW w:w="1560" w:type="dxa"/>
            <w:vAlign w:val="center"/>
          </w:tcPr>
          <w:p w14:paraId="2FDC18DF">
            <w:pPr>
              <w:spacing w:line="360" w:lineRule="auto"/>
              <w:rPr>
                <w:highlight w:val="none"/>
              </w:rPr>
            </w:pPr>
          </w:p>
        </w:tc>
        <w:tc>
          <w:tcPr>
            <w:tcW w:w="1344" w:type="dxa"/>
            <w:vAlign w:val="center"/>
          </w:tcPr>
          <w:p w14:paraId="29B2F6A2">
            <w:pPr>
              <w:spacing w:line="360" w:lineRule="auto"/>
              <w:rPr>
                <w:highlight w:val="none"/>
              </w:rPr>
            </w:pPr>
          </w:p>
        </w:tc>
        <w:tc>
          <w:tcPr>
            <w:tcW w:w="1525" w:type="dxa"/>
            <w:vAlign w:val="center"/>
          </w:tcPr>
          <w:p w14:paraId="51AC739A">
            <w:pPr>
              <w:spacing w:line="360" w:lineRule="auto"/>
              <w:rPr>
                <w:highlight w:val="none"/>
              </w:rPr>
            </w:pPr>
          </w:p>
        </w:tc>
        <w:tc>
          <w:tcPr>
            <w:tcW w:w="1091" w:type="dxa"/>
            <w:vAlign w:val="center"/>
          </w:tcPr>
          <w:p w14:paraId="5FDBB11C">
            <w:pPr>
              <w:spacing w:line="360" w:lineRule="auto"/>
              <w:rPr>
                <w:highlight w:val="none"/>
              </w:rPr>
            </w:pPr>
          </w:p>
        </w:tc>
      </w:tr>
      <w:tr w14:paraId="6D97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14A9F0D">
            <w:pPr>
              <w:spacing w:line="360" w:lineRule="auto"/>
              <w:rPr>
                <w:highlight w:val="none"/>
              </w:rPr>
            </w:pPr>
            <w:r>
              <w:rPr>
                <w:rFonts w:hint="eastAsia"/>
                <w:highlight w:val="none"/>
              </w:rPr>
              <w:t>5</w:t>
            </w:r>
          </w:p>
        </w:tc>
        <w:tc>
          <w:tcPr>
            <w:tcW w:w="1560" w:type="dxa"/>
            <w:vAlign w:val="center"/>
          </w:tcPr>
          <w:p w14:paraId="26C47198">
            <w:pPr>
              <w:spacing w:line="360" w:lineRule="auto"/>
              <w:rPr>
                <w:highlight w:val="none"/>
              </w:rPr>
            </w:pPr>
          </w:p>
        </w:tc>
        <w:tc>
          <w:tcPr>
            <w:tcW w:w="1248" w:type="dxa"/>
            <w:vAlign w:val="center"/>
          </w:tcPr>
          <w:p w14:paraId="59468CB7">
            <w:pPr>
              <w:spacing w:line="360" w:lineRule="auto"/>
              <w:rPr>
                <w:highlight w:val="none"/>
              </w:rPr>
            </w:pPr>
          </w:p>
        </w:tc>
        <w:tc>
          <w:tcPr>
            <w:tcW w:w="1560" w:type="dxa"/>
            <w:vAlign w:val="center"/>
          </w:tcPr>
          <w:p w14:paraId="02912C2D">
            <w:pPr>
              <w:spacing w:line="360" w:lineRule="auto"/>
              <w:rPr>
                <w:highlight w:val="none"/>
              </w:rPr>
            </w:pPr>
          </w:p>
        </w:tc>
        <w:tc>
          <w:tcPr>
            <w:tcW w:w="1344" w:type="dxa"/>
            <w:vAlign w:val="center"/>
          </w:tcPr>
          <w:p w14:paraId="1658747F">
            <w:pPr>
              <w:spacing w:line="360" w:lineRule="auto"/>
              <w:rPr>
                <w:highlight w:val="none"/>
              </w:rPr>
            </w:pPr>
          </w:p>
        </w:tc>
        <w:tc>
          <w:tcPr>
            <w:tcW w:w="1525" w:type="dxa"/>
            <w:vAlign w:val="center"/>
          </w:tcPr>
          <w:p w14:paraId="5A79DDD1">
            <w:pPr>
              <w:spacing w:line="360" w:lineRule="auto"/>
              <w:rPr>
                <w:highlight w:val="none"/>
              </w:rPr>
            </w:pPr>
          </w:p>
        </w:tc>
        <w:tc>
          <w:tcPr>
            <w:tcW w:w="1091" w:type="dxa"/>
            <w:vAlign w:val="center"/>
          </w:tcPr>
          <w:p w14:paraId="103F75D1">
            <w:pPr>
              <w:spacing w:line="360" w:lineRule="auto"/>
              <w:rPr>
                <w:highlight w:val="none"/>
              </w:rPr>
            </w:pPr>
          </w:p>
        </w:tc>
      </w:tr>
      <w:tr w14:paraId="3F5A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6AF1B93B">
            <w:pPr>
              <w:spacing w:line="360" w:lineRule="auto"/>
              <w:rPr>
                <w:highlight w:val="none"/>
              </w:rPr>
            </w:pPr>
            <w:r>
              <w:rPr>
                <w:rFonts w:hint="eastAsia"/>
                <w:highlight w:val="none"/>
              </w:rPr>
              <w:t>…</w:t>
            </w:r>
          </w:p>
        </w:tc>
        <w:tc>
          <w:tcPr>
            <w:tcW w:w="1560" w:type="dxa"/>
            <w:vAlign w:val="center"/>
          </w:tcPr>
          <w:p w14:paraId="565C0657">
            <w:pPr>
              <w:spacing w:line="360" w:lineRule="auto"/>
              <w:rPr>
                <w:highlight w:val="none"/>
              </w:rPr>
            </w:pPr>
          </w:p>
        </w:tc>
        <w:tc>
          <w:tcPr>
            <w:tcW w:w="1248" w:type="dxa"/>
            <w:vAlign w:val="center"/>
          </w:tcPr>
          <w:p w14:paraId="236C25D4">
            <w:pPr>
              <w:spacing w:line="360" w:lineRule="auto"/>
              <w:rPr>
                <w:highlight w:val="none"/>
              </w:rPr>
            </w:pPr>
          </w:p>
        </w:tc>
        <w:tc>
          <w:tcPr>
            <w:tcW w:w="1560" w:type="dxa"/>
            <w:vAlign w:val="center"/>
          </w:tcPr>
          <w:p w14:paraId="06F3F0EA">
            <w:pPr>
              <w:spacing w:line="360" w:lineRule="auto"/>
              <w:rPr>
                <w:highlight w:val="none"/>
              </w:rPr>
            </w:pPr>
          </w:p>
        </w:tc>
        <w:tc>
          <w:tcPr>
            <w:tcW w:w="1344" w:type="dxa"/>
            <w:vAlign w:val="center"/>
          </w:tcPr>
          <w:p w14:paraId="576DEBA4">
            <w:pPr>
              <w:spacing w:line="360" w:lineRule="auto"/>
              <w:rPr>
                <w:highlight w:val="none"/>
              </w:rPr>
            </w:pPr>
          </w:p>
        </w:tc>
        <w:tc>
          <w:tcPr>
            <w:tcW w:w="1525" w:type="dxa"/>
            <w:vAlign w:val="center"/>
          </w:tcPr>
          <w:p w14:paraId="2EF5D9FB">
            <w:pPr>
              <w:spacing w:line="360" w:lineRule="auto"/>
              <w:rPr>
                <w:highlight w:val="none"/>
              </w:rPr>
            </w:pPr>
          </w:p>
        </w:tc>
        <w:tc>
          <w:tcPr>
            <w:tcW w:w="1091" w:type="dxa"/>
            <w:vAlign w:val="center"/>
          </w:tcPr>
          <w:p w14:paraId="28B83F23">
            <w:pPr>
              <w:spacing w:line="360" w:lineRule="auto"/>
              <w:rPr>
                <w:highlight w:val="none"/>
              </w:rPr>
            </w:pPr>
          </w:p>
        </w:tc>
      </w:tr>
      <w:bookmarkEnd w:id="424"/>
    </w:tbl>
    <w:p w14:paraId="1DD38665">
      <w:pPr>
        <w:spacing w:line="360" w:lineRule="auto"/>
        <w:rPr>
          <w:highlight w:val="none"/>
        </w:rPr>
      </w:pPr>
    </w:p>
    <w:p w14:paraId="56D784D7">
      <w:pPr>
        <w:spacing w:line="360" w:lineRule="auto"/>
        <w:rPr>
          <w:highlight w:val="none"/>
        </w:rPr>
      </w:pPr>
      <w:r>
        <w:rPr>
          <w:rFonts w:hint="eastAsia"/>
          <w:highlight w:val="none"/>
        </w:rPr>
        <w:t>注：投标人须按相关要求提供相应的采购合同、至少一张与采购合同对应的发票等业绩证明资料。</w:t>
      </w:r>
    </w:p>
    <w:p w14:paraId="25101622">
      <w:pPr>
        <w:spacing w:line="360" w:lineRule="auto"/>
        <w:rPr>
          <w:highlight w:val="none"/>
        </w:rPr>
      </w:pPr>
    </w:p>
    <w:p w14:paraId="752DCAA6">
      <w:pPr>
        <w:spacing w:line="360" w:lineRule="auto"/>
        <w:rPr>
          <w:highlight w:val="none"/>
        </w:rPr>
      </w:pPr>
      <w:r>
        <w:rPr>
          <w:rFonts w:hint="eastAsia"/>
          <w:highlight w:val="none"/>
        </w:rPr>
        <w:t>投标人名称（</w:t>
      </w:r>
      <w:r>
        <w:rPr>
          <w:rFonts w:hint="eastAsia" w:cs="宋体"/>
          <w:kern w:val="0"/>
          <w:highlight w:val="none"/>
        </w:rPr>
        <w:t>公章）</w:t>
      </w:r>
      <w:r>
        <w:rPr>
          <w:rFonts w:hint="eastAsia"/>
          <w:highlight w:val="none"/>
        </w:rPr>
        <w:t>：</w:t>
      </w:r>
      <w:r>
        <w:rPr>
          <w:highlight w:val="none"/>
        </w:rPr>
        <w:t xml:space="preserve"> </w:t>
      </w:r>
    </w:p>
    <w:p w14:paraId="78C43A43">
      <w:pPr>
        <w:spacing w:line="360" w:lineRule="auto"/>
        <w:rPr>
          <w:highlight w:val="none"/>
        </w:rPr>
      </w:pPr>
      <w:r>
        <w:rPr>
          <w:rFonts w:hint="eastAsia"/>
          <w:highlight w:val="none"/>
        </w:rPr>
        <w:t>日      期：</w:t>
      </w:r>
    </w:p>
    <w:p w14:paraId="1AFC1534">
      <w:pPr>
        <w:spacing w:line="360" w:lineRule="auto"/>
        <w:rPr>
          <w:highlight w:val="none"/>
        </w:rPr>
      </w:pPr>
      <w:r>
        <w:rPr>
          <w:highlight w:val="none"/>
        </w:rPr>
        <w:br w:type="page"/>
      </w:r>
    </w:p>
    <w:p w14:paraId="53C61EEA">
      <w:pPr>
        <w:pStyle w:val="3"/>
        <w:spacing w:line="360" w:lineRule="auto"/>
        <w:rPr>
          <w:highlight w:val="none"/>
        </w:rPr>
      </w:pPr>
      <w:bookmarkStart w:id="425" w:name="_Toc163492931"/>
      <w:bookmarkStart w:id="426" w:name="_Toc229390319"/>
      <w:r>
        <w:rPr>
          <w:rFonts w:hint="eastAsia"/>
          <w:highlight w:val="none"/>
        </w:rPr>
        <w:t>八、拟派项目团队</w:t>
      </w:r>
      <w:bookmarkEnd w:id="425"/>
      <w:bookmarkEnd w:id="426"/>
    </w:p>
    <w:tbl>
      <w:tblPr>
        <w:tblStyle w:val="30"/>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3A816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729CEB98">
            <w:pPr>
              <w:pStyle w:val="50"/>
              <w:spacing w:line="360" w:lineRule="auto"/>
              <w:jc w:val="center"/>
              <w:rPr>
                <w:rFonts w:cs="宋体"/>
                <w:sz w:val="21"/>
                <w:szCs w:val="21"/>
                <w:highlight w:val="none"/>
              </w:rPr>
            </w:pPr>
            <w:r>
              <w:rPr>
                <w:rFonts w:hint="eastAsia" w:cs="宋体"/>
                <w:sz w:val="21"/>
                <w:szCs w:val="21"/>
                <w:highlight w:val="none"/>
              </w:rPr>
              <w:t>序号</w:t>
            </w:r>
          </w:p>
        </w:tc>
        <w:tc>
          <w:tcPr>
            <w:tcW w:w="1508" w:type="dxa"/>
            <w:vAlign w:val="center"/>
          </w:tcPr>
          <w:p w14:paraId="09071857">
            <w:pPr>
              <w:pStyle w:val="50"/>
              <w:spacing w:line="360" w:lineRule="auto"/>
              <w:jc w:val="center"/>
              <w:rPr>
                <w:rFonts w:cs="宋体"/>
                <w:sz w:val="21"/>
                <w:szCs w:val="21"/>
                <w:highlight w:val="none"/>
              </w:rPr>
            </w:pPr>
            <w:r>
              <w:rPr>
                <w:rFonts w:hint="eastAsia" w:cs="宋体"/>
                <w:sz w:val="21"/>
                <w:szCs w:val="21"/>
                <w:highlight w:val="none"/>
              </w:rPr>
              <w:t>团队成员</w:t>
            </w:r>
          </w:p>
          <w:p w14:paraId="703D674B">
            <w:pPr>
              <w:pStyle w:val="50"/>
              <w:spacing w:line="360" w:lineRule="auto"/>
              <w:jc w:val="center"/>
              <w:rPr>
                <w:rFonts w:cs="宋体"/>
                <w:sz w:val="21"/>
                <w:szCs w:val="21"/>
                <w:highlight w:val="none"/>
              </w:rPr>
            </w:pPr>
            <w:r>
              <w:rPr>
                <w:rFonts w:hint="eastAsia" w:cs="宋体"/>
                <w:sz w:val="21"/>
                <w:szCs w:val="21"/>
                <w:highlight w:val="none"/>
              </w:rPr>
              <w:t>姓名</w:t>
            </w:r>
          </w:p>
        </w:tc>
        <w:tc>
          <w:tcPr>
            <w:tcW w:w="1286" w:type="dxa"/>
            <w:tcBorders>
              <w:left w:val="single" w:color="auto" w:sz="4" w:space="0"/>
            </w:tcBorders>
            <w:vAlign w:val="center"/>
          </w:tcPr>
          <w:p w14:paraId="7EB09018">
            <w:pPr>
              <w:pStyle w:val="50"/>
              <w:spacing w:line="360" w:lineRule="auto"/>
              <w:jc w:val="center"/>
              <w:rPr>
                <w:rFonts w:cs="宋体"/>
                <w:sz w:val="21"/>
                <w:szCs w:val="21"/>
                <w:highlight w:val="none"/>
              </w:rPr>
            </w:pPr>
            <w:r>
              <w:rPr>
                <w:rFonts w:hint="eastAsia" w:cs="宋体"/>
                <w:sz w:val="21"/>
                <w:szCs w:val="21"/>
                <w:highlight w:val="none"/>
              </w:rPr>
              <w:t>身份证号</w:t>
            </w:r>
          </w:p>
        </w:tc>
        <w:tc>
          <w:tcPr>
            <w:tcW w:w="957" w:type="dxa"/>
            <w:tcBorders>
              <w:left w:val="single" w:color="auto" w:sz="4" w:space="0"/>
            </w:tcBorders>
            <w:vAlign w:val="center"/>
          </w:tcPr>
          <w:p w14:paraId="5694DFA1">
            <w:pPr>
              <w:pStyle w:val="50"/>
              <w:spacing w:line="360" w:lineRule="auto"/>
              <w:jc w:val="center"/>
              <w:rPr>
                <w:rFonts w:cs="宋体"/>
                <w:sz w:val="21"/>
                <w:szCs w:val="21"/>
                <w:highlight w:val="none"/>
              </w:rPr>
            </w:pPr>
            <w:r>
              <w:rPr>
                <w:rFonts w:hint="eastAsia" w:cs="宋体"/>
                <w:sz w:val="21"/>
                <w:szCs w:val="21"/>
                <w:highlight w:val="none"/>
              </w:rPr>
              <w:t>职称</w:t>
            </w:r>
          </w:p>
        </w:tc>
        <w:tc>
          <w:tcPr>
            <w:tcW w:w="2214" w:type="dxa"/>
            <w:vAlign w:val="center"/>
          </w:tcPr>
          <w:p w14:paraId="28540785">
            <w:pPr>
              <w:pStyle w:val="50"/>
              <w:spacing w:line="360" w:lineRule="auto"/>
              <w:jc w:val="center"/>
              <w:rPr>
                <w:rFonts w:cs="宋体"/>
                <w:sz w:val="21"/>
                <w:szCs w:val="21"/>
                <w:highlight w:val="none"/>
              </w:rPr>
            </w:pPr>
            <w:r>
              <w:rPr>
                <w:rFonts w:hint="eastAsia" w:cs="宋体"/>
                <w:sz w:val="21"/>
                <w:szCs w:val="21"/>
                <w:highlight w:val="none"/>
              </w:rPr>
              <w:t>注册证书（岗位证书）名称及编号</w:t>
            </w:r>
          </w:p>
        </w:tc>
        <w:tc>
          <w:tcPr>
            <w:tcW w:w="1614" w:type="dxa"/>
            <w:vAlign w:val="center"/>
          </w:tcPr>
          <w:p w14:paraId="3AB13F9A">
            <w:pPr>
              <w:pStyle w:val="50"/>
              <w:spacing w:line="360" w:lineRule="auto"/>
              <w:jc w:val="center"/>
              <w:rPr>
                <w:rFonts w:cs="宋体"/>
                <w:sz w:val="21"/>
                <w:szCs w:val="21"/>
                <w:highlight w:val="none"/>
              </w:rPr>
            </w:pPr>
            <w:r>
              <w:rPr>
                <w:rFonts w:hint="eastAsia" w:cs="宋体"/>
                <w:sz w:val="21"/>
                <w:szCs w:val="21"/>
                <w:highlight w:val="none"/>
              </w:rPr>
              <w:t>在团队中职务（岗位）</w:t>
            </w:r>
          </w:p>
        </w:tc>
        <w:tc>
          <w:tcPr>
            <w:tcW w:w="971" w:type="dxa"/>
            <w:vAlign w:val="center"/>
          </w:tcPr>
          <w:p w14:paraId="3CE1B8F5">
            <w:pPr>
              <w:pStyle w:val="50"/>
              <w:spacing w:line="360" w:lineRule="auto"/>
              <w:jc w:val="center"/>
              <w:rPr>
                <w:rFonts w:cs="宋体"/>
                <w:sz w:val="21"/>
                <w:szCs w:val="21"/>
                <w:highlight w:val="none"/>
              </w:rPr>
            </w:pPr>
            <w:r>
              <w:rPr>
                <w:rFonts w:hint="eastAsia" w:cs="宋体"/>
                <w:sz w:val="21"/>
                <w:szCs w:val="21"/>
                <w:highlight w:val="none"/>
              </w:rPr>
              <w:t>备注</w:t>
            </w:r>
          </w:p>
        </w:tc>
      </w:tr>
      <w:tr w14:paraId="41B39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1C55676">
            <w:pPr>
              <w:pStyle w:val="50"/>
              <w:spacing w:line="360" w:lineRule="auto"/>
              <w:jc w:val="center"/>
              <w:rPr>
                <w:rFonts w:cs="宋体"/>
                <w:sz w:val="21"/>
                <w:szCs w:val="21"/>
                <w:highlight w:val="none"/>
              </w:rPr>
            </w:pPr>
            <w:bookmarkStart w:id="427" w:name="_Toc99533292"/>
            <w:bookmarkStart w:id="428" w:name="_Toc100090784"/>
            <w:r>
              <w:rPr>
                <w:rFonts w:hint="eastAsia" w:cs="宋体"/>
                <w:sz w:val="21"/>
                <w:szCs w:val="21"/>
                <w:highlight w:val="none"/>
              </w:rPr>
              <w:t>1</w:t>
            </w:r>
            <w:bookmarkEnd w:id="427"/>
            <w:bookmarkEnd w:id="428"/>
          </w:p>
        </w:tc>
        <w:tc>
          <w:tcPr>
            <w:tcW w:w="1508" w:type="dxa"/>
            <w:vAlign w:val="center"/>
          </w:tcPr>
          <w:p w14:paraId="5A92B70B">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49851A74">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1254BED7">
            <w:pPr>
              <w:pStyle w:val="50"/>
              <w:spacing w:line="360" w:lineRule="auto"/>
              <w:jc w:val="center"/>
              <w:rPr>
                <w:rFonts w:cs="宋体"/>
                <w:sz w:val="21"/>
                <w:szCs w:val="21"/>
                <w:highlight w:val="none"/>
              </w:rPr>
            </w:pPr>
          </w:p>
        </w:tc>
        <w:tc>
          <w:tcPr>
            <w:tcW w:w="2214" w:type="dxa"/>
            <w:vAlign w:val="center"/>
          </w:tcPr>
          <w:p w14:paraId="582A0AC2">
            <w:pPr>
              <w:pStyle w:val="50"/>
              <w:spacing w:line="360" w:lineRule="auto"/>
              <w:jc w:val="center"/>
              <w:rPr>
                <w:rFonts w:cs="宋体"/>
                <w:sz w:val="21"/>
                <w:szCs w:val="21"/>
                <w:highlight w:val="none"/>
              </w:rPr>
            </w:pPr>
          </w:p>
        </w:tc>
        <w:tc>
          <w:tcPr>
            <w:tcW w:w="1614" w:type="dxa"/>
            <w:vAlign w:val="center"/>
          </w:tcPr>
          <w:p w14:paraId="5FEB8758">
            <w:pPr>
              <w:pStyle w:val="50"/>
              <w:spacing w:line="360" w:lineRule="auto"/>
              <w:jc w:val="center"/>
              <w:rPr>
                <w:rFonts w:cs="宋体"/>
                <w:sz w:val="21"/>
                <w:szCs w:val="21"/>
                <w:highlight w:val="none"/>
              </w:rPr>
            </w:pPr>
          </w:p>
        </w:tc>
        <w:tc>
          <w:tcPr>
            <w:tcW w:w="971" w:type="dxa"/>
            <w:vAlign w:val="center"/>
          </w:tcPr>
          <w:p w14:paraId="69B4371F">
            <w:pPr>
              <w:pStyle w:val="50"/>
              <w:spacing w:line="360" w:lineRule="auto"/>
              <w:jc w:val="center"/>
              <w:rPr>
                <w:rFonts w:cs="宋体"/>
                <w:sz w:val="21"/>
                <w:szCs w:val="21"/>
                <w:highlight w:val="none"/>
              </w:rPr>
            </w:pPr>
          </w:p>
        </w:tc>
      </w:tr>
      <w:tr w14:paraId="75C83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3002854">
            <w:pPr>
              <w:pStyle w:val="50"/>
              <w:spacing w:line="360" w:lineRule="auto"/>
              <w:jc w:val="center"/>
              <w:rPr>
                <w:rFonts w:cs="宋体"/>
                <w:sz w:val="21"/>
                <w:szCs w:val="21"/>
                <w:highlight w:val="none"/>
              </w:rPr>
            </w:pPr>
            <w:bookmarkStart w:id="429" w:name="_Toc99533293"/>
            <w:bookmarkStart w:id="430" w:name="_Toc100090785"/>
            <w:r>
              <w:rPr>
                <w:rFonts w:hint="eastAsia" w:cs="宋体"/>
                <w:sz w:val="21"/>
                <w:szCs w:val="21"/>
                <w:highlight w:val="none"/>
              </w:rPr>
              <w:t>2</w:t>
            </w:r>
            <w:bookmarkEnd w:id="429"/>
            <w:bookmarkEnd w:id="430"/>
          </w:p>
        </w:tc>
        <w:tc>
          <w:tcPr>
            <w:tcW w:w="1508" w:type="dxa"/>
            <w:vAlign w:val="center"/>
          </w:tcPr>
          <w:p w14:paraId="5817D882">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25D9E3B2">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3300EFCB">
            <w:pPr>
              <w:pStyle w:val="50"/>
              <w:spacing w:line="360" w:lineRule="auto"/>
              <w:jc w:val="center"/>
              <w:rPr>
                <w:rFonts w:cs="宋体"/>
                <w:sz w:val="21"/>
                <w:szCs w:val="21"/>
                <w:highlight w:val="none"/>
              </w:rPr>
            </w:pPr>
          </w:p>
        </w:tc>
        <w:tc>
          <w:tcPr>
            <w:tcW w:w="2214" w:type="dxa"/>
            <w:vAlign w:val="center"/>
          </w:tcPr>
          <w:p w14:paraId="45FC0734">
            <w:pPr>
              <w:pStyle w:val="50"/>
              <w:spacing w:line="360" w:lineRule="auto"/>
              <w:jc w:val="center"/>
              <w:rPr>
                <w:rFonts w:cs="宋体"/>
                <w:sz w:val="21"/>
                <w:szCs w:val="21"/>
                <w:highlight w:val="none"/>
              </w:rPr>
            </w:pPr>
          </w:p>
        </w:tc>
        <w:tc>
          <w:tcPr>
            <w:tcW w:w="1614" w:type="dxa"/>
            <w:vAlign w:val="center"/>
          </w:tcPr>
          <w:p w14:paraId="70AD222A">
            <w:pPr>
              <w:pStyle w:val="50"/>
              <w:spacing w:line="360" w:lineRule="auto"/>
              <w:jc w:val="center"/>
              <w:rPr>
                <w:rFonts w:cs="宋体"/>
                <w:sz w:val="21"/>
                <w:szCs w:val="21"/>
                <w:highlight w:val="none"/>
              </w:rPr>
            </w:pPr>
          </w:p>
        </w:tc>
        <w:tc>
          <w:tcPr>
            <w:tcW w:w="971" w:type="dxa"/>
            <w:vAlign w:val="center"/>
          </w:tcPr>
          <w:p w14:paraId="3D04A204">
            <w:pPr>
              <w:pStyle w:val="50"/>
              <w:spacing w:line="360" w:lineRule="auto"/>
              <w:jc w:val="center"/>
              <w:rPr>
                <w:rFonts w:cs="宋体"/>
                <w:sz w:val="21"/>
                <w:szCs w:val="21"/>
                <w:highlight w:val="none"/>
              </w:rPr>
            </w:pPr>
          </w:p>
        </w:tc>
      </w:tr>
      <w:tr w14:paraId="5D115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D086D6D">
            <w:pPr>
              <w:pStyle w:val="50"/>
              <w:spacing w:line="360" w:lineRule="auto"/>
              <w:jc w:val="center"/>
              <w:rPr>
                <w:rFonts w:cs="宋体"/>
                <w:sz w:val="21"/>
                <w:szCs w:val="21"/>
                <w:highlight w:val="none"/>
              </w:rPr>
            </w:pPr>
            <w:bookmarkStart w:id="431" w:name="_Toc100090786"/>
            <w:bookmarkStart w:id="432" w:name="_Toc99533294"/>
            <w:r>
              <w:rPr>
                <w:rFonts w:hint="eastAsia" w:cs="宋体"/>
                <w:sz w:val="21"/>
                <w:szCs w:val="21"/>
                <w:highlight w:val="none"/>
              </w:rPr>
              <w:t>3</w:t>
            </w:r>
            <w:bookmarkEnd w:id="431"/>
            <w:bookmarkEnd w:id="432"/>
          </w:p>
        </w:tc>
        <w:tc>
          <w:tcPr>
            <w:tcW w:w="1508" w:type="dxa"/>
            <w:vAlign w:val="center"/>
          </w:tcPr>
          <w:p w14:paraId="675AA777">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1BD77B44">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34A09CEC">
            <w:pPr>
              <w:pStyle w:val="50"/>
              <w:spacing w:line="360" w:lineRule="auto"/>
              <w:jc w:val="center"/>
              <w:rPr>
                <w:rFonts w:cs="宋体"/>
                <w:sz w:val="21"/>
                <w:szCs w:val="21"/>
                <w:highlight w:val="none"/>
              </w:rPr>
            </w:pPr>
          </w:p>
        </w:tc>
        <w:tc>
          <w:tcPr>
            <w:tcW w:w="2214" w:type="dxa"/>
            <w:vAlign w:val="center"/>
          </w:tcPr>
          <w:p w14:paraId="10B0CC93">
            <w:pPr>
              <w:pStyle w:val="50"/>
              <w:spacing w:line="360" w:lineRule="auto"/>
              <w:jc w:val="center"/>
              <w:rPr>
                <w:rFonts w:cs="宋体"/>
                <w:sz w:val="21"/>
                <w:szCs w:val="21"/>
                <w:highlight w:val="none"/>
              </w:rPr>
            </w:pPr>
          </w:p>
        </w:tc>
        <w:tc>
          <w:tcPr>
            <w:tcW w:w="1614" w:type="dxa"/>
            <w:vAlign w:val="center"/>
          </w:tcPr>
          <w:p w14:paraId="69A4D7C6">
            <w:pPr>
              <w:pStyle w:val="50"/>
              <w:spacing w:line="360" w:lineRule="auto"/>
              <w:jc w:val="center"/>
              <w:rPr>
                <w:rFonts w:cs="宋体"/>
                <w:sz w:val="21"/>
                <w:szCs w:val="21"/>
                <w:highlight w:val="none"/>
              </w:rPr>
            </w:pPr>
          </w:p>
        </w:tc>
        <w:tc>
          <w:tcPr>
            <w:tcW w:w="971" w:type="dxa"/>
            <w:vAlign w:val="center"/>
          </w:tcPr>
          <w:p w14:paraId="73F6C5DB">
            <w:pPr>
              <w:pStyle w:val="50"/>
              <w:spacing w:line="360" w:lineRule="auto"/>
              <w:jc w:val="center"/>
              <w:rPr>
                <w:rFonts w:cs="宋体"/>
                <w:sz w:val="21"/>
                <w:szCs w:val="21"/>
                <w:highlight w:val="none"/>
              </w:rPr>
            </w:pPr>
          </w:p>
        </w:tc>
      </w:tr>
      <w:tr w14:paraId="3746D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D4BF880">
            <w:pPr>
              <w:pStyle w:val="50"/>
              <w:spacing w:line="360" w:lineRule="auto"/>
              <w:jc w:val="center"/>
              <w:rPr>
                <w:rFonts w:cs="宋体"/>
                <w:sz w:val="21"/>
                <w:szCs w:val="21"/>
                <w:highlight w:val="none"/>
              </w:rPr>
            </w:pPr>
            <w:bookmarkStart w:id="433" w:name="_Toc100090787"/>
            <w:bookmarkStart w:id="434" w:name="_Toc99533295"/>
            <w:r>
              <w:rPr>
                <w:rFonts w:hint="eastAsia" w:cs="宋体"/>
                <w:sz w:val="21"/>
                <w:szCs w:val="21"/>
                <w:highlight w:val="none"/>
              </w:rPr>
              <w:t>4</w:t>
            </w:r>
            <w:bookmarkEnd w:id="433"/>
            <w:bookmarkEnd w:id="434"/>
          </w:p>
        </w:tc>
        <w:tc>
          <w:tcPr>
            <w:tcW w:w="1508" w:type="dxa"/>
            <w:vAlign w:val="center"/>
          </w:tcPr>
          <w:p w14:paraId="66893BB0">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39C3AC13">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22AD2647">
            <w:pPr>
              <w:pStyle w:val="50"/>
              <w:spacing w:line="360" w:lineRule="auto"/>
              <w:jc w:val="center"/>
              <w:rPr>
                <w:rFonts w:cs="宋体"/>
                <w:sz w:val="21"/>
                <w:szCs w:val="21"/>
                <w:highlight w:val="none"/>
              </w:rPr>
            </w:pPr>
          </w:p>
        </w:tc>
        <w:tc>
          <w:tcPr>
            <w:tcW w:w="2214" w:type="dxa"/>
            <w:vAlign w:val="center"/>
          </w:tcPr>
          <w:p w14:paraId="67A22F4F">
            <w:pPr>
              <w:pStyle w:val="50"/>
              <w:spacing w:line="360" w:lineRule="auto"/>
              <w:jc w:val="center"/>
              <w:rPr>
                <w:rFonts w:cs="宋体"/>
                <w:sz w:val="21"/>
                <w:szCs w:val="21"/>
                <w:highlight w:val="none"/>
              </w:rPr>
            </w:pPr>
          </w:p>
        </w:tc>
        <w:tc>
          <w:tcPr>
            <w:tcW w:w="1614" w:type="dxa"/>
            <w:vAlign w:val="center"/>
          </w:tcPr>
          <w:p w14:paraId="53FDC868">
            <w:pPr>
              <w:pStyle w:val="50"/>
              <w:spacing w:line="360" w:lineRule="auto"/>
              <w:jc w:val="center"/>
              <w:rPr>
                <w:rFonts w:cs="宋体"/>
                <w:sz w:val="21"/>
                <w:szCs w:val="21"/>
                <w:highlight w:val="none"/>
              </w:rPr>
            </w:pPr>
          </w:p>
        </w:tc>
        <w:tc>
          <w:tcPr>
            <w:tcW w:w="971" w:type="dxa"/>
            <w:vAlign w:val="center"/>
          </w:tcPr>
          <w:p w14:paraId="49FE2E66">
            <w:pPr>
              <w:pStyle w:val="50"/>
              <w:spacing w:line="360" w:lineRule="auto"/>
              <w:jc w:val="center"/>
              <w:rPr>
                <w:rFonts w:cs="宋体"/>
                <w:sz w:val="21"/>
                <w:szCs w:val="21"/>
                <w:highlight w:val="none"/>
              </w:rPr>
            </w:pPr>
          </w:p>
        </w:tc>
      </w:tr>
      <w:tr w14:paraId="644E1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34043A7A">
            <w:pPr>
              <w:pStyle w:val="50"/>
              <w:spacing w:line="360" w:lineRule="auto"/>
              <w:jc w:val="center"/>
              <w:rPr>
                <w:rFonts w:cs="宋体"/>
                <w:sz w:val="21"/>
                <w:szCs w:val="21"/>
                <w:highlight w:val="none"/>
              </w:rPr>
            </w:pPr>
            <w:bookmarkStart w:id="435" w:name="_Toc99533296"/>
            <w:bookmarkStart w:id="436" w:name="_Toc100090788"/>
            <w:r>
              <w:rPr>
                <w:rFonts w:hint="eastAsia" w:cs="宋体"/>
                <w:sz w:val="21"/>
                <w:szCs w:val="21"/>
                <w:highlight w:val="none"/>
              </w:rPr>
              <w:t>5</w:t>
            </w:r>
            <w:bookmarkEnd w:id="435"/>
            <w:bookmarkEnd w:id="436"/>
          </w:p>
        </w:tc>
        <w:tc>
          <w:tcPr>
            <w:tcW w:w="1508" w:type="dxa"/>
            <w:vAlign w:val="center"/>
          </w:tcPr>
          <w:p w14:paraId="21442759">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4EA650AE">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5D720AC3">
            <w:pPr>
              <w:pStyle w:val="50"/>
              <w:spacing w:line="360" w:lineRule="auto"/>
              <w:jc w:val="center"/>
              <w:rPr>
                <w:rFonts w:cs="宋体"/>
                <w:sz w:val="21"/>
                <w:szCs w:val="21"/>
                <w:highlight w:val="none"/>
              </w:rPr>
            </w:pPr>
          </w:p>
        </w:tc>
        <w:tc>
          <w:tcPr>
            <w:tcW w:w="2214" w:type="dxa"/>
            <w:vAlign w:val="center"/>
          </w:tcPr>
          <w:p w14:paraId="7B13B5B9">
            <w:pPr>
              <w:pStyle w:val="50"/>
              <w:spacing w:line="360" w:lineRule="auto"/>
              <w:jc w:val="center"/>
              <w:rPr>
                <w:rFonts w:cs="宋体"/>
                <w:sz w:val="21"/>
                <w:szCs w:val="21"/>
                <w:highlight w:val="none"/>
              </w:rPr>
            </w:pPr>
          </w:p>
        </w:tc>
        <w:tc>
          <w:tcPr>
            <w:tcW w:w="1614" w:type="dxa"/>
            <w:vAlign w:val="center"/>
          </w:tcPr>
          <w:p w14:paraId="3E2F8713">
            <w:pPr>
              <w:pStyle w:val="50"/>
              <w:spacing w:line="360" w:lineRule="auto"/>
              <w:jc w:val="center"/>
              <w:rPr>
                <w:rFonts w:cs="宋体"/>
                <w:sz w:val="21"/>
                <w:szCs w:val="21"/>
                <w:highlight w:val="none"/>
              </w:rPr>
            </w:pPr>
          </w:p>
        </w:tc>
        <w:tc>
          <w:tcPr>
            <w:tcW w:w="971" w:type="dxa"/>
            <w:vAlign w:val="center"/>
          </w:tcPr>
          <w:p w14:paraId="405DA9F6">
            <w:pPr>
              <w:pStyle w:val="50"/>
              <w:spacing w:line="360" w:lineRule="auto"/>
              <w:jc w:val="center"/>
              <w:rPr>
                <w:rFonts w:cs="宋体"/>
                <w:sz w:val="21"/>
                <w:szCs w:val="21"/>
                <w:highlight w:val="none"/>
              </w:rPr>
            </w:pPr>
          </w:p>
        </w:tc>
      </w:tr>
      <w:tr w14:paraId="14248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2A899EC">
            <w:pPr>
              <w:pStyle w:val="50"/>
              <w:spacing w:line="360" w:lineRule="auto"/>
              <w:jc w:val="center"/>
              <w:rPr>
                <w:rFonts w:cs="宋体"/>
                <w:sz w:val="21"/>
                <w:szCs w:val="21"/>
                <w:highlight w:val="none"/>
              </w:rPr>
            </w:pPr>
            <w:bookmarkStart w:id="437" w:name="_Toc100090789"/>
            <w:bookmarkStart w:id="438" w:name="_Toc99533297"/>
            <w:r>
              <w:rPr>
                <w:rFonts w:hint="eastAsia" w:cs="宋体"/>
                <w:sz w:val="21"/>
                <w:szCs w:val="21"/>
                <w:highlight w:val="none"/>
              </w:rPr>
              <w:t>6</w:t>
            </w:r>
            <w:bookmarkEnd w:id="437"/>
            <w:bookmarkEnd w:id="438"/>
          </w:p>
        </w:tc>
        <w:tc>
          <w:tcPr>
            <w:tcW w:w="1508" w:type="dxa"/>
            <w:vAlign w:val="center"/>
          </w:tcPr>
          <w:p w14:paraId="3925AAC8">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75158F66">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572B269A">
            <w:pPr>
              <w:pStyle w:val="50"/>
              <w:spacing w:line="360" w:lineRule="auto"/>
              <w:jc w:val="center"/>
              <w:rPr>
                <w:rFonts w:cs="宋体"/>
                <w:sz w:val="21"/>
                <w:szCs w:val="21"/>
                <w:highlight w:val="none"/>
              </w:rPr>
            </w:pPr>
          </w:p>
        </w:tc>
        <w:tc>
          <w:tcPr>
            <w:tcW w:w="2214" w:type="dxa"/>
            <w:vAlign w:val="center"/>
          </w:tcPr>
          <w:p w14:paraId="2D74C72D">
            <w:pPr>
              <w:pStyle w:val="50"/>
              <w:spacing w:line="360" w:lineRule="auto"/>
              <w:jc w:val="center"/>
              <w:rPr>
                <w:rFonts w:cs="宋体"/>
                <w:sz w:val="21"/>
                <w:szCs w:val="21"/>
                <w:highlight w:val="none"/>
              </w:rPr>
            </w:pPr>
          </w:p>
        </w:tc>
        <w:tc>
          <w:tcPr>
            <w:tcW w:w="1614" w:type="dxa"/>
            <w:vAlign w:val="center"/>
          </w:tcPr>
          <w:p w14:paraId="7409CC08">
            <w:pPr>
              <w:pStyle w:val="50"/>
              <w:spacing w:line="360" w:lineRule="auto"/>
              <w:jc w:val="center"/>
              <w:rPr>
                <w:rFonts w:cs="宋体"/>
                <w:sz w:val="21"/>
                <w:szCs w:val="21"/>
                <w:highlight w:val="none"/>
              </w:rPr>
            </w:pPr>
          </w:p>
        </w:tc>
        <w:tc>
          <w:tcPr>
            <w:tcW w:w="971" w:type="dxa"/>
            <w:vAlign w:val="center"/>
          </w:tcPr>
          <w:p w14:paraId="36E54212">
            <w:pPr>
              <w:pStyle w:val="50"/>
              <w:spacing w:line="360" w:lineRule="auto"/>
              <w:jc w:val="center"/>
              <w:rPr>
                <w:rFonts w:cs="宋体"/>
                <w:sz w:val="21"/>
                <w:szCs w:val="21"/>
                <w:highlight w:val="none"/>
              </w:rPr>
            </w:pPr>
          </w:p>
        </w:tc>
      </w:tr>
    </w:tbl>
    <w:p w14:paraId="59523CC1">
      <w:pPr>
        <w:spacing w:line="360" w:lineRule="auto"/>
        <w:rPr>
          <w:highlight w:val="none"/>
        </w:rPr>
      </w:pPr>
    </w:p>
    <w:p w14:paraId="42F18DC2">
      <w:pPr>
        <w:spacing w:line="360" w:lineRule="auto"/>
        <w:rPr>
          <w:highlight w:val="none"/>
        </w:rPr>
      </w:pPr>
      <w:r>
        <w:rPr>
          <w:rFonts w:hint="eastAsia"/>
          <w:highlight w:val="none"/>
        </w:rPr>
        <w:t>注：按招标文件要求在本表后附相关人员证书。</w:t>
      </w:r>
    </w:p>
    <w:p w14:paraId="47D8168E">
      <w:pPr>
        <w:spacing w:line="360" w:lineRule="auto"/>
        <w:rPr>
          <w:highlight w:val="none"/>
        </w:rPr>
      </w:pPr>
    </w:p>
    <w:p w14:paraId="47E61F93">
      <w:pPr>
        <w:spacing w:line="360" w:lineRule="auto"/>
        <w:rPr>
          <w:highlight w:val="none"/>
        </w:rPr>
      </w:pPr>
      <w:r>
        <w:rPr>
          <w:rFonts w:hint="eastAsia"/>
          <w:highlight w:val="none"/>
        </w:rPr>
        <w:t xml:space="preserve">说明： </w:t>
      </w:r>
    </w:p>
    <w:p w14:paraId="62562A02">
      <w:pPr>
        <w:spacing w:line="360" w:lineRule="auto"/>
        <w:rPr>
          <w:highlight w:val="none"/>
        </w:rPr>
      </w:pPr>
      <w:r>
        <w:rPr>
          <w:rFonts w:hint="eastAsia"/>
          <w:highlight w:val="none"/>
        </w:rPr>
        <w:t xml:space="preserve">1.“在团队中职务（岗位）”栏应包括但不限于：项目负责人、项目联系人、项目服务人员或技术人员或售后服务人员等。 </w:t>
      </w:r>
    </w:p>
    <w:p w14:paraId="1E96863D">
      <w:pPr>
        <w:spacing w:line="360" w:lineRule="auto"/>
        <w:rPr>
          <w:highlight w:val="none"/>
        </w:rPr>
      </w:pPr>
      <w:r>
        <w:rPr>
          <w:rFonts w:hint="eastAsia"/>
          <w:highlight w:val="none"/>
        </w:rPr>
        <w:t>2.如投标人中标，须按本表项目组成人员操作，不得随意更换。</w:t>
      </w:r>
    </w:p>
    <w:p w14:paraId="0FA8A123">
      <w:pPr>
        <w:spacing w:line="360" w:lineRule="auto"/>
        <w:rPr>
          <w:highlight w:val="none"/>
        </w:rPr>
      </w:pPr>
    </w:p>
    <w:p w14:paraId="533A806C">
      <w:pPr>
        <w:spacing w:line="360" w:lineRule="auto"/>
        <w:rPr>
          <w:highlight w:val="none"/>
        </w:rPr>
      </w:pPr>
      <w:r>
        <w:rPr>
          <w:highlight w:val="none"/>
        </w:rPr>
        <w:br w:type="page"/>
      </w:r>
    </w:p>
    <w:p w14:paraId="065D9EBB">
      <w:pPr>
        <w:pStyle w:val="3"/>
        <w:spacing w:line="360" w:lineRule="auto"/>
        <w:rPr>
          <w:highlight w:val="none"/>
        </w:rPr>
      </w:pPr>
      <w:bookmarkStart w:id="439" w:name="_Toc229390320"/>
      <w:bookmarkStart w:id="440" w:name="_Toc163492934"/>
      <w:r>
        <w:rPr>
          <w:rFonts w:hint="eastAsia"/>
          <w:highlight w:val="none"/>
        </w:rPr>
        <w:t>九、技术响应偏离表</w:t>
      </w:r>
      <w:bookmarkEnd w:id="439"/>
      <w:bookmarkEnd w:id="440"/>
    </w:p>
    <w:p w14:paraId="509F2A33">
      <w:pPr>
        <w:spacing w:line="360" w:lineRule="auto"/>
        <w:rPr>
          <w:highlight w:val="none"/>
        </w:rPr>
      </w:pPr>
      <w:r>
        <w:rPr>
          <w:rFonts w:hint="eastAsia"/>
          <w:highlight w:val="none"/>
        </w:rPr>
        <w:t xml:space="preserve">项目名称：                                         </w:t>
      </w:r>
    </w:p>
    <w:p w14:paraId="0522BE33">
      <w:pPr>
        <w:spacing w:line="360" w:lineRule="auto"/>
        <w:rPr>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976"/>
        <w:gridCol w:w="1758"/>
        <w:gridCol w:w="2157"/>
        <w:gridCol w:w="1938"/>
      </w:tblGrid>
      <w:tr w14:paraId="7B5D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0E74B93">
            <w:pPr>
              <w:pStyle w:val="50"/>
              <w:spacing w:line="360" w:lineRule="auto"/>
              <w:jc w:val="center"/>
              <w:rPr>
                <w:rFonts w:cs="宋体"/>
                <w:sz w:val="21"/>
                <w:szCs w:val="21"/>
                <w:highlight w:val="none"/>
              </w:rPr>
            </w:pPr>
            <w:r>
              <w:rPr>
                <w:rFonts w:hint="eastAsia" w:cs="宋体"/>
                <w:sz w:val="21"/>
                <w:szCs w:val="21"/>
                <w:highlight w:val="none"/>
              </w:rPr>
              <w:t>序号</w:t>
            </w:r>
          </w:p>
        </w:tc>
        <w:tc>
          <w:tcPr>
            <w:tcW w:w="1160" w:type="pct"/>
            <w:vAlign w:val="center"/>
          </w:tcPr>
          <w:p w14:paraId="644AFDD9">
            <w:pPr>
              <w:pStyle w:val="50"/>
              <w:spacing w:line="360" w:lineRule="auto"/>
              <w:jc w:val="center"/>
              <w:rPr>
                <w:rFonts w:cs="宋体"/>
                <w:sz w:val="21"/>
                <w:szCs w:val="21"/>
                <w:highlight w:val="none"/>
              </w:rPr>
            </w:pPr>
            <w:r>
              <w:rPr>
                <w:rFonts w:hint="eastAsia" w:cs="宋体"/>
                <w:sz w:val="21"/>
                <w:szCs w:val="21"/>
                <w:highlight w:val="none"/>
              </w:rPr>
              <w:t>招标文件技术</w:t>
            </w:r>
          </w:p>
          <w:p w14:paraId="2BF9578F">
            <w:pPr>
              <w:pStyle w:val="50"/>
              <w:spacing w:line="360" w:lineRule="auto"/>
              <w:jc w:val="center"/>
              <w:rPr>
                <w:rFonts w:cs="宋体"/>
                <w:sz w:val="21"/>
                <w:szCs w:val="21"/>
                <w:highlight w:val="none"/>
              </w:rPr>
            </w:pPr>
            <w:r>
              <w:rPr>
                <w:rFonts w:hint="eastAsia" w:cs="宋体"/>
                <w:sz w:val="21"/>
                <w:szCs w:val="21"/>
                <w:highlight w:val="none"/>
              </w:rPr>
              <w:t>要求条款</w:t>
            </w:r>
          </w:p>
        </w:tc>
        <w:tc>
          <w:tcPr>
            <w:tcW w:w="1032" w:type="pct"/>
            <w:vAlign w:val="center"/>
          </w:tcPr>
          <w:p w14:paraId="17A0C7BE">
            <w:pPr>
              <w:pStyle w:val="50"/>
              <w:spacing w:line="360" w:lineRule="auto"/>
              <w:jc w:val="center"/>
              <w:rPr>
                <w:rFonts w:cs="宋体"/>
                <w:sz w:val="21"/>
                <w:szCs w:val="21"/>
                <w:highlight w:val="none"/>
              </w:rPr>
            </w:pPr>
            <w:r>
              <w:rPr>
                <w:rFonts w:hint="eastAsia" w:cs="宋体"/>
                <w:sz w:val="21"/>
                <w:szCs w:val="21"/>
                <w:highlight w:val="none"/>
              </w:rPr>
              <w:t>投标文件内容</w:t>
            </w:r>
          </w:p>
          <w:p w14:paraId="0E1B7FBF">
            <w:pPr>
              <w:pStyle w:val="50"/>
              <w:spacing w:line="360" w:lineRule="auto"/>
              <w:jc w:val="center"/>
              <w:rPr>
                <w:rFonts w:cs="宋体"/>
                <w:sz w:val="21"/>
                <w:szCs w:val="21"/>
                <w:highlight w:val="none"/>
              </w:rPr>
            </w:pPr>
            <w:r>
              <w:rPr>
                <w:rFonts w:hint="eastAsia" w:cs="宋体"/>
                <w:sz w:val="21"/>
                <w:szCs w:val="21"/>
                <w:highlight w:val="none"/>
              </w:rPr>
              <w:t>对应简述</w:t>
            </w:r>
          </w:p>
        </w:tc>
        <w:tc>
          <w:tcPr>
            <w:tcW w:w="1266" w:type="pct"/>
            <w:vAlign w:val="center"/>
          </w:tcPr>
          <w:p w14:paraId="50006CF2">
            <w:pPr>
              <w:pStyle w:val="50"/>
              <w:spacing w:line="360" w:lineRule="auto"/>
              <w:jc w:val="center"/>
              <w:rPr>
                <w:rFonts w:cs="宋体"/>
                <w:sz w:val="21"/>
                <w:szCs w:val="21"/>
                <w:highlight w:val="none"/>
              </w:rPr>
            </w:pPr>
            <w:r>
              <w:rPr>
                <w:rFonts w:hint="eastAsia" w:cs="宋体"/>
                <w:sz w:val="21"/>
                <w:szCs w:val="21"/>
                <w:highlight w:val="none"/>
              </w:rPr>
              <w:t>响应情况</w:t>
            </w:r>
          </w:p>
        </w:tc>
        <w:tc>
          <w:tcPr>
            <w:tcW w:w="1137" w:type="pct"/>
            <w:vAlign w:val="center"/>
          </w:tcPr>
          <w:p w14:paraId="3B606059">
            <w:pPr>
              <w:pStyle w:val="50"/>
              <w:spacing w:line="360" w:lineRule="auto"/>
              <w:jc w:val="center"/>
              <w:rPr>
                <w:rFonts w:cs="宋体"/>
                <w:sz w:val="21"/>
                <w:szCs w:val="21"/>
                <w:highlight w:val="none"/>
              </w:rPr>
            </w:pPr>
            <w:r>
              <w:rPr>
                <w:rFonts w:hint="eastAsia" w:cs="宋体"/>
                <w:sz w:val="21"/>
                <w:szCs w:val="21"/>
                <w:highlight w:val="none"/>
              </w:rPr>
              <w:t>证明资料及索引</w:t>
            </w:r>
          </w:p>
        </w:tc>
      </w:tr>
      <w:tr w14:paraId="120E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3AF1E8CA">
            <w:pPr>
              <w:pStyle w:val="50"/>
              <w:spacing w:line="360" w:lineRule="auto"/>
              <w:jc w:val="center"/>
              <w:rPr>
                <w:rFonts w:cs="宋体"/>
                <w:sz w:val="21"/>
                <w:szCs w:val="21"/>
                <w:highlight w:val="none"/>
              </w:rPr>
            </w:pPr>
            <w:r>
              <w:rPr>
                <w:rFonts w:hint="eastAsia" w:cs="宋体"/>
                <w:sz w:val="21"/>
                <w:szCs w:val="21"/>
                <w:highlight w:val="none"/>
              </w:rPr>
              <w:t>1</w:t>
            </w:r>
          </w:p>
        </w:tc>
        <w:tc>
          <w:tcPr>
            <w:tcW w:w="1160" w:type="pct"/>
            <w:vAlign w:val="center"/>
          </w:tcPr>
          <w:p w14:paraId="6D7C5649">
            <w:pPr>
              <w:pStyle w:val="50"/>
              <w:spacing w:line="360" w:lineRule="auto"/>
              <w:jc w:val="center"/>
              <w:rPr>
                <w:rFonts w:cs="宋体"/>
                <w:sz w:val="21"/>
                <w:szCs w:val="21"/>
                <w:highlight w:val="none"/>
              </w:rPr>
            </w:pPr>
            <w:r>
              <w:rPr>
                <w:rFonts w:hint="eastAsia" w:cs="宋体"/>
                <w:sz w:val="21"/>
                <w:szCs w:val="21"/>
                <w:highlight w:val="none"/>
              </w:rPr>
              <w:t>********</w:t>
            </w:r>
          </w:p>
        </w:tc>
        <w:tc>
          <w:tcPr>
            <w:tcW w:w="1032" w:type="pct"/>
            <w:vAlign w:val="center"/>
          </w:tcPr>
          <w:p w14:paraId="5607249B">
            <w:pPr>
              <w:pStyle w:val="50"/>
              <w:spacing w:line="360" w:lineRule="auto"/>
              <w:jc w:val="center"/>
              <w:rPr>
                <w:rFonts w:cs="宋体"/>
                <w:sz w:val="21"/>
                <w:szCs w:val="21"/>
                <w:highlight w:val="none"/>
              </w:rPr>
            </w:pPr>
            <w:r>
              <w:rPr>
                <w:rFonts w:hint="eastAsia" w:cs="宋体"/>
                <w:sz w:val="21"/>
                <w:szCs w:val="21"/>
                <w:highlight w:val="none"/>
              </w:rPr>
              <w:t>******</w:t>
            </w:r>
          </w:p>
        </w:tc>
        <w:tc>
          <w:tcPr>
            <w:tcW w:w="1266" w:type="pct"/>
            <w:vAlign w:val="center"/>
          </w:tcPr>
          <w:p w14:paraId="6B143256">
            <w:pPr>
              <w:pStyle w:val="50"/>
              <w:spacing w:line="360" w:lineRule="auto"/>
              <w:jc w:val="center"/>
              <w:rPr>
                <w:rFonts w:cs="宋体"/>
                <w:sz w:val="21"/>
                <w:szCs w:val="21"/>
                <w:highlight w:val="none"/>
              </w:rPr>
            </w:pPr>
            <w:r>
              <w:rPr>
                <w:rFonts w:hint="eastAsia" w:cs="宋体"/>
                <w:sz w:val="21"/>
                <w:szCs w:val="21"/>
                <w:highlight w:val="none"/>
              </w:rPr>
              <w:t>响应/正偏离/负偏离</w:t>
            </w:r>
          </w:p>
        </w:tc>
        <w:tc>
          <w:tcPr>
            <w:tcW w:w="1137" w:type="pct"/>
            <w:vAlign w:val="center"/>
          </w:tcPr>
          <w:p w14:paraId="00DBF9E4">
            <w:pPr>
              <w:pStyle w:val="50"/>
              <w:spacing w:line="360" w:lineRule="auto"/>
              <w:jc w:val="center"/>
              <w:rPr>
                <w:rFonts w:cs="宋体"/>
                <w:sz w:val="21"/>
                <w:szCs w:val="21"/>
                <w:highlight w:val="none"/>
              </w:rPr>
            </w:pPr>
          </w:p>
        </w:tc>
      </w:tr>
      <w:tr w14:paraId="7968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4CD20FA9">
            <w:pPr>
              <w:pStyle w:val="50"/>
              <w:spacing w:line="360" w:lineRule="auto"/>
              <w:jc w:val="center"/>
              <w:rPr>
                <w:rFonts w:cs="宋体"/>
                <w:sz w:val="21"/>
                <w:szCs w:val="21"/>
                <w:highlight w:val="none"/>
              </w:rPr>
            </w:pPr>
            <w:r>
              <w:rPr>
                <w:rFonts w:hint="eastAsia" w:cs="宋体"/>
                <w:sz w:val="21"/>
                <w:szCs w:val="21"/>
                <w:highlight w:val="none"/>
              </w:rPr>
              <w:t>2</w:t>
            </w:r>
          </w:p>
        </w:tc>
        <w:tc>
          <w:tcPr>
            <w:tcW w:w="1160" w:type="pct"/>
            <w:vAlign w:val="center"/>
          </w:tcPr>
          <w:p w14:paraId="31AFA930">
            <w:pPr>
              <w:pStyle w:val="50"/>
              <w:spacing w:line="360" w:lineRule="auto"/>
              <w:jc w:val="center"/>
              <w:rPr>
                <w:rFonts w:cs="宋体"/>
                <w:sz w:val="21"/>
                <w:szCs w:val="21"/>
                <w:highlight w:val="none"/>
              </w:rPr>
            </w:pPr>
            <w:r>
              <w:rPr>
                <w:rFonts w:hint="eastAsia" w:cs="宋体"/>
                <w:sz w:val="21"/>
                <w:szCs w:val="21"/>
                <w:highlight w:val="none"/>
              </w:rPr>
              <w:t>********</w:t>
            </w:r>
          </w:p>
        </w:tc>
        <w:tc>
          <w:tcPr>
            <w:tcW w:w="1032" w:type="pct"/>
            <w:vAlign w:val="center"/>
          </w:tcPr>
          <w:p w14:paraId="3AFA700D">
            <w:pPr>
              <w:pStyle w:val="50"/>
              <w:spacing w:line="360" w:lineRule="auto"/>
              <w:jc w:val="center"/>
              <w:rPr>
                <w:rFonts w:cs="宋体"/>
                <w:sz w:val="21"/>
                <w:szCs w:val="21"/>
                <w:highlight w:val="none"/>
              </w:rPr>
            </w:pPr>
            <w:r>
              <w:rPr>
                <w:rFonts w:hint="eastAsia" w:cs="宋体"/>
                <w:sz w:val="21"/>
                <w:szCs w:val="21"/>
                <w:highlight w:val="none"/>
              </w:rPr>
              <w:t>******</w:t>
            </w:r>
          </w:p>
        </w:tc>
        <w:tc>
          <w:tcPr>
            <w:tcW w:w="1266" w:type="pct"/>
            <w:vAlign w:val="center"/>
          </w:tcPr>
          <w:p w14:paraId="34A985DB">
            <w:pPr>
              <w:pStyle w:val="50"/>
              <w:spacing w:line="360" w:lineRule="auto"/>
              <w:jc w:val="center"/>
              <w:rPr>
                <w:rFonts w:cs="宋体"/>
                <w:sz w:val="21"/>
                <w:szCs w:val="21"/>
                <w:highlight w:val="none"/>
              </w:rPr>
            </w:pPr>
            <w:r>
              <w:rPr>
                <w:rFonts w:hint="eastAsia" w:cs="宋体"/>
                <w:sz w:val="21"/>
                <w:szCs w:val="21"/>
                <w:highlight w:val="none"/>
              </w:rPr>
              <w:t>响应/正偏离/负偏离</w:t>
            </w:r>
          </w:p>
        </w:tc>
        <w:tc>
          <w:tcPr>
            <w:tcW w:w="1137" w:type="pct"/>
            <w:vAlign w:val="center"/>
          </w:tcPr>
          <w:p w14:paraId="6680E1F2">
            <w:pPr>
              <w:pStyle w:val="50"/>
              <w:spacing w:line="360" w:lineRule="auto"/>
              <w:jc w:val="center"/>
              <w:rPr>
                <w:rFonts w:cs="宋体"/>
                <w:sz w:val="21"/>
                <w:szCs w:val="21"/>
                <w:highlight w:val="none"/>
              </w:rPr>
            </w:pPr>
          </w:p>
        </w:tc>
      </w:tr>
      <w:tr w14:paraId="18CA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4A74038E">
            <w:pPr>
              <w:pStyle w:val="50"/>
              <w:spacing w:line="360" w:lineRule="auto"/>
              <w:jc w:val="center"/>
              <w:rPr>
                <w:rFonts w:cs="宋体"/>
                <w:sz w:val="21"/>
                <w:szCs w:val="21"/>
                <w:highlight w:val="none"/>
              </w:rPr>
            </w:pPr>
            <w:r>
              <w:rPr>
                <w:rFonts w:hint="eastAsia" w:cs="宋体"/>
                <w:sz w:val="21"/>
                <w:szCs w:val="21"/>
                <w:highlight w:val="none"/>
              </w:rPr>
              <w:t>3</w:t>
            </w:r>
          </w:p>
        </w:tc>
        <w:tc>
          <w:tcPr>
            <w:tcW w:w="1160" w:type="pct"/>
            <w:shd w:val="clear" w:color="auto" w:fill="auto"/>
            <w:vAlign w:val="center"/>
          </w:tcPr>
          <w:p w14:paraId="5FB94204">
            <w:pPr>
              <w:pStyle w:val="50"/>
              <w:spacing w:line="360" w:lineRule="auto"/>
              <w:jc w:val="center"/>
              <w:rPr>
                <w:rFonts w:cs="宋体"/>
                <w:sz w:val="21"/>
                <w:szCs w:val="21"/>
                <w:highlight w:val="none"/>
              </w:rPr>
            </w:pPr>
            <w:r>
              <w:rPr>
                <w:rFonts w:hint="eastAsia" w:cs="宋体"/>
                <w:sz w:val="21"/>
                <w:szCs w:val="21"/>
                <w:highlight w:val="none"/>
              </w:rPr>
              <w:t>********</w:t>
            </w:r>
          </w:p>
        </w:tc>
        <w:tc>
          <w:tcPr>
            <w:tcW w:w="1032" w:type="pct"/>
            <w:shd w:val="clear" w:color="auto" w:fill="auto"/>
            <w:vAlign w:val="center"/>
          </w:tcPr>
          <w:p w14:paraId="61266EB7">
            <w:pPr>
              <w:pStyle w:val="50"/>
              <w:spacing w:line="360" w:lineRule="auto"/>
              <w:jc w:val="center"/>
              <w:rPr>
                <w:rFonts w:cs="宋体"/>
                <w:sz w:val="21"/>
                <w:szCs w:val="21"/>
                <w:highlight w:val="none"/>
              </w:rPr>
            </w:pPr>
            <w:r>
              <w:rPr>
                <w:rFonts w:hint="eastAsia" w:cs="宋体"/>
                <w:sz w:val="21"/>
                <w:szCs w:val="21"/>
                <w:highlight w:val="none"/>
              </w:rPr>
              <w:t>******</w:t>
            </w:r>
          </w:p>
        </w:tc>
        <w:tc>
          <w:tcPr>
            <w:tcW w:w="1266" w:type="pct"/>
            <w:shd w:val="clear" w:color="auto" w:fill="auto"/>
            <w:vAlign w:val="center"/>
          </w:tcPr>
          <w:p w14:paraId="1A724577">
            <w:pPr>
              <w:pStyle w:val="50"/>
              <w:spacing w:line="360" w:lineRule="auto"/>
              <w:jc w:val="center"/>
              <w:rPr>
                <w:rFonts w:cs="宋体"/>
                <w:sz w:val="21"/>
                <w:szCs w:val="21"/>
                <w:highlight w:val="none"/>
              </w:rPr>
            </w:pPr>
            <w:r>
              <w:rPr>
                <w:rFonts w:hint="eastAsia" w:cs="宋体"/>
                <w:sz w:val="21"/>
                <w:szCs w:val="21"/>
                <w:highlight w:val="none"/>
              </w:rPr>
              <w:t>响应/正偏离/负偏离</w:t>
            </w:r>
          </w:p>
        </w:tc>
        <w:tc>
          <w:tcPr>
            <w:tcW w:w="1137" w:type="pct"/>
            <w:vAlign w:val="center"/>
          </w:tcPr>
          <w:p w14:paraId="2CDF97AF">
            <w:pPr>
              <w:pStyle w:val="50"/>
              <w:spacing w:line="360" w:lineRule="auto"/>
              <w:jc w:val="center"/>
              <w:rPr>
                <w:rFonts w:cs="宋体"/>
                <w:sz w:val="21"/>
                <w:szCs w:val="21"/>
                <w:highlight w:val="none"/>
              </w:rPr>
            </w:pPr>
          </w:p>
        </w:tc>
      </w:tr>
      <w:tr w14:paraId="758F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3B7CB1F1">
            <w:pPr>
              <w:pStyle w:val="50"/>
              <w:spacing w:line="360" w:lineRule="auto"/>
              <w:jc w:val="center"/>
              <w:rPr>
                <w:rFonts w:cs="宋体"/>
                <w:sz w:val="21"/>
                <w:szCs w:val="21"/>
                <w:highlight w:val="none"/>
              </w:rPr>
            </w:pPr>
          </w:p>
        </w:tc>
        <w:tc>
          <w:tcPr>
            <w:tcW w:w="1160" w:type="pct"/>
            <w:vAlign w:val="center"/>
          </w:tcPr>
          <w:p w14:paraId="39C32EA9">
            <w:pPr>
              <w:pStyle w:val="50"/>
              <w:spacing w:line="360" w:lineRule="auto"/>
              <w:jc w:val="center"/>
              <w:rPr>
                <w:rFonts w:cs="宋体"/>
                <w:sz w:val="21"/>
                <w:szCs w:val="21"/>
                <w:highlight w:val="none"/>
              </w:rPr>
            </w:pPr>
          </w:p>
        </w:tc>
        <w:tc>
          <w:tcPr>
            <w:tcW w:w="1032" w:type="pct"/>
            <w:vAlign w:val="center"/>
          </w:tcPr>
          <w:p w14:paraId="0FE1E782">
            <w:pPr>
              <w:pStyle w:val="50"/>
              <w:spacing w:line="360" w:lineRule="auto"/>
              <w:jc w:val="center"/>
              <w:rPr>
                <w:rFonts w:cs="宋体"/>
                <w:sz w:val="21"/>
                <w:szCs w:val="21"/>
                <w:highlight w:val="none"/>
              </w:rPr>
            </w:pPr>
          </w:p>
        </w:tc>
        <w:tc>
          <w:tcPr>
            <w:tcW w:w="1266" w:type="pct"/>
            <w:vAlign w:val="center"/>
          </w:tcPr>
          <w:p w14:paraId="687B1F18">
            <w:pPr>
              <w:pStyle w:val="50"/>
              <w:spacing w:line="360" w:lineRule="auto"/>
              <w:jc w:val="center"/>
              <w:rPr>
                <w:rFonts w:cs="宋体"/>
                <w:sz w:val="21"/>
                <w:szCs w:val="21"/>
                <w:highlight w:val="none"/>
              </w:rPr>
            </w:pPr>
          </w:p>
        </w:tc>
        <w:tc>
          <w:tcPr>
            <w:tcW w:w="1137" w:type="pct"/>
            <w:vAlign w:val="center"/>
          </w:tcPr>
          <w:p w14:paraId="5664D6C0">
            <w:pPr>
              <w:pStyle w:val="50"/>
              <w:spacing w:line="360" w:lineRule="auto"/>
              <w:jc w:val="center"/>
              <w:rPr>
                <w:rFonts w:cs="宋体"/>
                <w:sz w:val="21"/>
                <w:szCs w:val="21"/>
                <w:highlight w:val="none"/>
              </w:rPr>
            </w:pPr>
          </w:p>
        </w:tc>
      </w:tr>
      <w:tr w14:paraId="16DA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197BEAB8">
            <w:pPr>
              <w:pStyle w:val="50"/>
              <w:spacing w:line="360" w:lineRule="auto"/>
              <w:jc w:val="center"/>
              <w:rPr>
                <w:rFonts w:cs="宋体"/>
                <w:sz w:val="21"/>
                <w:szCs w:val="21"/>
                <w:highlight w:val="none"/>
              </w:rPr>
            </w:pPr>
            <w:r>
              <w:rPr>
                <w:rFonts w:hint="eastAsia" w:cs="宋体"/>
                <w:sz w:val="21"/>
                <w:szCs w:val="21"/>
                <w:highlight w:val="none"/>
              </w:rPr>
              <w:t>……</w:t>
            </w:r>
          </w:p>
        </w:tc>
        <w:tc>
          <w:tcPr>
            <w:tcW w:w="1160" w:type="pct"/>
            <w:vAlign w:val="center"/>
          </w:tcPr>
          <w:p w14:paraId="41E84938">
            <w:pPr>
              <w:pStyle w:val="50"/>
              <w:spacing w:line="360" w:lineRule="auto"/>
              <w:jc w:val="center"/>
              <w:rPr>
                <w:rFonts w:cs="宋体"/>
                <w:sz w:val="21"/>
                <w:szCs w:val="21"/>
                <w:highlight w:val="none"/>
              </w:rPr>
            </w:pPr>
            <w:r>
              <w:rPr>
                <w:rFonts w:hint="eastAsia" w:cs="宋体"/>
                <w:sz w:val="21"/>
                <w:szCs w:val="21"/>
                <w:highlight w:val="none"/>
              </w:rPr>
              <w:t>…………</w:t>
            </w:r>
          </w:p>
        </w:tc>
        <w:tc>
          <w:tcPr>
            <w:tcW w:w="1032" w:type="pct"/>
            <w:vAlign w:val="center"/>
          </w:tcPr>
          <w:p w14:paraId="074DC1EA">
            <w:pPr>
              <w:pStyle w:val="50"/>
              <w:spacing w:line="360" w:lineRule="auto"/>
              <w:jc w:val="center"/>
              <w:rPr>
                <w:rFonts w:cs="宋体"/>
                <w:sz w:val="21"/>
                <w:szCs w:val="21"/>
                <w:highlight w:val="none"/>
              </w:rPr>
            </w:pPr>
            <w:r>
              <w:rPr>
                <w:rFonts w:hint="eastAsia" w:cs="宋体"/>
                <w:sz w:val="21"/>
                <w:szCs w:val="21"/>
                <w:highlight w:val="none"/>
              </w:rPr>
              <w:t>………………</w:t>
            </w:r>
          </w:p>
        </w:tc>
        <w:tc>
          <w:tcPr>
            <w:tcW w:w="1266" w:type="pct"/>
            <w:vAlign w:val="center"/>
          </w:tcPr>
          <w:p w14:paraId="4D14D5F2">
            <w:pPr>
              <w:pStyle w:val="50"/>
              <w:spacing w:line="360" w:lineRule="auto"/>
              <w:jc w:val="center"/>
              <w:rPr>
                <w:rFonts w:cs="宋体"/>
                <w:sz w:val="21"/>
                <w:szCs w:val="21"/>
                <w:highlight w:val="none"/>
              </w:rPr>
            </w:pPr>
            <w:r>
              <w:rPr>
                <w:rFonts w:hint="eastAsia" w:cs="宋体"/>
                <w:sz w:val="21"/>
                <w:szCs w:val="21"/>
                <w:highlight w:val="none"/>
              </w:rPr>
              <w:t>…………</w:t>
            </w:r>
          </w:p>
        </w:tc>
        <w:tc>
          <w:tcPr>
            <w:tcW w:w="1137" w:type="pct"/>
            <w:vAlign w:val="center"/>
          </w:tcPr>
          <w:p w14:paraId="336077A3">
            <w:pPr>
              <w:pStyle w:val="50"/>
              <w:spacing w:line="360" w:lineRule="auto"/>
              <w:jc w:val="center"/>
              <w:rPr>
                <w:rFonts w:cs="宋体"/>
                <w:sz w:val="21"/>
                <w:szCs w:val="21"/>
                <w:highlight w:val="none"/>
              </w:rPr>
            </w:pPr>
          </w:p>
        </w:tc>
      </w:tr>
    </w:tbl>
    <w:p w14:paraId="550A43CC">
      <w:pPr>
        <w:spacing w:line="360" w:lineRule="auto"/>
        <w:rPr>
          <w:highlight w:val="none"/>
        </w:rPr>
      </w:pPr>
    </w:p>
    <w:p w14:paraId="05D7BA1C">
      <w:pPr>
        <w:spacing w:line="360" w:lineRule="auto"/>
        <w:rPr>
          <w:highlight w:val="none"/>
        </w:rPr>
      </w:pPr>
      <w:r>
        <w:rPr>
          <w:rFonts w:hint="eastAsia"/>
          <w:highlight w:val="none"/>
        </w:rPr>
        <w:t>投标人名称（</w:t>
      </w:r>
      <w:r>
        <w:rPr>
          <w:rFonts w:hint="eastAsia" w:cs="宋体"/>
          <w:kern w:val="0"/>
          <w:highlight w:val="none"/>
        </w:rPr>
        <w:t>公章）</w:t>
      </w:r>
      <w:r>
        <w:rPr>
          <w:rFonts w:hint="eastAsia"/>
          <w:highlight w:val="none"/>
        </w:rPr>
        <w:t>：</w:t>
      </w:r>
    </w:p>
    <w:p w14:paraId="400B8536">
      <w:pPr>
        <w:spacing w:line="360" w:lineRule="auto"/>
        <w:rPr>
          <w:highlight w:val="none"/>
        </w:rPr>
      </w:pPr>
      <w:r>
        <w:rPr>
          <w:rFonts w:hint="eastAsia"/>
          <w:highlight w:val="none"/>
        </w:rPr>
        <w:t>日      期：</w:t>
      </w:r>
    </w:p>
    <w:p w14:paraId="15023592">
      <w:pPr>
        <w:spacing w:line="360" w:lineRule="auto"/>
        <w:rPr>
          <w:highlight w:val="none"/>
        </w:rPr>
      </w:pPr>
    </w:p>
    <w:p w14:paraId="10CDEA6C">
      <w:pPr>
        <w:spacing w:line="360" w:lineRule="auto"/>
        <w:rPr>
          <w:szCs w:val="24"/>
          <w:highlight w:val="none"/>
        </w:rPr>
      </w:pPr>
      <w:r>
        <w:rPr>
          <w:rFonts w:hint="eastAsia"/>
          <w:highlight w:val="none"/>
        </w:rPr>
        <w:t>注：投标人应按照招标文件“第三章 采购需求”中的技术要求填写：</w:t>
      </w:r>
    </w:p>
    <w:p w14:paraId="46A6F68B">
      <w:pPr>
        <w:spacing w:line="360" w:lineRule="auto"/>
        <w:rPr>
          <w:highlight w:val="none"/>
        </w:rPr>
      </w:pPr>
      <w:r>
        <w:rPr>
          <w:rFonts w:hint="eastAsia"/>
          <w:highlight w:val="none"/>
        </w:rPr>
        <w:t xml:space="preserve">1.“招标文件技术要求条款”栏应详细列明招标文件中的要求。 </w:t>
      </w:r>
    </w:p>
    <w:p w14:paraId="0E4D0D03">
      <w:pPr>
        <w:spacing w:line="360" w:lineRule="auto"/>
        <w:rPr>
          <w:highlight w:val="none"/>
        </w:rPr>
      </w:pPr>
      <w:r>
        <w:rPr>
          <w:rFonts w:hint="eastAsia"/>
          <w:highlight w:val="none"/>
        </w:rPr>
        <w:t>2.“投标文件内容对应简述”栏填写投标人对招标文件提出的技术要求作出的明确响应，并列明具体响应数值或内容，只注明符合、满足等无具体内容表述的，将视为未实质性满足招标文件要求</w:t>
      </w:r>
      <w:r>
        <w:rPr>
          <w:highlight w:val="none"/>
        </w:rPr>
        <w:t>，</w:t>
      </w:r>
      <w:r>
        <w:rPr>
          <w:rFonts w:hint="eastAsia"/>
          <w:b/>
          <w:bCs/>
          <w:highlight w:val="none"/>
        </w:rPr>
        <w:t>投标</w:t>
      </w:r>
      <w:r>
        <w:rPr>
          <w:b/>
          <w:bCs/>
          <w:highlight w:val="none"/>
        </w:rPr>
        <w:t>无效</w:t>
      </w:r>
      <w:r>
        <w:rPr>
          <w:rFonts w:hint="eastAsia"/>
          <w:highlight w:val="none"/>
        </w:rPr>
        <w:t xml:space="preserve">。 </w:t>
      </w:r>
    </w:p>
    <w:p w14:paraId="3CF8EFC0">
      <w:pPr>
        <w:spacing w:line="360" w:lineRule="auto"/>
        <w:rPr>
          <w:highlight w:val="none"/>
        </w:rPr>
      </w:pPr>
      <w:r>
        <w:rPr>
          <w:rFonts w:hint="eastAsia"/>
          <w:highlight w:val="none"/>
        </w:rPr>
        <w:t xml:space="preserve">3.“响应情况”栏应据实填写“响应”、“正偏离”或“负偏离”。 </w:t>
      </w:r>
    </w:p>
    <w:p w14:paraId="3512736A">
      <w:pPr>
        <w:spacing w:line="360" w:lineRule="auto"/>
        <w:rPr>
          <w:highlight w:val="none"/>
        </w:rPr>
      </w:pPr>
      <w:r>
        <w:rPr>
          <w:rFonts w:hint="eastAsia"/>
          <w:highlight w:val="none"/>
        </w:rPr>
        <w:t>4.“证明资料及索引”栏可填写证明资料的具体内容及索引。</w:t>
      </w:r>
    </w:p>
    <w:p w14:paraId="1FE27B1B">
      <w:pPr>
        <w:spacing w:line="360" w:lineRule="auto"/>
        <w:rPr>
          <w:highlight w:val="none"/>
        </w:rPr>
      </w:pPr>
      <w:r>
        <w:rPr>
          <w:rFonts w:hint="eastAsia"/>
          <w:highlight w:val="none"/>
        </w:rPr>
        <w:t>5.对招标文件中的所有技术要求，除本表所列明的所有偏离外，均视作供应商</w:t>
      </w:r>
      <w:r>
        <w:rPr>
          <w:highlight w:val="none"/>
        </w:rPr>
        <w:t>已对之理解和响应。此表中若无任何文字说明，内容为空白的，</w:t>
      </w:r>
      <w:r>
        <w:rPr>
          <w:b/>
          <w:bCs/>
          <w:highlight w:val="none"/>
        </w:rPr>
        <w:t>投标无效</w:t>
      </w:r>
      <w:r>
        <w:rPr>
          <w:highlight w:val="none"/>
        </w:rPr>
        <w:t>。</w:t>
      </w:r>
    </w:p>
    <w:p w14:paraId="4E998D3B">
      <w:pPr>
        <w:spacing w:line="360" w:lineRule="auto"/>
        <w:rPr>
          <w:highlight w:val="none"/>
        </w:rPr>
      </w:pPr>
      <w:r>
        <w:rPr>
          <w:rFonts w:hint="eastAsia"/>
          <w:highlight w:val="none"/>
        </w:rPr>
        <w:t>6</w:t>
      </w:r>
      <w:r>
        <w:rPr>
          <w:highlight w:val="none"/>
        </w:rPr>
        <w:t>.技术要求中明确提供相关材料的，必须按要求提供，否则视为负偏离。证明材料在本表后附。</w:t>
      </w:r>
    </w:p>
    <w:p w14:paraId="73CBE2C7">
      <w:pPr>
        <w:spacing w:line="360" w:lineRule="auto"/>
        <w:rPr>
          <w:rFonts w:asciiTheme="majorHAnsi" w:hAnsiTheme="majorHAnsi" w:cstheme="majorBidi"/>
          <w:b/>
          <w:bCs/>
          <w:sz w:val="32"/>
          <w:szCs w:val="32"/>
          <w:highlight w:val="none"/>
        </w:rPr>
      </w:pPr>
      <w:bookmarkStart w:id="441" w:name="_Toc163492935"/>
      <w:r>
        <w:rPr>
          <w:highlight w:val="none"/>
        </w:rPr>
        <w:br w:type="page"/>
      </w:r>
    </w:p>
    <w:p w14:paraId="6FC7DE08">
      <w:pPr>
        <w:pStyle w:val="3"/>
        <w:spacing w:line="360" w:lineRule="auto"/>
        <w:rPr>
          <w:highlight w:val="none"/>
        </w:rPr>
      </w:pPr>
      <w:bookmarkStart w:id="442" w:name="_Toc229390321"/>
      <w:r>
        <w:rPr>
          <w:rFonts w:hint="eastAsia"/>
          <w:highlight w:val="none"/>
        </w:rPr>
        <w:t>十、技术方案</w:t>
      </w:r>
      <w:bookmarkEnd w:id="441"/>
      <w:bookmarkEnd w:id="442"/>
    </w:p>
    <w:p w14:paraId="619DCEEB">
      <w:pPr>
        <w:pStyle w:val="38"/>
        <w:spacing w:line="360" w:lineRule="auto"/>
        <w:rPr>
          <w:highlight w:val="none"/>
        </w:rPr>
      </w:pPr>
      <w:r>
        <w:rPr>
          <w:rFonts w:hint="eastAsia"/>
          <w:highlight w:val="none"/>
        </w:rPr>
        <w:t>投标人应按照招标文件的评审要求，提供详细的</w:t>
      </w:r>
      <w:r>
        <w:rPr>
          <w:rFonts w:hint="eastAsia"/>
          <w:highlight w:val="none"/>
          <w:lang w:val="en-US"/>
        </w:rPr>
        <w:t>供货及相关</w:t>
      </w:r>
      <w:r>
        <w:rPr>
          <w:rFonts w:hint="eastAsia"/>
          <w:highlight w:val="none"/>
        </w:rPr>
        <w:t>服务方案，包括文字描述或图表显示，具体内容详见商务技术评审标准。格式自拟。</w:t>
      </w:r>
    </w:p>
    <w:p w14:paraId="7E17EA81">
      <w:pPr>
        <w:pStyle w:val="38"/>
        <w:spacing w:line="360" w:lineRule="auto"/>
        <w:rPr>
          <w:highlight w:val="none"/>
        </w:rPr>
      </w:pPr>
      <w:r>
        <w:rPr>
          <w:highlight w:val="none"/>
        </w:rPr>
        <w:br w:type="page"/>
      </w:r>
    </w:p>
    <w:p w14:paraId="768C4E98">
      <w:pPr>
        <w:spacing w:line="360" w:lineRule="auto"/>
        <w:rPr>
          <w:highlight w:val="none"/>
        </w:rPr>
      </w:pPr>
      <w:bookmarkStart w:id="443" w:name="_Toc163492936"/>
    </w:p>
    <w:p w14:paraId="7FB0279C">
      <w:pPr>
        <w:pStyle w:val="3"/>
        <w:spacing w:line="360" w:lineRule="auto"/>
        <w:rPr>
          <w:highlight w:val="none"/>
        </w:rPr>
      </w:pPr>
      <w:bookmarkStart w:id="444" w:name="_Toc229390322"/>
      <w:r>
        <w:rPr>
          <w:rFonts w:hint="eastAsia"/>
          <w:highlight w:val="none"/>
        </w:rPr>
        <w:t>十一、其他文件</w:t>
      </w:r>
      <w:bookmarkEnd w:id="443"/>
      <w:bookmarkEnd w:id="444"/>
    </w:p>
    <w:p w14:paraId="23EC7865">
      <w:pPr>
        <w:pStyle w:val="38"/>
        <w:spacing w:line="360" w:lineRule="auto"/>
        <w:rPr>
          <w:highlight w:val="none"/>
        </w:rPr>
      </w:pPr>
      <w:r>
        <w:rPr>
          <w:rFonts w:hint="eastAsia"/>
          <w:highlight w:val="none"/>
        </w:rPr>
        <w:t>（</w:t>
      </w:r>
      <w:r>
        <w:rPr>
          <w:rFonts w:hint="eastAsia"/>
          <w:highlight w:val="none"/>
          <w:lang w:val="en-US"/>
        </w:rPr>
        <w:t>一）</w:t>
      </w:r>
      <w:r>
        <w:rPr>
          <w:rFonts w:hint="eastAsia"/>
          <w:highlight w:val="none"/>
        </w:rPr>
        <w:t>招标文件要求提供的其它商务、技术资料和证明材料；</w:t>
      </w:r>
    </w:p>
    <w:p w14:paraId="41D383BF">
      <w:pPr>
        <w:pStyle w:val="38"/>
        <w:spacing w:line="360" w:lineRule="auto"/>
        <w:rPr>
          <w:highlight w:val="none"/>
        </w:rPr>
      </w:pPr>
      <w:r>
        <w:rPr>
          <w:rFonts w:hint="eastAsia"/>
          <w:highlight w:val="none"/>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4716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6A72140B">
            <w:pPr>
              <w:spacing w:line="360" w:lineRule="auto"/>
              <w:rPr>
                <w:highlight w:val="none"/>
              </w:rPr>
            </w:pPr>
            <w:r>
              <w:rPr>
                <w:rFonts w:hint="eastAsia"/>
                <w:highlight w:val="none"/>
                <w:lang w:bidi="ar"/>
              </w:rPr>
              <w:t>供应商名称</w:t>
            </w:r>
          </w:p>
        </w:tc>
        <w:tc>
          <w:tcPr>
            <w:tcW w:w="2841" w:type="dxa"/>
            <w:vAlign w:val="center"/>
          </w:tcPr>
          <w:p w14:paraId="3577EC26">
            <w:pPr>
              <w:spacing w:line="360" w:lineRule="auto"/>
              <w:rPr>
                <w:highlight w:val="none"/>
              </w:rPr>
            </w:pPr>
            <w:r>
              <w:rPr>
                <w:rFonts w:hint="eastAsia"/>
                <w:highlight w:val="none"/>
                <w:lang w:bidi="ar"/>
              </w:rPr>
              <w:t>供应商实际控制人性别</w:t>
            </w:r>
          </w:p>
        </w:tc>
        <w:tc>
          <w:tcPr>
            <w:tcW w:w="2743" w:type="dxa"/>
            <w:vAlign w:val="center"/>
          </w:tcPr>
          <w:p w14:paraId="54AB34D6">
            <w:pPr>
              <w:spacing w:line="360" w:lineRule="auto"/>
              <w:rPr>
                <w:highlight w:val="none"/>
              </w:rPr>
            </w:pPr>
            <w:r>
              <w:rPr>
                <w:rFonts w:hint="eastAsia"/>
                <w:highlight w:val="none"/>
                <w:lang w:bidi="ar"/>
              </w:rPr>
              <w:t>外商投资类型</w:t>
            </w:r>
          </w:p>
        </w:tc>
      </w:tr>
      <w:tr w14:paraId="236C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245CBDE">
            <w:pPr>
              <w:pStyle w:val="38"/>
              <w:spacing w:line="360" w:lineRule="auto"/>
              <w:rPr>
                <w:highlight w:val="none"/>
              </w:rPr>
            </w:pPr>
          </w:p>
        </w:tc>
        <w:tc>
          <w:tcPr>
            <w:tcW w:w="2841" w:type="dxa"/>
          </w:tcPr>
          <w:p w14:paraId="5AAAE6ED">
            <w:pPr>
              <w:pStyle w:val="38"/>
              <w:spacing w:line="360" w:lineRule="auto"/>
              <w:rPr>
                <w:highlight w:val="none"/>
              </w:rPr>
            </w:pPr>
          </w:p>
        </w:tc>
        <w:tc>
          <w:tcPr>
            <w:tcW w:w="2743" w:type="dxa"/>
          </w:tcPr>
          <w:p w14:paraId="696A05C9">
            <w:pPr>
              <w:pStyle w:val="38"/>
              <w:spacing w:line="360" w:lineRule="auto"/>
              <w:rPr>
                <w:highlight w:val="none"/>
              </w:rPr>
            </w:pPr>
          </w:p>
        </w:tc>
      </w:tr>
      <w:tr w14:paraId="1C9F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223B098">
            <w:pPr>
              <w:pStyle w:val="38"/>
              <w:spacing w:line="360" w:lineRule="auto"/>
              <w:rPr>
                <w:highlight w:val="none"/>
              </w:rPr>
            </w:pPr>
          </w:p>
        </w:tc>
        <w:tc>
          <w:tcPr>
            <w:tcW w:w="2841" w:type="dxa"/>
          </w:tcPr>
          <w:p w14:paraId="4E3A6D3E">
            <w:pPr>
              <w:pStyle w:val="38"/>
              <w:spacing w:line="360" w:lineRule="auto"/>
              <w:rPr>
                <w:highlight w:val="none"/>
              </w:rPr>
            </w:pPr>
          </w:p>
        </w:tc>
        <w:tc>
          <w:tcPr>
            <w:tcW w:w="2743" w:type="dxa"/>
          </w:tcPr>
          <w:p w14:paraId="327DBBF1">
            <w:pPr>
              <w:pStyle w:val="38"/>
              <w:spacing w:line="360" w:lineRule="auto"/>
              <w:rPr>
                <w:highlight w:val="none"/>
              </w:rPr>
            </w:pPr>
          </w:p>
        </w:tc>
      </w:tr>
      <w:tr w14:paraId="6573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98507F9">
            <w:pPr>
              <w:pStyle w:val="38"/>
              <w:spacing w:line="360" w:lineRule="auto"/>
              <w:rPr>
                <w:highlight w:val="none"/>
              </w:rPr>
            </w:pPr>
          </w:p>
        </w:tc>
        <w:tc>
          <w:tcPr>
            <w:tcW w:w="2841" w:type="dxa"/>
          </w:tcPr>
          <w:p w14:paraId="3F8FA290">
            <w:pPr>
              <w:pStyle w:val="38"/>
              <w:spacing w:line="360" w:lineRule="auto"/>
              <w:rPr>
                <w:highlight w:val="none"/>
              </w:rPr>
            </w:pPr>
          </w:p>
        </w:tc>
        <w:tc>
          <w:tcPr>
            <w:tcW w:w="2743" w:type="dxa"/>
          </w:tcPr>
          <w:p w14:paraId="045C569E">
            <w:pPr>
              <w:pStyle w:val="38"/>
              <w:spacing w:line="360" w:lineRule="auto"/>
              <w:rPr>
                <w:highlight w:val="none"/>
              </w:rPr>
            </w:pPr>
          </w:p>
        </w:tc>
      </w:tr>
      <w:tr w14:paraId="3261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EBCD365">
            <w:pPr>
              <w:pStyle w:val="38"/>
              <w:spacing w:line="360" w:lineRule="auto"/>
              <w:rPr>
                <w:highlight w:val="none"/>
              </w:rPr>
            </w:pPr>
          </w:p>
        </w:tc>
        <w:tc>
          <w:tcPr>
            <w:tcW w:w="2841" w:type="dxa"/>
          </w:tcPr>
          <w:p w14:paraId="4D06937F">
            <w:pPr>
              <w:pStyle w:val="38"/>
              <w:spacing w:line="360" w:lineRule="auto"/>
              <w:rPr>
                <w:highlight w:val="none"/>
              </w:rPr>
            </w:pPr>
          </w:p>
        </w:tc>
        <w:tc>
          <w:tcPr>
            <w:tcW w:w="2743" w:type="dxa"/>
          </w:tcPr>
          <w:p w14:paraId="105545C2">
            <w:pPr>
              <w:pStyle w:val="38"/>
              <w:spacing w:line="360" w:lineRule="auto"/>
              <w:rPr>
                <w:highlight w:val="none"/>
              </w:rPr>
            </w:pPr>
          </w:p>
        </w:tc>
      </w:tr>
    </w:tbl>
    <w:p w14:paraId="6E5DA1DD">
      <w:pPr>
        <w:spacing w:line="360" w:lineRule="auto"/>
        <w:rPr>
          <w:highlight w:val="none"/>
        </w:rPr>
      </w:pPr>
      <w:r>
        <w:rPr>
          <w:rFonts w:hint="eastAsia"/>
          <w:highlight w:val="none"/>
          <w:lang w:bidi="ar"/>
        </w:rPr>
        <w:t xml:space="preserve">注：1.供应商如为联合体，则应填写联合体各成员信息。 </w:t>
      </w:r>
    </w:p>
    <w:p w14:paraId="19177FC4">
      <w:pPr>
        <w:spacing w:line="360" w:lineRule="auto"/>
        <w:rPr>
          <w:highlight w:val="none"/>
          <w:lang w:bidi="ar"/>
        </w:rPr>
      </w:pPr>
      <w:r>
        <w:rPr>
          <w:rFonts w:hint="eastAsia"/>
          <w:highlight w:val="none"/>
          <w:lang w:bidi="ar"/>
        </w:rPr>
        <w:t>2.“供应商实际控制人性别”按供应商实际控制人性别划分请填写“男”或“女”，指拥有供应商 51%以上绝对所有权的性别；绝对所有权拥有者可以是一个人，也可以是多人合计计算。</w:t>
      </w:r>
    </w:p>
    <w:p w14:paraId="358D4C02">
      <w:pPr>
        <w:pStyle w:val="38"/>
        <w:spacing w:line="360" w:lineRule="auto"/>
        <w:rPr>
          <w:highlight w:val="none"/>
        </w:rPr>
      </w:pPr>
      <w:r>
        <w:rPr>
          <w:rFonts w:hint="eastAsia"/>
          <w:highlight w:val="none"/>
          <w:lang w:bidi="ar"/>
        </w:rPr>
        <w:t>3.“外商投资类型”请填写“外商单独投资”、“外商部分投资”或“内资”。</w:t>
      </w:r>
    </w:p>
    <w:p w14:paraId="08A9BF59">
      <w:pPr>
        <w:pStyle w:val="38"/>
        <w:spacing w:line="360" w:lineRule="auto"/>
        <w:rPr>
          <w:highlight w:val="none"/>
        </w:rPr>
      </w:pPr>
    </w:p>
    <w:p w14:paraId="731E6BE8">
      <w:pPr>
        <w:pStyle w:val="38"/>
        <w:spacing w:line="360" w:lineRule="auto"/>
        <w:rPr>
          <w:highlight w:val="none"/>
        </w:rPr>
      </w:pPr>
      <w:r>
        <w:rPr>
          <w:rFonts w:hint="eastAsia"/>
          <w:highlight w:val="none"/>
        </w:rPr>
        <w:t>1.2其它商务、技术资料和证明材料</w:t>
      </w:r>
    </w:p>
    <w:p w14:paraId="711E946C">
      <w:pPr>
        <w:pStyle w:val="38"/>
        <w:spacing w:line="360" w:lineRule="auto"/>
        <w:rPr>
          <w:highlight w:val="none"/>
        </w:rPr>
      </w:pPr>
    </w:p>
    <w:p w14:paraId="3D30D7DD">
      <w:pPr>
        <w:pStyle w:val="38"/>
        <w:spacing w:line="360" w:lineRule="auto"/>
        <w:rPr>
          <w:highlight w:val="none"/>
        </w:rPr>
      </w:pPr>
      <w:r>
        <w:rPr>
          <w:rFonts w:hint="eastAsia"/>
          <w:highlight w:val="none"/>
        </w:rPr>
        <w:t>（</w:t>
      </w:r>
      <w:r>
        <w:rPr>
          <w:rFonts w:hint="eastAsia"/>
          <w:highlight w:val="none"/>
          <w:lang w:val="en-US"/>
        </w:rPr>
        <w:t>二）</w:t>
      </w:r>
      <w:r>
        <w:rPr>
          <w:rFonts w:hint="eastAsia"/>
          <w:highlight w:val="none"/>
        </w:rPr>
        <w:t>投标人认为需要提供的其它商务、技术资料和说明。</w:t>
      </w:r>
    </w:p>
    <w:p w14:paraId="15D61107">
      <w:pPr>
        <w:spacing w:line="360" w:lineRule="auto"/>
        <w:rPr>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CFD982-44ED-4502-8F9A-AD20CD383878}"/>
  </w:font>
  <w:font w:name="Arial">
    <w:panose1 w:val="020B0604020202020204"/>
    <w:charset w:val="01"/>
    <w:family w:val="swiss"/>
    <w:pitch w:val="default"/>
    <w:sig w:usb0="E0002EFF" w:usb1="C000785B" w:usb2="00000009" w:usb3="00000000" w:csb0="400001FF" w:csb1="FFFF0000"/>
    <w:embedRegular r:id="rId2" w:fontKey="{CB934599-9CB2-4A9D-80A2-BB2D617B24F5}"/>
  </w:font>
  <w:font w:name="黑体">
    <w:panose1 w:val="02010609060101010101"/>
    <w:charset w:val="86"/>
    <w:family w:val="auto"/>
    <w:pitch w:val="default"/>
    <w:sig w:usb0="800002BF" w:usb1="38CF7CFA" w:usb2="00000016" w:usb3="00000000" w:csb0="00040001" w:csb1="00000000"/>
    <w:embedRegular r:id="rId3" w:fontKey="{1EE8E584-8A85-4446-819F-4E9A88E1B4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143F846-FE63-4791-8C9D-26CFF98A267D}"/>
  </w:font>
  <w:font w:name="等线 Light">
    <w:panose1 w:val="02010600030101010101"/>
    <w:charset w:val="86"/>
    <w:family w:val="auto"/>
    <w:pitch w:val="default"/>
    <w:sig w:usb0="A00002BF" w:usb1="38CF7CFA" w:usb2="00000016" w:usb3="00000000" w:csb0="0004000F" w:csb1="00000000"/>
    <w:embedRegular r:id="rId5" w:fontKey="{845344A4-0687-45DA-87BB-D2A42B826658}"/>
  </w:font>
  <w:font w:name="仿宋">
    <w:panose1 w:val="02010609060101010101"/>
    <w:charset w:val="86"/>
    <w:family w:val="modern"/>
    <w:pitch w:val="default"/>
    <w:sig w:usb0="800002BF" w:usb1="38CF7CFA" w:usb2="00000016" w:usb3="00000000" w:csb0="00040001" w:csb1="00000000"/>
    <w:embedRegular r:id="rId6" w:fontKey="{7C905B2F-08F2-4B5C-8EEB-239E69A38CAA}"/>
  </w:font>
  <w:font w:name="等线">
    <w:panose1 w:val="02010600030101010101"/>
    <w:charset w:val="86"/>
    <w:family w:val="auto"/>
    <w:pitch w:val="default"/>
    <w:sig w:usb0="A00002BF" w:usb1="38CF7CFA" w:usb2="00000016" w:usb3="00000000" w:csb0="0004000F" w:csb1="00000000"/>
    <w:embedRegular r:id="rId7" w:fontKey="{27F9002F-68AA-48FE-83FE-2D7D8C22B608}"/>
  </w:font>
  <w:font w:name="仿宋_GB2312">
    <w:altName w:val="仿宋"/>
    <w:panose1 w:val="02010609030101010101"/>
    <w:charset w:val="86"/>
    <w:family w:val="modern"/>
    <w:pitch w:val="default"/>
    <w:sig w:usb0="00000000" w:usb1="00000000" w:usb2="00000010" w:usb3="00000000" w:csb0="00040000" w:csb1="00000000"/>
    <w:embedRegular r:id="rId8" w:fontKey="{19195A6F-77F0-476B-96B1-FB59E9B032DE}"/>
  </w:font>
  <w:font w:name="华文楷体">
    <w:altName w:val="宋体"/>
    <w:panose1 w:val="02010600040101010101"/>
    <w:charset w:val="86"/>
    <w:family w:val="auto"/>
    <w:pitch w:val="default"/>
    <w:sig w:usb0="00000000" w:usb1="00000000" w:usb2="00000010" w:usb3="00000000" w:csb0="0004009F" w:csb1="00000000"/>
    <w:embedRegular r:id="rId9" w:fontKey="{8CA11AB7-8680-42B1-ACB0-7EB138AB4494}"/>
  </w:font>
  <w:font w:name="Helvetica">
    <w:altName w:val="Arial"/>
    <w:panose1 w:val="020B0604020202020204"/>
    <w:charset w:val="00"/>
    <w:family w:val="swiss"/>
    <w:pitch w:val="default"/>
    <w:sig w:usb0="00000000" w:usb1="00000000" w:usb2="00000000" w:usb3="00000000" w:csb0="00000001" w:csb1="00000000"/>
  </w:font>
  <w:font w:name="Segoe UI Symbol">
    <w:panose1 w:val="020B0502040204020203"/>
    <w:charset w:val="00"/>
    <w:family w:val="swiss"/>
    <w:pitch w:val="default"/>
    <w:sig w:usb0="800001E3" w:usb1="1200FFEF" w:usb2="00040000" w:usb3="04000000" w:csb0="00000001" w:csb1="40000000"/>
    <w:embedRegular r:id="rId10" w:fontKey="{5D6D4C9D-E45B-4B57-BE12-4950A9B27F9E}"/>
  </w:font>
  <w:font w:name="FZShuSong-Z01">
    <w:altName w:val="Times New Roman"/>
    <w:panose1 w:val="00000000000000000000"/>
    <w:charset w:val="00"/>
    <w:family w:val="auto"/>
    <w:pitch w:val="default"/>
    <w:sig w:usb0="00000000" w:usb1="00000000" w:usb2="00000000" w:usb3="00000000" w:csb0="00000000" w:csb1="00000000"/>
    <w:embedRegular r:id="rId11" w:fontKey="{8DF858C3-9B46-456C-A936-A39B890C0E33}"/>
  </w:font>
  <w:font w:name="Bookman Old Style">
    <w:altName w:val="Segoe Print"/>
    <w:panose1 w:val="02050604050505020204"/>
    <w:charset w:val="00"/>
    <w:family w:val="roman"/>
    <w:pitch w:val="default"/>
    <w:sig w:usb0="00000000" w:usb1="00000000" w:usb2="00000000" w:usb3="00000000" w:csb0="0000009F" w:csb1="00000000"/>
    <w:embedRegular r:id="rId12" w:fontKey="{1C4919F5-1820-4F14-BD5C-97C0BDC2F7F0}"/>
  </w:font>
  <w:font w:name="Segoe Print">
    <w:panose1 w:val="02000600000000000000"/>
    <w:charset w:val="00"/>
    <w:family w:val="auto"/>
    <w:pitch w:val="default"/>
    <w:sig w:usb0="0000028F" w:usb1="00000000" w:usb2="00000000" w:usb3="00000000" w:csb0="2000009F" w:csb1="47010000"/>
  </w:font>
  <w:font w:name="方正中等线_GBK">
    <w:altName w:val="宋体"/>
    <w:panose1 w:val="00000000000000000000"/>
    <w:charset w:val="86"/>
    <w:family w:val="auto"/>
    <w:pitch w:val="default"/>
    <w:sig w:usb0="00000000" w:usb1="00000000" w:usb2="00000000" w:usb3="00000000" w:csb0="00040000" w:csb1="00000000"/>
    <w:embedRegular r:id="rId13" w:fontKey="{41E3C035-0239-431D-ADD6-0E08A0D43E88}"/>
  </w:font>
  <w:font w:name="方正仿宋_GB2312">
    <w:altName w:val="仿宋"/>
    <w:panose1 w:val="00000000000000000000"/>
    <w:charset w:val="7A"/>
    <w:family w:val="auto"/>
    <w:pitch w:val="default"/>
    <w:sig w:usb0="00000000" w:usb1="00000000" w:usb2="00000012" w:usb3="00000000" w:csb0="00040001" w:csb1="00000000"/>
    <w:embedRegular r:id="rId14" w:fontKey="{FFD36985-FAB2-4D82-B36B-DA509A435581}"/>
  </w:font>
  <w:font w:name="DejaVuSans">
    <w:altName w:val="Times New Roman"/>
    <w:panose1 w:val="00000000000000000000"/>
    <w:charset w:val="00"/>
    <w:family w:val="auto"/>
    <w:pitch w:val="default"/>
    <w:sig w:usb0="00000000" w:usb1="00000000" w:usb2="00000000" w:usb3="00000000" w:csb0="00000000" w:csb1="00000000"/>
    <w:embedRegular r:id="rId15" w:fontKey="{DE7A7F52-9DFE-4A7E-ABEC-466B4CB8E47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F40D6">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222F6E5A">
                              <w:pPr>
                                <w:pStyle w:val="20"/>
                              </w:pPr>
                              <w:r>
                                <w:fldChar w:fldCharType="begin"/>
                              </w:r>
                              <w:r>
                                <w:instrText xml:space="preserve">PAGE   \* MERGEFORMAT</w:instrText>
                              </w:r>
                              <w:r>
                                <w:fldChar w:fldCharType="separate"/>
                              </w:r>
                              <w:r>
                                <w:rPr>
                                  <w:lang w:val="zh-CN"/>
                                </w:rPr>
                                <w:t>-</w:t>
                              </w:r>
                              <w:r>
                                <w:t xml:space="preserve"> 4 -</w:t>
                              </w:r>
                              <w:r>
                                <w:fldChar w:fldCharType="end"/>
                              </w:r>
                            </w:p>
                          </w:sdtContent>
                        </w:sdt>
                        <w:p w14:paraId="10A92B1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222F6E5A">
                        <w:pPr>
                          <w:pStyle w:val="20"/>
                        </w:pPr>
                        <w:r>
                          <w:fldChar w:fldCharType="begin"/>
                        </w:r>
                        <w:r>
                          <w:instrText xml:space="preserve">PAGE   \* MERGEFORMAT</w:instrText>
                        </w:r>
                        <w:r>
                          <w:fldChar w:fldCharType="separate"/>
                        </w:r>
                        <w:r>
                          <w:rPr>
                            <w:lang w:val="zh-CN"/>
                          </w:rPr>
                          <w:t>-</w:t>
                        </w:r>
                        <w:r>
                          <w:t xml:space="preserve"> 4 -</w:t>
                        </w:r>
                        <w:r>
                          <w:fldChar w:fldCharType="end"/>
                        </w:r>
                      </w:p>
                    </w:sdtContent>
                  </w:sdt>
                  <w:p w14:paraId="10A92B1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821FD">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D4E35">
                          <w:pPr>
                            <w:pStyle w:val="20"/>
                          </w:pPr>
                          <w:r>
                            <w:fldChar w:fldCharType="begin"/>
                          </w:r>
                          <w:r>
                            <w:instrText xml:space="preserve"> PAGE  \* MERGEFORMAT </w:instrText>
                          </w:r>
                          <w:r>
                            <w:fldChar w:fldCharType="separate"/>
                          </w:r>
                          <w:r>
                            <w:t>- 96 -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0CD4E35">
                    <w:pPr>
                      <w:pStyle w:val="20"/>
                    </w:pPr>
                    <w:r>
                      <w:fldChar w:fldCharType="begin"/>
                    </w:r>
                    <w:r>
                      <w:instrText xml:space="preserve"> PAGE  \* MERGEFORMAT </w:instrText>
                    </w:r>
                    <w:r>
                      <w:fldChar w:fldCharType="separate"/>
                    </w:r>
                    <w:r>
                      <w:t>- 96 -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F1F7E">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FB2F8">
                          <w:pPr>
                            <w:pStyle w:val="20"/>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79BFB2F8">
                    <w:pPr>
                      <w:pStyle w:val="20"/>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8F503">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7276471"/>
                          </w:sdtPr>
                          <w:sdtContent>
                            <w:p w14:paraId="5B910CBC">
                              <w:pPr>
                                <w:pStyle w:val="20"/>
                              </w:pPr>
                              <w:r>
                                <w:fldChar w:fldCharType="begin"/>
                              </w:r>
                              <w:r>
                                <w:instrText xml:space="preserve">PAGE   \* MERGEFORMAT</w:instrText>
                              </w:r>
                              <w:r>
                                <w:fldChar w:fldCharType="separate"/>
                              </w:r>
                              <w:r>
                                <w:rPr>
                                  <w:lang w:val="zh-CN"/>
                                </w:rPr>
                                <w:t>-</w:t>
                              </w:r>
                              <w:r>
                                <w:t xml:space="preserve"> 143 -</w:t>
                              </w:r>
                              <w:r>
                                <w:fldChar w:fldCharType="end"/>
                              </w:r>
                            </w:p>
                          </w:sdtContent>
                        </w:sdt>
                        <w:p w14:paraId="66A277F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87276471"/>
                    </w:sdtPr>
                    <w:sdtContent>
                      <w:p w14:paraId="5B910CBC">
                        <w:pPr>
                          <w:pStyle w:val="20"/>
                        </w:pPr>
                        <w:r>
                          <w:fldChar w:fldCharType="begin"/>
                        </w:r>
                        <w:r>
                          <w:instrText xml:space="preserve">PAGE   \* MERGEFORMAT</w:instrText>
                        </w:r>
                        <w:r>
                          <w:fldChar w:fldCharType="separate"/>
                        </w:r>
                        <w:r>
                          <w:rPr>
                            <w:lang w:val="zh-CN"/>
                          </w:rPr>
                          <w:t>-</w:t>
                        </w:r>
                        <w:r>
                          <w:t xml:space="preserve"> 143 -</w:t>
                        </w:r>
                        <w:r>
                          <w:fldChar w:fldCharType="end"/>
                        </w:r>
                      </w:p>
                    </w:sdtContent>
                  </w:sdt>
                  <w:p w14:paraId="66A277F0"/>
                </w:txbxContent>
              </v:textbox>
            </v:shape>
          </w:pict>
        </mc:Fallback>
      </mc:AlternateContent>
    </w:r>
  </w:p>
  <w:p w14:paraId="4BAC4E87">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55C93">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217BE">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DB149303"/>
    <w:multiLevelType w:val="singleLevel"/>
    <w:tmpl w:val="DB149303"/>
    <w:lvl w:ilvl="0" w:tentative="0">
      <w:start w:val="3"/>
      <w:numFmt w:val="decimal"/>
      <w:lvlText w:val="%1."/>
      <w:lvlJc w:val="left"/>
      <w:pPr>
        <w:tabs>
          <w:tab w:val="left" w:pos="312"/>
        </w:tabs>
      </w:pPr>
    </w:lvl>
  </w:abstractNum>
  <w:abstractNum w:abstractNumId="2">
    <w:nsid w:val="EFCD094D"/>
    <w:multiLevelType w:val="singleLevel"/>
    <w:tmpl w:val="EFCD094D"/>
    <w:lvl w:ilvl="0" w:tentative="0">
      <w:start w:val="8"/>
      <w:numFmt w:val="chineseCounting"/>
      <w:suff w:val="nothing"/>
      <w:lvlText w:val="%1、"/>
      <w:lvlJc w:val="left"/>
      <w:rPr>
        <w:rFonts w:hint="eastAsia"/>
      </w:rPr>
    </w:lvl>
  </w:abstractNum>
  <w:abstractNum w:abstractNumId="3">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1CF1"/>
    <w:rsid w:val="0000366A"/>
    <w:rsid w:val="00006F7F"/>
    <w:rsid w:val="00007003"/>
    <w:rsid w:val="000075B7"/>
    <w:rsid w:val="00010813"/>
    <w:rsid w:val="000237EA"/>
    <w:rsid w:val="00027CD2"/>
    <w:rsid w:val="00031E0C"/>
    <w:rsid w:val="000343E9"/>
    <w:rsid w:val="00040832"/>
    <w:rsid w:val="00040D23"/>
    <w:rsid w:val="000439DA"/>
    <w:rsid w:val="00050E96"/>
    <w:rsid w:val="00063604"/>
    <w:rsid w:val="0006370A"/>
    <w:rsid w:val="00065225"/>
    <w:rsid w:val="00066832"/>
    <w:rsid w:val="00067934"/>
    <w:rsid w:val="000720BF"/>
    <w:rsid w:val="00080B92"/>
    <w:rsid w:val="0008641D"/>
    <w:rsid w:val="000A05FC"/>
    <w:rsid w:val="000A139B"/>
    <w:rsid w:val="000B39A0"/>
    <w:rsid w:val="000B7088"/>
    <w:rsid w:val="000B7553"/>
    <w:rsid w:val="000C3E03"/>
    <w:rsid w:val="000C488D"/>
    <w:rsid w:val="000C5162"/>
    <w:rsid w:val="000C52EC"/>
    <w:rsid w:val="000D0230"/>
    <w:rsid w:val="000D0AD3"/>
    <w:rsid w:val="000E45BD"/>
    <w:rsid w:val="000E4E33"/>
    <w:rsid w:val="000E67CF"/>
    <w:rsid w:val="000F20FD"/>
    <w:rsid w:val="000F39B0"/>
    <w:rsid w:val="001008D8"/>
    <w:rsid w:val="001022A4"/>
    <w:rsid w:val="001140B1"/>
    <w:rsid w:val="00115EF7"/>
    <w:rsid w:val="00130CD4"/>
    <w:rsid w:val="0013202C"/>
    <w:rsid w:val="0013642D"/>
    <w:rsid w:val="00146410"/>
    <w:rsid w:val="00150D67"/>
    <w:rsid w:val="00150EAD"/>
    <w:rsid w:val="00156600"/>
    <w:rsid w:val="00160E9C"/>
    <w:rsid w:val="00171097"/>
    <w:rsid w:val="00171DA0"/>
    <w:rsid w:val="00172190"/>
    <w:rsid w:val="00172A27"/>
    <w:rsid w:val="00173480"/>
    <w:rsid w:val="00181988"/>
    <w:rsid w:val="00182557"/>
    <w:rsid w:val="00182EF2"/>
    <w:rsid w:val="0018304A"/>
    <w:rsid w:val="001904E9"/>
    <w:rsid w:val="001A119B"/>
    <w:rsid w:val="001A77DE"/>
    <w:rsid w:val="001B025C"/>
    <w:rsid w:val="001B36EC"/>
    <w:rsid w:val="001D7B23"/>
    <w:rsid w:val="001E07C7"/>
    <w:rsid w:val="001E2F56"/>
    <w:rsid w:val="001E6E56"/>
    <w:rsid w:val="001F41C3"/>
    <w:rsid w:val="001F5E77"/>
    <w:rsid w:val="0020303E"/>
    <w:rsid w:val="00204A2D"/>
    <w:rsid w:val="002062E6"/>
    <w:rsid w:val="00207131"/>
    <w:rsid w:val="0022214D"/>
    <w:rsid w:val="00223585"/>
    <w:rsid w:val="002257E4"/>
    <w:rsid w:val="002317DB"/>
    <w:rsid w:val="00232245"/>
    <w:rsid w:val="0023265E"/>
    <w:rsid w:val="00235B5A"/>
    <w:rsid w:val="00250B7B"/>
    <w:rsid w:val="00251060"/>
    <w:rsid w:val="002514A3"/>
    <w:rsid w:val="00256B32"/>
    <w:rsid w:val="00256D01"/>
    <w:rsid w:val="00267D9F"/>
    <w:rsid w:val="002706F2"/>
    <w:rsid w:val="00271135"/>
    <w:rsid w:val="002713BB"/>
    <w:rsid w:val="0027241D"/>
    <w:rsid w:val="00285E30"/>
    <w:rsid w:val="002926B7"/>
    <w:rsid w:val="00292BAB"/>
    <w:rsid w:val="002A1AEC"/>
    <w:rsid w:val="002A1BCB"/>
    <w:rsid w:val="002A5262"/>
    <w:rsid w:val="002A6484"/>
    <w:rsid w:val="002A79C6"/>
    <w:rsid w:val="002C06B9"/>
    <w:rsid w:val="002C0FDD"/>
    <w:rsid w:val="002C5E37"/>
    <w:rsid w:val="002C7330"/>
    <w:rsid w:val="002D11F7"/>
    <w:rsid w:val="002D48C5"/>
    <w:rsid w:val="002E0B52"/>
    <w:rsid w:val="002E1CF4"/>
    <w:rsid w:val="002E5FED"/>
    <w:rsid w:val="002F0DA9"/>
    <w:rsid w:val="003113C1"/>
    <w:rsid w:val="00312C3A"/>
    <w:rsid w:val="0031353D"/>
    <w:rsid w:val="0032037A"/>
    <w:rsid w:val="0032200D"/>
    <w:rsid w:val="0032700F"/>
    <w:rsid w:val="00330E68"/>
    <w:rsid w:val="00333B37"/>
    <w:rsid w:val="003365FA"/>
    <w:rsid w:val="0034487B"/>
    <w:rsid w:val="00347CC6"/>
    <w:rsid w:val="00347D88"/>
    <w:rsid w:val="00350BCD"/>
    <w:rsid w:val="00351964"/>
    <w:rsid w:val="0035643C"/>
    <w:rsid w:val="00366226"/>
    <w:rsid w:val="003746B0"/>
    <w:rsid w:val="00374A6B"/>
    <w:rsid w:val="00383E1C"/>
    <w:rsid w:val="00387656"/>
    <w:rsid w:val="00390D4A"/>
    <w:rsid w:val="0039222E"/>
    <w:rsid w:val="0039288A"/>
    <w:rsid w:val="00393395"/>
    <w:rsid w:val="0039372E"/>
    <w:rsid w:val="00394AF5"/>
    <w:rsid w:val="003A19A4"/>
    <w:rsid w:val="003A1A1B"/>
    <w:rsid w:val="003A1B51"/>
    <w:rsid w:val="003A4485"/>
    <w:rsid w:val="003A4878"/>
    <w:rsid w:val="003B4310"/>
    <w:rsid w:val="003B60A6"/>
    <w:rsid w:val="003C0669"/>
    <w:rsid w:val="003C3D42"/>
    <w:rsid w:val="003C5883"/>
    <w:rsid w:val="003C7C49"/>
    <w:rsid w:val="003D3327"/>
    <w:rsid w:val="003D6656"/>
    <w:rsid w:val="003E057C"/>
    <w:rsid w:val="003E2B14"/>
    <w:rsid w:val="003E314B"/>
    <w:rsid w:val="003F5655"/>
    <w:rsid w:val="003F5BC6"/>
    <w:rsid w:val="004021C6"/>
    <w:rsid w:val="004054FD"/>
    <w:rsid w:val="00406BEF"/>
    <w:rsid w:val="004071D7"/>
    <w:rsid w:val="00410595"/>
    <w:rsid w:val="00420F7C"/>
    <w:rsid w:val="0043307A"/>
    <w:rsid w:val="00433514"/>
    <w:rsid w:val="00446BB3"/>
    <w:rsid w:val="00450503"/>
    <w:rsid w:val="0045353D"/>
    <w:rsid w:val="004771C7"/>
    <w:rsid w:val="00481283"/>
    <w:rsid w:val="00481C3A"/>
    <w:rsid w:val="004851CA"/>
    <w:rsid w:val="0048656E"/>
    <w:rsid w:val="00493221"/>
    <w:rsid w:val="004A302C"/>
    <w:rsid w:val="004B539D"/>
    <w:rsid w:val="004C1FA1"/>
    <w:rsid w:val="004C3DCC"/>
    <w:rsid w:val="004C69D5"/>
    <w:rsid w:val="004D1658"/>
    <w:rsid w:val="004E0BF9"/>
    <w:rsid w:val="004E0CF9"/>
    <w:rsid w:val="004F3FDD"/>
    <w:rsid w:val="004F46AB"/>
    <w:rsid w:val="00501A4A"/>
    <w:rsid w:val="005032B9"/>
    <w:rsid w:val="005050AC"/>
    <w:rsid w:val="00507A3F"/>
    <w:rsid w:val="005100F2"/>
    <w:rsid w:val="00510300"/>
    <w:rsid w:val="00511D7B"/>
    <w:rsid w:val="00513AD5"/>
    <w:rsid w:val="005152EA"/>
    <w:rsid w:val="00517EB7"/>
    <w:rsid w:val="00523D37"/>
    <w:rsid w:val="00524831"/>
    <w:rsid w:val="0052616B"/>
    <w:rsid w:val="00532F25"/>
    <w:rsid w:val="00541D90"/>
    <w:rsid w:val="00542258"/>
    <w:rsid w:val="0054547C"/>
    <w:rsid w:val="0054602F"/>
    <w:rsid w:val="0054632A"/>
    <w:rsid w:val="00551EDC"/>
    <w:rsid w:val="005544D1"/>
    <w:rsid w:val="00554509"/>
    <w:rsid w:val="00561523"/>
    <w:rsid w:val="00561527"/>
    <w:rsid w:val="0056667D"/>
    <w:rsid w:val="00570F55"/>
    <w:rsid w:val="005714C6"/>
    <w:rsid w:val="00594E7A"/>
    <w:rsid w:val="005A146E"/>
    <w:rsid w:val="005A43A2"/>
    <w:rsid w:val="005A7208"/>
    <w:rsid w:val="005A7987"/>
    <w:rsid w:val="005B448B"/>
    <w:rsid w:val="005B5936"/>
    <w:rsid w:val="005C0D20"/>
    <w:rsid w:val="005C490A"/>
    <w:rsid w:val="005D050C"/>
    <w:rsid w:val="005D6A2E"/>
    <w:rsid w:val="005F7A46"/>
    <w:rsid w:val="0060491B"/>
    <w:rsid w:val="00605917"/>
    <w:rsid w:val="00611383"/>
    <w:rsid w:val="00620B1C"/>
    <w:rsid w:val="00626E33"/>
    <w:rsid w:val="006407ED"/>
    <w:rsid w:val="0064251F"/>
    <w:rsid w:val="00643F74"/>
    <w:rsid w:val="006503AE"/>
    <w:rsid w:val="00651EE4"/>
    <w:rsid w:val="00654524"/>
    <w:rsid w:val="00654BCF"/>
    <w:rsid w:val="0066052B"/>
    <w:rsid w:val="006610AB"/>
    <w:rsid w:val="006630EF"/>
    <w:rsid w:val="0066446E"/>
    <w:rsid w:val="0066601A"/>
    <w:rsid w:val="006662AB"/>
    <w:rsid w:val="00674212"/>
    <w:rsid w:val="0067621A"/>
    <w:rsid w:val="006815D1"/>
    <w:rsid w:val="00685242"/>
    <w:rsid w:val="0068646F"/>
    <w:rsid w:val="00687DD5"/>
    <w:rsid w:val="006923C3"/>
    <w:rsid w:val="006937E9"/>
    <w:rsid w:val="006939BF"/>
    <w:rsid w:val="00693EF9"/>
    <w:rsid w:val="006947A5"/>
    <w:rsid w:val="006A161A"/>
    <w:rsid w:val="006A1A11"/>
    <w:rsid w:val="006A2C75"/>
    <w:rsid w:val="006A4105"/>
    <w:rsid w:val="006B0C84"/>
    <w:rsid w:val="006B543B"/>
    <w:rsid w:val="006B7E54"/>
    <w:rsid w:val="006C0BD1"/>
    <w:rsid w:val="006C30C8"/>
    <w:rsid w:val="006C5139"/>
    <w:rsid w:val="006C575A"/>
    <w:rsid w:val="006C69FC"/>
    <w:rsid w:val="006C728D"/>
    <w:rsid w:val="006D069F"/>
    <w:rsid w:val="006D2C95"/>
    <w:rsid w:val="006D5F8F"/>
    <w:rsid w:val="006D6CEA"/>
    <w:rsid w:val="006E3168"/>
    <w:rsid w:val="006E3B5C"/>
    <w:rsid w:val="006E3EB8"/>
    <w:rsid w:val="006F7368"/>
    <w:rsid w:val="00707B1D"/>
    <w:rsid w:val="00710909"/>
    <w:rsid w:val="00716369"/>
    <w:rsid w:val="00723649"/>
    <w:rsid w:val="007263A5"/>
    <w:rsid w:val="007265C3"/>
    <w:rsid w:val="00735F23"/>
    <w:rsid w:val="00740CEF"/>
    <w:rsid w:val="00742261"/>
    <w:rsid w:val="00750CFB"/>
    <w:rsid w:val="00752C5E"/>
    <w:rsid w:val="007531F9"/>
    <w:rsid w:val="00754832"/>
    <w:rsid w:val="00762FE7"/>
    <w:rsid w:val="00764378"/>
    <w:rsid w:val="0076591F"/>
    <w:rsid w:val="00766F0F"/>
    <w:rsid w:val="00773B9A"/>
    <w:rsid w:val="0077582F"/>
    <w:rsid w:val="007862C9"/>
    <w:rsid w:val="0079007B"/>
    <w:rsid w:val="007A0F22"/>
    <w:rsid w:val="007B5C1A"/>
    <w:rsid w:val="007C03A0"/>
    <w:rsid w:val="007C2BEF"/>
    <w:rsid w:val="007C421F"/>
    <w:rsid w:val="007D3D77"/>
    <w:rsid w:val="007E157B"/>
    <w:rsid w:val="007E2EF7"/>
    <w:rsid w:val="007E4818"/>
    <w:rsid w:val="007E6A7E"/>
    <w:rsid w:val="007F33F3"/>
    <w:rsid w:val="007F6124"/>
    <w:rsid w:val="00801BDF"/>
    <w:rsid w:val="00802B86"/>
    <w:rsid w:val="00815AD6"/>
    <w:rsid w:val="0082448D"/>
    <w:rsid w:val="0082514B"/>
    <w:rsid w:val="00830599"/>
    <w:rsid w:val="008334B0"/>
    <w:rsid w:val="0083496F"/>
    <w:rsid w:val="0083530F"/>
    <w:rsid w:val="00836468"/>
    <w:rsid w:val="0084055F"/>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364A"/>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18C4"/>
    <w:rsid w:val="00942816"/>
    <w:rsid w:val="00945D17"/>
    <w:rsid w:val="00951FEE"/>
    <w:rsid w:val="00965FBF"/>
    <w:rsid w:val="00973941"/>
    <w:rsid w:val="0097751F"/>
    <w:rsid w:val="00980255"/>
    <w:rsid w:val="009804FA"/>
    <w:rsid w:val="00981BFE"/>
    <w:rsid w:val="00985B78"/>
    <w:rsid w:val="0098649F"/>
    <w:rsid w:val="00993A30"/>
    <w:rsid w:val="00993AFA"/>
    <w:rsid w:val="0099686E"/>
    <w:rsid w:val="00996DF2"/>
    <w:rsid w:val="009A41B0"/>
    <w:rsid w:val="009A4756"/>
    <w:rsid w:val="009A4C46"/>
    <w:rsid w:val="009A4DBF"/>
    <w:rsid w:val="009A6FDC"/>
    <w:rsid w:val="009B3513"/>
    <w:rsid w:val="009B39EA"/>
    <w:rsid w:val="009B6A72"/>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570"/>
    <w:rsid w:val="00A3295D"/>
    <w:rsid w:val="00A33652"/>
    <w:rsid w:val="00A3798C"/>
    <w:rsid w:val="00A406C8"/>
    <w:rsid w:val="00A42866"/>
    <w:rsid w:val="00A461C1"/>
    <w:rsid w:val="00A46B5C"/>
    <w:rsid w:val="00A47887"/>
    <w:rsid w:val="00A50D6E"/>
    <w:rsid w:val="00A51DD8"/>
    <w:rsid w:val="00A647EA"/>
    <w:rsid w:val="00A736C6"/>
    <w:rsid w:val="00A82472"/>
    <w:rsid w:val="00A83666"/>
    <w:rsid w:val="00A83F1F"/>
    <w:rsid w:val="00A8416F"/>
    <w:rsid w:val="00A84F1A"/>
    <w:rsid w:val="00A852C2"/>
    <w:rsid w:val="00AA0223"/>
    <w:rsid w:val="00AB28B8"/>
    <w:rsid w:val="00AB3B77"/>
    <w:rsid w:val="00AC57B7"/>
    <w:rsid w:val="00AC73C5"/>
    <w:rsid w:val="00AC755C"/>
    <w:rsid w:val="00AD0E13"/>
    <w:rsid w:val="00AD5ABF"/>
    <w:rsid w:val="00AD69A0"/>
    <w:rsid w:val="00AD74B7"/>
    <w:rsid w:val="00AF45C5"/>
    <w:rsid w:val="00AF5667"/>
    <w:rsid w:val="00AF6366"/>
    <w:rsid w:val="00AF691F"/>
    <w:rsid w:val="00B02521"/>
    <w:rsid w:val="00B05DD5"/>
    <w:rsid w:val="00B0661C"/>
    <w:rsid w:val="00B12477"/>
    <w:rsid w:val="00B13343"/>
    <w:rsid w:val="00B1354B"/>
    <w:rsid w:val="00B220B2"/>
    <w:rsid w:val="00B23942"/>
    <w:rsid w:val="00B32474"/>
    <w:rsid w:val="00B355C3"/>
    <w:rsid w:val="00B35E2D"/>
    <w:rsid w:val="00B4327E"/>
    <w:rsid w:val="00B467A4"/>
    <w:rsid w:val="00B5286D"/>
    <w:rsid w:val="00B545BC"/>
    <w:rsid w:val="00B561E8"/>
    <w:rsid w:val="00B61032"/>
    <w:rsid w:val="00B61D2E"/>
    <w:rsid w:val="00B625E7"/>
    <w:rsid w:val="00B628AA"/>
    <w:rsid w:val="00B71854"/>
    <w:rsid w:val="00B71DA4"/>
    <w:rsid w:val="00B7235B"/>
    <w:rsid w:val="00B76348"/>
    <w:rsid w:val="00B802BC"/>
    <w:rsid w:val="00B81261"/>
    <w:rsid w:val="00B82556"/>
    <w:rsid w:val="00B87655"/>
    <w:rsid w:val="00B87801"/>
    <w:rsid w:val="00B90771"/>
    <w:rsid w:val="00B92871"/>
    <w:rsid w:val="00B928DA"/>
    <w:rsid w:val="00B94EF1"/>
    <w:rsid w:val="00BA4749"/>
    <w:rsid w:val="00BA5AC3"/>
    <w:rsid w:val="00BA630D"/>
    <w:rsid w:val="00BA7D62"/>
    <w:rsid w:val="00BB06B4"/>
    <w:rsid w:val="00BB2551"/>
    <w:rsid w:val="00BB4892"/>
    <w:rsid w:val="00BB5E9B"/>
    <w:rsid w:val="00BB7BC2"/>
    <w:rsid w:val="00BC1A44"/>
    <w:rsid w:val="00BC5C37"/>
    <w:rsid w:val="00BC6DCC"/>
    <w:rsid w:val="00BC757B"/>
    <w:rsid w:val="00BC7ED2"/>
    <w:rsid w:val="00BD0190"/>
    <w:rsid w:val="00BD0B37"/>
    <w:rsid w:val="00BE212E"/>
    <w:rsid w:val="00BE4AAB"/>
    <w:rsid w:val="00BE5086"/>
    <w:rsid w:val="00BF4971"/>
    <w:rsid w:val="00C07F40"/>
    <w:rsid w:val="00C12E85"/>
    <w:rsid w:val="00C16A79"/>
    <w:rsid w:val="00C20278"/>
    <w:rsid w:val="00C22791"/>
    <w:rsid w:val="00C22E5F"/>
    <w:rsid w:val="00C236DC"/>
    <w:rsid w:val="00C31B7F"/>
    <w:rsid w:val="00C32F79"/>
    <w:rsid w:val="00C33FD2"/>
    <w:rsid w:val="00C35271"/>
    <w:rsid w:val="00C4036A"/>
    <w:rsid w:val="00C4567E"/>
    <w:rsid w:val="00C50E28"/>
    <w:rsid w:val="00C62934"/>
    <w:rsid w:val="00C64428"/>
    <w:rsid w:val="00C74D6F"/>
    <w:rsid w:val="00C842DE"/>
    <w:rsid w:val="00C902FB"/>
    <w:rsid w:val="00C965AE"/>
    <w:rsid w:val="00CA0AED"/>
    <w:rsid w:val="00CA1EC2"/>
    <w:rsid w:val="00CA66E6"/>
    <w:rsid w:val="00CC29DE"/>
    <w:rsid w:val="00CC3B64"/>
    <w:rsid w:val="00CD37C6"/>
    <w:rsid w:val="00CD3BA4"/>
    <w:rsid w:val="00CD41AA"/>
    <w:rsid w:val="00CD4C32"/>
    <w:rsid w:val="00CD6943"/>
    <w:rsid w:val="00CE4846"/>
    <w:rsid w:val="00CE6C2F"/>
    <w:rsid w:val="00CE73CC"/>
    <w:rsid w:val="00CE7E9C"/>
    <w:rsid w:val="00CF2EF3"/>
    <w:rsid w:val="00CF3298"/>
    <w:rsid w:val="00D02F3B"/>
    <w:rsid w:val="00D0657B"/>
    <w:rsid w:val="00D10DBE"/>
    <w:rsid w:val="00D129CB"/>
    <w:rsid w:val="00D16A04"/>
    <w:rsid w:val="00D27C17"/>
    <w:rsid w:val="00D41B89"/>
    <w:rsid w:val="00D47EC9"/>
    <w:rsid w:val="00D47F27"/>
    <w:rsid w:val="00D5541F"/>
    <w:rsid w:val="00D557C2"/>
    <w:rsid w:val="00D57923"/>
    <w:rsid w:val="00D66387"/>
    <w:rsid w:val="00D741B6"/>
    <w:rsid w:val="00D74BD0"/>
    <w:rsid w:val="00D74FED"/>
    <w:rsid w:val="00D75A81"/>
    <w:rsid w:val="00D7761F"/>
    <w:rsid w:val="00D86806"/>
    <w:rsid w:val="00D86C35"/>
    <w:rsid w:val="00D91C2E"/>
    <w:rsid w:val="00D95499"/>
    <w:rsid w:val="00DB04FB"/>
    <w:rsid w:val="00DB6DFF"/>
    <w:rsid w:val="00DC003F"/>
    <w:rsid w:val="00DD0A0E"/>
    <w:rsid w:val="00DD2F61"/>
    <w:rsid w:val="00DE72B3"/>
    <w:rsid w:val="00DF4668"/>
    <w:rsid w:val="00E00172"/>
    <w:rsid w:val="00E0533A"/>
    <w:rsid w:val="00E0701A"/>
    <w:rsid w:val="00E131D1"/>
    <w:rsid w:val="00E1770D"/>
    <w:rsid w:val="00E17AA0"/>
    <w:rsid w:val="00E2655B"/>
    <w:rsid w:val="00E26E19"/>
    <w:rsid w:val="00E311AB"/>
    <w:rsid w:val="00E358BF"/>
    <w:rsid w:val="00E36EC8"/>
    <w:rsid w:val="00E44C12"/>
    <w:rsid w:val="00E51146"/>
    <w:rsid w:val="00E512A9"/>
    <w:rsid w:val="00E54AF9"/>
    <w:rsid w:val="00E55777"/>
    <w:rsid w:val="00E5624E"/>
    <w:rsid w:val="00E601D4"/>
    <w:rsid w:val="00E6307C"/>
    <w:rsid w:val="00E64C88"/>
    <w:rsid w:val="00E710AA"/>
    <w:rsid w:val="00E7179D"/>
    <w:rsid w:val="00E74832"/>
    <w:rsid w:val="00E81B04"/>
    <w:rsid w:val="00E820C5"/>
    <w:rsid w:val="00E84231"/>
    <w:rsid w:val="00E87550"/>
    <w:rsid w:val="00E90D74"/>
    <w:rsid w:val="00E9288B"/>
    <w:rsid w:val="00E9413F"/>
    <w:rsid w:val="00E973D2"/>
    <w:rsid w:val="00E97C2A"/>
    <w:rsid w:val="00EA0745"/>
    <w:rsid w:val="00EC7C64"/>
    <w:rsid w:val="00ED00D6"/>
    <w:rsid w:val="00EE0493"/>
    <w:rsid w:val="00EE26DC"/>
    <w:rsid w:val="00EE3FF1"/>
    <w:rsid w:val="00EE5816"/>
    <w:rsid w:val="00EF176F"/>
    <w:rsid w:val="00EF32B5"/>
    <w:rsid w:val="00F01E36"/>
    <w:rsid w:val="00F03292"/>
    <w:rsid w:val="00F0565C"/>
    <w:rsid w:val="00F104D1"/>
    <w:rsid w:val="00F1201F"/>
    <w:rsid w:val="00F121AE"/>
    <w:rsid w:val="00F15852"/>
    <w:rsid w:val="00F23F4B"/>
    <w:rsid w:val="00F462F0"/>
    <w:rsid w:val="00F46C50"/>
    <w:rsid w:val="00F56CD7"/>
    <w:rsid w:val="00F60B61"/>
    <w:rsid w:val="00F63D03"/>
    <w:rsid w:val="00F66E89"/>
    <w:rsid w:val="00F67822"/>
    <w:rsid w:val="00F70621"/>
    <w:rsid w:val="00F74182"/>
    <w:rsid w:val="00F7607A"/>
    <w:rsid w:val="00F8517B"/>
    <w:rsid w:val="00F90250"/>
    <w:rsid w:val="00F91395"/>
    <w:rsid w:val="00F961D7"/>
    <w:rsid w:val="00F977A6"/>
    <w:rsid w:val="00F97A2B"/>
    <w:rsid w:val="00FA0CA3"/>
    <w:rsid w:val="00FA3BC5"/>
    <w:rsid w:val="00FA40FE"/>
    <w:rsid w:val="00FB08DC"/>
    <w:rsid w:val="00FB0D30"/>
    <w:rsid w:val="00FB1AE0"/>
    <w:rsid w:val="00FB27FC"/>
    <w:rsid w:val="00FB34C2"/>
    <w:rsid w:val="00FB42F5"/>
    <w:rsid w:val="00FD76E1"/>
    <w:rsid w:val="00FE0970"/>
    <w:rsid w:val="00FE0D58"/>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0C3DD7"/>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56661"/>
    <w:rsid w:val="068576CE"/>
    <w:rsid w:val="069114AA"/>
    <w:rsid w:val="0698763E"/>
    <w:rsid w:val="06A66D03"/>
    <w:rsid w:val="06AB5329"/>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87FE8"/>
    <w:rsid w:val="08935065"/>
    <w:rsid w:val="08997D8A"/>
    <w:rsid w:val="089A2898"/>
    <w:rsid w:val="08AD2074"/>
    <w:rsid w:val="08AE02E0"/>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EA6F07"/>
    <w:rsid w:val="09EA700B"/>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77081"/>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6084C"/>
    <w:rsid w:val="12130FC5"/>
    <w:rsid w:val="121C60CC"/>
    <w:rsid w:val="1222745A"/>
    <w:rsid w:val="12341A6A"/>
    <w:rsid w:val="12371157"/>
    <w:rsid w:val="12424EB0"/>
    <w:rsid w:val="127001C5"/>
    <w:rsid w:val="1276132D"/>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711641B"/>
    <w:rsid w:val="1719707D"/>
    <w:rsid w:val="171B6978"/>
    <w:rsid w:val="17215F32"/>
    <w:rsid w:val="172872C1"/>
    <w:rsid w:val="17457E73"/>
    <w:rsid w:val="174F6F43"/>
    <w:rsid w:val="175814CF"/>
    <w:rsid w:val="176821F4"/>
    <w:rsid w:val="177C5D3F"/>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3F521F"/>
    <w:rsid w:val="1A452ACF"/>
    <w:rsid w:val="1A512FD2"/>
    <w:rsid w:val="1A5D54D3"/>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27AF1"/>
    <w:rsid w:val="1C146065"/>
    <w:rsid w:val="1C1B73F4"/>
    <w:rsid w:val="1C2F10F1"/>
    <w:rsid w:val="1C3B1844"/>
    <w:rsid w:val="1C406E5A"/>
    <w:rsid w:val="1C495921"/>
    <w:rsid w:val="1C542906"/>
    <w:rsid w:val="1C744D56"/>
    <w:rsid w:val="1C761991"/>
    <w:rsid w:val="1C7A6810"/>
    <w:rsid w:val="1C7B7E93"/>
    <w:rsid w:val="1C7D1E5D"/>
    <w:rsid w:val="1C8036FB"/>
    <w:rsid w:val="1C91765D"/>
    <w:rsid w:val="1C9C6787"/>
    <w:rsid w:val="1C9D289F"/>
    <w:rsid w:val="1CB963B0"/>
    <w:rsid w:val="1CCF408F"/>
    <w:rsid w:val="1CD770EC"/>
    <w:rsid w:val="1CE43C8A"/>
    <w:rsid w:val="1CFC09BB"/>
    <w:rsid w:val="1D183933"/>
    <w:rsid w:val="1D210A3A"/>
    <w:rsid w:val="1D3764AF"/>
    <w:rsid w:val="1D4F5570"/>
    <w:rsid w:val="1D5E1C8E"/>
    <w:rsid w:val="1D61177E"/>
    <w:rsid w:val="1D7E7C3A"/>
    <w:rsid w:val="1D8B208F"/>
    <w:rsid w:val="1D8D4321"/>
    <w:rsid w:val="1D963E2E"/>
    <w:rsid w:val="1D9B6CF3"/>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EF94D63"/>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16667"/>
    <w:rsid w:val="22853819"/>
    <w:rsid w:val="228D26CE"/>
    <w:rsid w:val="22BB723B"/>
    <w:rsid w:val="22C87E24"/>
    <w:rsid w:val="22C95DFC"/>
    <w:rsid w:val="22EC5F17"/>
    <w:rsid w:val="22EE06E2"/>
    <w:rsid w:val="22F015DA"/>
    <w:rsid w:val="22F8223D"/>
    <w:rsid w:val="22F82BC2"/>
    <w:rsid w:val="22F84FC6"/>
    <w:rsid w:val="22FD3CF7"/>
    <w:rsid w:val="230230BC"/>
    <w:rsid w:val="230A01C2"/>
    <w:rsid w:val="23243032"/>
    <w:rsid w:val="235A0EEE"/>
    <w:rsid w:val="235C6C70"/>
    <w:rsid w:val="23614286"/>
    <w:rsid w:val="23712585"/>
    <w:rsid w:val="2389558B"/>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7345F"/>
    <w:rsid w:val="270C62B7"/>
    <w:rsid w:val="270F0F22"/>
    <w:rsid w:val="274730B4"/>
    <w:rsid w:val="27473793"/>
    <w:rsid w:val="27677991"/>
    <w:rsid w:val="27802801"/>
    <w:rsid w:val="27802D01"/>
    <w:rsid w:val="27867CA0"/>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0076C"/>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525"/>
    <w:rsid w:val="29927747"/>
    <w:rsid w:val="29AE7AF9"/>
    <w:rsid w:val="29C54E43"/>
    <w:rsid w:val="29C9048F"/>
    <w:rsid w:val="29CB06AB"/>
    <w:rsid w:val="29CB07EB"/>
    <w:rsid w:val="29DE4538"/>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400C25"/>
    <w:rsid w:val="2B4714A0"/>
    <w:rsid w:val="2B471FB3"/>
    <w:rsid w:val="2B606BD1"/>
    <w:rsid w:val="2B612949"/>
    <w:rsid w:val="2B6C5576"/>
    <w:rsid w:val="2B717030"/>
    <w:rsid w:val="2B74267D"/>
    <w:rsid w:val="2B746B21"/>
    <w:rsid w:val="2B762899"/>
    <w:rsid w:val="2B7663F5"/>
    <w:rsid w:val="2B7E52A9"/>
    <w:rsid w:val="2B9A434A"/>
    <w:rsid w:val="2BA50A88"/>
    <w:rsid w:val="2BAA2542"/>
    <w:rsid w:val="2BB60EE7"/>
    <w:rsid w:val="2BCA4992"/>
    <w:rsid w:val="2BE035C8"/>
    <w:rsid w:val="2BF24188"/>
    <w:rsid w:val="2BF65788"/>
    <w:rsid w:val="2BF81500"/>
    <w:rsid w:val="2BFD08C4"/>
    <w:rsid w:val="2C235EB7"/>
    <w:rsid w:val="2C2B5431"/>
    <w:rsid w:val="2C610E53"/>
    <w:rsid w:val="2C6646BB"/>
    <w:rsid w:val="2C876684"/>
    <w:rsid w:val="2C9C1E8B"/>
    <w:rsid w:val="2C9F3729"/>
    <w:rsid w:val="2CAF267A"/>
    <w:rsid w:val="2CB02E2C"/>
    <w:rsid w:val="2CBE197F"/>
    <w:rsid w:val="2CCB6C14"/>
    <w:rsid w:val="2CE51A84"/>
    <w:rsid w:val="2CE90E48"/>
    <w:rsid w:val="2CED0939"/>
    <w:rsid w:val="2CF27CFD"/>
    <w:rsid w:val="2CF577ED"/>
    <w:rsid w:val="2CFA3055"/>
    <w:rsid w:val="2D012636"/>
    <w:rsid w:val="2D016C6B"/>
    <w:rsid w:val="2D0D2D89"/>
    <w:rsid w:val="2D150BA1"/>
    <w:rsid w:val="2D2B1461"/>
    <w:rsid w:val="2D2D1B91"/>
    <w:rsid w:val="2D5B7F98"/>
    <w:rsid w:val="2D6A6CF3"/>
    <w:rsid w:val="2D746964"/>
    <w:rsid w:val="2D8D7A26"/>
    <w:rsid w:val="2DB9081B"/>
    <w:rsid w:val="2DCE2518"/>
    <w:rsid w:val="2DD218DC"/>
    <w:rsid w:val="2DD75759"/>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9279E9"/>
    <w:rsid w:val="2EA63495"/>
    <w:rsid w:val="2EB57234"/>
    <w:rsid w:val="2EC8340B"/>
    <w:rsid w:val="2ED303B5"/>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EE230F"/>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3C43C8"/>
    <w:rsid w:val="334A3443"/>
    <w:rsid w:val="334F40FB"/>
    <w:rsid w:val="3353526D"/>
    <w:rsid w:val="33641229"/>
    <w:rsid w:val="338673F1"/>
    <w:rsid w:val="338B4ADF"/>
    <w:rsid w:val="339964E5"/>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793B42"/>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648FF"/>
    <w:rsid w:val="36CC15BF"/>
    <w:rsid w:val="36EF34FF"/>
    <w:rsid w:val="370C4F32"/>
    <w:rsid w:val="370E607B"/>
    <w:rsid w:val="372907BF"/>
    <w:rsid w:val="37294C63"/>
    <w:rsid w:val="37353608"/>
    <w:rsid w:val="37392C59"/>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B4356"/>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334B39"/>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3C37E5"/>
    <w:rsid w:val="415648A7"/>
    <w:rsid w:val="415A71E1"/>
    <w:rsid w:val="41630D72"/>
    <w:rsid w:val="41720259"/>
    <w:rsid w:val="418807D8"/>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86672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064B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A34B0F"/>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7207A"/>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75606"/>
    <w:rsid w:val="50AC49D2"/>
    <w:rsid w:val="50BF25BD"/>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A04676"/>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924FF"/>
    <w:rsid w:val="587F072F"/>
    <w:rsid w:val="58946569"/>
    <w:rsid w:val="58BA1767"/>
    <w:rsid w:val="58DC49CD"/>
    <w:rsid w:val="58DD31FA"/>
    <w:rsid w:val="58F24A5D"/>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842D91"/>
    <w:rsid w:val="5AA77AC9"/>
    <w:rsid w:val="5AA91A93"/>
    <w:rsid w:val="5AAA425F"/>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535DF4"/>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142AF"/>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DF66510"/>
    <w:rsid w:val="5E084D23"/>
    <w:rsid w:val="5E092890"/>
    <w:rsid w:val="5E172FC3"/>
    <w:rsid w:val="5E192A8C"/>
    <w:rsid w:val="5E1C432A"/>
    <w:rsid w:val="5E257683"/>
    <w:rsid w:val="5E282CCF"/>
    <w:rsid w:val="5E3A2E3F"/>
    <w:rsid w:val="5E454779"/>
    <w:rsid w:val="5E510478"/>
    <w:rsid w:val="5E524438"/>
    <w:rsid w:val="5E714676"/>
    <w:rsid w:val="5E816085"/>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660DF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0D184F"/>
    <w:rsid w:val="63185A08"/>
    <w:rsid w:val="631D29EB"/>
    <w:rsid w:val="633C616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C23F1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C14D32"/>
    <w:rsid w:val="6FCD1928"/>
    <w:rsid w:val="6FD902CD"/>
    <w:rsid w:val="6FDD39BA"/>
    <w:rsid w:val="6FDE58E3"/>
    <w:rsid w:val="6FE61F3E"/>
    <w:rsid w:val="70161521"/>
    <w:rsid w:val="701914D7"/>
    <w:rsid w:val="701C6FC8"/>
    <w:rsid w:val="702F613F"/>
    <w:rsid w:val="703244E4"/>
    <w:rsid w:val="705636CC"/>
    <w:rsid w:val="70720586"/>
    <w:rsid w:val="70875F7B"/>
    <w:rsid w:val="70897150"/>
    <w:rsid w:val="70A64653"/>
    <w:rsid w:val="70C8281B"/>
    <w:rsid w:val="70FE4044"/>
    <w:rsid w:val="71094BE2"/>
    <w:rsid w:val="71401537"/>
    <w:rsid w:val="71656047"/>
    <w:rsid w:val="718F158B"/>
    <w:rsid w:val="71A242CB"/>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431602"/>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461C54"/>
    <w:rsid w:val="76505878"/>
    <w:rsid w:val="765406AD"/>
    <w:rsid w:val="765C4824"/>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B606F8"/>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1605A"/>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E54755"/>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13A9D"/>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39"/>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3"/>
    <w:unhideWhenUsed/>
    <w:qFormat/>
    <w:uiPriority w:val="9"/>
    <w:pPr>
      <w:keepNext/>
      <w:keepLines/>
      <w:spacing w:line="415" w:lineRule="auto"/>
      <w:outlineLvl w:val="1"/>
    </w:pPr>
    <w:rPr>
      <w:rFonts w:asciiTheme="majorHAnsi" w:hAnsiTheme="majorHAnsi" w:cstheme="majorBidi"/>
      <w:b/>
      <w:bCs/>
      <w:sz w:val="32"/>
      <w:szCs w:val="32"/>
    </w:rPr>
  </w:style>
  <w:style w:type="paragraph" w:styleId="4">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rPr>
  </w:style>
  <w:style w:type="paragraph" w:styleId="11">
    <w:name w:val="List Bullet"/>
    <w:basedOn w:val="1"/>
    <w:autoRedefine/>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4"/>
    <w:autoRedefine/>
    <w:qFormat/>
    <w:uiPriority w:val="0"/>
    <w:rPr>
      <w:rFonts w:eastAsiaTheme="minorEastAsia"/>
      <w:sz w:val="21"/>
      <w:szCs w:val="24"/>
    </w:rPr>
  </w:style>
  <w:style w:type="paragraph" w:styleId="13">
    <w:name w:val="Body Text"/>
    <w:basedOn w:val="1"/>
    <w:link w:val="48"/>
    <w:qFormat/>
    <w:uiPriority w:val="99"/>
    <w:pPr>
      <w:spacing w:after="120"/>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Balloon Text"/>
    <w:basedOn w:val="1"/>
    <w:link w:val="81"/>
    <w:semiHidden/>
    <w:unhideWhenUsed/>
    <w:qFormat/>
    <w:uiPriority w:val="99"/>
    <w:rPr>
      <w:sz w:val="18"/>
      <w:szCs w:val="18"/>
    </w:rPr>
  </w:style>
  <w:style w:type="paragraph" w:styleId="20">
    <w:name w:val="footer"/>
    <w:basedOn w:val="1"/>
    <w:link w:val="42"/>
    <w:autoRedefine/>
    <w:unhideWhenUsed/>
    <w:qFormat/>
    <w:uiPriority w:val="99"/>
    <w:pPr>
      <w:tabs>
        <w:tab w:val="center" w:pos="4153"/>
        <w:tab w:val="right" w:pos="8306"/>
      </w:tabs>
      <w:snapToGrid w:val="0"/>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2"/>
    <w:next w:val="12"/>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4"/>
    <w:next w:val="1"/>
    <w:autoRedefine/>
    <w:qFormat/>
    <w:uiPriority w:val="0"/>
    <w:pPr>
      <w:spacing w:after="120"/>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22"/>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Char"/>
    <w:basedOn w:val="32"/>
    <w:link w:val="2"/>
    <w:autoRedefine/>
    <w:qFormat/>
    <w:uiPriority w:val="9"/>
    <w:rPr>
      <w:rFonts w:eastAsia="黑体"/>
      <w:b/>
      <w:bCs/>
      <w:kern w:val="44"/>
      <w:sz w:val="44"/>
      <w:szCs w:val="44"/>
    </w:rPr>
  </w:style>
  <w:style w:type="paragraph" w:styleId="40">
    <w:name w:val="List Paragraph"/>
    <w:basedOn w:val="1"/>
    <w:qFormat/>
    <w:uiPriority w:val="34"/>
    <w:pPr>
      <w:numPr>
        <w:ilvl w:val="0"/>
        <w:numId w:val="2"/>
      </w:numPr>
    </w:pPr>
  </w:style>
  <w:style w:type="character" w:customStyle="1" w:styleId="41">
    <w:name w:val="页眉 Char"/>
    <w:basedOn w:val="32"/>
    <w:link w:val="21"/>
    <w:autoRedefine/>
    <w:qFormat/>
    <w:uiPriority w:val="99"/>
    <w:rPr>
      <w:rFonts w:eastAsia="宋体"/>
      <w:sz w:val="18"/>
      <w:szCs w:val="18"/>
    </w:rPr>
  </w:style>
  <w:style w:type="character" w:customStyle="1" w:styleId="42">
    <w:name w:val="页脚 Char"/>
    <w:basedOn w:val="32"/>
    <w:link w:val="20"/>
    <w:autoRedefine/>
    <w:qFormat/>
    <w:uiPriority w:val="99"/>
    <w:rPr>
      <w:rFonts w:eastAsia="宋体"/>
      <w:sz w:val="18"/>
      <w:szCs w:val="18"/>
    </w:rPr>
  </w:style>
  <w:style w:type="character" w:customStyle="1" w:styleId="43">
    <w:name w:val="标题 2 Char"/>
    <w:basedOn w:val="32"/>
    <w:link w:val="3"/>
    <w:autoRedefine/>
    <w:qFormat/>
    <w:uiPriority w:val="9"/>
    <w:rPr>
      <w:rFonts w:asciiTheme="majorHAnsi" w:hAnsiTheme="majorHAnsi" w:cstheme="majorBidi"/>
      <w:b/>
      <w:bCs/>
      <w:kern w:val="2"/>
      <w:sz w:val="32"/>
      <w:szCs w:val="32"/>
    </w:rPr>
  </w:style>
  <w:style w:type="character" w:customStyle="1" w:styleId="44">
    <w:name w:val="批注文字 Char"/>
    <w:basedOn w:val="32"/>
    <w:link w:val="12"/>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Char"/>
    <w:basedOn w:val="32"/>
    <w:link w:val="4"/>
    <w:autoRedefine/>
    <w:qFormat/>
    <w:uiPriority w:val="9"/>
    <w:rPr>
      <w:rFonts w:eastAsia="宋体"/>
      <w:b/>
      <w:bCs/>
      <w:sz w:val="30"/>
      <w:szCs w:val="32"/>
    </w:rPr>
  </w:style>
  <w:style w:type="character" w:customStyle="1" w:styleId="47">
    <w:name w:val="标题 4 Char"/>
    <w:basedOn w:val="32"/>
    <w:link w:val="5"/>
    <w:autoRedefine/>
    <w:qFormat/>
    <w:uiPriority w:val="9"/>
    <w:rPr>
      <w:rFonts w:eastAsia="宋体" w:asciiTheme="majorHAnsi" w:hAnsiTheme="majorHAnsi" w:cstheme="majorBidi"/>
      <w:b/>
      <w:bCs/>
      <w:sz w:val="28"/>
      <w:szCs w:val="28"/>
    </w:rPr>
  </w:style>
  <w:style w:type="character" w:customStyle="1" w:styleId="48">
    <w:name w:val="正文文本 Char"/>
    <w:basedOn w:val="32"/>
    <w:link w:val="13"/>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Char"/>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8">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9">
    <w:name w:val="Normal Indent1"/>
    <w:basedOn w:val="1"/>
    <w:autoRedefine/>
    <w:qFormat/>
    <w:uiPriority w:val="0"/>
    <w:pPr>
      <w:ind w:firstLine="420" w:firstLineChars="200"/>
    </w:pPr>
  </w:style>
  <w:style w:type="paragraph" w:customStyle="1" w:styleId="6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1">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3">
    <w:name w:val="正文_0_0_0 Char"/>
    <w:link w:val="64"/>
    <w:autoRedefine/>
    <w:qFormat/>
    <w:locked/>
    <w:uiPriority w:val="0"/>
    <w:rPr>
      <w:rFonts w:ascii="Calibri" w:hAnsi="Calibri" w:cs="Calibri"/>
      <w:kern w:val="2"/>
      <w:sz w:val="28"/>
      <w:szCs w:val="22"/>
      <w:lang w:val="en-US" w:eastAsia="zh-CN" w:bidi="ar-SA"/>
    </w:rPr>
  </w:style>
  <w:style w:type="paragraph" w:customStyle="1" w:styleId="64">
    <w:name w:val="正文_0_0_0_0_0"/>
    <w:link w:val="6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5">
    <w:name w:val="正文文本_0_1"/>
    <w:basedOn w:val="66"/>
    <w:autoRedefine/>
    <w:qFormat/>
    <w:uiPriority w:val="99"/>
    <w:pPr>
      <w:spacing w:after="120"/>
    </w:pPr>
    <w:rPr>
      <w:kern w:val="0"/>
      <w:sz w:val="24"/>
      <w:szCs w:val="20"/>
    </w:rPr>
  </w:style>
  <w:style w:type="paragraph" w:customStyle="1" w:styleId="6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Table Paragraph_1"/>
    <w:basedOn w:val="66"/>
    <w:autoRedefine/>
    <w:qFormat/>
    <w:uiPriority w:val="0"/>
    <w:pPr>
      <w:jc w:val="left"/>
    </w:pPr>
    <w:rPr>
      <w:kern w:val="0"/>
      <w:sz w:val="22"/>
      <w:lang w:eastAsia="en-US"/>
    </w:rPr>
  </w:style>
  <w:style w:type="paragraph" w:customStyle="1" w:styleId="6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11"/>
    <w:autoRedefine/>
    <w:qFormat/>
    <w:uiPriority w:val="0"/>
    <w:pPr>
      <w:widowControl w:val="0"/>
      <w:jc w:val="both"/>
    </w:pPr>
    <w:rPr>
      <w:rFonts w:ascii="Calibri" w:hAnsi="Calibri" w:eastAsia="宋体" w:cs="Times New Roman"/>
      <w:lang w:val="en-US" w:eastAsia="zh-CN" w:bidi="ar-SA"/>
    </w:rPr>
  </w:style>
  <w:style w:type="paragraph" w:customStyle="1" w:styleId="70">
    <w:name w:val="列出段落1"/>
    <w:basedOn w:val="1"/>
    <w:autoRedefine/>
    <w:qFormat/>
    <w:uiPriority w:val="0"/>
    <w:pPr>
      <w:ind w:firstLine="420" w:firstLineChars="200"/>
    </w:pPr>
    <w:rPr>
      <w:szCs w:val="21"/>
    </w:rPr>
  </w:style>
  <w:style w:type="paragraph" w:customStyle="1" w:styleId="71">
    <w:name w:val="xl31"/>
    <w:basedOn w:val="1"/>
    <w:autoRedefine/>
    <w:qFormat/>
    <w:uiPriority w:val="0"/>
    <w:pPr>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Cs w:val="20"/>
    </w:rPr>
  </w:style>
  <w:style w:type="paragraph" w:customStyle="1" w:styleId="73">
    <w:name w:val="Char Char Char Char Char Char Char1 Char"/>
    <w:basedOn w:val="1"/>
    <w:autoRedefine/>
    <w:qFormat/>
    <w:uiPriority w:val="0"/>
    <w:rPr>
      <w:rFonts w:ascii="Arial" w:hAnsi="Arial" w:cs="Arial"/>
    </w:rPr>
  </w:style>
  <w:style w:type="paragraph" w:customStyle="1" w:styleId="74">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5">
    <w:name w:val="Default Text"/>
    <w:basedOn w:val="1"/>
    <w:qFormat/>
    <w:uiPriority w:val="0"/>
    <w:pPr>
      <w:autoSpaceDE w:val="0"/>
      <w:autoSpaceDN w:val="0"/>
      <w:adjustRightInd w:val="0"/>
    </w:pPr>
    <w:rPr>
      <w:rFonts w:ascii="Helvetica" w:hAnsi="Helvetica"/>
      <w:kern w:val="0"/>
      <w:sz w:val="22"/>
    </w:rPr>
  </w:style>
  <w:style w:type="character" w:customStyle="1" w:styleId="76">
    <w:name w:val="font41"/>
    <w:qFormat/>
    <w:uiPriority w:val="0"/>
    <w:rPr>
      <w:rFonts w:ascii="宋体" w:hAnsi="宋体" w:eastAsia="宋体" w:cs="宋体"/>
      <w:color w:val="000000"/>
      <w:sz w:val="24"/>
      <w:szCs w:val="24"/>
      <w:u w:val="none"/>
    </w:rPr>
  </w:style>
  <w:style w:type="paragraph" w:customStyle="1" w:styleId="77">
    <w:name w:val="正文缩进1"/>
    <w:basedOn w:val="1"/>
    <w:qFormat/>
    <w:uiPriority w:val="0"/>
    <w:pPr>
      <w:ind w:firstLine="420"/>
    </w:pPr>
    <w:rPr>
      <w:rFonts w:ascii="Times New Roman" w:hAnsi="Times New Roman"/>
      <w:szCs w:val="20"/>
    </w:rPr>
  </w:style>
  <w:style w:type="paragraph" w:customStyle="1" w:styleId="78">
    <w:name w:val="表格文字"/>
    <w:basedOn w:val="1"/>
    <w:qFormat/>
    <w:uiPriority w:val="0"/>
    <w:pPr>
      <w:spacing w:before="25" w:after="25"/>
    </w:pPr>
    <w:rPr>
      <w:rFonts w:cs="宋体"/>
      <w:bCs/>
      <w:color w:val="EE0000"/>
      <w:spacing w:val="10"/>
      <w:szCs w:val="21"/>
      <w:shd w:val="clear" w:color="auto" w:fill="FFFFFF"/>
    </w:rPr>
  </w:style>
  <w:style w:type="paragraph" w:customStyle="1" w:styleId="7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1">
    <w:name w:val="批注框文本 Char"/>
    <w:basedOn w:val="32"/>
    <w:link w:val="19"/>
    <w:semiHidden/>
    <w:qFormat/>
    <w:uiPriority w:val="99"/>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18191</Words>
  <Characters>19821</Characters>
  <Lines>626</Lines>
  <Paragraphs>176</Paragraphs>
  <TotalTime>14</TotalTime>
  <ScaleCrop>false</ScaleCrop>
  <LinksUpToDate>false</LinksUpToDate>
  <CharactersWithSpaces>20369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于子 </cp:lastModifiedBy>
  <cp:lastPrinted>2026-05-13T05:21:03Z</cp:lastPrinted>
  <dcterms:modified xsi:type="dcterms:W3CDTF">2026-05-13T05:28:49Z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4AAE62E3FB3248069D094D8076C78223_13</vt:lpwstr>
  </property>
  <property fmtid="{D5CDD505-2E9C-101B-9397-08002B2CF9AE}" pid="4" name="KSOTemplateDocerSaveRecord">
    <vt:lpwstr>eyJoZGlkIjoiZTc1ODY5YTdlYjYxZDA1ZjdlM2NlYzBmYTExNTJjYmIiLCJ1c2VySWQiOiIxOTcyMDIyMzMifQ==</vt:lpwstr>
  </property>
</Properties>
</file>