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7B1485">
      <w:pPr>
        <w:adjustRightInd w:val="0"/>
        <w:snapToGrid w:val="0"/>
        <w:jc w:val="left"/>
        <w:rPr>
          <w:rFonts w:hint="eastAsia" w:ascii="仿宋" w:hAnsi="仿宋" w:eastAsia="仿宋" w:cs="仿宋"/>
          <w:color w:val="auto"/>
          <w:highlight w:val="none"/>
        </w:rPr>
      </w:pPr>
      <w:r>
        <w:rPr>
          <w:rFonts w:hint="eastAsia" w:ascii="仿宋" w:hAnsi="仿宋" w:eastAsia="仿宋" w:cs="仿宋"/>
          <w:color w:val="auto"/>
          <w:highlight w:val="none"/>
        </w:rPr>
        <w:drawing>
          <wp:inline distT="0" distB="0" distL="0" distR="0">
            <wp:extent cx="985520" cy="795655"/>
            <wp:effectExtent l="0" t="0" r="508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985520" cy="795655"/>
                    </a:xfrm>
                    <a:prstGeom prst="rect">
                      <a:avLst/>
                    </a:prstGeom>
                    <a:noFill/>
                    <a:ln>
                      <a:noFill/>
                    </a:ln>
                  </pic:spPr>
                </pic:pic>
              </a:graphicData>
            </a:graphic>
          </wp:inline>
        </w:drawing>
      </w:r>
    </w:p>
    <w:p w14:paraId="281E85E1">
      <w:pPr>
        <w:adjustRightInd w:val="0"/>
        <w:snapToGrid w:val="0"/>
        <w:spacing w:line="480" w:lineRule="exact"/>
        <w:jc w:val="center"/>
        <w:rPr>
          <w:rFonts w:hint="eastAsia" w:ascii="仿宋" w:hAnsi="仿宋" w:eastAsia="仿宋" w:cs="仿宋"/>
          <w:bCs/>
          <w:color w:val="auto"/>
          <w:sz w:val="48"/>
          <w:szCs w:val="48"/>
          <w:highlight w:val="none"/>
        </w:rPr>
      </w:pPr>
    </w:p>
    <w:p w14:paraId="43486172">
      <w:pPr>
        <w:adjustRightInd w:val="0"/>
        <w:snapToGrid w:val="0"/>
        <w:spacing w:line="480" w:lineRule="exact"/>
        <w:jc w:val="center"/>
        <w:rPr>
          <w:rFonts w:hint="eastAsia" w:ascii="仿宋" w:hAnsi="仿宋" w:eastAsia="仿宋" w:cs="仿宋"/>
          <w:bCs/>
          <w:color w:val="auto"/>
          <w:sz w:val="48"/>
          <w:szCs w:val="48"/>
          <w:highlight w:val="none"/>
        </w:rPr>
      </w:pPr>
      <w:r>
        <w:rPr>
          <w:rFonts w:hint="eastAsia" w:ascii="仿宋" w:hAnsi="仿宋" w:eastAsia="仿宋" w:cs="仿宋"/>
          <w:bCs/>
          <w:color w:val="auto"/>
          <w:sz w:val="48"/>
          <w:szCs w:val="48"/>
          <w:highlight w:val="none"/>
        </w:rPr>
        <w:t>招 标 文 件</w:t>
      </w:r>
    </w:p>
    <w:p w14:paraId="4B5D7485">
      <w:pPr>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公开招标-服务</w:t>
      </w:r>
      <w:r>
        <w:rPr>
          <w:rFonts w:hint="eastAsia" w:ascii="仿宋" w:hAnsi="仿宋" w:eastAsia="仿宋" w:cs="仿宋"/>
          <w:b/>
          <w:bCs/>
          <w:color w:val="auto"/>
          <w:sz w:val="28"/>
          <w:szCs w:val="28"/>
          <w:highlight w:val="none"/>
          <w:lang w:eastAsia="zh-CN"/>
        </w:rPr>
        <w:t>）</w:t>
      </w:r>
    </w:p>
    <w:p w14:paraId="01253B25">
      <w:pPr>
        <w:ind w:left="1574" w:right="-191" w:rightChars="-91" w:hanging="1574" w:hangingChars="492"/>
        <w:rPr>
          <w:rFonts w:hint="eastAsia" w:ascii="仿宋" w:hAnsi="仿宋" w:eastAsia="仿宋" w:cs="仿宋"/>
          <w:bCs/>
          <w:color w:val="auto"/>
          <w:kern w:val="0"/>
          <w:sz w:val="32"/>
          <w:szCs w:val="32"/>
          <w:highlight w:val="none"/>
        </w:rPr>
      </w:pPr>
    </w:p>
    <w:p w14:paraId="2F5D8C28">
      <w:pPr>
        <w:adjustRightInd w:val="0"/>
        <w:snapToGrid w:val="0"/>
        <w:spacing w:line="480" w:lineRule="exact"/>
        <w:rPr>
          <w:rFonts w:hint="eastAsia" w:ascii="仿宋" w:hAnsi="仿宋" w:eastAsia="仿宋" w:cs="仿宋"/>
          <w:bCs/>
          <w:color w:val="auto"/>
          <w:kern w:val="0"/>
          <w:sz w:val="32"/>
          <w:szCs w:val="32"/>
          <w:highlight w:val="none"/>
        </w:rPr>
      </w:pPr>
      <w:r>
        <w:rPr>
          <w:rFonts w:hint="eastAsia" w:ascii="仿宋" w:hAnsi="仿宋" w:eastAsia="仿宋" w:cs="仿宋"/>
          <w:bCs/>
          <w:color w:val="auto"/>
          <w:kern w:val="0"/>
          <w:sz w:val="32"/>
          <w:szCs w:val="32"/>
          <w:highlight w:val="none"/>
        </w:rPr>
        <w:t>项目名称</w:t>
      </w:r>
      <w:r>
        <w:rPr>
          <w:rFonts w:hint="eastAsia" w:ascii="仿宋" w:hAnsi="仿宋" w:eastAsia="仿宋" w:cs="仿宋"/>
          <w:bCs/>
          <w:color w:val="auto"/>
          <w:kern w:val="0"/>
          <w:sz w:val="32"/>
          <w:szCs w:val="32"/>
          <w:highlight w:val="none"/>
        </w:rPr>
        <w:t>：</w:t>
      </w:r>
      <w:r>
        <w:rPr>
          <w:rFonts w:hint="eastAsia" w:ascii="仿宋" w:hAnsi="仿宋" w:eastAsia="仿宋" w:cs="仿宋"/>
          <w:bCs/>
          <w:color w:val="auto"/>
          <w:sz w:val="32"/>
          <w:highlight w:val="none"/>
          <w:lang w:eastAsia="zh-CN"/>
        </w:rPr>
        <w:t>2026年新疆畜牧兽医大数据平台运行维护项目</w:t>
      </w:r>
    </w:p>
    <w:p w14:paraId="42F76C14">
      <w:pPr>
        <w:adjustRightInd w:val="0"/>
        <w:snapToGrid w:val="0"/>
        <w:spacing w:line="480" w:lineRule="exact"/>
        <w:rPr>
          <w:rFonts w:hint="eastAsia" w:ascii="仿宋" w:hAnsi="仿宋" w:eastAsia="仿宋" w:cs="仿宋"/>
          <w:bCs/>
          <w:color w:val="auto"/>
          <w:kern w:val="0"/>
          <w:sz w:val="32"/>
          <w:szCs w:val="32"/>
          <w:highlight w:val="none"/>
        </w:rPr>
      </w:pPr>
    </w:p>
    <w:p w14:paraId="003989C3">
      <w:pPr>
        <w:adjustRightInd w:val="0"/>
        <w:snapToGrid w:val="0"/>
        <w:spacing w:line="480" w:lineRule="exact"/>
        <w:rPr>
          <w:rFonts w:hint="eastAsia" w:ascii="仿宋" w:hAnsi="仿宋" w:eastAsia="仿宋" w:cs="仿宋"/>
          <w:bCs/>
          <w:color w:val="auto"/>
          <w:sz w:val="32"/>
          <w:szCs w:val="32"/>
          <w:highlight w:val="none"/>
        </w:rPr>
      </w:pPr>
      <w:r>
        <w:rPr>
          <w:rFonts w:hint="eastAsia" w:ascii="仿宋" w:hAnsi="仿宋" w:eastAsia="仿宋" w:cs="仿宋"/>
          <w:bCs/>
          <w:color w:val="auto"/>
          <w:kern w:val="0"/>
          <w:sz w:val="32"/>
          <w:szCs w:val="32"/>
          <w:highlight w:val="none"/>
        </w:rPr>
        <w:t>采购人(盖章)：</w:t>
      </w:r>
      <w:r>
        <w:rPr>
          <w:rFonts w:hint="eastAsia" w:ascii="仿宋" w:hAnsi="仿宋" w:eastAsia="仿宋" w:cs="仿宋"/>
          <w:bCs/>
          <w:color w:val="auto"/>
          <w:sz w:val="32"/>
          <w:highlight w:val="none"/>
          <w:lang w:eastAsia="zh-CN"/>
        </w:rPr>
        <w:t>新疆维吾尔自治区畜牧总站</w:t>
      </w:r>
    </w:p>
    <w:p w14:paraId="6888691B">
      <w:pPr>
        <w:adjustRightInd w:val="0"/>
        <w:snapToGrid w:val="0"/>
        <w:spacing w:line="276" w:lineRule="auto"/>
        <w:rPr>
          <w:rFonts w:hint="eastAsia" w:ascii="仿宋" w:hAnsi="仿宋" w:eastAsia="仿宋" w:cs="仿宋"/>
          <w:bCs/>
          <w:color w:val="auto"/>
          <w:sz w:val="32"/>
          <w:szCs w:val="24"/>
          <w:highlight w:val="none"/>
        </w:rPr>
      </w:pPr>
    </w:p>
    <w:p w14:paraId="0ED11C22">
      <w:pPr>
        <w:adjustRightInd w:val="0"/>
        <w:snapToGrid w:val="0"/>
        <w:spacing w:line="480" w:lineRule="exact"/>
        <w:rPr>
          <w:rFonts w:hint="eastAsia" w:ascii="仿宋" w:hAnsi="仿宋" w:eastAsia="仿宋" w:cs="仿宋"/>
          <w:bCs/>
          <w:color w:val="auto"/>
          <w:kern w:val="0"/>
          <w:sz w:val="32"/>
          <w:szCs w:val="32"/>
          <w:highlight w:val="none"/>
          <w:lang w:val="en-US" w:eastAsia="zh-CN"/>
        </w:rPr>
      </w:pPr>
      <w:r>
        <w:rPr>
          <w:rFonts w:hint="eastAsia" w:ascii="仿宋" w:hAnsi="仿宋" w:eastAsia="仿宋" w:cs="仿宋"/>
          <w:bCs/>
          <w:color w:val="auto"/>
          <w:kern w:val="0"/>
          <w:sz w:val="32"/>
          <w:szCs w:val="32"/>
          <w:highlight w:val="none"/>
        </w:rPr>
        <w:t>联系人：</w:t>
      </w:r>
      <w:r>
        <w:rPr>
          <w:rFonts w:hint="eastAsia" w:ascii="仿宋" w:hAnsi="仿宋" w:eastAsia="仿宋" w:cs="仿宋"/>
          <w:bCs/>
          <w:color w:val="auto"/>
          <w:kern w:val="0"/>
          <w:sz w:val="32"/>
          <w:szCs w:val="32"/>
          <w:highlight w:val="none"/>
          <w:lang w:val="en-US" w:eastAsia="zh-CN"/>
        </w:rPr>
        <w:t>刘鸽</w:t>
      </w:r>
    </w:p>
    <w:p w14:paraId="54C23D22">
      <w:pPr>
        <w:adjustRightInd w:val="0"/>
        <w:snapToGrid w:val="0"/>
        <w:spacing w:line="480" w:lineRule="exact"/>
        <w:rPr>
          <w:rFonts w:hint="eastAsia" w:ascii="仿宋" w:hAnsi="仿宋" w:eastAsia="仿宋" w:cs="仿宋"/>
          <w:bCs/>
          <w:color w:val="auto"/>
          <w:kern w:val="0"/>
          <w:sz w:val="32"/>
          <w:szCs w:val="32"/>
          <w:highlight w:val="none"/>
        </w:rPr>
      </w:pPr>
    </w:p>
    <w:p w14:paraId="4A1C3D66">
      <w:pPr>
        <w:adjustRightInd w:val="0"/>
        <w:snapToGrid w:val="0"/>
        <w:spacing w:line="480" w:lineRule="exact"/>
        <w:rPr>
          <w:rFonts w:hint="eastAsia" w:ascii="仿宋" w:hAnsi="仿宋" w:eastAsia="仿宋" w:cs="仿宋"/>
          <w:bCs/>
          <w:color w:val="auto"/>
          <w:kern w:val="0"/>
          <w:sz w:val="32"/>
          <w:szCs w:val="32"/>
          <w:highlight w:val="none"/>
          <w:lang w:val="en-US" w:eastAsia="zh-CN"/>
        </w:rPr>
      </w:pPr>
      <w:r>
        <w:rPr>
          <w:rFonts w:hint="eastAsia" w:ascii="仿宋" w:hAnsi="仿宋" w:eastAsia="仿宋" w:cs="仿宋"/>
          <w:bCs/>
          <w:color w:val="auto"/>
          <w:kern w:val="0"/>
          <w:sz w:val="32"/>
          <w:szCs w:val="32"/>
          <w:highlight w:val="none"/>
        </w:rPr>
        <w:t>电话：</w:t>
      </w:r>
      <w:r>
        <w:rPr>
          <w:rFonts w:hint="eastAsia" w:ascii="仿宋" w:hAnsi="仿宋" w:eastAsia="仿宋" w:cs="仿宋"/>
          <w:bCs/>
          <w:color w:val="auto"/>
          <w:kern w:val="0"/>
          <w:sz w:val="32"/>
          <w:szCs w:val="32"/>
          <w:highlight w:val="none"/>
          <w:lang w:val="en-US" w:eastAsia="zh-CN"/>
        </w:rPr>
        <w:t>17690991600</w:t>
      </w:r>
    </w:p>
    <w:p w14:paraId="52359579">
      <w:pPr>
        <w:rPr>
          <w:rFonts w:hint="eastAsia" w:ascii="仿宋" w:hAnsi="仿宋" w:eastAsia="仿宋" w:cs="仿宋"/>
          <w:color w:val="auto"/>
          <w:highlight w:val="none"/>
        </w:rPr>
      </w:pPr>
    </w:p>
    <w:p w14:paraId="5A2A4FFC">
      <w:pPr>
        <w:adjustRightInd w:val="0"/>
        <w:snapToGrid w:val="0"/>
        <w:spacing w:line="480" w:lineRule="exact"/>
        <w:jc w:val="left"/>
        <w:rPr>
          <w:rFonts w:hint="eastAsia" w:ascii="仿宋" w:hAnsi="仿宋" w:eastAsia="仿宋" w:cs="仿宋"/>
          <w:bCs/>
          <w:color w:val="auto"/>
          <w:kern w:val="0"/>
          <w:sz w:val="32"/>
          <w:szCs w:val="32"/>
          <w:highlight w:val="none"/>
        </w:rPr>
      </w:pPr>
      <w:r>
        <w:rPr>
          <w:rFonts w:hint="eastAsia" w:ascii="仿宋" w:hAnsi="仿宋" w:eastAsia="仿宋" w:cs="仿宋"/>
          <w:bCs/>
          <w:color w:val="auto"/>
          <w:kern w:val="0"/>
          <w:sz w:val="32"/>
          <w:szCs w:val="32"/>
          <w:highlight w:val="none"/>
        </w:rPr>
        <w:t>—————————————————————————————</w:t>
      </w:r>
    </w:p>
    <w:p w14:paraId="35A8C444">
      <w:pPr>
        <w:adjustRightInd w:val="0"/>
        <w:snapToGrid w:val="0"/>
        <w:spacing w:line="480" w:lineRule="exact"/>
        <w:jc w:val="center"/>
        <w:rPr>
          <w:rFonts w:hint="eastAsia" w:ascii="仿宋" w:hAnsi="仿宋" w:eastAsia="仿宋" w:cs="仿宋"/>
          <w:bCs/>
          <w:color w:val="auto"/>
          <w:sz w:val="32"/>
          <w:szCs w:val="32"/>
          <w:highlight w:val="none"/>
        </w:rPr>
      </w:pPr>
    </w:p>
    <w:p w14:paraId="1CDEE17F">
      <w:pPr>
        <w:adjustRightInd w:val="0"/>
        <w:snapToGrid w:val="0"/>
        <w:spacing w:line="480" w:lineRule="exact"/>
        <w:rPr>
          <w:rFonts w:hint="eastAsia" w:ascii="仿宋" w:hAnsi="仿宋" w:eastAsia="仿宋" w:cs="仿宋"/>
          <w:bCs/>
          <w:color w:val="auto"/>
          <w:sz w:val="32"/>
          <w:szCs w:val="32"/>
          <w:highlight w:val="none"/>
        </w:rPr>
      </w:pPr>
    </w:p>
    <w:p w14:paraId="48E9508C">
      <w:pPr>
        <w:adjustRightInd w:val="0"/>
        <w:snapToGrid w:val="0"/>
        <w:spacing w:line="480" w:lineRule="exac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采购代理机构</w:t>
      </w:r>
      <w:r>
        <w:rPr>
          <w:rFonts w:hint="eastAsia" w:ascii="仿宋" w:hAnsi="仿宋" w:eastAsia="仿宋" w:cs="仿宋"/>
          <w:color w:val="auto"/>
          <w:sz w:val="32"/>
          <w:szCs w:val="32"/>
          <w:highlight w:val="none"/>
        </w:rPr>
        <w:t>(盖章)</w:t>
      </w:r>
      <w:r>
        <w:rPr>
          <w:rFonts w:hint="eastAsia" w:ascii="仿宋" w:hAnsi="仿宋" w:eastAsia="仿宋" w:cs="仿宋"/>
          <w:bCs/>
          <w:color w:val="auto"/>
          <w:sz w:val="32"/>
          <w:szCs w:val="32"/>
          <w:highlight w:val="none"/>
        </w:rPr>
        <w:t>：新疆新世纪招标有限公司</w:t>
      </w:r>
    </w:p>
    <w:p w14:paraId="16244D1B">
      <w:pPr>
        <w:adjustRightInd w:val="0"/>
        <w:snapToGrid w:val="0"/>
        <w:spacing w:line="480" w:lineRule="exact"/>
        <w:rPr>
          <w:rFonts w:hint="eastAsia" w:ascii="仿宋" w:hAnsi="仿宋" w:eastAsia="仿宋" w:cs="仿宋"/>
          <w:bCs/>
          <w:color w:val="auto"/>
          <w:sz w:val="32"/>
          <w:szCs w:val="32"/>
          <w:highlight w:val="none"/>
        </w:rPr>
      </w:pPr>
    </w:p>
    <w:p w14:paraId="1F97C145">
      <w:pPr>
        <w:adjustRightInd w:val="0"/>
        <w:snapToGrid w:val="0"/>
        <w:spacing w:line="480" w:lineRule="exact"/>
        <w:jc w:val="both"/>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联系人：</w:t>
      </w:r>
      <w:r>
        <w:rPr>
          <w:rFonts w:hint="eastAsia" w:ascii="仿宋" w:hAnsi="仿宋" w:eastAsia="仿宋" w:cs="仿宋"/>
          <w:bCs/>
          <w:color w:val="auto"/>
          <w:sz w:val="32"/>
          <w:szCs w:val="32"/>
          <w:highlight w:val="none"/>
          <w:lang w:val="en-US" w:eastAsia="zh-CN"/>
        </w:rPr>
        <w:t>甘江涛、马丹阳</w:t>
      </w:r>
    </w:p>
    <w:p w14:paraId="366481B8">
      <w:pPr>
        <w:adjustRightInd w:val="0"/>
        <w:snapToGrid w:val="0"/>
        <w:spacing w:line="480" w:lineRule="exact"/>
        <w:rPr>
          <w:rFonts w:hint="eastAsia" w:ascii="仿宋" w:hAnsi="仿宋" w:eastAsia="仿宋" w:cs="仿宋"/>
          <w:bCs/>
          <w:color w:val="auto"/>
          <w:kern w:val="0"/>
          <w:sz w:val="32"/>
          <w:szCs w:val="32"/>
          <w:highlight w:val="none"/>
        </w:rPr>
      </w:pPr>
    </w:p>
    <w:p w14:paraId="481DCC4D">
      <w:pPr>
        <w:adjustRightInd w:val="0"/>
        <w:snapToGrid w:val="0"/>
        <w:spacing w:line="480" w:lineRule="exact"/>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kern w:val="0"/>
          <w:sz w:val="32"/>
          <w:szCs w:val="32"/>
          <w:highlight w:val="none"/>
        </w:rPr>
        <w:t>电话</w:t>
      </w:r>
      <w:r>
        <w:rPr>
          <w:rFonts w:hint="eastAsia" w:ascii="仿宋" w:hAnsi="仿宋" w:eastAsia="仿宋" w:cs="仿宋"/>
          <w:bCs/>
          <w:color w:val="auto"/>
          <w:sz w:val="32"/>
          <w:szCs w:val="32"/>
          <w:highlight w:val="none"/>
        </w:rPr>
        <w:t>：</w:t>
      </w:r>
      <w:r>
        <w:rPr>
          <w:rFonts w:hint="eastAsia" w:ascii="仿宋" w:hAnsi="仿宋" w:eastAsia="仿宋" w:cs="仿宋"/>
          <w:bCs/>
          <w:color w:val="auto"/>
          <w:sz w:val="32"/>
          <w:szCs w:val="32"/>
          <w:highlight w:val="none"/>
          <w:lang w:val="en-US" w:eastAsia="zh-CN"/>
        </w:rPr>
        <w:t>0991-4661782、18040795080</w:t>
      </w:r>
    </w:p>
    <w:p w14:paraId="4F3C68B3">
      <w:pPr>
        <w:adjustRightInd w:val="0"/>
        <w:snapToGrid w:val="0"/>
        <w:spacing w:line="480" w:lineRule="exact"/>
        <w:rPr>
          <w:rFonts w:hint="eastAsia" w:ascii="仿宋" w:hAnsi="仿宋" w:eastAsia="仿宋" w:cs="仿宋"/>
          <w:bCs/>
          <w:color w:val="auto"/>
          <w:sz w:val="32"/>
          <w:szCs w:val="32"/>
          <w:highlight w:val="none"/>
          <w:lang w:val="en-US" w:eastAsia="zh-CN"/>
        </w:rPr>
      </w:pPr>
    </w:p>
    <w:p w14:paraId="0201236A">
      <w:pPr>
        <w:adjustRightInd w:val="0"/>
        <w:snapToGrid w:val="0"/>
        <w:spacing w:line="480" w:lineRule="exact"/>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rPr>
        <w:t>地址：</w:t>
      </w:r>
      <w:r>
        <w:rPr>
          <w:rFonts w:hint="eastAsia" w:ascii="仿宋" w:hAnsi="仿宋" w:eastAsia="仿宋" w:cs="仿宋"/>
          <w:bCs/>
          <w:color w:val="auto"/>
          <w:sz w:val="32"/>
          <w:szCs w:val="32"/>
          <w:highlight w:val="none"/>
          <w:lang w:eastAsia="zh-CN"/>
        </w:rPr>
        <w:t>乌鲁木齐市新兴街20号凤凰科技大厦五楼</w:t>
      </w:r>
    </w:p>
    <w:p w14:paraId="5379BAA9">
      <w:pPr>
        <w:rPr>
          <w:rFonts w:hint="eastAsia" w:ascii="仿宋" w:hAnsi="仿宋" w:eastAsia="仿宋" w:cs="仿宋"/>
          <w:color w:val="auto"/>
          <w:highlight w:val="none"/>
          <w:lang w:eastAsia="zh-CN"/>
        </w:rPr>
      </w:pPr>
    </w:p>
    <w:p w14:paraId="3038F1FE">
      <w:pPr>
        <w:widowControl/>
        <w:jc w:val="left"/>
        <w:rPr>
          <w:rFonts w:hint="eastAsia" w:ascii="仿宋" w:hAnsi="仿宋" w:eastAsia="仿宋" w:cs="仿宋"/>
          <w:b/>
          <w:bCs/>
          <w:color w:val="auto"/>
          <w:highlight w:val="none"/>
        </w:rPr>
      </w:pPr>
      <w:r>
        <w:rPr>
          <w:rFonts w:hint="eastAsia" w:ascii="仿宋" w:hAnsi="仿宋" w:eastAsia="仿宋" w:cs="仿宋"/>
          <w:b/>
          <w:bCs/>
          <w:color w:val="auto"/>
          <w:highlight w:val="none"/>
        </w:rPr>
        <w:br w:type="page"/>
      </w:r>
    </w:p>
    <w:p w14:paraId="4BF7D7DE">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目录</w:t>
      </w:r>
    </w:p>
    <w:p w14:paraId="1F2A2607">
      <w:pPr>
        <w:pStyle w:val="24"/>
        <w:tabs>
          <w:tab w:val="right" w:leader="dot" w:pos="9354"/>
        </w:tabs>
        <w:rPr>
          <w:rFonts w:hint="eastAsia" w:ascii="仿宋" w:hAnsi="仿宋" w:eastAsia="仿宋" w:cs="仿宋"/>
          <w:color w:val="auto"/>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TOC \o "1-3" \h \u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_Toc6135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32"/>
          <w:highlight w:val="none"/>
        </w:rPr>
        <w:t>招标公告</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_Toc6135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1625DF2C">
      <w:pPr>
        <w:pStyle w:val="24"/>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_Toc31193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投标人须知前附表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_Toc31193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6B01185B">
      <w:pPr>
        <w:pStyle w:val="24"/>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_Toc16869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第一章 投标人须知</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_Toc16869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BC16DB9">
      <w:pPr>
        <w:pStyle w:val="30"/>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_Toc13404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一</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总则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_Toc13404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C0D8D9D">
      <w:pPr>
        <w:pStyle w:val="30"/>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_Toc531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二、</w:t>
      </w:r>
      <w:r>
        <w:rPr>
          <w:rFonts w:hint="eastAsia" w:ascii="仿宋" w:hAnsi="仿宋" w:eastAsia="仿宋" w:cs="仿宋"/>
          <w:color w:val="auto"/>
          <w:szCs w:val="24"/>
          <w:highlight w:val="none"/>
        </w:rPr>
        <w:t>招标文件</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_Toc531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620E1693">
      <w:pPr>
        <w:pStyle w:val="30"/>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_Toc23246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三、</w:t>
      </w:r>
      <w:r>
        <w:rPr>
          <w:rFonts w:hint="eastAsia" w:ascii="仿宋" w:hAnsi="仿宋" w:eastAsia="仿宋" w:cs="仿宋"/>
          <w:color w:val="auto"/>
          <w:szCs w:val="24"/>
          <w:highlight w:val="none"/>
        </w:rPr>
        <w:t>投标文件</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_Toc23246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9</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6CB16893">
      <w:pPr>
        <w:pStyle w:val="30"/>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_Toc14186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四、</w:t>
      </w:r>
      <w:r>
        <w:rPr>
          <w:rFonts w:hint="eastAsia" w:ascii="仿宋" w:hAnsi="仿宋" w:eastAsia="仿宋" w:cs="仿宋"/>
          <w:color w:val="auto"/>
          <w:szCs w:val="24"/>
          <w:highlight w:val="none"/>
        </w:rPr>
        <w:t>投标</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_Toc14186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11</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72CF8B3B">
      <w:pPr>
        <w:pStyle w:val="30"/>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_Toc10202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五、</w:t>
      </w:r>
      <w:r>
        <w:rPr>
          <w:rFonts w:hint="eastAsia" w:ascii="仿宋" w:hAnsi="仿宋" w:eastAsia="仿宋" w:cs="仿宋"/>
          <w:color w:val="auto"/>
          <w:szCs w:val="24"/>
          <w:highlight w:val="none"/>
        </w:rPr>
        <w:t>开标</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_Toc10202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11</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11028D3">
      <w:pPr>
        <w:pStyle w:val="30"/>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_Toc21425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六、</w:t>
      </w:r>
      <w:r>
        <w:rPr>
          <w:rFonts w:hint="eastAsia" w:ascii="仿宋" w:hAnsi="仿宋" w:eastAsia="仿宋" w:cs="仿宋"/>
          <w:color w:val="auto"/>
          <w:szCs w:val="24"/>
          <w:highlight w:val="none"/>
        </w:rPr>
        <w:t>评标</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_Toc21425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12</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193B60A1">
      <w:pPr>
        <w:pStyle w:val="30"/>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_Toc26856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七、</w:t>
      </w:r>
      <w:r>
        <w:rPr>
          <w:rFonts w:hint="eastAsia" w:ascii="仿宋" w:hAnsi="仿宋" w:eastAsia="仿宋" w:cs="仿宋"/>
          <w:color w:val="auto"/>
          <w:szCs w:val="24"/>
          <w:highlight w:val="none"/>
        </w:rPr>
        <w:t>定标及合同授予</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_Toc26856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12</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4E8946D8">
      <w:pPr>
        <w:pStyle w:val="30"/>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_Toc28284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八、纪律和监督</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_Toc28284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2067DE23">
      <w:pPr>
        <w:pStyle w:val="24"/>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_Toc8133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第二章 评标办法</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_Toc8133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15</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268665F3">
      <w:pPr>
        <w:pStyle w:val="30"/>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_Toc20681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评审办法前附表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_Toc20681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15</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6635DD5A">
      <w:pPr>
        <w:pStyle w:val="30"/>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_Toc3667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一、</w:t>
      </w:r>
      <w:r>
        <w:rPr>
          <w:rFonts w:hint="eastAsia" w:ascii="仿宋" w:hAnsi="仿宋" w:eastAsia="仿宋" w:cs="仿宋"/>
          <w:color w:val="auto"/>
          <w:szCs w:val="24"/>
          <w:highlight w:val="none"/>
        </w:rPr>
        <w:t>评标方法</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_Toc3667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18</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54A82DE2">
      <w:pPr>
        <w:pStyle w:val="30"/>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_Toc18020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二、</w:t>
      </w:r>
      <w:r>
        <w:rPr>
          <w:rFonts w:hint="eastAsia" w:ascii="仿宋" w:hAnsi="仿宋" w:eastAsia="仿宋" w:cs="仿宋"/>
          <w:color w:val="auto"/>
          <w:szCs w:val="24"/>
          <w:highlight w:val="none"/>
        </w:rPr>
        <w:t>评审标准</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_Toc18020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18</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073A257">
      <w:pPr>
        <w:pStyle w:val="30"/>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_Toc25812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三、</w:t>
      </w:r>
      <w:r>
        <w:rPr>
          <w:rFonts w:hint="eastAsia" w:ascii="仿宋" w:hAnsi="仿宋" w:eastAsia="仿宋" w:cs="仿宋"/>
          <w:color w:val="auto"/>
          <w:szCs w:val="24"/>
          <w:highlight w:val="none"/>
        </w:rPr>
        <w:t>评标程序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_Toc25812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18</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4484A095">
      <w:pPr>
        <w:pStyle w:val="24"/>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_Toc11142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第三章 合同</w:t>
      </w:r>
      <w:r>
        <w:rPr>
          <w:rFonts w:hint="eastAsia" w:ascii="仿宋" w:hAnsi="仿宋" w:eastAsia="仿宋" w:cs="仿宋"/>
          <w:color w:val="auto"/>
          <w:szCs w:val="24"/>
          <w:highlight w:val="none"/>
          <w:lang w:val="en-US" w:eastAsia="zh-CN"/>
        </w:rPr>
        <w:t>文本</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_Toc11142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B5A7E32">
      <w:pPr>
        <w:pStyle w:val="24"/>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_Toc20380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 xml:space="preserve">第四章 </w:t>
      </w:r>
      <w:r>
        <w:rPr>
          <w:rFonts w:hint="eastAsia" w:ascii="仿宋" w:hAnsi="仿宋" w:eastAsia="仿宋" w:cs="仿宋"/>
          <w:color w:val="auto"/>
          <w:szCs w:val="24"/>
          <w:highlight w:val="none"/>
          <w:lang w:eastAsia="zh-CN"/>
        </w:rPr>
        <w:t>服务标准和要求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_Toc20380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5D60AFDD">
      <w:pPr>
        <w:pStyle w:val="24"/>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_Toc8265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第五章 投标文件格式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_Toc8265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203A9FBC">
      <w:pPr>
        <w:pStyle w:val="30"/>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_Toc18209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一、</w:t>
      </w:r>
      <w:r>
        <w:rPr>
          <w:rFonts w:hint="eastAsia" w:ascii="仿宋" w:hAnsi="仿宋" w:eastAsia="仿宋" w:cs="仿宋"/>
          <w:color w:val="auto"/>
          <w:szCs w:val="24"/>
          <w:highlight w:val="none"/>
        </w:rPr>
        <w:t>开标一览表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_Toc18209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35</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7EBF7A15">
      <w:pPr>
        <w:pStyle w:val="30"/>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_Toc22764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二、投标函</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_Toc22764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36</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5566D43C">
      <w:pPr>
        <w:pStyle w:val="30"/>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_Toc24006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三</w:t>
      </w:r>
      <w:r>
        <w:rPr>
          <w:rFonts w:hint="eastAsia" w:ascii="仿宋" w:hAnsi="仿宋" w:eastAsia="仿宋" w:cs="仿宋"/>
          <w:color w:val="auto"/>
          <w:szCs w:val="24"/>
          <w:highlight w:val="none"/>
        </w:rPr>
        <w:t>、投标价格明细表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_Toc24006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37</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190C01AF">
      <w:pPr>
        <w:pStyle w:val="30"/>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_Toc30967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四</w:t>
      </w:r>
      <w:r>
        <w:rPr>
          <w:rFonts w:hint="eastAsia" w:ascii="仿宋" w:hAnsi="仿宋" w:eastAsia="仿宋" w:cs="仿宋"/>
          <w:color w:val="auto"/>
          <w:szCs w:val="24"/>
          <w:highlight w:val="none"/>
        </w:rPr>
        <w:t>、商务条款偏离表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_Toc30967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38</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2BE1B5A2">
      <w:pPr>
        <w:pStyle w:val="30"/>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_Toc24794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五</w:t>
      </w:r>
      <w:r>
        <w:rPr>
          <w:rFonts w:hint="eastAsia" w:ascii="仿宋" w:hAnsi="仿宋" w:eastAsia="仿宋" w:cs="仿宋"/>
          <w:color w:val="auto"/>
          <w:szCs w:val="24"/>
          <w:highlight w:val="none"/>
        </w:rPr>
        <w:t>、技术条款偏离表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_Toc24794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39</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71ABB3F0">
      <w:pPr>
        <w:pStyle w:val="30"/>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_Toc6334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六</w:t>
      </w:r>
      <w:r>
        <w:rPr>
          <w:rFonts w:hint="eastAsia" w:ascii="仿宋" w:hAnsi="仿宋" w:eastAsia="仿宋" w:cs="仿宋"/>
          <w:color w:val="auto"/>
          <w:szCs w:val="24"/>
          <w:highlight w:val="none"/>
        </w:rPr>
        <w:t>、法定代表人身份证明书</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_Toc6334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40</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4EB921A3">
      <w:pPr>
        <w:pStyle w:val="30"/>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_Toc3738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七</w:t>
      </w:r>
      <w:r>
        <w:rPr>
          <w:rFonts w:hint="eastAsia" w:ascii="仿宋" w:hAnsi="仿宋" w:eastAsia="仿宋" w:cs="仿宋"/>
          <w:color w:val="auto"/>
          <w:szCs w:val="24"/>
          <w:highlight w:val="none"/>
        </w:rPr>
        <w:t>、法定代表人授权委托书</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_Toc3738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41</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16178347">
      <w:pPr>
        <w:pStyle w:val="30"/>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_Toc20447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八</w:t>
      </w:r>
      <w:r>
        <w:rPr>
          <w:rFonts w:hint="eastAsia" w:ascii="仿宋" w:hAnsi="仿宋" w:eastAsia="仿宋" w:cs="仿宋"/>
          <w:color w:val="auto"/>
          <w:szCs w:val="24"/>
          <w:highlight w:val="none"/>
        </w:rPr>
        <w:t>、</w:t>
      </w:r>
      <w:r>
        <w:rPr>
          <w:rFonts w:hint="eastAsia" w:ascii="仿宋" w:hAnsi="仿宋" w:eastAsia="仿宋" w:cs="仿宋"/>
          <w:bCs/>
          <w:color w:val="auto"/>
          <w:szCs w:val="24"/>
          <w:highlight w:val="none"/>
        </w:rPr>
        <w:t>投标人资格条件证明材料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_Toc20447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42</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6AEDEC9F">
      <w:pPr>
        <w:pStyle w:val="30"/>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_Toc28985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8</w:t>
      </w:r>
      <w:r>
        <w:rPr>
          <w:rFonts w:hint="eastAsia" w:ascii="仿宋" w:hAnsi="仿宋" w:eastAsia="仿宋" w:cs="仿宋"/>
          <w:color w:val="auto"/>
          <w:szCs w:val="24"/>
          <w:highlight w:val="none"/>
        </w:rPr>
        <w:t>.1 法人或者其他组织的营业</w:t>
      </w:r>
      <w:bookmarkStart w:id="348" w:name="_GoBack"/>
      <w:bookmarkEnd w:id="348"/>
      <w:r>
        <w:rPr>
          <w:rFonts w:hint="eastAsia" w:ascii="仿宋" w:hAnsi="仿宋" w:eastAsia="仿宋" w:cs="仿宋"/>
          <w:color w:val="auto"/>
          <w:szCs w:val="24"/>
          <w:highlight w:val="none"/>
        </w:rPr>
        <w:t>执照等证明文件，自然人的身份证明</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_Toc28985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434A706">
      <w:pPr>
        <w:pStyle w:val="30"/>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_Toc13471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8</w:t>
      </w:r>
      <w:r>
        <w:rPr>
          <w:rFonts w:hint="eastAsia" w:ascii="仿宋" w:hAnsi="仿宋" w:eastAsia="仿宋" w:cs="仿宋"/>
          <w:color w:val="auto"/>
          <w:szCs w:val="24"/>
          <w:highlight w:val="none"/>
        </w:rPr>
        <w:t>.2 财务状况报告，依法缴纳税收和社会保障资金的相关材料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_Toc13471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44</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5E124B7">
      <w:pPr>
        <w:pStyle w:val="30"/>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_Toc12094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8</w:t>
      </w:r>
      <w:r>
        <w:rPr>
          <w:rFonts w:hint="eastAsia" w:ascii="仿宋" w:hAnsi="仿宋" w:eastAsia="仿宋" w:cs="仿宋"/>
          <w:color w:val="auto"/>
          <w:szCs w:val="24"/>
          <w:highlight w:val="none"/>
        </w:rPr>
        <w:t>.3 具备履行合同所必需的设备和专业技术能力的证明材料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_Toc12094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45</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2967BDFB">
      <w:pPr>
        <w:pStyle w:val="30"/>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_Toc32606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8</w:t>
      </w:r>
      <w:r>
        <w:rPr>
          <w:rFonts w:hint="eastAsia" w:ascii="仿宋" w:hAnsi="仿宋" w:eastAsia="仿宋" w:cs="仿宋"/>
          <w:color w:val="auto"/>
          <w:szCs w:val="24"/>
          <w:highlight w:val="none"/>
        </w:rPr>
        <w:t>.4 参加政府采购活动前3年内在经营活动中没有重大违法记录的书面声明</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_Toc32606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46</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7991CD2">
      <w:pPr>
        <w:pStyle w:val="30"/>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_Toc25526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8</w:t>
      </w:r>
      <w:r>
        <w:rPr>
          <w:rFonts w:hint="eastAsia" w:ascii="仿宋" w:hAnsi="仿宋" w:eastAsia="仿宋" w:cs="仿宋"/>
          <w:color w:val="auto"/>
          <w:szCs w:val="24"/>
          <w:highlight w:val="none"/>
        </w:rPr>
        <w:t>.5 具备法律、行政法规规定的其他条件的证明材料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_Toc25526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47</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32F023F">
      <w:pPr>
        <w:pStyle w:val="30"/>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_Toc14967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九</w:t>
      </w:r>
      <w:r>
        <w:rPr>
          <w:rFonts w:hint="eastAsia" w:ascii="仿宋" w:hAnsi="仿宋" w:eastAsia="仿宋" w:cs="仿宋"/>
          <w:color w:val="auto"/>
          <w:szCs w:val="24"/>
          <w:highlight w:val="none"/>
        </w:rPr>
        <w:t>、投标人近年类似项目情况表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_Toc14967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50</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68583A83">
      <w:pPr>
        <w:pStyle w:val="30"/>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_Toc25865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shd w:val="clear" w:color="auto" w:fill="FFFFFF" w:themeFill="background1"/>
          <w:lang w:val="en-US" w:eastAsia="zh-CN"/>
        </w:rPr>
        <w:t>十、</w:t>
      </w:r>
      <w:r>
        <w:rPr>
          <w:rFonts w:hint="eastAsia" w:ascii="仿宋" w:hAnsi="仿宋" w:eastAsia="仿宋" w:cs="仿宋"/>
          <w:bCs/>
          <w:color w:val="auto"/>
          <w:szCs w:val="24"/>
          <w:highlight w:val="none"/>
          <w:shd w:val="clear" w:color="auto" w:fill="FFFFFF" w:themeFill="background1"/>
        </w:rPr>
        <w:t>项目负责人简历表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_Toc25865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51</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1F31F874">
      <w:pPr>
        <w:pStyle w:val="30"/>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_Toc27202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shd w:val="clear" w:color="auto" w:fill="FFFFFF" w:themeFill="background1"/>
          <w:lang w:val="en-US" w:eastAsia="zh-CN"/>
        </w:rPr>
        <w:t>十一</w:t>
      </w:r>
      <w:r>
        <w:rPr>
          <w:rFonts w:hint="eastAsia" w:ascii="仿宋" w:hAnsi="仿宋" w:eastAsia="仿宋" w:cs="仿宋"/>
          <w:color w:val="auto"/>
          <w:szCs w:val="24"/>
          <w:highlight w:val="none"/>
          <w:shd w:val="clear" w:color="auto" w:fill="FFFFFF" w:themeFill="background1"/>
        </w:rPr>
        <w:t>、拟派主要</w:t>
      </w:r>
      <w:r>
        <w:rPr>
          <w:rFonts w:hint="eastAsia" w:ascii="仿宋" w:hAnsi="仿宋" w:eastAsia="仿宋" w:cs="仿宋"/>
          <w:color w:val="auto"/>
          <w:szCs w:val="24"/>
          <w:highlight w:val="none"/>
          <w:shd w:val="clear" w:color="auto" w:fill="FFFFFF" w:themeFill="background1"/>
          <w:lang w:val="en-US" w:eastAsia="zh-CN"/>
        </w:rPr>
        <w:t>服务</w:t>
      </w:r>
      <w:r>
        <w:rPr>
          <w:rFonts w:hint="eastAsia" w:ascii="仿宋" w:hAnsi="仿宋" w:eastAsia="仿宋" w:cs="仿宋"/>
          <w:color w:val="auto"/>
          <w:szCs w:val="24"/>
          <w:highlight w:val="none"/>
          <w:shd w:val="clear" w:color="auto" w:fill="FFFFFF" w:themeFill="background1"/>
        </w:rPr>
        <w:t>人员情况表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_Toc27202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52</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25F38618">
      <w:pPr>
        <w:pStyle w:val="30"/>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_Toc22395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十</w:t>
      </w:r>
      <w:r>
        <w:rPr>
          <w:rFonts w:hint="eastAsia" w:ascii="仿宋" w:hAnsi="仿宋" w:eastAsia="仿宋" w:cs="仿宋"/>
          <w:color w:val="auto"/>
          <w:szCs w:val="24"/>
          <w:highlight w:val="none"/>
          <w:lang w:val="en-US" w:eastAsia="zh-CN"/>
        </w:rPr>
        <w:t>二</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eastAsia="zh-CN"/>
        </w:rPr>
        <w:t>服务方案</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_Toc22395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57F8ABB2">
      <w:pPr>
        <w:pStyle w:val="30"/>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_Toc13848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十</w:t>
      </w:r>
      <w:r>
        <w:rPr>
          <w:rFonts w:hint="eastAsia" w:ascii="仿宋" w:hAnsi="仿宋" w:eastAsia="仿宋" w:cs="仿宋"/>
          <w:color w:val="auto"/>
          <w:szCs w:val="24"/>
          <w:highlight w:val="none"/>
          <w:lang w:val="en-US" w:eastAsia="zh-CN"/>
        </w:rPr>
        <w:t>三</w:t>
      </w:r>
      <w:r>
        <w:rPr>
          <w:rFonts w:hint="eastAsia" w:ascii="仿宋" w:hAnsi="仿宋" w:eastAsia="仿宋" w:cs="仿宋"/>
          <w:color w:val="auto"/>
          <w:szCs w:val="24"/>
          <w:highlight w:val="none"/>
        </w:rPr>
        <w:t>、保证金缴纳证明材料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_Toc13848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54</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2A2C8A31">
      <w:pPr>
        <w:pStyle w:val="30"/>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_Toc4246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十</w:t>
      </w:r>
      <w:r>
        <w:rPr>
          <w:rFonts w:hint="eastAsia" w:ascii="仿宋" w:hAnsi="仿宋" w:eastAsia="仿宋" w:cs="仿宋"/>
          <w:color w:val="auto"/>
          <w:szCs w:val="24"/>
          <w:highlight w:val="none"/>
          <w:lang w:val="en-US" w:eastAsia="zh-CN"/>
        </w:rPr>
        <w:t>四</w:t>
      </w:r>
      <w:r>
        <w:rPr>
          <w:rFonts w:hint="eastAsia" w:ascii="仿宋" w:hAnsi="仿宋" w:eastAsia="仿宋" w:cs="仿宋"/>
          <w:color w:val="auto"/>
          <w:szCs w:val="24"/>
          <w:highlight w:val="none"/>
        </w:rPr>
        <w:t>、其它需要提交的资料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_Toc4246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55</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2F8F29B0">
      <w:pPr>
        <w:pStyle w:val="24"/>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_Toc8842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第六章 补充条款</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_Toc8842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56</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42BBCA6E">
      <w:pPr>
        <w:pStyle w:val="30"/>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_Toc15128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Cs w:val="24"/>
          <w:highlight w:val="none"/>
        </w:rPr>
        <w:t>附件</w:t>
      </w:r>
      <w:r>
        <w:rPr>
          <w:rFonts w:hint="eastAsia" w:ascii="仿宋" w:hAnsi="仿宋" w:eastAsia="仿宋" w:cs="仿宋"/>
          <w:color w:val="auto"/>
          <w:spacing w:val="6"/>
          <w:szCs w:val="24"/>
          <w:highlight w:val="none"/>
          <w:lang w:val="en-US" w:eastAsia="zh-CN"/>
        </w:rPr>
        <w:t>1</w:t>
      </w:r>
      <w:r>
        <w:rPr>
          <w:rFonts w:hint="eastAsia" w:ascii="仿宋" w:hAnsi="仿宋" w:eastAsia="仿宋" w:cs="仿宋"/>
          <w:color w:val="auto"/>
          <w:spacing w:val="6"/>
          <w:szCs w:val="24"/>
          <w:highlight w:val="none"/>
        </w:rPr>
        <w:t>、</w:t>
      </w:r>
      <w:r>
        <w:rPr>
          <w:rFonts w:hint="eastAsia" w:ascii="仿宋" w:hAnsi="仿宋" w:eastAsia="仿宋" w:cs="仿宋"/>
          <w:color w:val="auto"/>
          <w:spacing w:val="6"/>
          <w:szCs w:val="24"/>
          <w:highlight w:val="none"/>
          <w:lang w:val="en-US" w:eastAsia="zh-CN"/>
        </w:rPr>
        <w:t>中小企业扶持政策</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_Toc15128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56</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7E865EFA">
      <w:pPr>
        <w:pStyle w:val="30"/>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_Toc11810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Cs w:val="24"/>
          <w:highlight w:val="none"/>
        </w:rPr>
        <w:t>附件</w:t>
      </w:r>
      <w:r>
        <w:rPr>
          <w:rFonts w:hint="eastAsia" w:ascii="仿宋" w:hAnsi="仿宋" w:eastAsia="仿宋" w:cs="仿宋"/>
          <w:color w:val="auto"/>
          <w:spacing w:val="6"/>
          <w:szCs w:val="24"/>
          <w:highlight w:val="none"/>
          <w:lang w:val="en-US" w:eastAsia="zh-CN"/>
        </w:rPr>
        <w:t>2</w:t>
      </w:r>
      <w:r>
        <w:rPr>
          <w:rFonts w:hint="eastAsia" w:ascii="仿宋" w:hAnsi="仿宋" w:eastAsia="仿宋" w:cs="仿宋"/>
          <w:color w:val="auto"/>
          <w:spacing w:val="6"/>
          <w:szCs w:val="24"/>
          <w:highlight w:val="none"/>
        </w:rPr>
        <w:t>、</w:t>
      </w:r>
      <w:r>
        <w:rPr>
          <w:rFonts w:hint="eastAsia" w:ascii="仿宋" w:hAnsi="仿宋" w:eastAsia="仿宋" w:cs="仿宋"/>
          <w:color w:val="auto"/>
          <w:spacing w:val="6"/>
          <w:szCs w:val="24"/>
          <w:highlight w:val="none"/>
          <w:lang w:val="en-US" w:eastAsia="zh-CN"/>
        </w:rPr>
        <w:t>残疾人企业扶持政策</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_Toc11810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60</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44889E91">
      <w:pPr>
        <w:pStyle w:val="30"/>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_Toc26391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Cs w:val="24"/>
          <w:highlight w:val="none"/>
        </w:rPr>
        <w:t>附件</w:t>
      </w:r>
      <w:r>
        <w:rPr>
          <w:rFonts w:hint="eastAsia" w:ascii="仿宋" w:hAnsi="仿宋" w:eastAsia="仿宋" w:cs="仿宋"/>
          <w:color w:val="auto"/>
          <w:spacing w:val="6"/>
          <w:szCs w:val="24"/>
          <w:highlight w:val="none"/>
          <w:lang w:val="en-US" w:eastAsia="zh-CN"/>
        </w:rPr>
        <w:t>3</w:t>
      </w:r>
      <w:r>
        <w:rPr>
          <w:rFonts w:hint="eastAsia" w:ascii="仿宋" w:hAnsi="仿宋" w:eastAsia="仿宋" w:cs="仿宋"/>
          <w:color w:val="auto"/>
          <w:spacing w:val="6"/>
          <w:szCs w:val="24"/>
          <w:highlight w:val="none"/>
        </w:rPr>
        <w:t>、</w:t>
      </w:r>
      <w:r>
        <w:rPr>
          <w:rFonts w:hint="eastAsia" w:ascii="仿宋" w:hAnsi="仿宋" w:eastAsia="仿宋" w:cs="仿宋"/>
          <w:color w:val="auto"/>
          <w:spacing w:val="6"/>
          <w:szCs w:val="24"/>
          <w:highlight w:val="none"/>
          <w:lang w:val="en-US" w:eastAsia="zh-CN"/>
        </w:rPr>
        <w:t>监狱扶持政策</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_Toc26391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62</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76B88218">
      <w:pPr>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end"/>
      </w:r>
    </w:p>
    <w:p w14:paraId="07DFEE24">
      <w:pPr>
        <w:spacing w:line="360" w:lineRule="auto"/>
        <w:jc w:val="center"/>
        <w:outlineLvl w:val="0"/>
        <w:rPr>
          <w:rFonts w:hint="eastAsia" w:ascii="仿宋" w:hAnsi="仿宋" w:eastAsia="仿宋" w:cs="仿宋"/>
          <w:b/>
          <w:bCs/>
          <w:color w:val="auto"/>
          <w:sz w:val="32"/>
          <w:szCs w:val="32"/>
          <w:highlight w:val="none"/>
        </w:rPr>
        <w:sectPr>
          <w:headerReference r:id="rId3" w:type="default"/>
          <w:footerReference r:id="rId4" w:type="default"/>
          <w:footerReference r:id="rId5" w:type="even"/>
          <w:pgSz w:w="11906" w:h="16838"/>
          <w:pgMar w:top="1361" w:right="1134" w:bottom="1361" w:left="1418" w:header="851" w:footer="992" w:gutter="0"/>
          <w:pgNumType w:start="1"/>
          <w:cols w:space="720" w:num="1"/>
          <w:docGrid w:type="lines" w:linePitch="312" w:charSpace="0"/>
        </w:sectPr>
      </w:pPr>
    </w:p>
    <w:p w14:paraId="33B9E51C">
      <w:pPr>
        <w:spacing w:line="360" w:lineRule="auto"/>
        <w:jc w:val="center"/>
        <w:outlineLvl w:val="0"/>
        <w:rPr>
          <w:rFonts w:hint="eastAsia" w:ascii="仿宋" w:hAnsi="仿宋" w:eastAsia="仿宋" w:cs="仿宋"/>
          <w:b/>
          <w:bCs/>
          <w:color w:val="auto"/>
          <w:sz w:val="24"/>
          <w:szCs w:val="24"/>
          <w:highlight w:val="none"/>
        </w:rPr>
      </w:pPr>
      <w:bookmarkStart w:id="0" w:name="_Toc6135"/>
      <w:r>
        <w:rPr>
          <w:rFonts w:hint="eastAsia" w:ascii="仿宋" w:hAnsi="仿宋" w:eastAsia="仿宋" w:cs="仿宋"/>
          <w:b/>
          <w:bCs/>
          <w:color w:val="auto"/>
          <w:sz w:val="32"/>
          <w:szCs w:val="32"/>
          <w:highlight w:val="none"/>
        </w:rPr>
        <w:t>招标公告</w:t>
      </w:r>
      <w:bookmarkEnd w:id="0"/>
    </w:p>
    <w:p w14:paraId="67D4A98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项目概况</w:t>
      </w:r>
    </w:p>
    <w:p w14:paraId="5A20A3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2026年新疆畜牧兽医大数据平台运行维护项目</w:t>
      </w:r>
      <w:r>
        <w:rPr>
          <w:rFonts w:hint="eastAsia" w:ascii="仿宋" w:hAnsi="仿宋" w:eastAsia="仿宋" w:cs="仿宋"/>
          <w:color w:val="auto"/>
          <w:sz w:val="24"/>
          <w:szCs w:val="24"/>
          <w:highlight w:val="none"/>
        </w:rPr>
        <w:t>招标项目的潜在投标人应在政采云平台线上获取招标文件，并于</w:t>
      </w:r>
      <w:r>
        <w:rPr>
          <w:rFonts w:hint="eastAsia" w:ascii="仿宋" w:hAnsi="仿宋" w:eastAsia="仿宋" w:cs="仿宋"/>
          <w:color w:val="auto"/>
          <w:sz w:val="24"/>
          <w:szCs w:val="24"/>
          <w:highlight w:val="none"/>
          <w:lang w:eastAsia="zh-CN"/>
        </w:rPr>
        <w:t>2026年06月03日16时00分（北京时间）</w:t>
      </w:r>
      <w:r>
        <w:rPr>
          <w:rFonts w:hint="eastAsia" w:ascii="仿宋" w:hAnsi="仿宋" w:eastAsia="仿宋" w:cs="仿宋"/>
          <w:color w:val="auto"/>
          <w:sz w:val="24"/>
          <w:szCs w:val="24"/>
          <w:highlight w:val="none"/>
        </w:rPr>
        <w:t>前递交投标文件。</w:t>
      </w:r>
    </w:p>
    <w:p w14:paraId="60F3AA5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一、项目基本情况</w:t>
      </w:r>
    </w:p>
    <w:p w14:paraId="0D9FC31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eastAsia="zh-CN"/>
        </w:rPr>
        <w:t>XJXSJ-2026（ZC）-254</w:t>
      </w:r>
    </w:p>
    <w:p w14:paraId="3BACAFD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2026年新疆畜牧兽医大数据平台运行维护项目</w:t>
      </w:r>
    </w:p>
    <w:p w14:paraId="54211E0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采购方式：公开招标</w:t>
      </w:r>
    </w:p>
    <w:p w14:paraId="2594055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2200000.00</w:t>
      </w:r>
    </w:p>
    <w:p w14:paraId="24249EC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最高限价（元）</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2200000.00</w:t>
      </w:r>
    </w:p>
    <w:p w14:paraId="3706E44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简要规格描述或项目基本概况介绍、用途</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畜牧兽医大数据平台运行维护</w:t>
      </w:r>
    </w:p>
    <w:p w14:paraId="706D0F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合同履约期限</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1年</w:t>
      </w:r>
    </w:p>
    <w:p w14:paraId="28A2D50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本项目（否）接受联合体投标。</w:t>
      </w:r>
    </w:p>
    <w:p w14:paraId="10C9980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的资格要求：</w:t>
      </w:r>
    </w:p>
    <w:p w14:paraId="1ABCBFD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满足《中华人民共和国政府采购法》第二十二条规定。</w:t>
      </w:r>
    </w:p>
    <w:p w14:paraId="575C2186">
      <w:pPr>
        <w:widowControl/>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bookmarkStart w:id="1" w:name="OLE_LINK2"/>
      <w:bookmarkStart w:id="2" w:name="OLE_LINK1"/>
      <w:r>
        <w:rPr>
          <w:rFonts w:hint="eastAsia" w:ascii="仿宋" w:hAnsi="仿宋" w:eastAsia="仿宋" w:cs="仿宋"/>
          <w:color w:val="auto"/>
          <w:sz w:val="24"/>
          <w:szCs w:val="24"/>
          <w:highlight w:val="none"/>
          <w:lang w:val="en-US" w:eastAsia="zh-CN"/>
        </w:rPr>
        <w:t>投标人为小微企业。</w:t>
      </w:r>
      <w:bookmarkEnd w:id="1"/>
      <w:bookmarkEnd w:id="2"/>
    </w:p>
    <w:p w14:paraId="3A7B3750">
      <w:pPr>
        <w:widowControl/>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投标人如在“信用中国”网站（www.creditchina.gov.cn）、中国政府采购网（www.ccgp.gov.cn）等渠道被列入失信被执行人、重大税收违法失信主体、政府采购严重违法失信行为记录名单，尚在处罚期内的将被拒绝参加本次采购活动。</w:t>
      </w:r>
    </w:p>
    <w:p w14:paraId="074D8260">
      <w:pPr>
        <w:widowControl/>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三、获取招标文件</w:t>
      </w:r>
    </w:p>
    <w:p w14:paraId="183858E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lang w:eastAsia="zh-CN"/>
        </w:rPr>
        <w:t>2026年05月12日至2026年05月19日</w:t>
      </w:r>
      <w:r>
        <w:rPr>
          <w:rFonts w:hint="eastAsia" w:ascii="仿宋" w:hAnsi="仿宋" w:eastAsia="仿宋" w:cs="仿宋"/>
          <w:color w:val="auto"/>
          <w:sz w:val="24"/>
          <w:szCs w:val="24"/>
          <w:highlight w:val="none"/>
        </w:rPr>
        <w:t>，每天上午00:00至1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:00，下午1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:00至23:59（北京时间，法定节假日除外）</w:t>
      </w:r>
    </w:p>
    <w:p w14:paraId="409E127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地点：政采云平台线上</w:t>
      </w:r>
    </w:p>
    <w:p w14:paraId="58B5E7C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登录政采云平台https://www.zcygov.cn/在线申请获取采购文件（进入“项目采购”应用，在获取采购文件菜单中选择项目，申请获取采购文件），或者点击采购公告底部潜在</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“获取采购文件”，页面跳转后登陆，直接获取采购文件。</w:t>
      </w:r>
    </w:p>
    <w:p w14:paraId="49D0339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售价（元）：0</w:t>
      </w:r>
    </w:p>
    <w:p w14:paraId="47C2F7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四、提交投标文件截止时间、开标时间和地点</w:t>
      </w:r>
    </w:p>
    <w:p w14:paraId="0ED75A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提交投标文件截止时间：</w:t>
      </w:r>
      <w:r>
        <w:rPr>
          <w:rFonts w:hint="eastAsia" w:ascii="仿宋" w:hAnsi="仿宋" w:eastAsia="仿宋" w:cs="仿宋"/>
          <w:color w:val="auto"/>
          <w:sz w:val="24"/>
          <w:szCs w:val="24"/>
          <w:highlight w:val="none"/>
          <w:lang w:eastAsia="zh-CN"/>
        </w:rPr>
        <w:t>2026年06月03日16时00分（北京时间）</w:t>
      </w:r>
    </w:p>
    <w:p w14:paraId="116BF28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投标地点：请登录政采云投标客户端投标</w:t>
      </w:r>
    </w:p>
    <w:p w14:paraId="4CB28AE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w:t>
      </w:r>
      <w:r>
        <w:rPr>
          <w:rFonts w:hint="eastAsia" w:ascii="仿宋" w:hAnsi="仿宋" w:eastAsia="仿宋" w:cs="仿宋"/>
          <w:color w:val="auto"/>
          <w:sz w:val="24"/>
          <w:szCs w:val="24"/>
          <w:highlight w:val="none"/>
          <w:lang w:eastAsia="zh-CN"/>
        </w:rPr>
        <w:t>2026年06月03日16时00分（北京时间）</w:t>
      </w:r>
    </w:p>
    <w:p w14:paraId="1A112FF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开标地点：投标人登录政采云平台https://www.zcygov.cn/，进入“项目采购-开标评标-右边选择对应项目点击“进入项目”进入开标大厅。</w:t>
      </w:r>
    </w:p>
    <w:p w14:paraId="267BB8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五、公告期限</w:t>
      </w:r>
    </w:p>
    <w:p w14:paraId="2345FBA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自本公告发布之日起5个工作日。</w:t>
      </w:r>
    </w:p>
    <w:p w14:paraId="4E0AF9E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六、对本次采购提出询问，请按以下方式联系</w:t>
      </w:r>
    </w:p>
    <w:p w14:paraId="410FEDC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14:paraId="56F0E5B5">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lang w:eastAsia="zh-CN"/>
        </w:rPr>
        <w:t>新疆维吾尔自治区畜牧总站</w:t>
      </w:r>
    </w:p>
    <w:p w14:paraId="2CA4612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址：乌鲁木齐市西山东街476号沃美广场4楼</w:t>
      </w:r>
    </w:p>
    <w:p w14:paraId="708B877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lang w:val="en-US" w:eastAsia="zh-CN"/>
        </w:rPr>
        <w:t>17690991600</w:t>
      </w:r>
    </w:p>
    <w:p w14:paraId="23D963B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p>
    <w:p w14:paraId="3AE25F7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称：新疆新世纪招标有限公司</w:t>
      </w:r>
    </w:p>
    <w:p w14:paraId="433E9CA5">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lang w:eastAsia="zh-CN"/>
        </w:rPr>
        <w:t>乌鲁木齐市新兴街20号凤凰科技大厦五楼</w:t>
      </w:r>
    </w:p>
    <w:p w14:paraId="46FDFED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联系方式：0991-4661782</w:t>
      </w:r>
    </w:p>
    <w:p w14:paraId="6BE5744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3.项目联系方式</w:t>
      </w:r>
    </w:p>
    <w:p w14:paraId="2C528D47">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lang w:val="en-US" w:eastAsia="zh-CN"/>
        </w:rPr>
        <w:t>甘江涛、马丹阳</w:t>
      </w:r>
    </w:p>
    <w:p w14:paraId="387ECB9D">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lang w:val="en-US" w:eastAsia="zh-CN"/>
        </w:rPr>
        <w:t>18040795080、18690890996</w:t>
      </w:r>
    </w:p>
    <w:p w14:paraId="5FE5C663">
      <w:pPr>
        <w:spacing w:line="360" w:lineRule="auto"/>
        <w:ind w:firstLine="480" w:firstLineChars="200"/>
        <w:rPr>
          <w:rFonts w:hint="eastAsia" w:ascii="仿宋" w:hAnsi="仿宋" w:eastAsia="仿宋" w:cs="仿宋"/>
          <w:color w:val="auto"/>
          <w:sz w:val="24"/>
          <w:szCs w:val="24"/>
          <w:highlight w:val="none"/>
        </w:rPr>
      </w:pPr>
    </w:p>
    <w:p w14:paraId="4CEA1E82">
      <w:pPr>
        <w:pStyle w:val="8"/>
        <w:rPr>
          <w:rFonts w:hint="eastAsia" w:ascii="仿宋" w:hAnsi="仿宋" w:eastAsia="仿宋" w:cs="仿宋"/>
          <w:color w:val="auto"/>
          <w:highlight w:val="none"/>
        </w:rPr>
      </w:pPr>
    </w:p>
    <w:p w14:paraId="20CCF4FC">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06BA5047">
      <w:pPr>
        <w:rPr>
          <w:rFonts w:hint="eastAsia" w:ascii="仿宋" w:hAnsi="仿宋" w:eastAsia="仿宋" w:cs="仿宋"/>
          <w:color w:val="auto"/>
          <w:sz w:val="24"/>
          <w:highlight w:val="none"/>
        </w:rPr>
        <w:sectPr>
          <w:footerReference r:id="rId6" w:type="default"/>
          <w:pgSz w:w="11906" w:h="16838"/>
          <w:pgMar w:top="1361" w:right="1134" w:bottom="1361" w:left="1418" w:header="851" w:footer="992" w:gutter="0"/>
          <w:pgNumType w:start="1"/>
          <w:cols w:space="720" w:num="1"/>
          <w:docGrid w:type="lines" w:linePitch="312" w:charSpace="0"/>
        </w:sectPr>
      </w:pPr>
    </w:p>
    <w:p w14:paraId="73F38540">
      <w:pPr>
        <w:spacing w:line="440" w:lineRule="exact"/>
        <w:jc w:val="center"/>
        <w:outlineLvl w:val="0"/>
        <w:rPr>
          <w:rFonts w:hint="eastAsia" w:ascii="仿宋" w:hAnsi="仿宋" w:eastAsia="仿宋" w:cs="仿宋"/>
          <w:b/>
          <w:color w:val="auto"/>
          <w:sz w:val="24"/>
          <w:szCs w:val="24"/>
          <w:highlight w:val="none"/>
        </w:rPr>
      </w:pPr>
      <w:bookmarkStart w:id="3" w:name="_Toc31193"/>
      <w:r>
        <w:rPr>
          <w:rFonts w:hint="eastAsia" w:ascii="仿宋" w:hAnsi="仿宋" w:eastAsia="仿宋" w:cs="仿宋"/>
          <w:b/>
          <w:color w:val="auto"/>
          <w:sz w:val="24"/>
          <w:szCs w:val="24"/>
          <w:highlight w:val="none"/>
        </w:rPr>
        <w:t>投标人须知前附表</w:t>
      </w:r>
      <w:bookmarkEnd w:id="3"/>
    </w:p>
    <w:tbl>
      <w:tblPr>
        <w:tblStyle w:val="39"/>
        <w:tblW w:w="90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597"/>
        <w:gridCol w:w="1410"/>
        <w:gridCol w:w="7073"/>
      </w:tblGrid>
      <w:tr w14:paraId="52873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7" w:hRule="atLeast"/>
          <w:jc w:val="center"/>
        </w:trPr>
        <w:tc>
          <w:tcPr>
            <w:tcW w:w="597" w:type="dxa"/>
            <w:vAlign w:val="center"/>
          </w:tcPr>
          <w:p w14:paraId="07317197">
            <w:pPr>
              <w:jc w:val="center"/>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项号</w:t>
            </w:r>
          </w:p>
        </w:tc>
        <w:tc>
          <w:tcPr>
            <w:tcW w:w="8483" w:type="dxa"/>
            <w:gridSpan w:val="2"/>
            <w:vAlign w:val="center"/>
          </w:tcPr>
          <w:p w14:paraId="660C8486">
            <w:pPr>
              <w:jc w:val="center"/>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编列内容</w:t>
            </w:r>
          </w:p>
        </w:tc>
      </w:tr>
      <w:tr w14:paraId="48B2A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631F3A7B">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w:t>
            </w:r>
          </w:p>
        </w:tc>
        <w:tc>
          <w:tcPr>
            <w:tcW w:w="1410" w:type="dxa"/>
            <w:vAlign w:val="center"/>
          </w:tcPr>
          <w:p w14:paraId="06DA83F6">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项目名称</w:t>
            </w:r>
          </w:p>
        </w:tc>
        <w:tc>
          <w:tcPr>
            <w:tcW w:w="7073" w:type="dxa"/>
            <w:vAlign w:val="center"/>
          </w:tcPr>
          <w:p w14:paraId="46FED05E">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2026年新疆畜牧兽医大数据平台运行维护项目</w:t>
            </w:r>
          </w:p>
        </w:tc>
      </w:tr>
      <w:tr w14:paraId="64419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5C39C16B">
            <w:pPr>
              <w:jc w:val="center"/>
              <w:rPr>
                <w:rFonts w:hint="eastAsia" w:ascii="仿宋" w:hAnsi="仿宋" w:eastAsia="仿宋" w:cs="仿宋"/>
                <w:color w:val="auto"/>
                <w:kern w:val="0"/>
                <w:szCs w:val="21"/>
                <w:highlight w:val="none"/>
              </w:rPr>
            </w:pPr>
          </w:p>
        </w:tc>
        <w:tc>
          <w:tcPr>
            <w:tcW w:w="1410" w:type="dxa"/>
            <w:vAlign w:val="center"/>
          </w:tcPr>
          <w:p w14:paraId="365A0AE7">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项目编号</w:t>
            </w:r>
          </w:p>
        </w:tc>
        <w:tc>
          <w:tcPr>
            <w:tcW w:w="7073" w:type="dxa"/>
            <w:vAlign w:val="center"/>
          </w:tcPr>
          <w:p w14:paraId="53AD51D0">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eastAsia="zh-CN"/>
              </w:rPr>
              <w:t>XJXSJ-2026（ZC）-254</w:t>
            </w:r>
          </w:p>
        </w:tc>
      </w:tr>
      <w:tr w14:paraId="787A1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6BD19D84">
            <w:pPr>
              <w:jc w:val="center"/>
              <w:rPr>
                <w:rFonts w:hint="eastAsia" w:ascii="仿宋" w:hAnsi="仿宋" w:eastAsia="仿宋" w:cs="仿宋"/>
                <w:color w:val="auto"/>
                <w:kern w:val="0"/>
                <w:szCs w:val="21"/>
                <w:highlight w:val="none"/>
              </w:rPr>
            </w:pPr>
          </w:p>
        </w:tc>
        <w:tc>
          <w:tcPr>
            <w:tcW w:w="1410" w:type="dxa"/>
            <w:vAlign w:val="center"/>
          </w:tcPr>
          <w:p w14:paraId="06F51068">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采购人</w:t>
            </w:r>
          </w:p>
        </w:tc>
        <w:tc>
          <w:tcPr>
            <w:tcW w:w="7073" w:type="dxa"/>
            <w:vAlign w:val="center"/>
          </w:tcPr>
          <w:p w14:paraId="320003BE">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新疆维吾尔自治区畜牧总站</w:t>
            </w:r>
          </w:p>
        </w:tc>
      </w:tr>
      <w:tr w14:paraId="3A55C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585" w:hRule="atLeast"/>
          <w:jc w:val="center"/>
        </w:trPr>
        <w:tc>
          <w:tcPr>
            <w:tcW w:w="597" w:type="dxa"/>
            <w:vMerge w:val="continue"/>
            <w:vAlign w:val="center"/>
          </w:tcPr>
          <w:p w14:paraId="4A5394D2">
            <w:pPr>
              <w:jc w:val="center"/>
              <w:rPr>
                <w:rFonts w:hint="eastAsia" w:ascii="仿宋" w:hAnsi="仿宋" w:eastAsia="仿宋" w:cs="仿宋"/>
                <w:color w:val="auto"/>
                <w:kern w:val="0"/>
                <w:szCs w:val="21"/>
                <w:highlight w:val="none"/>
              </w:rPr>
            </w:pPr>
          </w:p>
        </w:tc>
        <w:tc>
          <w:tcPr>
            <w:tcW w:w="1410" w:type="dxa"/>
            <w:vAlign w:val="center"/>
          </w:tcPr>
          <w:p w14:paraId="645B288D">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采购代理机构</w:t>
            </w:r>
          </w:p>
        </w:tc>
        <w:tc>
          <w:tcPr>
            <w:tcW w:w="7073" w:type="dxa"/>
            <w:vAlign w:val="center"/>
          </w:tcPr>
          <w:p w14:paraId="2CE93CC6">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新疆新世纪招标有限公司</w:t>
            </w:r>
          </w:p>
        </w:tc>
      </w:tr>
      <w:tr w14:paraId="663C5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4DE7153C">
            <w:pPr>
              <w:jc w:val="center"/>
              <w:rPr>
                <w:rFonts w:hint="eastAsia" w:ascii="仿宋" w:hAnsi="仿宋" w:eastAsia="仿宋" w:cs="仿宋"/>
                <w:color w:val="auto"/>
                <w:kern w:val="0"/>
                <w:szCs w:val="21"/>
                <w:highlight w:val="none"/>
              </w:rPr>
            </w:pPr>
          </w:p>
        </w:tc>
        <w:tc>
          <w:tcPr>
            <w:tcW w:w="1410" w:type="dxa"/>
            <w:vAlign w:val="center"/>
          </w:tcPr>
          <w:p w14:paraId="27B06FA7">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项目地点</w:t>
            </w:r>
          </w:p>
        </w:tc>
        <w:tc>
          <w:tcPr>
            <w:tcW w:w="7073" w:type="dxa"/>
            <w:vAlign w:val="center"/>
          </w:tcPr>
          <w:p w14:paraId="4D10BE5B">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乌鲁木齐市</w:t>
            </w:r>
          </w:p>
        </w:tc>
      </w:tr>
      <w:tr w14:paraId="36342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5FD0260A">
            <w:pPr>
              <w:jc w:val="center"/>
              <w:rPr>
                <w:rFonts w:hint="eastAsia" w:ascii="仿宋" w:hAnsi="仿宋" w:eastAsia="仿宋" w:cs="仿宋"/>
                <w:color w:val="auto"/>
                <w:kern w:val="0"/>
                <w:szCs w:val="21"/>
                <w:highlight w:val="none"/>
              </w:rPr>
            </w:pPr>
          </w:p>
        </w:tc>
        <w:tc>
          <w:tcPr>
            <w:tcW w:w="1410" w:type="dxa"/>
            <w:vAlign w:val="center"/>
          </w:tcPr>
          <w:p w14:paraId="2C055750">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资金来源</w:t>
            </w:r>
          </w:p>
        </w:tc>
        <w:tc>
          <w:tcPr>
            <w:tcW w:w="7073" w:type="dxa"/>
            <w:vAlign w:val="center"/>
          </w:tcPr>
          <w:p w14:paraId="4099B549">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财政资金</w:t>
            </w:r>
          </w:p>
        </w:tc>
      </w:tr>
      <w:tr w14:paraId="14918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37DDA7C6">
            <w:pPr>
              <w:jc w:val="center"/>
              <w:rPr>
                <w:rFonts w:hint="eastAsia" w:ascii="仿宋" w:hAnsi="仿宋" w:eastAsia="仿宋" w:cs="仿宋"/>
                <w:color w:val="auto"/>
                <w:kern w:val="0"/>
                <w:szCs w:val="21"/>
                <w:highlight w:val="none"/>
              </w:rPr>
            </w:pPr>
          </w:p>
        </w:tc>
        <w:tc>
          <w:tcPr>
            <w:tcW w:w="1410" w:type="dxa"/>
            <w:vAlign w:val="center"/>
          </w:tcPr>
          <w:p w14:paraId="3E641FD3">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采购预算金额</w:t>
            </w:r>
          </w:p>
        </w:tc>
        <w:tc>
          <w:tcPr>
            <w:tcW w:w="7073" w:type="dxa"/>
            <w:vAlign w:val="center"/>
          </w:tcPr>
          <w:p w14:paraId="0B73B803">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2200000.00元</w:t>
            </w:r>
          </w:p>
        </w:tc>
      </w:tr>
      <w:tr w14:paraId="30EFA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0C46E238">
            <w:pPr>
              <w:jc w:val="center"/>
              <w:rPr>
                <w:rFonts w:hint="eastAsia" w:ascii="仿宋" w:hAnsi="仿宋" w:eastAsia="仿宋" w:cs="仿宋"/>
                <w:color w:val="auto"/>
                <w:kern w:val="0"/>
                <w:szCs w:val="21"/>
                <w:highlight w:val="none"/>
              </w:rPr>
            </w:pPr>
          </w:p>
        </w:tc>
        <w:tc>
          <w:tcPr>
            <w:tcW w:w="1410" w:type="dxa"/>
            <w:vAlign w:val="center"/>
          </w:tcPr>
          <w:p w14:paraId="1E1951EB">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最高限价</w:t>
            </w:r>
          </w:p>
        </w:tc>
        <w:tc>
          <w:tcPr>
            <w:tcW w:w="7073" w:type="dxa"/>
            <w:vAlign w:val="center"/>
          </w:tcPr>
          <w:p w14:paraId="6031052C">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2200000.00元</w:t>
            </w:r>
          </w:p>
        </w:tc>
      </w:tr>
      <w:tr w14:paraId="59920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5929876E">
            <w:pPr>
              <w:jc w:val="center"/>
              <w:rPr>
                <w:rFonts w:hint="eastAsia" w:ascii="仿宋" w:hAnsi="仿宋" w:eastAsia="仿宋" w:cs="仿宋"/>
                <w:color w:val="auto"/>
                <w:kern w:val="0"/>
                <w:szCs w:val="21"/>
                <w:highlight w:val="none"/>
              </w:rPr>
            </w:pPr>
          </w:p>
        </w:tc>
        <w:tc>
          <w:tcPr>
            <w:tcW w:w="1410" w:type="dxa"/>
            <w:shd w:val="clear" w:color="auto" w:fill="auto"/>
            <w:vAlign w:val="center"/>
          </w:tcPr>
          <w:p w14:paraId="20E73394">
            <w:pPr>
              <w:keepNext/>
              <w:widowControl/>
              <w:jc w:val="distribute"/>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eastAsia="zh-CN"/>
              </w:rPr>
              <w:t>合同履约期限</w:t>
            </w:r>
          </w:p>
        </w:tc>
        <w:tc>
          <w:tcPr>
            <w:tcW w:w="7073" w:type="dxa"/>
            <w:shd w:val="clear" w:color="auto" w:fill="auto"/>
            <w:vAlign w:val="center"/>
          </w:tcPr>
          <w:p w14:paraId="36EA2684">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shd w:val="clear"/>
                <w:lang w:eastAsia="zh-CN"/>
              </w:rPr>
              <w:t>1年</w:t>
            </w:r>
          </w:p>
        </w:tc>
      </w:tr>
      <w:tr w14:paraId="53217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595" w:hRule="atLeast"/>
          <w:jc w:val="center"/>
        </w:trPr>
        <w:tc>
          <w:tcPr>
            <w:tcW w:w="597" w:type="dxa"/>
            <w:vMerge w:val="continue"/>
            <w:vAlign w:val="center"/>
          </w:tcPr>
          <w:p w14:paraId="504F5A02">
            <w:pPr>
              <w:jc w:val="center"/>
              <w:rPr>
                <w:rFonts w:hint="eastAsia" w:ascii="仿宋" w:hAnsi="仿宋" w:eastAsia="仿宋" w:cs="仿宋"/>
                <w:color w:val="auto"/>
                <w:kern w:val="0"/>
                <w:szCs w:val="21"/>
                <w:highlight w:val="none"/>
              </w:rPr>
            </w:pPr>
          </w:p>
        </w:tc>
        <w:tc>
          <w:tcPr>
            <w:tcW w:w="1410" w:type="dxa"/>
            <w:shd w:val="clear" w:color="auto" w:fill="auto"/>
            <w:vAlign w:val="center"/>
          </w:tcPr>
          <w:p w14:paraId="4849C73C">
            <w:pPr>
              <w:keepNext/>
              <w:widowControl/>
              <w:jc w:val="distribute"/>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eastAsia="zh-CN"/>
              </w:rPr>
              <w:t>服务地点</w:t>
            </w:r>
          </w:p>
        </w:tc>
        <w:tc>
          <w:tcPr>
            <w:tcW w:w="7073" w:type="dxa"/>
            <w:shd w:val="clear" w:color="auto" w:fill="auto"/>
            <w:vAlign w:val="center"/>
          </w:tcPr>
          <w:p w14:paraId="17364C19">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rPr>
              <w:t>采购人指定地点</w:t>
            </w:r>
          </w:p>
        </w:tc>
      </w:tr>
      <w:tr w14:paraId="42B04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27B8AD77">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w:t>
            </w:r>
          </w:p>
        </w:tc>
        <w:tc>
          <w:tcPr>
            <w:tcW w:w="1410" w:type="dxa"/>
            <w:vAlign w:val="center"/>
          </w:tcPr>
          <w:p w14:paraId="76CB735F">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采购范围</w:t>
            </w:r>
          </w:p>
        </w:tc>
        <w:tc>
          <w:tcPr>
            <w:tcW w:w="7073" w:type="dxa"/>
            <w:vAlign w:val="center"/>
          </w:tcPr>
          <w:p w14:paraId="3F6A9EE8">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2026年新疆畜牧兽医大数据平台运行维护项目</w:t>
            </w:r>
            <w:r>
              <w:rPr>
                <w:rFonts w:hint="eastAsia" w:ascii="仿宋" w:hAnsi="仿宋" w:eastAsia="仿宋" w:cs="仿宋"/>
                <w:color w:val="auto"/>
                <w:kern w:val="0"/>
                <w:szCs w:val="21"/>
                <w:highlight w:val="none"/>
              </w:rPr>
              <w:t>范围内</w:t>
            </w:r>
            <w:r>
              <w:rPr>
                <w:rFonts w:hint="eastAsia" w:ascii="仿宋" w:hAnsi="仿宋" w:eastAsia="仿宋" w:cs="仿宋"/>
                <w:color w:val="auto"/>
                <w:kern w:val="0"/>
                <w:szCs w:val="21"/>
                <w:highlight w:val="none"/>
                <w:lang w:val="en-US" w:eastAsia="zh-CN"/>
              </w:rPr>
              <w:t>对应</w:t>
            </w:r>
            <w:r>
              <w:rPr>
                <w:rFonts w:hint="eastAsia" w:ascii="仿宋" w:hAnsi="仿宋" w:eastAsia="仿宋" w:cs="仿宋"/>
                <w:color w:val="auto"/>
                <w:kern w:val="0"/>
                <w:szCs w:val="21"/>
                <w:highlight w:val="none"/>
              </w:rPr>
              <w:t>的所有工作内容，关于采购范围的详细说明见招标文件第四章“</w:t>
            </w:r>
            <w:r>
              <w:rPr>
                <w:rFonts w:hint="eastAsia" w:ascii="仿宋" w:hAnsi="仿宋" w:eastAsia="仿宋" w:cs="仿宋"/>
                <w:color w:val="auto"/>
                <w:kern w:val="0"/>
                <w:szCs w:val="21"/>
                <w:highlight w:val="none"/>
                <w:lang w:eastAsia="zh-CN"/>
              </w:rPr>
              <w:t>服务标准和要求</w:t>
            </w:r>
            <w:r>
              <w:rPr>
                <w:rFonts w:hint="eastAsia" w:ascii="仿宋" w:hAnsi="仿宋" w:eastAsia="仿宋" w:cs="仿宋"/>
                <w:color w:val="auto"/>
                <w:kern w:val="0"/>
                <w:szCs w:val="21"/>
                <w:highlight w:val="none"/>
              </w:rPr>
              <w:t>”。</w:t>
            </w:r>
          </w:p>
        </w:tc>
      </w:tr>
      <w:tr w14:paraId="43E88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462AB5B9">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w:t>
            </w:r>
          </w:p>
        </w:tc>
        <w:tc>
          <w:tcPr>
            <w:tcW w:w="1410" w:type="dxa"/>
            <w:vAlign w:val="center"/>
          </w:tcPr>
          <w:p w14:paraId="69CF713E">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采购方式</w:t>
            </w:r>
          </w:p>
        </w:tc>
        <w:tc>
          <w:tcPr>
            <w:tcW w:w="7073" w:type="dxa"/>
            <w:vAlign w:val="center"/>
          </w:tcPr>
          <w:p w14:paraId="274C3DD0">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公开招标</w:t>
            </w:r>
          </w:p>
        </w:tc>
      </w:tr>
      <w:tr w14:paraId="70857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735C06DD">
            <w:pPr>
              <w:jc w:val="center"/>
              <w:rPr>
                <w:rFonts w:hint="eastAsia" w:ascii="仿宋" w:hAnsi="仿宋" w:eastAsia="仿宋" w:cs="仿宋"/>
                <w:color w:val="auto"/>
                <w:kern w:val="0"/>
                <w:szCs w:val="21"/>
                <w:highlight w:val="none"/>
              </w:rPr>
            </w:pPr>
          </w:p>
        </w:tc>
        <w:tc>
          <w:tcPr>
            <w:tcW w:w="1410" w:type="dxa"/>
            <w:vAlign w:val="center"/>
          </w:tcPr>
          <w:p w14:paraId="0FCA990B">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资格审查方式</w:t>
            </w:r>
          </w:p>
        </w:tc>
        <w:tc>
          <w:tcPr>
            <w:tcW w:w="7073" w:type="dxa"/>
            <w:vAlign w:val="center"/>
          </w:tcPr>
          <w:p w14:paraId="4E77333E">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资格后审</w:t>
            </w:r>
          </w:p>
        </w:tc>
      </w:tr>
      <w:tr w14:paraId="1EF31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4C525654">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w:t>
            </w:r>
          </w:p>
        </w:tc>
        <w:tc>
          <w:tcPr>
            <w:tcW w:w="1410" w:type="dxa"/>
            <w:vAlign w:val="center"/>
          </w:tcPr>
          <w:p w14:paraId="394971FD">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评审办法</w:t>
            </w:r>
          </w:p>
        </w:tc>
        <w:tc>
          <w:tcPr>
            <w:tcW w:w="7073" w:type="dxa"/>
            <w:vAlign w:val="center"/>
          </w:tcPr>
          <w:p w14:paraId="008D5E6E">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综合评分法</w:t>
            </w:r>
          </w:p>
        </w:tc>
      </w:tr>
      <w:tr w14:paraId="4724C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77D755CC">
            <w:pPr>
              <w:jc w:val="center"/>
              <w:rPr>
                <w:rFonts w:hint="eastAsia" w:ascii="仿宋" w:hAnsi="仿宋" w:eastAsia="仿宋" w:cs="仿宋"/>
                <w:color w:val="auto"/>
                <w:kern w:val="0"/>
                <w:szCs w:val="21"/>
                <w:highlight w:val="none"/>
              </w:rPr>
            </w:pPr>
          </w:p>
        </w:tc>
        <w:tc>
          <w:tcPr>
            <w:tcW w:w="1410" w:type="dxa"/>
            <w:vAlign w:val="center"/>
          </w:tcPr>
          <w:p w14:paraId="6BBD8F52">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定标方法</w:t>
            </w:r>
          </w:p>
        </w:tc>
        <w:tc>
          <w:tcPr>
            <w:tcW w:w="7073" w:type="dxa"/>
            <w:vAlign w:val="center"/>
          </w:tcPr>
          <w:p w14:paraId="38ABAB9D">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评标委员会推荐三名中标候选人</w:t>
            </w:r>
          </w:p>
        </w:tc>
      </w:tr>
      <w:tr w14:paraId="265A5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53A6E0A4">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w:t>
            </w:r>
          </w:p>
        </w:tc>
        <w:tc>
          <w:tcPr>
            <w:tcW w:w="1410" w:type="dxa"/>
            <w:vAlign w:val="center"/>
          </w:tcPr>
          <w:p w14:paraId="473462FE">
            <w:pPr>
              <w:keepNext/>
              <w:widowControl/>
              <w:jc w:val="distribute"/>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投标人的资格要求</w:t>
            </w:r>
          </w:p>
        </w:tc>
        <w:tc>
          <w:tcPr>
            <w:tcW w:w="7073" w:type="dxa"/>
            <w:vAlign w:val="center"/>
          </w:tcPr>
          <w:p w14:paraId="0B5E3414">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1</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满足《中华人民共和国政府采购法》第二十二条规定。</w:t>
            </w:r>
          </w:p>
          <w:p w14:paraId="36516FC4">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2、投标人为小微企业。</w:t>
            </w:r>
          </w:p>
          <w:p w14:paraId="261DD97E">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投标人如在“信用中国”网站（www.creditchina.gov.cn）、中国政府采购网（www.ccgp.gov.cn）等渠道被列入失信被执行人、重大税收违法失信主体、政府采购严重违法失信行为记录名单，尚在处罚期内的将被拒绝参加本次采购活动。</w:t>
            </w:r>
          </w:p>
        </w:tc>
      </w:tr>
      <w:tr w14:paraId="2DD76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47C718DD">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6</w:t>
            </w:r>
          </w:p>
        </w:tc>
        <w:tc>
          <w:tcPr>
            <w:tcW w:w="1410" w:type="dxa"/>
            <w:vAlign w:val="center"/>
          </w:tcPr>
          <w:p w14:paraId="2AD6D253">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投标人不得存在的情形</w:t>
            </w:r>
          </w:p>
        </w:tc>
        <w:tc>
          <w:tcPr>
            <w:tcW w:w="7073" w:type="dxa"/>
            <w:vAlign w:val="center"/>
          </w:tcPr>
          <w:p w14:paraId="22CCD4F2">
            <w:pPr>
              <w:keepLines w:val="0"/>
              <w:pageBreakBefore w:val="0"/>
              <w:widowControl/>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1、本项目不接受联合体。</w:t>
            </w:r>
          </w:p>
          <w:p w14:paraId="7B3F09D7">
            <w:pPr>
              <w:keepLines w:val="0"/>
              <w:pageBreakBefore w:val="0"/>
              <w:widowControl/>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2、单位负责人为同一人或者存在直接控股、管理关系的不同投标人，不得参加同一合同项下的政府采购活动。</w:t>
            </w:r>
          </w:p>
          <w:p w14:paraId="3B575EF0">
            <w:pPr>
              <w:keepLines w:val="0"/>
              <w:pageBreakBefore w:val="0"/>
              <w:widowControl/>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3、除单一来源采购项目外，为采购项目提供整体设计、规范编制或者项目管理、监理、检测等服务的投标人，不得再参加该采购项目的其他采购活动。</w:t>
            </w:r>
          </w:p>
          <w:p w14:paraId="2EFD5C1B">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4、投标人处于被责令停业、财产被接管、冻结和破产状态，以及投标资格被取消或者被暂停且在暂停期内。</w:t>
            </w:r>
          </w:p>
          <w:p w14:paraId="37889D5B">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5、法律规定的其它情形。</w:t>
            </w:r>
          </w:p>
        </w:tc>
      </w:tr>
      <w:tr w14:paraId="7E8BA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0A0E6205">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7</w:t>
            </w:r>
          </w:p>
        </w:tc>
        <w:tc>
          <w:tcPr>
            <w:tcW w:w="1410" w:type="dxa"/>
            <w:vAlign w:val="center"/>
          </w:tcPr>
          <w:p w14:paraId="7F9A63FD">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招标文件费</w:t>
            </w:r>
          </w:p>
        </w:tc>
        <w:tc>
          <w:tcPr>
            <w:tcW w:w="7073" w:type="dxa"/>
            <w:vAlign w:val="center"/>
          </w:tcPr>
          <w:p w14:paraId="4F827EA7">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0元</w:t>
            </w:r>
          </w:p>
        </w:tc>
      </w:tr>
      <w:tr w14:paraId="32CB4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2632841D">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8</w:t>
            </w:r>
          </w:p>
        </w:tc>
        <w:tc>
          <w:tcPr>
            <w:tcW w:w="1410" w:type="dxa"/>
            <w:vAlign w:val="center"/>
          </w:tcPr>
          <w:p w14:paraId="31CBCF65">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投标保证金</w:t>
            </w:r>
          </w:p>
        </w:tc>
        <w:tc>
          <w:tcPr>
            <w:tcW w:w="7073" w:type="dxa"/>
            <w:vAlign w:val="center"/>
          </w:tcPr>
          <w:p w14:paraId="16EEA756">
            <w:pPr>
              <w:keepLines w:val="0"/>
              <w:pageBreakBefore w:val="0"/>
              <w:widowControl/>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kern w:val="0"/>
                <w:szCs w:val="21"/>
                <w:highlight w:val="none"/>
                <w:shd w:val="clear" w:color="auto" w:fill="FFFFFF" w:themeFill="background1"/>
                <w:lang w:val="en-US" w:eastAsia="zh-CN"/>
              </w:rPr>
            </w:pPr>
            <w:r>
              <w:rPr>
                <w:rFonts w:hint="eastAsia" w:ascii="仿宋" w:hAnsi="仿宋" w:eastAsia="仿宋" w:cs="仿宋"/>
                <w:color w:val="auto"/>
                <w:kern w:val="0"/>
                <w:szCs w:val="21"/>
                <w:highlight w:val="none"/>
                <w:shd w:val="clear" w:color="auto" w:fill="FFFFFF" w:themeFill="background1"/>
                <w:lang w:val="en-US" w:eastAsia="zh-CN"/>
              </w:rPr>
              <w:t>1、</w:t>
            </w:r>
            <w:r>
              <w:rPr>
                <w:rFonts w:hint="eastAsia" w:ascii="仿宋" w:hAnsi="仿宋" w:eastAsia="仿宋" w:cs="仿宋"/>
                <w:color w:val="auto"/>
                <w:kern w:val="0"/>
                <w:szCs w:val="21"/>
                <w:highlight w:val="none"/>
                <w:shd w:val="clear" w:color="auto" w:fill="FFFFFF" w:themeFill="background1"/>
              </w:rPr>
              <w:t>投标保证金</w:t>
            </w:r>
            <w:r>
              <w:rPr>
                <w:rFonts w:hint="eastAsia" w:ascii="仿宋" w:hAnsi="仿宋" w:eastAsia="仿宋" w:cs="仿宋"/>
                <w:color w:val="auto"/>
                <w:kern w:val="0"/>
                <w:szCs w:val="21"/>
                <w:highlight w:val="none"/>
                <w:shd w:val="clear" w:color="auto" w:fill="FFFFFF" w:themeFill="background1"/>
                <w:lang w:val="en-US" w:eastAsia="zh-CN"/>
              </w:rPr>
              <w:t>金额：44000元</w:t>
            </w:r>
          </w:p>
          <w:p w14:paraId="342595B4">
            <w:pPr>
              <w:keepLines w:val="0"/>
              <w:pageBreakBefore w:val="0"/>
              <w:widowControl/>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kern w:val="0"/>
                <w:szCs w:val="21"/>
                <w:highlight w:val="none"/>
                <w:shd w:val="clear" w:color="auto" w:fill="FFFFFF" w:themeFill="background1"/>
                <w:lang w:val="en-US" w:eastAsia="zh-CN"/>
              </w:rPr>
            </w:pPr>
            <w:r>
              <w:rPr>
                <w:rFonts w:hint="eastAsia" w:ascii="仿宋" w:hAnsi="仿宋" w:eastAsia="仿宋" w:cs="仿宋"/>
                <w:color w:val="auto"/>
                <w:kern w:val="0"/>
                <w:szCs w:val="21"/>
                <w:highlight w:val="none"/>
                <w:shd w:val="clear" w:color="auto" w:fill="FFFFFF" w:themeFill="background1"/>
                <w:lang w:val="en-US" w:eastAsia="zh-CN"/>
              </w:rPr>
              <w:t>2、提交截止时间：同投标文件递交截止时间</w:t>
            </w:r>
          </w:p>
          <w:p w14:paraId="6A41B922">
            <w:pPr>
              <w:keepLines w:val="0"/>
              <w:pageBreakBefore w:val="0"/>
              <w:widowControl/>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lang w:val="en-US" w:eastAsia="zh-CN"/>
              </w:rPr>
              <w:t>3、提交形式：</w:t>
            </w:r>
            <w:r>
              <w:rPr>
                <w:rFonts w:hint="eastAsia" w:ascii="仿宋" w:hAnsi="仿宋" w:eastAsia="仿宋" w:cs="仿宋"/>
                <w:color w:val="auto"/>
                <w:kern w:val="0"/>
                <w:szCs w:val="21"/>
                <w:highlight w:val="none"/>
                <w:shd w:val="clear" w:color="auto" w:fill="FFFFFF" w:themeFill="background1"/>
              </w:rPr>
              <w:t>投标保证金以支票、汇票、本票或者金融机构、担保机构出具的保函等非现金形式提交至采购代理机构。</w:t>
            </w:r>
          </w:p>
          <w:p w14:paraId="421A5C2C">
            <w:pPr>
              <w:keepLines w:val="0"/>
              <w:pageBreakBefore w:val="0"/>
              <w:widowControl/>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kern w:val="0"/>
                <w:szCs w:val="21"/>
                <w:highlight w:val="none"/>
                <w:shd w:val="clear" w:color="auto" w:fill="FFFFFF" w:themeFill="background1"/>
                <w:lang w:val="en-US" w:eastAsia="zh-CN"/>
              </w:rPr>
            </w:pPr>
            <w:r>
              <w:rPr>
                <w:rFonts w:hint="eastAsia" w:ascii="仿宋" w:hAnsi="仿宋" w:eastAsia="仿宋" w:cs="仿宋"/>
                <w:color w:val="auto"/>
                <w:kern w:val="0"/>
                <w:szCs w:val="21"/>
                <w:highlight w:val="none"/>
                <w:shd w:val="clear" w:color="auto" w:fill="FFFFFF" w:themeFill="background1"/>
                <w:lang w:val="en-US" w:eastAsia="zh-CN"/>
              </w:rPr>
              <w:t>4、银行账户信息</w:t>
            </w:r>
          </w:p>
          <w:p w14:paraId="194AD7E2">
            <w:pPr>
              <w:keepLines w:val="0"/>
              <w:pageBreakBefore w:val="0"/>
              <w:widowControl/>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采购代理机构名称：新疆新世纪招标有限公司</w:t>
            </w:r>
          </w:p>
          <w:p w14:paraId="24389E02">
            <w:pPr>
              <w:keepLines w:val="0"/>
              <w:pageBreakBefore w:val="0"/>
              <w:widowControl/>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纳税人识别号：91650100726988855F</w:t>
            </w:r>
          </w:p>
          <w:p w14:paraId="6C4A07F5">
            <w:pPr>
              <w:keepLines w:val="0"/>
              <w:pageBreakBefore w:val="0"/>
              <w:widowControl/>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开户行：中国农业银行乌鲁木齐新民西街支行</w:t>
            </w:r>
          </w:p>
          <w:p w14:paraId="2723FF8D">
            <w:pPr>
              <w:keepLines w:val="0"/>
              <w:pageBreakBefore w:val="0"/>
              <w:widowControl/>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账号：30014701040000595</w:t>
            </w:r>
          </w:p>
          <w:p w14:paraId="113B83E8">
            <w:pPr>
              <w:keepLines w:val="0"/>
              <w:pageBreakBefore w:val="0"/>
              <w:widowControl/>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shd w:val="clear" w:color="auto" w:fill="FFFFFF" w:themeFill="background1"/>
                <w:lang w:val="en-US" w:eastAsia="zh-CN"/>
              </w:rPr>
              <w:t>5、投标人在提交投标保证金时需备注项目名称简称。</w:t>
            </w:r>
          </w:p>
        </w:tc>
      </w:tr>
      <w:tr w14:paraId="1128F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7CA7B9C5">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9</w:t>
            </w:r>
          </w:p>
        </w:tc>
        <w:tc>
          <w:tcPr>
            <w:tcW w:w="1410" w:type="dxa"/>
            <w:vAlign w:val="center"/>
          </w:tcPr>
          <w:p w14:paraId="6ED89D30">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现场踏勘</w:t>
            </w:r>
          </w:p>
        </w:tc>
        <w:tc>
          <w:tcPr>
            <w:tcW w:w="7073" w:type="dxa"/>
            <w:vAlign w:val="center"/>
          </w:tcPr>
          <w:p w14:paraId="3F09CCBD">
            <w:pPr>
              <w:keepLines w:val="0"/>
              <w:pageBreakBefore w:val="0"/>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不组织</w:t>
            </w:r>
          </w:p>
        </w:tc>
      </w:tr>
      <w:tr w14:paraId="6583A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7F500F63">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10</w:t>
            </w:r>
          </w:p>
        </w:tc>
        <w:tc>
          <w:tcPr>
            <w:tcW w:w="1410" w:type="dxa"/>
            <w:vAlign w:val="center"/>
          </w:tcPr>
          <w:p w14:paraId="3B1E135B">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招标答疑</w:t>
            </w:r>
          </w:p>
        </w:tc>
        <w:tc>
          <w:tcPr>
            <w:tcW w:w="7073" w:type="dxa"/>
            <w:vAlign w:val="center"/>
          </w:tcPr>
          <w:p w14:paraId="50CA851B">
            <w:pPr>
              <w:keepLines w:val="0"/>
              <w:pageBreakBefore w:val="0"/>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提出询问的，应当在投标文件递交截止时间15日前以书面形式（加盖公章）递交至新疆新世纪招标有限公司，否则采购人不作任何解释。</w:t>
            </w:r>
          </w:p>
          <w:p w14:paraId="1A013D4E">
            <w:pPr>
              <w:keepLines w:val="0"/>
              <w:pageBreakBefore w:val="0"/>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对招标文件提出质疑的，应当在获取招标文件或者招标文件公告期限届满之日起7个工作日内一次性以书面形式（按照财政部制定的质疑函范本编写）提出并递交至采购代理机构。</w:t>
            </w:r>
          </w:p>
          <w:p w14:paraId="7AAC3DF3">
            <w:pPr>
              <w:keepLines w:val="0"/>
              <w:pageBreakBefore w:val="0"/>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质疑接收人：</w:t>
            </w:r>
            <w:r>
              <w:rPr>
                <w:rFonts w:hint="eastAsia" w:ascii="仿宋" w:hAnsi="仿宋" w:eastAsia="仿宋" w:cs="仿宋"/>
                <w:color w:val="auto"/>
                <w:szCs w:val="21"/>
                <w:highlight w:val="none"/>
                <w:lang w:val="en-US" w:eastAsia="zh-CN"/>
              </w:rPr>
              <w:t>甘江涛、马丹阳</w:t>
            </w:r>
            <w:r>
              <w:rPr>
                <w:rFonts w:hint="eastAsia" w:ascii="仿宋" w:hAnsi="仿宋" w:eastAsia="仿宋" w:cs="仿宋"/>
                <w:color w:val="auto"/>
                <w:szCs w:val="21"/>
                <w:highlight w:val="none"/>
              </w:rPr>
              <w:t>；联系方式：</w:t>
            </w:r>
            <w:r>
              <w:rPr>
                <w:rFonts w:hint="eastAsia" w:ascii="仿宋" w:hAnsi="仿宋" w:eastAsia="仿宋" w:cs="仿宋"/>
                <w:color w:val="auto"/>
                <w:szCs w:val="21"/>
                <w:highlight w:val="none"/>
                <w:lang w:val="en-US" w:eastAsia="zh-CN"/>
              </w:rPr>
              <w:t>18040795080</w:t>
            </w:r>
            <w:r>
              <w:rPr>
                <w:rFonts w:hint="eastAsia" w:ascii="仿宋" w:hAnsi="仿宋" w:eastAsia="仿宋" w:cs="仿宋"/>
                <w:color w:val="auto"/>
                <w:szCs w:val="21"/>
                <w:highlight w:val="none"/>
              </w:rPr>
              <w:t>。</w:t>
            </w:r>
          </w:p>
          <w:p w14:paraId="35AF6960">
            <w:pPr>
              <w:keepLines w:val="0"/>
              <w:pageBreakBefore w:val="0"/>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注：1、投标人必须在法定质疑期内一次性提出针对同一采购程序环节的质疑；</w:t>
            </w:r>
            <w:r>
              <w:rPr>
                <w:rFonts w:hint="eastAsia" w:ascii="仿宋" w:hAnsi="仿宋" w:eastAsia="仿宋" w:cs="仿宋"/>
                <w:color w:val="auto"/>
                <w:szCs w:val="21"/>
                <w:highlight w:val="none"/>
              </w:rPr>
              <w:t>投标人投诉的事项不得超出已质疑事项的范围。2、</w:t>
            </w:r>
            <w:r>
              <w:rPr>
                <w:rFonts w:hint="eastAsia" w:ascii="仿宋" w:hAnsi="仿宋" w:eastAsia="仿宋" w:cs="仿宋"/>
                <w:color w:val="auto"/>
                <w:kern w:val="0"/>
                <w:szCs w:val="21"/>
                <w:highlight w:val="none"/>
              </w:rPr>
              <w:t>投标人</w:t>
            </w:r>
            <w:r>
              <w:rPr>
                <w:rFonts w:hint="eastAsia" w:ascii="仿宋" w:hAnsi="仿宋" w:eastAsia="仿宋" w:cs="仿宋"/>
                <w:color w:val="auto"/>
                <w:szCs w:val="21"/>
                <w:highlight w:val="none"/>
              </w:rPr>
              <w:t>在国家法律规定的时间内未提出书面疑问，视为对招标文件的技术参数、资格条件、评审方法、合同文本等所有内容无异议。</w:t>
            </w:r>
          </w:p>
        </w:tc>
      </w:tr>
      <w:tr w14:paraId="370A3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85D35A5">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11</w:t>
            </w:r>
          </w:p>
        </w:tc>
        <w:tc>
          <w:tcPr>
            <w:tcW w:w="1410" w:type="dxa"/>
            <w:vAlign w:val="center"/>
          </w:tcPr>
          <w:p w14:paraId="56E5B007">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投标文件</w:t>
            </w:r>
          </w:p>
        </w:tc>
        <w:tc>
          <w:tcPr>
            <w:tcW w:w="7073" w:type="dxa"/>
            <w:shd w:val="clear" w:color="auto" w:fill="auto"/>
            <w:vAlign w:val="center"/>
          </w:tcPr>
          <w:p w14:paraId="17D7AE84">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1、本次采购采用电子交易方式，电子交易平台为“政采云平台（https://www.zcygov.cn/）”。投标人参与本项目电子交易活动前，应注册成为政府采购云平台正式投标人。编制电子投标文件前还需申领CA证书并绑定帐号。投标人应充分考虑完成平台注册、申领CA证书等所需的时间。因未注册入库、未办理CA数字证书等原因造成无法投标或投标失败等后果由投标人自行承担。 </w:t>
            </w:r>
          </w:p>
          <w:p w14:paraId="065D4942">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 </w:t>
            </w:r>
          </w:p>
          <w:p w14:paraId="60FCFACE">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3、加密的电子投标文件应在投标文件递交截止时间前通过政采云平台上传完成。逾期上传或者未上传指定地点的投标文件，不予受理。</w:t>
            </w:r>
          </w:p>
          <w:p w14:paraId="196E10C0">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4、投标人在开标前须提前配置好电脑浏览器，开标时请使用制作加密电子投标文件的CA锁进行解密及报价确认。本项目投标文件解密时间定为30分钟，如因自身原因导致无法正常解密，后果由投标人自行承担。</w:t>
            </w:r>
          </w:p>
          <w:p w14:paraId="22E4F1ED">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5、如遇“政采云平台（https://www.zcygov.cn/）”电子交易规则调整，以最新要求为准。</w:t>
            </w:r>
          </w:p>
        </w:tc>
      </w:tr>
      <w:tr w14:paraId="70CE6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CE5CB67">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12</w:t>
            </w:r>
          </w:p>
        </w:tc>
        <w:tc>
          <w:tcPr>
            <w:tcW w:w="1410" w:type="dxa"/>
            <w:vAlign w:val="center"/>
          </w:tcPr>
          <w:p w14:paraId="3C85E10A">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投标文件递交</w:t>
            </w:r>
          </w:p>
        </w:tc>
        <w:tc>
          <w:tcPr>
            <w:tcW w:w="7073" w:type="dxa"/>
            <w:shd w:val="clear" w:color="auto" w:fill="auto"/>
            <w:vAlign w:val="center"/>
          </w:tcPr>
          <w:p w14:paraId="4641B6F8">
            <w:pPr>
              <w:keepLines w:val="0"/>
              <w:pageBreakBefore w:val="0"/>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截止时间：</w:t>
            </w:r>
            <w:r>
              <w:rPr>
                <w:rFonts w:hint="eastAsia" w:ascii="仿宋" w:hAnsi="仿宋" w:eastAsia="仿宋" w:cs="仿宋"/>
                <w:color w:val="auto"/>
                <w:kern w:val="0"/>
                <w:szCs w:val="21"/>
                <w:highlight w:val="none"/>
                <w:u w:val="single"/>
                <w:lang w:eastAsia="zh-CN"/>
              </w:rPr>
              <w:t>2026年06月03日16时00分（北京时间）</w:t>
            </w:r>
          </w:p>
          <w:p w14:paraId="5DE409FC">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递交地点：政采云平台（https://www.zcygov.cn/）</w:t>
            </w:r>
          </w:p>
        </w:tc>
      </w:tr>
      <w:tr w14:paraId="23D34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28D156A">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13</w:t>
            </w:r>
          </w:p>
        </w:tc>
        <w:tc>
          <w:tcPr>
            <w:tcW w:w="1410" w:type="dxa"/>
            <w:vAlign w:val="center"/>
          </w:tcPr>
          <w:p w14:paraId="64B9BA04">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开标</w:t>
            </w:r>
          </w:p>
        </w:tc>
        <w:tc>
          <w:tcPr>
            <w:tcW w:w="7073" w:type="dxa"/>
            <w:shd w:val="clear" w:color="auto" w:fill="auto"/>
            <w:vAlign w:val="center"/>
          </w:tcPr>
          <w:p w14:paraId="2625B5C3">
            <w:pPr>
              <w:keepLines w:val="0"/>
              <w:pageBreakBefore w:val="0"/>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rPr>
              <w:t>时间：</w:t>
            </w:r>
            <w:r>
              <w:rPr>
                <w:rFonts w:hint="eastAsia" w:ascii="仿宋" w:hAnsi="仿宋" w:eastAsia="仿宋" w:cs="仿宋"/>
                <w:color w:val="auto"/>
                <w:kern w:val="0"/>
                <w:szCs w:val="21"/>
                <w:highlight w:val="none"/>
                <w:u w:val="single"/>
                <w:lang w:eastAsia="zh-CN"/>
              </w:rPr>
              <w:t>2026年06月03日16时00分（北京时间）</w:t>
            </w:r>
          </w:p>
          <w:p w14:paraId="2344B9E9">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地点：政采云平台（https://www.zcygov.cn/）</w:t>
            </w:r>
          </w:p>
        </w:tc>
      </w:tr>
      <w:tr w14:paraId="6723A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38990E9">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14</w:t>
            </w:r>
          </w:p>
        </w:tc>
        <w:tc>
          <w:tcPr>
            <w:tcW w:w="1410" w:type="dxa"/>
            <w:vAlign w:val="center"/>
          </w:tcPr>
          <w:p w14:paraId="4DF98F8C">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投标有效期</w:t>
            </w:r>
          </w:p>
        </w:tc>
        <w:tc>
          <w:tcPr>
            <w:tcW w:w="7073" w:type="dxa"/>
            <w:vAlign w:val="center"/>
          </w:tcPr>
          <w:p w14:paraId="1FC01D84">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自投标截止之日90日历日</w:t>
            </w:r>
          </w:p>
        </w:tc>
      </w:tr>
      <w:tr w14:paraId="2A97C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E428071">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15</w:t>
            </w:r>
          </w:p>
        </w:tc>
        <w:tc>
          <w:tcPr>
            <w:tcW w:w="1410" w:type="dxa"/>
            <w:vAlign w:val="center"/>
          </w:tcPr>
          <w:p w14:paraId="3A81AEAF">
            <w:pPr>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公告发布媒体</w:t>
            </w:r>
          </w:p>
        </w:tc>
        <w:tc>
          <w:tcPr>
            <w:tcW w:w="7073" w:type="dxa"/>
            <w:vAlign w:val="center"/>
          </w:tcPr>
          <w:p w14:paraId="62E2091B">
            <w:pPr>
              <w:keepLines w:val="0"/>
              <w:pageBreakBefore w:val="0"/>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shd w:val="clear" w:color="auto" w:fill="FFFFFF" w:themeFill="background1"/>
              </w:rPr>
              <w:t>新疆政府采购网</w:t>
            </w:r>
          </w:p>
        </w:tc>
      </w:tr>
      <w:tr w14:paraId="70B2E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54BFBABD">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16</w:t>
            </w:r>
          </w:p>
        </w:tc>
        <w:tc>
          <w:tcPr>
            <w:tcW w:w="1410" w:type="dxa"/>
            <w:vAlign w:val="center"/>
          </w:tcPr>
          <w:p w14:paraId="29E4BB01">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履约保证金</w:t>
            </w:r>
          </w:p>
        </w:tc>
        <w:tc>
          <w:tcPr>
            <w:tcW w:w="7073" w:type="dxa"/>
            <w:vAlign w:val="center"/>
          </w:tcPr>
          <w:p w14:paraId="31471930">
            <w:pPr>
              <w:keepLines w:val="0"/>
              <w:pageBreakBefore w:val="0"/>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1、履约保证金金额：</w:t>
            </w:r>
            <w:r>
              <w:rPr>
                <w:rFonts w:hint="eastAsia" w:ascii="仿宋" w:hAnsi="仿宋" w:eastAsia="仿宋" w:cs="仿宋"/>
                <w:color w:val="auto"/>
                <w:kern w:val="0"/>
                <w:szCs w:val="21"/>
                <w:highlight w:val="none"/>
                <w:lang w:val="en-US" w:eastAsia="zh-CN"/>
              </w:rPr>
              <w:t>无。</w:t>
            </w:r>
          </w:p>
          <w:p w14:paraId="31AF8C61">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shd w:val="clear" w:color="auto" w:fill="FFFFFF" w:themeFill="background1"/>
              </w:rPr>
              <w:t>2、</w:t>
            </w:r>
            <w:r>
              <w:rPr>
                <w:rFonts w:hint="eastAsia" w:ascii="仿宋" w:hAnsi="仿宋" w:eastAsia="仿宋" w:cs="仿宋"/>
                <w:color w:val="auto"/>
                <w:kern w:val="0"/>
                <w:szCs w:val="21"/>
                <w:highlight w:val="none"/>
                <w:shd w:val="clear" w:color="auto" w:fill="FFFFFF" w:themeFill="background1"/>
                <w:lang w:eastAsia="zh-CN"/>
              </w:rPr>
              <w:t>投标人</w:t>
            </w:r>
            <w:r>
              <w:rPr>
                <w:rFonts w:hint="eastAsia" w:ascii="仿宋" w:hAnsi="仿宋" w:eastAsia="仿宋" w:cs="仿宋"/>
                <w:color w:val="auto"/>
                <w:kern w:val="0"/>
                <w:szCs w:val="21"/>
                <w:highlight w:val="none"/>
                <w:shd w:val="clear" w:color="auto" w:fill="FFFFFF" w:themeFill="background1"/>
              </w:rPr>
              <w:t>应当以支票、汇票、本票或者金融机构、担保机构出具的保函等非现金形式提交履约保证金。</w:t>
            </w:r>
          </w:p>
        </w:tc>
      </w:tr>
      <w:tr w14:paraId="11D94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248" w:hRule="atLeast"/>
          <w:jc w:val="center"/>
        </w:trPr>
        <w:tc>
          <w:tcPr>
            <w:tcW w:w="597" w:type="dxa"/>
            <w:vAlign w:val="center"/>
          </w:tcPr>
          <w:p w14:paraId="0EDEB885">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17</w:t>
            </w:r>
          </w:p>
        </w:tc>
        <w:tc>
          <w:tcPr>
            <w:tcW w:w="1410" w:type="dxa"/>
            <w:vAlign w:val="center"/>
          </w:tcPr>
          <w:p w14:paraId="3AD8A846">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中小企业政策说明</w:t>
            </w:r>
          </w:p>
        </w:tc>
        <w:tc>
          <w:tcPr>
            <w:tcW w:w="7073" w:type="dxa"/>
            <w:vAlign w:val="center"/>
          </w:tcPr>
          <w:p w14:paraId="4E4E312E">
            <w:pPr>
              <w:keepNext/>
              <w:keepLines w:val="0"/>
              <w:pageBreakBefore w:val="0"/>
              <w:widowControl/>
              <w:numPr>
                <w:ilvl w:val="0"/>
                <w:numId w:val="0"/>
              </w:numPr>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845216A">
            <w:pPr>
              <w:keepNext/>
              <w:keepLines w:val="0"/>
              <w:pageBreakBefore w:val="0"/>
              <w:widowControl/>
              <w:numPr>
                <w:ilvl w:val="0"/>
                <w:numId w:val="0"/>
              </w:numPr>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2、在政府采购活动中，投标人提供的货物、工程或者服务符合下列情形的，享受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w:t>
            </w:r>
          </w:p>
          <w:p w14:paraId="1E8B5ABA">
            <w:pPr>
              <w:keepNext/>
              <w:keepLines w:val="0"/>
              <w:pageBreakBefore w:val="0"/>
              <w:widowControl/>
              <w:numPr>
                <w:ilvl w:val="0"/>
                <w:numId w:val="0"/>
              </w:numPr>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3、在货物采购项目中，投标人提供的货物既有中小企业制造货物，也有大型企业制造货物的，不享受本办法规定的中小企业扶持政策。</w:t>
            </w:r>
          </w:p>
          <w:p w14:paraId="0B482C84">
            <w:pPr>
              <w:keepNext/>
              <w:keepLines w:val="0"/>
              <w:pageBreakBefore w:val="0"/>
              <w:widowControl/>
              <w:numPr>
                <w:ilvl w:val="0"/>
                <w:numId w:val="0"/>
              </w:numPr>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4、以联合体形式参加政府采购活动，联合体各方均为中小企业的，联合体视同中小企业。其中，联合体各方均为小微企业的，联合体视同小微企业。</w:t>
            </w:r>
          </w:p>
          <w:p w14:paraId="5C9ABA26">
            <w:pPr>
              <w:keepNext/>
              <w:keepLines w:val="0"/>
              <w:pageBreakBefore w:val="0"/>
              <w:widowControl/>
              <w:numPr>
                <w:ilvl w:val="0"/>
                <w:numId w:val="0"/>
              </w:numPr>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5、投标人经享受扶持政策获得政府采购合同的，小微企业不得将合同分包给大中型企业，中型企业不得将合同分包给大型企业；</w:t>
            </w:r>
          </w:p>
          <w:p w14:paraId="37C62828">
            <w:pPr>
              <w:keepNext/>
              <w:keepLines w:val="0"/>
              <w:pageBreakBefore w:val="0"/>
              <w:widowControl/>
              <w:numPr>
                <w:ilvl w:val="0"/>
                <w:numId w:val="0"/>
              </w:numPr>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6、残疾人福利性单位和监狱企业视同小型、微型企业。</w:t>
            </w:r>
          </w:p>
          <w:p w14:paraId="37EDE47D">
            <w:pPr>
              <w:keepNext/>
              <w:keepLines w:val="0"/>
              <w:pageBreakBefore w:val="0"/>
              <w:widowControl/>
              <w:numPr>
                <w:ilvl w:val="0"/>
                <w:numId w:val="0"/>
              </w:numPr>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 w:val="21"/>
                <w:szCs w:val="21"/>
                <w:highlight w:val="none"/>
                <w:lang w:val="en-US" w:eastAsia="zh-CN" w:bidi="ar-SA"/>
              </w:rPr>
              <w:t>7</w:t>
            </w:r>
            <w:r>
              <w:rPr>
                <w:rFonts w:hint="eastAsia" w:ascii="仿宋" w:hAnsi="仿宋" w:eastAsia="仿宋" w:cs="仿宋"/>
                <w:color w:val="auto"/>
                <w:kern w:val="0"/>
                <w:szCs w:val="21"/>
                <w:highlight w:val="none"/>
              </w:rPr>
              <w:t>、根据“关于印发中小企业划型标准规定的通知(工信部联企业〔2011〕300号)”等有关规定，本项目标的所属行业为</w:t>
            </w:r>
            <w:r>
              <w:rPr>
                <w:rFonts w:hint="eastAsia" w:ascii="仿宋" w:hAnsi="仿宋" w:eastAsia="仿宋" w:cs="仿宋"/>
                <w:color w:val="auto"/>
                <w:spacing w:val="6"/>
                <w:sz w:val="21"/>
                <w:szCs w:val="21"/>
                <w:highlight w:val="none"/>
              </w:rPr>
              <w:t>软件和信息技术服务业</w:t>
            </w:r>
            <w:r>
              <w:rPr>
                <w:rFonts w:hint="eastAsia" w:ascii="仿宋" w:hAnsi="仿宋" w:eastAsia="仿宋" w:cs="仿宋"/>
                <w:color w:val="auto"/>
                <w:kern w:val="0"/>
                <w:szCs w:val="21"/>
                <w:highlight w:val="none"/>
              </w:rPr>
              <w:t>。</w:t>
            </w:r>
          </w:p>
        </w:tc>
      </w:tr>
      <w:tr w14:paraId="3A8DE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A246CDB">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18</w:t>
            </w:r>
          </w:p>
        </w:tc>
        <w:tc>
          <w:tcPr>
            <w:tcW w:w="1410" w:type="dxa"/>
            <w:vAlign w:val="center"/>
          </w:tcPr>
          <w:p w14:paraId="7DED8DB7">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合同</w:t>
            </w:r>
            <w:r>
              <w:rPr>
                <w:rFonts w:hint="eastAsia" w:ascii="仿宋" w:hAnsi="仿宋" w:eastAsia="仿宋" w:cs="仿宋"/>
                <w:color w:val="auto"/>
                <w:kern w:val="0"/>
                <w:szCs w:val="21"/>
                <w:highlight w:val="none"/>
              </w:rPr>
              <w:t>分包</w:t>
            </w:r>
          </w:p>
        </w:tc>
        <w:tc>
          <w:tcPr>
            <w:tcW w:w="7073" w:type="dxa"/>
            <w:vAlign w:val="center"/>
          </w:tcPr>
          <w:p w14:paraId="0F6044F9">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Cs w:val="21"/>
                <w:highlight w:val="none"/>
              </w:rPr>
              <w:t>不允许分包</w:t>
            </w:r>
          </w:p>
          <w:p w14:paraId="11DB1170">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Cs w:val="21"/>
                <w:highlight w:val="none"/>
              </w:rPr>
              <w:t>允许分包</w:t>
            </w:r>
            <w:r>
              <w:rPr>
                <w:rFonts w:hint="eastAsia" w:ascii="仿宋" w:hAnsi="仿宋" w:eastAsia="仿宋" w:cs="仿宋"/>
                <w:color w:val="auto"/>
                <w:kern w:val="0"/>
                <w:szCs w:val="21"/>
                <w:highlight w:val="none"/>
                <w:u w:val="none"/>
                <w:lang w:val="en-US" w:eastAsia="zh-CN"/>
              </w:rPr>
              <w:t>。</w:t>
            </w:r>
            <w:r>
              <w:rPr>
                <w:rFonts w:hint="eastAsia" w:ascii="仿宋" w:hAnsi="仿宋" w:eastAsia="仿宋" w:cs="仿宋"/>
                <w:color w:val="auto"/>
                <w:kern w:val="0"/>
                <w:szCs w:val="21"/>
                <w:highlight w:val="none"/>
                <w:u w:val="none"/>
              </w:rPr>
              <w:t xml:space="preserve"> </w:t>
            </w:r>
          </w:p>
        </w:tc>
      </w:tr>
      <w:tr w14:paraId="0CD74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5F53522D">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19</w:t>
            </w:r>
          </w:p>
        </w:tc>
        <w:tc>
          <w:tcPr>
            <w:tcW w:w="1410" w:type="dxa"/>
            <w:shd w:val="clear" w:color="auto" w:fill="auto"/>
            <w:vAlign w:val="center"/>
          </w:tcPr>
          <w:p w14:paraId="21C4580C">
            <w:pPr>
              <w:keepNext/>
              <w:widowControl/>
              <w:jc w:val="distribute"/>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rPr>
              <w:t>说明</w:t>
            </w:r>
          </w:p>
        </w:tc>
        <w:tc>
          <w:tcPr>
            <w:tcW w:w="7073" w:type="dxa"/>
            <w:shd w:val="clear" w:color="auto" w:fill="auto"/>
            <w:vAlign w:val="center"/>
          </w:tcPr>
          <w:p w14:paraId="1E4722B0">
            <w:pPr>
              <w:keepNext/>
              <w:widowControl/>
              <w:numPr>
                <w:ilvl w:val="0"/>
                <w:numId w:val="2"/>
              </w:numPr>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招标文件中所述政策法规、标准规范等文件，如有新文件则按新文件执行，如已废止则仅为参考。</w:t>
            </w:r>
          </w:p>
          <w:p w14:paraId="29FEE6CB">
            <w:pPr>
              <w:keepNext/>
              <w:widowControl/>
              <w:numPr>
                <w:ilvl w:val="0"/>
                <w:numId w:val="2"/>
              </w:numPr>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投标人须根据招标文件要求在投标文件中提供评审所需的相应证明材料扫描件。</w:t>
            </w:r>
          </w:p>
          <w:p w14:paraId="6C1AF736">
            <w:pPr>
              <w:keepNext/>
              <w:widowControl/>
              <w:numPr>
                <w:ilvl w:val="0"/>
                <w:numId w:val="2"/>
              </w:numPr>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最低报价不能作为中标的保证。</w:t>
            </w:r>
          </w:p>
          <w:p w14:paraId="7CF6DEBD">
            <w:pPr>
              <w:keepNext/>
              <w:widowControl/>
              <w:numPr>
                <w:ilvl w:val="0"/>
                <w:numId w:val="2"/>
              </w:numPr>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代理报酬为:根据《招标代理服务费收费标准》(计价格(2002)1980号)、《国家发展改革委关于降低部分建设项目收费标准规范收费行为等有关问题的通知》(发改价格(2011)534号)和《关于进一步放开建设项目专业服务价格的通知》(发改价格(2015)299号)计算的招标代理服务收费标准，以中标金额为基准进行计算下浮40%，招标代理服务费不足伍仟元按伍仟元计取。</w:t>
            </w:r>
          </w:p>
          <w:p w14:paraId="5D2A7617">
            <w:pPr>
              <w:keepNext/>
              <w:widowControl/>
              <w:numPr>
                <w:ilvl w:val="0"/>
                <w:numId w:val="2"/>
              </w:numPr>
              <w:ind w:firstLine="420" w:firstLineChars="200"/>
              <w:jc w:val="left"/>
              <w:rPr>
                <w:rFonts w:hint="eastAsia" w:ascii="仿宋" w:hAnsi="仿宋" w:eastAsia="仿宋" w:cs="仿宋"/>
                <w:color w:val="auto"/>
                <w:highlight w:val="none"/>
                <w:lang w:val="en-US" w:eastAsia="zh-CN"/>
              </w:rPr>
            </w:pPr>
            <w:r>
              <w:rPr>
                <w:rFonts w:hint="eastAsia" w:ascii="仿宋" w:hAnsi="仿宋" w:eastAsia="仿宋" w:cs="仿宋"/>
                <w:color w:val="auto"/>
                <w:kern w:val="0"/>
                <w:szCs w:val="21"/>
                <w:highlight w:val="none"/>
                <w:lang w:val="en-US" w:eastAsia="zh-CN"/>
              </w:rPr>
              <w:t>本表内容如与后文内容不一致处，以本表为准。</w:t>
            </w:r>
          </w:p>
        </w:tc>
      </w:tr>
    </w:tbl>
    <w:p w14:paraId="09625969">
      <w:pPr>
        <w:spacing w:line="360" w:lineRule="auto"/>
        <w:jc w:val="center"/>
        <w:outlineLvl w:val="0"/>
        <w:rPr>
          <w:rFonts w:hint="eastAsia" w:ascii="仿宋" w:hAnsi="仿宋" w:eastAsia="仿宋" w:cs="仿宋"/>
          <w:b/>
          <w:color w:val="auto"/>
          <w:sz w:val="24"/>
          <w:szCs w:val="24"/>
          <w:highlight w:val="none"/>
        </w:rPr>
      </w:pPr>
      <w:bookmarkStart w:id="4" w:name="_BookMark_3"/>
      <w:bookmarkEnd w:id="4"/>
      <w:r>
        <w:rPr>
          <w:rFonts w:hint="eastAsia" w:ascii="仿宋" w:hAnsi="仿宋" w:eastAsia="仿宋" w:cs="仿宋"/>
          <w:color w:val="auto"/>
          <w:kern w:val="0"/>
          <w:sz w:val="24"/>
          <w:szCs w:val="24"/>
          <w:highlight w:val="none"/>
        </w:rPr>
        <w:br w:type="page"/>
      </w:r>
      <w:bookmarkStart w:id="5" w:name="_Toc16869"/>
      <w:r>
        <w:rPr>
          <w:rFonts w:hint="eastAsia" w:ascii="仿宋" w:hAnsi="仿宋" w:eastAsia="仿宋" w:cs="仿宋"/>
          <w:b/>
          <w:color w:val="auto"/>
          <w:sz w:val="24"/>
          <w:szCs w:val="24"/>
          <w:highlight w:val="none"/>
        </w:rPr>
        <w:t>第一章 投标人须知</w:t>
      </w:r>
      <w:bookmarkEnd w:id="5"/>
      <w:bookmarkStart w:id="6" w:name="_BookMark_2"/>
      <w:bookmarkEnd w:id="6"/>
    </w:p>
    <w:p w14:paraId="17F5FFAD">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7" w:name="_Toc31299"/>
      <w:bookmarkStart w:id="8" w:name="_Toc130252597"/>
      <w:bookmarkStart w:id="9" w:name="_Toc10298"/>
      <w:bookmarkStart w:id="10" w:name="_Toc13404"/>
      <w:r>
        <w:rPr>
          <w:rFonts w:hint="eastAsia" w:ascii="仿宋" w:hAnsi="仿宋" w:eastAsia="仿宋" w:cs="仿宋"/>
          <w:b/>
          <w:color w:val="auto"/>
          <w:sz w:val="24"/>
          <w:szCs w:val="24"/>
          <w:highlight w:val="none"/>
          <w:lang w:val="en-US" w:eastAsia="zh-CN"/>
        </w:rPr>
        <w:t>一</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总则</w:t>
      </w:r>
      <w:bookmarkEnd w:id="7"/>
      <w:bookmarkEnd w:id="8"/>
      <w:bookmarkEnd w:id="9"/>
      <w:bookmarkEnd w:id="10"/>
    </w:p>
    <w:p w14:paraId="70F0C09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1.1采购项目概况</w:t>
      </w:r>
    </w:p>
    <w:p w14:paraId="6BE0677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1.1.1项目名称：见</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须知前附表。</w:t>
      </w:r>
    </w:p>
    <w:p w14:paraId="2BEA4A8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项目编号：见</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须知前附表。</w:t>
      </w:r>
    </w:p>
    <w:p w14:paraId="03F5F9B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采购人：见投标人须知前附表。</w:t>
      </w:r>
    </w:p>
    <w:p w14:paraId="174544C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采购代理机构：见投标人须知前附表。</w:t>
      </w:r>
    </w:p>
    <w:p w14:paraId="2EBDB08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项目地点：见投标人须知前附表。</w:t>
      </w:r>
    </w:p>
    <w:p w14:paraId="2B34A9C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资金来源：见投标人须知前附表。</w:t>
      </w:r>
    </w:p>
    <w:p w14:paraId="389F0D7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采购预算金额：见投标人须知前附表。</w:t>
      </w:r>
    </w:p>
    <w:p w14:paraId="20C973E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8</w:t>
      </w:r>
      <w:r>
        <w:rPr>
          <w:rFonts w:hint="eastAsia" w:ascii="仿宋" w:hAnsi="仿宋" w:eastAsia="仿宋" w:cs="仿宋"/>
          <w:color w:val="auto"/>
          <w:kern w:val="0"/>
          <w:sz w:val="24"/>
          <w:szCs w:val="24"/>
          <w:highlight w:val="none"/>
        </w:rPr>
        <w:t>最高限价：见投标人须知前附表。</w:t>
      </w:r>
    </w:p>
    <w:p w14:paraId="194326D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9</w:t>
      </w:r>
      <w:r>
        <w:rPr>
          <w:rFonts w:hint="eastAsia" w:ascii="仿宋" w:hAnsi="仿宋" w:eastAsia="仿宋" w:cs="仿宋"/>
          <w:color w:val="auto"/>
          <w:kern w:val="0"/>
          <w:sz w:val="24"/>
          <w:szCs w:val="24"/>
          <w:highlight w:val="none"/>
          <w:lang w:eastAsia="zh-CN"/>
        </w:rPr>
        <w:t>合同履约期限</w:t>
      </w:r>
      <w:r>
        <w:rPr>
          <w:rFonts w:hint="eastAsia" w:ascii="仿宋" w:hAnsi="仿宋" w:eastAsia="仿宋" w:cs="仿宋"/>
          <w:color w:val="auto"/>
          <w:kern w:val="0"/>
          <w:sz w:val="24"/>
          <w:szCs w:val="24"/>
          <w:highlight w:val="none"/>
        </w:rPr>
        <w:t>：见投标人须知前附表。</w:t>
      </w:r>
    </w:p>
    <w:p w14:paraId="1990D6B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w:t>
      </w:r>
      <w:r>
        <w:rPr>
          <w:rFonts w:hint="eastAsia" w:ascii="仿宋" w:hAnsi="仿宋" w:eastAsia="仿宋" w:cs="仿宋"/>
          <w:color w:val="auto"/>
          <w:kern w:val="0"/>
          <w:sz w:val="24"/>
          <w:szCs w:val="24"/>
          <w:highlight w:val="none"/>
          <w:lang w:val="en-US" w:eastAsia="zh-CN"/>
        </w:rPr>
        <w:t>0</w:t>
      </w:r>
      <w:r>
        <w:rPr>
          <w:rFonts w:hint="eastAsia" w:ascii="仿宋" w:hAnsi="仿宋" w:eastAsia="仿宋" w:cs="仿宋"/>
          <w:color w:val="auto"/>
          <w:kern w:val="0"/>
          <w:sz w:val="24"/>
          <w:szCs w:val="24"/>
          <w:highlight w:val="none"/>
          <w:lang w:eastAsia="zh-CN"/>
        </w:rPr>
        <w:t>服务地点</w:t>
      </w:r>
      <w:r>
        <w:rPr>
          <w:rFonts w:hint="eastAsia" w:ascii="仿宋" w:hAnsi="仿宋" w:eastAsia="仿宋" w:cs="仿宋"/>
          <w:color w:val="auto"/>
          <w:kern w:val="0"/>
          <w:sz w:val="24"/>
          <w:szCs w:val="24"/>
          <w:highlight w:val="none"/>
        </w:rPr>
        <w:t>：见投标人须知前附表。</w:t>
      </w:r>
    </w:p>
    <w:p w14:paraId="5654F46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1.2采购范围：见投标人须知前附表。</w:t>
      </w:r>
    </w:p>
    <w:p w14:paraId="5AD7517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1.3采购方式和资格审查方式</w:t>
      </w:r>
    </w:p>
    <w:p w14:paraId="66A88B1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1.3.1采购方式：见投标人须知前附表。</w:t>
      </w:r>
    </w:p>
    <w:p w14:paraId="2040560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1.3.2资格审查方式：见投标人须知前附表。</w:t>
      </w:r>
    </w:p>
    <w:p w14:paraId="38FEB36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 评审办法及定标方法</w:t>
      </w:r>
    </w:p>
    <w:p w14:paraId="4CACC4C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1.4.1评审办法：见投标人须知前附表。</w:t>
      </w:r>
    </w:p>
    <w:p w14:paraId="2AABCD3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1.4.2定标方法：见投标人须知前附表。</w:t>
      </w:r>
    </w:p>
    <w:p w14:paraId="2149ACE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w:t>
      </w:r>
      <w:r>
        <w:rPr>
          <w:rFonts w:hint="eastAsia" w:ascii="仿宋" w:hAnsi="仿宋" w:eastAsia="仿宋" w:cs="仿宋"/>
          <w:color w:val="auto"/>
          <w:kern w:val="0"/>
          <w:sz w:val="24"/>
          <w:szCs w:val="24"/>
          <w:highlight w:val="none"/>
          <w:lang w:eastAsia="zh-CN"/>
        </w:rPr>
        <w:t>投标人的资格要求</w:t>
      </w:r>
      <w:r>
        <w:rPr>
          <w:rFonts w:hint="eastAsia" w:ascii="仿宋" w:hAnsi="仿宋" w:eastAsia="仿宋" w:cs="仿宋"/>
          <w:color w:val="auto"/>
          <w:kern w:val="0"/>
          <w:sz w:val="24"/>
          <w:szCs w:val="24"/>
          <w:highlight w:val="none"/>
        </w:rPr>
        <w:t>：见投标人须知前附表。</w:t>
      </w:r>
    </w:p>
    <w:p w14:paraId="343509C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1.6投标人不得存在的情形：见投标人须知前附表。</w:t>
      </w:r>
    </w:p>
    <w:p w14:paraId="542610D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1.7费用承担</w:t>
      </w:r>
    </w:p>
    <w:p w14:paraId="3D8A79D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1.7.1招标文件费：见投标人须知前附表。</w:t>
      </w:r>
    </w:p>
    <w:p w14:paraId="1FFF546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1.7.2投标人应承担其编制投标文件与递交投标文件所涉及的一切费用，无论投标结果如何，采购人及采购代理机构对上述费用不作任何补偿。采购代理咨询费由中标人支付。</w:t>
      </w:r>
    </w:p>
    <w:p w14:paraId="42AD739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1.8投标保证金：见投标人须知前附表。</w:t>
      </w:r>
    </w:p>
    <w:p w14:paraId="72EEF7B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1.9现场踏勘</w:t>
      </w:r>
    </w:p>
    <w:p w14:paraId="5D598C2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1.9.1投标人须知前附表如规定组织踏勘现场的，采购人或采购代理机构按投标人须知前附表规定的时间、地点组织投标人踏勘项目现场。</w:t>
      </w:r>
    </w:p>
    <w:p w14:paraId="04D730E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1.9.2投标人踏勘现场发生的费用自理。</w:t>
      </w:r>
    </w:p>
    <w:p w14:paraId="61928EC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1.9.3除采购人或采购代理机构的原因外，投标人自行负责在踏勘现场中所发生的人员伤亡和财产损失。</w:t>
      </w:r>
    </w:p>
    <w:p w14:paraId="25141C5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1.9.4采购人或采购代理机构在踏勘现场中介绍的项目有关情况，供投标人在编制投标文件时参考，采购人或采购代理机构不对投标人据此作出的判断和决策负责。</w:t>
      </w:r>
    </w:p>
    <w:p w14:paraId="6E19E73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1.10招标答疑</w:t>
      </w:r>
    </w:p>
    <w:p w14:paraId="14F3FF3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1.10.1投标人若有询问或质疑，应按投标人须知前附表规定的时间、方式向采购人或采购代理机构提出，要求采购人对招标文件予以澄清。</w:t>
      </w:r>
    </w:p>
    <w:p w14:paraId="579C967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1.11投标文件：见投标人须知前附表。</w:t>
      </w:r>
    </w:p>
    <w:p w14:paraId="661DDEE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1.12投标文件递交：见投标人须知前附表。</w:t>
      </w:r>
    </w:p>
    <w:p w14:paraId="35ED1C4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1.13开标：见投标人须知前附表。</w:t>
      </w:r>
    </w:p>
    <w:p w14:paraId="71AE107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1.14投标有效期：见投标人须知前附表。</w:t>
      </w:r>
    </w:p>
    <w:p w14:paraId="2BA814E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1.15公告发布媒体：见投标人须知前附表。</w:t>
      </w:r>
    </w:p>
    <w:p w14:paraId="407454F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1.16履约保证金：见投标人须知前附表。</w:t>
      </w:r>
    </w:p>
    <w:p w14:paraId="13CE3E7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1.17中小企业政策说明：见投标人须知前附表。</w:t>
      </w:r>
    </w:p>
    <w:p w14:paraId="3E21286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1.18合同分包：见投标人须知前附表。</w:t>
      </w:r>
    </w:p>
    <w:p w14:paraId="7988019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19</w:t>
      </w:r>
      <w:r>
        <w:rPr>
          <w:rFonts w:hint="eastAsia" w:ascii="仿宋" w:hAnsi="仿宋" w:eastAsia="仿宋" w:cs="仿宋"/>
          <w:color w:val="auto"/>
          <w:kern w:val="0"/>
          <w:sz w:val="24"/>
          <w:szCs w:val="24"/>
          <w:highlight w:val="none"/>
        </w:rPr>
        <w:t>保密</w:t>
      </w:r>
    </w:p>
    <w:p w14:paraId="3312A9D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参与招标投标活动的各方应当对招标文件和投标文件中的商业和技术等秘密保密，否则应当承担相应的法律责任。</w:t>
      </w:r>
    </w:p>
    <w:p w14:paraId="14DCDD5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20</w:t>
      </w:r>
      <w:r>
        <w:rPr>
          <w:rFonts w:hint="eastAsia" w:ascii="仿宋" w:hAnsi="仿宋" w:eastAsia="仿宋" w:cs="仿宋"/>
          <w:color w:val="auto"/>
          <w:kern w:val="0"/>
          <w:sz w:val="24"/>
          <w:szCs w:val="24"/>
          <w:highlight w:val="none"/>
        </w:rPr>
        <w:t>语言文字</w:t>
      </w:r>
    </w:p>
    <w:p w14:paraId="76716F2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除专用术语外，与招标投标有关的语言均应当使用中文。必要时专用术语应附有中文注释。</w:t>
      </w:r>
    </w:p>
    <w:p w14:paraId="46AB747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计量单位</w:t>
      </w:r>
    </w:p>
    <w:p w14:paraId="1CA967A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所有计量均采用中华人民共和国法定计量单位。</w:t>
      </w:r>
    </w:p>
    <w:p w14:paraId="63D3CAE6">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11" w:name="_Toc13326"/>
      <w:bookmarkStart w:id="12" w:name="_Toc531"/>
      <w:bookmarkStart w:id="13" w:name="_Toc9197"/>
      <w:bookmarkStart w:id="14" w:name="_Toc535592196"/>
      <w:r>
        <w:rPr>
          <w:rFonts w:hint="eastAsia" w:ascii="仿宋" w:hAnsi="仿宋" w:eastAsia="仿宋" w:cs="仿宋"/>
          <w:b/>
          <w:color w:val="auto"/>
          <w:sz w:val="24"/>
          <w:szCs w:val="24"/>
          <w:highlight w:val="none"/>
          <w:lang w:val="en-US" w:eastAsia="zh-CN"/>
        </w:rPr>
        <w:t>二、</w:t>
      </w:r>
      <w:r>
        <w:rPr>
          <w:rFonts w:hint="eastAsia" w:ascii="仿宋" w:hAnsi="仿宋" w:eastAsia="仿宋" w:cs="仿宋"/>
          <w:b/>
          <w:color w:val="auto"/>
          <w:sz w:val="24"/>
          <w:szCs w:val="24"/>
          <w:highlight w:val="none"/>
        </w:rPr>
        <w:t>招标文件</w:t>
      </w:r>
      <w:bookmarkEnd w:id="11"/>
      <w:bookmarkEnd w:id="12"/>
      <w:bookmarkEnd w:id="13"/>
      <w:bookmarkEnd w:id="14"/>
    </w:p>
    <w:p w14:paraId="39052F7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 招标文件的组成</w:t>
      </w:r>
    </w:p>
    <w:p w14:paraId="4B5CB61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（1）招标公告</w:t>
      </w:r>
    </w:p>
    <w:p w14:paraId="415A3BA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（2）投标人须知前附表</w:t>
      </w:r>
    </w:p>
    <w:p w14:paraId="4097837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（3）投标人须知</w:t>
      </w:r>
    </w:p>
    <w:p w14:paraId="17E35A9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（4）评标办法</w:t>
      </w:r>
    </w:p>
    <w:p w14:paraId="241A2A7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（5）合同</w:t>
      </w:r>
      <w:r>
        <w:rPr>
          <w:rFonts w:hint="eastAsia" w:ascii="仿宋" w:hAnsi="仿宋" w:eastAsia="仿宋" w:cs="仿宋"/>
          <w:color w:val="auto"/>
          <w:kern w:val="0"/>
          <w:sz w:val="24"/>
          <w:szCs w:val="24"/>
          <w:highlight w:val="none"/>
          <w:lang w:val="en-US" w:eastAsia="zh-CN"/>
        </w:rPr>
        <w:t>文本</w:t>
      </w:r>
      <w:r>
        <w:rPr>
          <w:rFonts w:hint="eastAsia" w:ascii="仿宋" w:hAnsi="仿宋" w:eastAsia="仿宋" w:cs="仿宋"/>
          <w:color w:val="auto"/>
          <w:kern w:val="0"/>
          <w:sz w:val="24"/>
          <w:szCs w:val="24"/>
          <w:highlight w:val="none"/>
        </w:rPr>
        <w:t>；</w:t>
      </w:r>
    </w:p>
    <w:p w14:paraId="2884E58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w:t>
      </w:r>
      <w:r>
        <w:rPr>
          <w:rFonts w:hint="eastAsia" w:ascii="仿宋" w:hAnsi="仿宋" w:eastAsia="仿宋" w:cs="仿宋"/>
          <w:color w:val="auto"/>
          <w:kern w:val="0"/>
          <w:sz w:val="24"/>
          <w:szCs w:val="24"/>
          <w:highlight w:val="none"/>
          <w:lang w:eastAsia="zh-CN"/>
        </w:rPr>
        <w:t>服务标准和要求</w:t>
      </w:r>
      <w:r>
        <w:rPr>
          <w:rFonts w:hint="eastAsia" w:ascii="仿宋" w:hAnsi="仿宋" w:eastAsia="仿宋" w:cs="仿宋"/>
          <w:color w:val="auto"/>
          <w:kern w:val="0"/>
          <w:sz w:val="24"/>
          <w:szCs w:val="24"/>
          <w:highlight w:val="none"/>
        </w:rPr>
        <w:t>；</w:t>
      </w:r>
    </w:p>
    <w:p w14:paraId="4DC3236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（7）投标文件格式；</w:t>
      </w:r>
    </w:p>
    <w:p w14:paraId="3CA967F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（8）补充条款。</w:t>
      </w:r>
    </w:p>
    <w:p w14:paraId="17A8E06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（9）根据本章第2.4款对招标文件所作的澄清、修改，构成招标文件的组成部分。</w:t>
      </w:r>
    </w:p>
    <w:p w14:paraId="28FC149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2.2招标文件的获取</w:t>
      </w:r>
    </w:p>
    <w:p w14:paraId="571935C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凡有意参加并符合投标人须知前附表“</w:t>
      </w:r>
      <w:r>
        <w:rPr>
          <w:rFonts w:hint="eastAsia" w:ascii="仿宋" w:hAnsi="仿宋" w:eastAsia="仿宋" w:cs="仿宋"/>
          <w:color w:val="auto"/>
          <w:kern w:val="0"/>
          <w:sz w:val="24"/>
          <w:szCs w:val="24"/>
          <w:highlight w:val="none"/>
          <w:lang w:eastAsia="zh-CN"/>
        </w:rPr>
        <w:t>投标人的资格要求</w:t>
      </w:r>
      <w:r>
        <w:rPr>
          <w:rFonts w:hint="eastAsia" w:ascii="仿宋" w:hAnsi="仿宋" w:eastAsia="仿宋" w:cs="仿宋"/>
          <w:color w:val="auto"/>
          <w:kern w:val="0"/>
          <w:sz w:val="24"/>
          <w:szCs w:val="24"/>
          <w:highlight w:val="none"/>
        </w:rPr>
        <w:t>”的投标人，均可获取招标文件。</w:t>
      </w:r>
    </w:p>
    <w:p w14:paraId="74E87B7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2.3招标文件的澄清</w:t>
      </w:r>
    </w:p>
    <w:p w14:paraId="10008BD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2.3.1 投标人应当仔细阅读和检查招标文件的全部内容。如发现缺失或附件不全，应当及时向采购人提出，以便补齐。如有疑问，应当在投标人须知前附表规定的时间、方式向采购人提出，要求采购人对招标文件予以澄清。</w:t>
      </w:r>
    </w:p>
    <w:p w14:paraId="5A08CA5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2.3.2 招标文件的澄清将按照投标人须知前附表规定的时间、方式发布，但不指明澄清问题的来源。</w:t>
      </w:r>
    </w:p>
    <w:p w14:paraId="19B17A7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2.4招标文件的修改</w:t>
      </w:r>
    </w:p>
    <w:p w14:paraId="433BCB5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2.4.1 招标文件的修改将按照投标人须知前附表规定的时间、方式发布，但不指明澄清问题的来源。</w:t>
      </w:r>
    </w:p>
    <w:p w14:paraId="49A5718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2.4.2 在投标人须知前附表规定的截止时间前，无论出于何种原因，采购人或采购代理机构可主动地或在解答潜在投标人提出的澄清问题时对招标文件进行修改。</w:t>
      </w:r>
    </w:p>
    <w:p w14:paraId="7218658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2.4.3 招标文件的修改部分是招标文件的组成部分对投标人具有约束力。</w:t>
      </w:r>
    </w:p>
    <w:p w14:paraId="36E0E3E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2.4.4 当采购人发放的招标文件及招标文件的答疑文件、修改文件、补充文件前后不一致，发生矛盾情况时，以最后发出的为准。</w:t>
      </w:r>
    </w:p>
    <w:p w14:paraId="57B33DF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2.4.5 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中标人将必须接受由采购人依据合同有关条款而做出的书面澄清。</w:t>
      </w:r>
    </w:p>
    <w:p w14:paraId="2958907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2.5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6B32FA74">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15" w:name="_BookMark_6"/>
      <w:bookmarkEnd w:id="15"/>
      <w:bookmarkStart w:id="16" w:name="_Toc23246"/>
      <w:bookmarkStart w:id="17" w:name="_Toc535592197"/>
      <w:bookmarkStart w:id="18" w:name="_Toc7644"/>
      <w:bookmarkStart w:id="19" w:name="_Toc5120"/>
      <w:r>
        <w:rPr>
          <w:rFonts w:hint="eastAsia" w:ascii="仿宋" w:hAnsi="仿宋" w:eastAsia="仿宋" w:cs="仿宋"/>
          <w:b/>
          <w:color w:val="auto"/>
          <w:sz w:val="24"/>
          <w:szCs w:val="24"/>
          <w:highlight w:val="none"/>
          <w:lang w:val="en-US" w:eastAsia="zh-CN"/>
        </w:rPr>
        <w:t>三、</w:t>
      </w:r>
      <w:r>
        <w:rPr>
          <w:rFonts w:hint="eastAsia" w:ascii="仿宋" w:hAnsi="仿宋" w:eastAsia="仿宋" w:cs="仿宋"/>
          <w:b/>
          <w:color w:val="auto"/>
          <w:sz w:val="24"/>
          <w:szCs w:val="24"/>
          <w:highlight w:val="none"/>
        </w:rPr>
        <w:t>投标文件</w:t>
      </w:r>
      <w:bookmarkEnd w:id="16"/>
      <w:bookmarkEnd w:id="17"/>
      <w:bookmarkEnd w:id="18"/>
      <w:bookmarkEnd w:id="19"/>
    </w:p>
    <w:p w14:paraId="51508DC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 投标文件的组成：</w:t>
      </w:r>
    </w:p>
    <w:p w14:paraId="5CDFB724">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、开标一览表</w:t>
      </w:r>
    </w:p>
    <w:p w14:paraId="232D2346">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、投标函</w:t>
      </w:r>
    </w:p>
    <w:p w14:paraId="695497F6">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、投标价格明细表</w:t>
      </w:r>
    </w:p>
    <w:p w14:paraId="430272C9">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、商务条款偏离表</w:t>
      </w:r>
    </w:p>
    <w:p w14:paraId="24E8EA57">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、技术条款偏离表</w:t>
      </w:r>
    </w:p>
    <w:p w14:paraId="395D3C95">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、法定代表人身份证明书</w:t>
      </w:r>
    </w:p>
    <w:p w14:paraId="6650D748">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、法定代表人授权委托书</w:t>
      </w:r>
    </w:p>
    <w:p w14:paraId="7740F7DB">
      <w:pPr>
        <w:spacing w:line="360" w:lineRule="auto"/>
        <w:ind w:firstLine="480" w:firstLineChars="20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8</w:t>
      </w:r>
      <w:r>
        <w:rPr>
          <w:rFonts w:hint="eastAsia" w:ascii="仿宋" w:hAnsi="仿宋" w:eastAsia="仿宋" w:cs="仿宋"/>
          <w:bCs/>
          <w:color w:val="auto"/>
          <w:sz w:val="24"/>
          <w:szCs w:val="24"/>
          <w:highlight w:val="none"/>
          <w:lang w:eastAsia="zh-CN"/>
        </w:rPr>
        <w:t>）、投标人资格条件证明材料</w:t>
      </w:r>
    </w:p>
    <w:p w14:paraId="7D9F0458">
      <w:pPr>
        <w:spacing w:line="360" w:lineRule="auto"/>
        <w:ind w:firstLine="480" w:firstLineChars="20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9</w:t>
      </w:r>
      <w:r>
        <w:rPr>
          <w:rFonts w:hint="eastAsia" w:ascii="仿宋" w:hAnsi="仿宋" w:eastAsia="仿宋" w:cs="仿宋"/>
          <w:bCs/>
          <w:color w:val="auto"/>
          <w:sz w:val="24"/>
          <w:szCs w:val="24"/>
          <w:highlight w:val="none"/>
          <w:lang w:eastAsia="zh-CN"/>
        </w:rPr>
        <w:t>）、投标人近年类似项目情况表</w:t>
      </w:r>
    </w:p>
    <w:p w14:paraId="7BC92119">
      <w:pPr>
        <w:spacing w:line="360" w:lineRule="auto"/>
        <w:ind w:firstLine="480" w:firstLineChars="20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10</w:t>
      </w:r>
      <w:r>
        <w:rPr>
          <w:rFonts w:hint="eastAsia" w:ascii="仿宋" w:hAnsi="仿宋" w:eastAsia="仿宋" w:cs="仿宋"/>
          <w:bCs/>
          <w:color w:val="auto"/>
          <w:sz w:val="24"/>
          <w:szCs w:val="24"/>
          <w:highlight w:val="none"/>
          <w:lang w:eastAsia="zh-CN"/>
        </w:rPr>
        <w:t>）、项目负责人简历表</w:t>
      </w:r>
    </w:p>
    <w:p w14:paraId="0F20AE22">
      <w:pPr>
        <w:spacing w:line="360" w:lineRule="auto"/>
        <w:ind w:firstLine="480" w:firstLineChars="20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11</w:t>
      </w:r>
      <w:r>
        <w:rPr>
          <w:rFonts w:hint="eastAsia" w:ascii="仿宋" w:hAnsi="仿宋" w:eastAsia="仿宋" w:cs="仿宋"/>
          <w:bCs/>
          <w:color w:val="auto"/>
          <w:sz w:val="24"/>
          <w:szCs w:val="24"/>
          <w:highlight w:val="none"/>
          <w:lang w:eastAsia="zh-CN"/>
        </w:rPr>
        <w:t>）、拟派主要服务人员情况表</w:t>
      </w:r>
    </w:p>
    <w:p w14:paraId="183093F5">
      <w:pPr>
        <w:spacing w:line="360" w:lineRule="auto"/>
        <w:ind w:firstLine="480" w:firstLineChars="20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12</w:t>
      </w:r>
      <w:r>
        <w:rPr>
          <w:rFonts w:hint="eastAsia" w:ascii="仿宋" w:hAnsi="仿宋" w:eastAsia="仿宋" w:cs="仿宋"/>
          <w:bCs/>
          <w:color w:val="auto"/>
          <w:sz w:val="24"/>
          <w:szCs w:val="24"/>
          <w:highlight w:val="none"/>
          <w:lang w:eastAsia="zh-CN"/>
        </w:rPr>
        <w:t>）、服务方案</w:t>
      </w:r>
    </w:p>
    <w:p w14:paraId="0F83733A">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13</w:t>
      </w:r>
      <w:r>
        <w:rPr>
          <w:rFonts w:hint="eastAsia" w:ascii="仿宋" w:hAnsi="仿宋" w:eastAsia="仿宋" w:cs="仿宋"/>
          <w:bCs/>
          <w:color w:val="auto"/>
          <w:sz w:val="24"/>
          <w:szCs w:val="24"/>
          <w:highlight w:val="none"/>
          <w:lang w:eastAsia="zh-CN"/>
        </w:rPr>
        <w:t>）、</w:t>
      </w:r>
      <w:r>
        <w:rPr>
          <w:rFonts w:hint="eastAsia" w:ascii="仿宋" w:hAnsi="仿宋" w:eastAsia="仿宋" w:cs="仿宋"/>
          <w:color w:val="auto"/>
          <w:kern w:val="0"/>
          <w:sz w:val="24"/>
          <w:szCs w:val="24"/>
          <w:highlight w:val="none"/>
        </w:rPr>
        <w:t>保证金缴纳证明材料</w:t>
      </w:r>
    </w:p>
    <w:p w14:paraId="60DED2DC">
      <w:pPr>
        <w:spacing w:line="360" w:lineRule="auto"/>
        <w:ind w:firstLine="480" w:firstLineChars="20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14</w:t>
      </w:r>
      <w:r>
        <w:rPr>
          <w:rFonts w:hint="eastAsia" w:ascii="仿宋" w:hAnsi="仿宋" w:eastAsia="仿宋" w:cs="仿宋"/>
          <w:bCs/>
          <w:color w:val="auto"/>
          <w:sz w:val="24"/>
          <w:szCs w:val="24"/>
          <w:highlight w:val="none"/>
          <w:lang w:eastAsia="zh-CN"/>
        </w:rPr>
        <w:t>）、其它需要提交的资料</w:t>
      </w:r>
    </w:p>
    <w:p w14:paraId="4C33005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 投标价格</w:t>
      </w:r>
    </w:p>
    <w:p w14:paraId="73CF439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3.2.1投标价格应包括投标人履行本项目合同（如果中标）所必须的所有成本费用和中标人应承担的一切税费；未列和没有填写的项目费用，采购人将视为已包括在投标价格中。</w:t>
      </w:r>
    </w:p>
    <w:p w14:paraId="60C63A4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 投标人的投标价格不得超出本项目</w:t>
      </w:r>
      <w:r>
        <w:rPr>
          <w:rFonts w:hint="eastAsia" w:ascii="仿宋" w:hAnsi="仿宋" w:eastAsia="仿宋" w:cs="仿宋"/>
          <w:color w:val="auto"/>
          <w:kern w:val="0"/>
          <w:sz w:val="24"/>
          <w:szCs w:val="24"/>
          <w:highlight w:val="none"/>
          <w:lang w:eastAsia="zh-CN"/>
        </w:rPr>
        <w:t>最高限价</w:t>
      </w:r>
      <w:r>
        <w:rPr>
          <w:rFonts w:hint="eastAsia" w:ascii="仿宋" w:hAnsi="仿宋" w:eastAsia="仿宋" w:cs="仿宋"/>
          <w:color w:val="auto"/>
          <w:kern w:val="0"/>
          <w:sz w:val="24"/>
          <w:szCs w:val="24"/>
          <w:highlight w:val="none"/>
        </w:rPr>
        <w:t>。</w:t>
      </w:r>
    </w:p>
    <w:p w14:paraId="219460F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 投标有效期</w:t>
      </w:r>
    </w:p>
    <w:p w14:paraId="1E37407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3.3.1 在投标人须知前附表规定的投标有效期内，投标人不得要求撤销或修改其投标文件。</w:t>
      </w:r>
    </w:p>
    <w:p w14:paraId="6CB23D8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3.3.2 出现特殊情况需要延长投标有效期的，采购人将通知所有投标人延长投标有效期。投标人同意延长的，应当相应延长其投标保证金的有效期，但不得要求或被允许修改或撤销其投标文件；投标人拒绝延长的，其投标失效，但投标人有权收回其投标保证金。</w:t>
      </w:r>
    </w:p>
    <w:p w14:paraId="137A6CB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 投标保证金</w:t>
      </w:r>
    </w:p>
    <w:p w14:paraId="2982FF2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3.4.1 投标人应于投标截止时间前按投标人须知前附表规定数额提交投标保证金。未提交投标保证金的，将被视为非响应性投标而予以拒绝。联合体投标的，其投标保证金由牵头人递交，并应符合投标人须知前附表的规定。</w:t>
      </w:r>
    </w:p>
    <w:p w14:paraId="52435CD5">
      <w:pPr>
        <w:shd w:val="clear" w:color="auto" w:fill="FFFFFF"/>
        <w:snapToGrid w:val="0"/>
        <w:spacing w:line="384"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3.4.2</w:t>
      </w:r>
      <w:r>
        <w:rPr>
          <w:rFonts w:hint="eastAsia" w:ascii="仿宋" w:hAnsi="仿宋" w:eastAsia="仿宋" w:cs="仿宋"/>
          <w:color w:val="auto"/>
          <w:sz w:val="24"/>
          <w:szCs w:val="24"/>
          <w:highlight w:val="none"/>
        </w:rPr>
        <w:t>投标保证金以支票、汇票、本票或者金融机构、担保机构出具的保函等非现金形式提交至采购代理机构。</w:t>
      </w:r>
    </w:p>
    <w:p w14:paraId="78D1B7DD">
      <w:pPr>
        <w:shd w:val="clear" w:color="auto" w:fill="FFFFFF"/>
        <w:snapToGrid w:val="0"/>
        <w:spacing w:line="384"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3.4.3投标保证金是为了保护采购人免遭因投标人的行为而蒙受损失。采购人在因投标人的行为受到损害时可根据相关法律规定没收投标人的投标保证金。</w:t>
      </w:r>
    </w:p>
    <w:p w14:paraId="31DCD44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3.4.4 采购人或者采购代理机构应当自中标通知书发出之日起5个工作日内退还未中标人的投标保证金，自采购合同签订之日起5个工作日内退还中标人的投标保证金。</w:t>
      </w:r>
    </w:p>
    <w:p w14:paraId="615BECC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3.4.5投标保证金有效期与投标有效期一致。</w:t>
      </w:r>
    </w:p>
    <w:p w14:paraId="74F26D3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3.4.6有下列情形之一的，投标保证金不予退还：</w:t>
      </w:r>
    </w:p>
    <w:p w14:paraId="402D9B6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（1）开标后在投标有效期内，投标人撤</w:t>
      </w:r>
      <w:r>
        <w:rPr>
          <w:rFonts w:hint="eastAsia" w:ascii="仿宋" w:hAnsi="仿宋" w:eastAsia="仿宋" w:cs="仿宋"/>
          <w:color w:val="auto"/>
          <w:kern w:val="0"/>
          <w:sz w:val="24"/>
          <w:szCs w:val="24"/>
          <w:highlight w:val="none"/>
          <w:lang w:val="en-US" w:eastAsia="zh-CN"/>
        </w:rPr>
        <w:t>销</w:t>
      </w:r>
      <w:r>
        <w:rPr>
          <w:rFonts w:hint="eastAsia" w:ascii="仿宋" w:hAnsi="仿宋" w:eastAsia="仿宋" w:cs="仿宋"/>
          <w:color w:val="auto"/>
          <w:kern w:val="0"/>
          <w:sz w:val="24"/>
          <w:szCs w:val="24"/>
          <w:highlight w:val="none"/>
        </w:rPr>
        <w:t>其投标</w:t>
      </w:r>
      <w:r>
        <w:rPr>
          <w:rFonts w:hint="eastAsia" w:ascii="仿宋" w:hAnsi="仿宋" w:eastAsia="仿宋" w:cs="仿宋"/>
          <w:color w:val="auto"/>
          <w:kern w:val="0"/>
          <w:sz w:val="24"/>
          <w:szCs w:val="24"/>
          <w:highlight w:val="none"/>
          <w:lang w:val="en-US" w:eastAsia="zh-CN"/>
        </w:rPr>
        <w:t>的</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 xml:space="preserve"> </w:t>
      </w:r>
    </w:p>
    <w:p w14:paraId="71FF965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）中标后无正当理由不与采购人签订合同的；</w:t>
      </w:r>
    </w:p>
    <w:p w14:paraId="13DC604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）中标人与采购人订立背离合同实质性内容的其他协议；</w:t>
      </w:r>
    </w:p>
    <w:p w14:paraId="76484E6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）将中标项目转让给他人，或者在投标文件中未说明，且未经采购</w:t>
      </w:r>
      <w:r>
        <w:rPr>
          <w:rFonts w:hint="eastAsia" w:ascii="仿宋" w:hAnsi="仿宋" w:eastAsia="仿宋" w:cs="仿宋"/>
          <w:color w:val="auto"/>
          <w:kern w:val="0"/>
          <w:sz w:val="24"/>
          <w:szCs w:val="24"/>
          <w:highlight w:val="none"/>
          <w:lang w:val="en-US" w:eastAsia="zh-CN"/>
        </w:rPr>
        <w:t>人</w:t>
      </w:r>
      <w:r>
        <w:rPr>
          <w:rFonts w:hint="eastAsia" w:ascii="仿宋" w:hAnsi="仿宋" w:eastAsia="仿宋" w:cs="仿宋"/>
          <w:color w:val="auto"/>
          <w:kern w:val="0"/>
          <w:sz w:val="24"/>
          <w:szCs w:val="24"/>
          <w:highlight w:val="none"/>
        </w:rPr>
        <w:t>同意，将中标项目分包给他人的；</w:t>
      </w:r>
    </w:p>
    <w:p w14:paraId="35B27EF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）存在串通投标行为的；</w:t>
      </w:r>
    </w:p>
    <w:p w14:paraId="5306B3E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）存在弄虚作假或提供虚假材料谋取中标的；</w:t>
      </w:r>
    </w:p>
    <w:p w14:paraId="794957C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）投标人其他未按招标文件规定和合同约定履行义务的行为。</w:t>
      </w:r>
    </w:p>
    <w:p w14:paraId="5DAECA8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8</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法律法规规定的其它情形</w:t>
      </w:r>
    </w:p>
    <w:p w14:paraId="1589A4D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 投标文件的编制</w:t>
      </w:r>
    </w:p>
    <w:p w14:paraId="0CA20DF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3.5.1投标文件应按第五章“投标文件格式”进行编写，如有必要，可以增加附页，作为投标文件的组成部分。</w:t>
      </w:r>
    </w:p>
    <w:p w14:paraId="34F044F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3.5.2投标文件应当对招标文件有关采购范围、技术与服务要求等实质性内容做出响应。</w:t>
      </w:r>
    </w:p>
    <w:p w14:paraId="79AF7D9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bookmarkStart w:id="20" w:name="_BookMark_7"/>
      <w:bookmarkEnd w:id="20"/>
      <w:bookmarkStart w:id="21" w:name="_Toc535592198"/>
      <w:r>
        <w:rPr>
          <w:rFonts w:hint="eastAsia" w:ascii="仿宋" w:hAnsi="仿宋" w:eastAsia="仿宋" w:cs="仿宋"/>
          <w:color w:val="auto"/>
          <w:kern w:val="0"/>
          <w:sz w:val="24"/>
          <w:szCs w:val="24"/>
          <w:highlight w:val="none"/>
          <w:shd w:val="clear" w:color="auto" w:fill="FFFFFF" w:themeFill="background1"/>
        </w:rPr>
        <w:t>3.5.3电子投标文件的制作须使用相应的制作工具软件。</w:t>
      </w:r>
    </w:p>
    <w:p w14:paraId="3EB356E3">
      <w:pPr>
        <w:widowControl/>
        <w:shd w:val="clear" w:color="auto" w:fill="FFFFFF"/>
        <w:snapToGrid w:val="0"/>
        <w:spacing w:line="360" w:lineRule="auto"/>
        <w:ind w:firstLine="480" w:firstLineChars="200"/>
        <w:rPr>
          <w:rFonts w:hint="eastAsia" w:ascii="仿宋" w:hAnsi="仿宋" w:eastAsia="仿宋" w:cs="仿宋"/>
          <w:color w:val="auto"/>
          <w:sz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w:t>
      </w:r>
      <w:r>
        <w:rPr>
          <w:rFonts w:hint="eastAsia" w:ascii="仿宋" w:hAnsi="仿宋" w:eastAsia="仿宋" w:cs="仿宋"/>
          <w:color w:val="auto"/>
          <w:kern w:val="0"/>
          <w:sz w:val="24"/>
          <w:szCs w:val="24"/>
          <w:highlight w:val="none"/>
          <w:shd w:val="clear" w:color="auto" w:fill="FFFFFF" w:themeFill="background1"/>
          <w:lang w:val="en-US" w:eastAsia="zh-CN"/>
        </w:rPr>
        <w:t>4</w:t>
      </w:r>
      <w:r>
        <w:rPr>
          <w:rFonts w:hint="eastAsia" w:ascii="仿宋" w:hAnsi="仿宋" w:eastAsia="仿宋" w:cs="仿宋"/>
          <w:color w:val="auto"/>
          <w:kern w:val="0"/>
          <w:sz w:val="24"/>
          <w:szCs w:val="24"/>
          <w:highlight w:val="none"/>
          <w:shd w:val="clear" w:color="auto" w:fill="FFFFFF" w:themeFill="background1"/>
        </w:rPr>
        <w:t>电子招投标文件具有法律效力，与其他形式的招投标文件在内容和格式上等同，若投标文件与招标文件要求不一致，其内容影响成交结果时，责任由投标人自行承担。投标人递交的电子投标文件因投标人自身原因而导致无法导入电子辅助评标系统，该投标文件视为无效投标文件，将导致其投标被拒绝</w:t>
      </w:r>
      <w:r>
        <w:rPr>
          <w:rFonts w:hint="eastAsia" w:ascii="仿宋" w:hAnsi="仿宋" w:eastAsia="仿宋" w:cs="仿宋"/>
          <w:color w:val="auto"/>
          <w:sz w:val="24"/>
          <w:highlight w:val="none"/>
          <w:shd w:val="clear" w:color="auto" w:fill="FFFFFF" w:themeFill="background1"/>
        </w:rPr>
        <w:t>。</w:t>
      </w:r>
    </w:p>
    <w:p w14:paraId="4656CDFA">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22" w:name="_Toc834"/>
      <w:bookmarkStart w:id="23" w:name="_Toc14186"/>
      <w:bookmarkStart w:id="24" w:name="_Toc24066"/>
      <w:r>
        <w:rPr>
          <w:rFonts w:hint="eastAsia" w:ascii="仿宋" w:hAnsi="仿宋" w:eastAsia="仿宋" w:cs="仿宋"/>
          <w:b/>
          <w:color w:val="auto"/>
          <w:sz w:val="24"/>
          <w:szCs w:val="24"/>
          <w:highlight w:val="none"/>
          <w:lang w:val="en-US" w:eastAsia="zh-CN"/>
        </w:rPr>
        <w:t>四、</w:t>
      </w:r>
      <w:r>
        <w:rPr>
          <w:rFonts w:hint="eastAsia" w:ascii="仿宋" w:hAnsi="仿宋" w:eastAsia="仿宋" w:cs="仿宋"/>
          <w:b/>
          <w:color w:val="auto"/>
          <w:sz w:val="24"/>
          <w:szCs w:val="24"/>
          <w:highlight w:val="none"/>
        </w:rPr>
        <w:t>投标</w:t>
      </w:r>
      <w:bookmarkEnd w:id="21"/>
      <w:bookmarkEnd w:id="22"/>
      <w:bookmarkEnd w:id="23"/>
      <w:bookmarkEnd w:id="24"/>
    </w:p>
    <w:p w14:paraId="28759641">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bookmarkStart w:id="25" w:name="_BookMark_8"/>
      <w:bookmarkEnd w:id="25"/>
      <w:bookmarkStart w:id="26" w:name="_Toc535592199"/>
      <w:r>
        <w:rPr>
          <w:rFonts w:hint="eastAsia" w:ascii="仿宋" w:hAnsi="仿宋" w:eastAsia="仿宋" w:cs="仿宋"/>
          <w:bCs/>
          <w:color w:val="auto"/>
          <w:sz w:val="24"/>
          <w:szCs w:val="24"/>
          <w:highlight w:val="none"/>
        </w:rPr>
        <w:t xml:space="preserve">4.1本次采购采用电子交易方式，电子交易平台为“政采云平台（https://www.zcygov.cn/）”。投标人参与本项目电子交易活动前，应注册成为政府采购云平台投标人。编制电子投标文件前还需申领CA证书并绑定帐号。投标人应充分考虑完成平台注册、申领CA证书等所需的时间。因未注册入库、未办理CA数字证书等原因造成无法投标或投标失败等后果由投标人自行承担。 </w:t>
      </w:r>
    </w:p>
    <w:p w14:paraId="030994A8">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w:t>
      </w:r>
    </w:p>
    <w:p w14:paraId="3C8C72ED">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4.3投标文件的递交</w:t>
      </w:r>
    </w:p>
    <w:p w14:paraId="0CC0EA3E">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4.3.1加密的电子投标文件应在投标文件递交截止时间前通过政采云平台上传完成。逾期上传或者未上传指定地点的投标文件，采购人不予受理。</w:t>
      </w:r>
    </w:p>
    <w:p w14:paraId="5F16EC6F">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4.3.2采购人事先约定延长投标文件递交截止时间的，采购人与投标人以前的投标截止期方面的全部权利、责任和义务，将适用延长至新的投标截止期。</w:t>
      </w:r>
    </w:p>
    <w:p w14:paraId="547883CE">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4.3.3投标人或其投标文件存在下列情形之一的，采购人对其投标文件不予受理：</w:t>
      </w:r>
    </w:p>
    <w:p w14:paraId="09DC659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（1）逾期上传的</w:t>
      </w:r>
      <w:r>
        <w:rPr>
          <w:rFonts w:hint="eastAsia" w:ascii="仿宋" w:hAnsi="仿宋" w:eastAsia="仿宋" w:cs="仿宋"/>
          <w:color w:val="auto"/>
          <w:kern w:val="0"/>
          <w:sz w:val="24"/>
          <w:szCs w:val="24"/>
          <w:highlight w:val="none"/>
          <w:lang w:eastAsia="zh-CN"/>
        </w:rPr>
        <w:t>投标文件</w:t>
      </w:r>
      <w:r>
        <w:rPr>
          <w:rFonts w:hint="eastAsia" w:ascii="仿宋" w:hAnsi="仿宋" w:eastAsia="仿宋" w:cs="仿宋"/>
          <w:color w:val="auto"/>
          <w:kern w:val="0"/>
          <w:sz w:val="24"/>
          <w:szCs w:val="24"/>
          <w:highlight w:val="none"/>
        </w:rPr>
        <w:t>；</w:t>
      </w:r>
    </w:p>
    <w:p w14:paraId="28E841E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（2）未上传指定地点的</w:t>
      </w:r>
      <w:r>
        <w:rPr>
          <w:rFonts w:hint="eastAsia" w:ascii="仿宋" w:hAnsi="仿宋" w:eastAsia="仿宋" w:cs="仿宋"/>
          <w:color w:val="auto"/>
          <w:kern w:val="0"/>
          <w:sz w:val="24"/>
          <w:szCs w:val="24"/>
          <w:highlight w:val="none"/>
          <w:lang w:eastAsia="zh-CN"/>
        </w:rPr>
        <w:t>投标文件；</w:t>
      </w:r>
    </w:p>
    <w:p w14:paraId="021D568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）未按要求加密的</w:t>
      </w:r>
      <w:r>
        <w:rPr>
          <w:rFonts w:hint="eastAsia" w:ascii="仿宋" w:hAnsi="仿宋" w:eastAsia="仿宋" w:cs="仿宋"/>
          <w:color w:val="auto"/>
          <w:kern w:val="0"/>
          <w:sz w:val="24"/>
          <w:szCs w:val="24"/>
          <w:highlight w:val="none"/>
          <w:lang w:eastAsia="zh-CN"/>
        </w:rPr>
        <w:t>投标文件；</w:t>
      </w:r>
    </w:p>
    <w:p w14:paraId="3616039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）未</w:t>
      </w:r>
      <w:r>
        <w:rPr>
          <w:rFonts w:hint="eastAsia" w:ascii="仿宋" w:hAnsi="仿宋" w:eastAsia="仿宋" w:cs="仿宋"/>
          <w:color w:val="auto"/>
          <w:kern w:val="0"/>
          <w:sz w:val="24"/>
          <w:szCs w:val="24"/>
          <w:highlight w:val="none"/>
          <w:lang w:val="en-US" w:eastAsia="zh-CN"/>
        </w:rPr>
        <w:t>在规定时间内解密的</w:t>
      </w:r>
      <w:r>
        <w:rPr>
          <w:rFonts w:hint="eastAsia" w:ascii="仿宋" w:hAnsi="仿宋" w:eastAsia="仿宋" w:cs="仿宋"/>
          <w:color w:val="auto"/>
          <w:kern w:val="0"/>
          <w:sz w:val="24"/>
          <w:szCs w:val="24"/>
          <w:highlight w:val="none"/>
          <w:lang w:eastAsia="zh-CN"/>
        </w:rPr>
        <w:t>投标文件</w:t>
      </w:r>
      <w:r>
        <w:rPr>
          <w:rFonts w:hint="eastAsia" w:ascii="仿宋" w:hAnsi="仿宋" w:eastAsia="仿宋" w:cs="仿宋"/>
          <w:color w:val="auto"/>
          <w:kern w:val="0"/>
          <w:sz w:val="24"/>
          <w:szCs w:val="24"/>
          <w:highlight w:val="none"/>
        </w:rPr>
        <w:t>。</w:t>
      </w:r>
    </w:p>
    <w:p w14:paraId="497D10D6">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4.4投标文件的修改与撤回</w:t>
      </w:r>
    </w:p>
    <w:p w14:paraId="0FF9CBB0">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4.4.1投标人应在投标须知前附表中规定的截止时间前，可以撤回已上传的投标文件。如要修改，必须在撤回并修改后在规定的投标文件递交截止时间之前将修改后的投标文件再重新上传。在投标文件递交截止时间之后，投标人不得对上传的投标文件撤销或修改。</w:t>
      </w:r>
    </w:p>
    <w:p w14:paraId="05C36AE6">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4.5投标文件格式</w:t>
      </w:r>
    </w:p>
    <w:p w14:paraId="028E53EC">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4.5.1投标文件格式见第五章。</w:t>
      </w:r>
    </w:p>
    <w:p w14:paraId="7966EA41">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4.5.2投标人应使用本招标文件后面提供的投标文件格式填写，如不够用时，投标人可按同样格式自行编制和填补，如果本招标文件未提供格式的，投标人可自行编制。</w:t>
      </w:r>
    </w:p>
    <w:p w14:paraId="42BA6FCE">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27" w:name="_Toc8957"/>
      <w:bookmarkStart w:id="28" w:name="_Toc29839"/>
      <w:bookmarkStart w:id="29" w:name="_Toc10202"/>
      <w:r>
        <w:rPr>
          <w:rFonts w:hint="eastAsia" w:ascii="仿宋" w:hAnsi="仿宋" w:eastAsia="仿宋" w:cs="仿宋"/>
          <w:b/>
          <w:color w:val="auto"/>
          <w:sz w:val="24"/>
          <w:szCs w:val="24"/>
          <w:highlight w:val="none"/>
          <w:lang w:val="en-US" w:eastAsia="zh-CN"/>
        </w:rPr>
        <w:t>五、</w:t>
      </w:r>
      <w:r>
        <w:rPr>
          <w:rFonts w:hint="eastAsia" w:ascii="仿宋" w:hAnsi="仿宋" w:eastAsia="仿宋" w:cs="仿宋"/>
          <w:b/>
          <w:color w:val="auto"/>
          <w:sz w:val="24"/>
          <w:szCs w:val="24"/>
          <w:highlight w:val="none"/>
        </w:rPr>
        <w:t>开标</w:t>
      </w:r>
      <w:bookmarkEnd w:id="26"/>
      <w:bookmarkEnd w:id="27"/>
      <w:bookmarkEnd w:id="28"/>
      <w:bookmarkEnd w:id="29"/>
    </w:p>
    <w:p w14:paraId="3B86860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5.1 开标时间和地点</w:t>
      </w:r>
    </w:p>
    <w:p w14:paraId="6DBCDF3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采购人或采购代理机构将在投标人须知前附表规定的时间、地点公开开标，所有潜在投标人均可</w:t>
      </w:r>
      <w:r>
        <w:rPr>
          <w:rFonts w:hint="eastAsia" w:ascii="仿宋" w:hAnsi="仿宋" w:eastAsia="仿宋" w:cs="仿宋"/>
          <w:color w:val="auto"/>
          <w:sz w:val="24"/>
          <w:szCs w:val="24"/>
          <w:highlight w:val="none"/>
        </w:rPr>
        <w:t>登录政采云平台https://www.zcygov.cn/，进入“项目采购-开标评标-右边选择对应项目点击“进入项目”进入开标大厅。</w:t>
      </w:r>
    </w:p>
    <w:p w14:paraId="57A1797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5.2 开标程序</w:t>
      </w:r>
    </w:p>
    <w:p w14:paraId="5DDA552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按下列程序进行开标：</w:t>
      </w:r>
    </w:p>
    <w:p w14:paraId="782B39F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（1）投标人解密投标文件</w:t>
      </w:r>
    </w:p>
    <w:p w14:paraId="52CE789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（2）唱标</w:t>
      </w:r>
    </w:p>
    <w:p w14:paraId="5746D14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（3）投标人确认</w:t>
      </w:r>
    </w:p>
    <w:p w14:paraId="7B93070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（4）开标结束</w:t>
      </w:r>
    </w:p>
    <w:p w14:paraId="0A34963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5.3投标人代表对开标过程和开标记录有疑义，以及认为采购人、采购代理机构相关工作人员有需要回避的情形的，应当场提出询问或者回避申请。采购人、采购代理机构对投标人代表提出的询问或者回避申请应当及时处理。投标人未参加开标的，视同认可开标结果。</w:t>
      </w:r>
    </w:p>
    <w:p w14:paraId="728C91D4">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30" w:name="_BookMark_9"/>
      <w:bookmarkEnd w:id="30"/>
      <w:bookmarkStart w:id="31" w:name="_Toc535592200"/>
      <w:bookmarkStart w:id="32" w:name="_Toc21425"/>
      <w:bookmarkStart w:id="33" w:name="_Toc31963"/>
      <w:bookmarkStart w:id="34" w:name="_Toc14199"/>
      <w:r>
        <w:rPr>
          <w:rFonts w:hint="eastAsia" w:ascii="仿宋" w:hAnsi="仿宋" w:eastAsia="仿宋" w:cs="仿宋"/>
          <w:b/>
          <w:color w:val="auto"/>
          <w:sz w:val="24"/>
          <w:szCs w:val="24"/>
          <w:highlight w:val="none"/>
          <w:lang w:val="en-US" w:eastAsia="zh-CN"/>
        </w:rPr>
        <w:t>六、</w:t>
      </w:r>
      <w:r>
        <w:rPr>
          <w:rFonts w:hint="eastAsia" w:ascii="仿宋" w:hAnsi="仿宋" w:eastAsia="仿宋" w:cs="仿宋"/>
          <w:b/>
          <w:color w:val="auto"/>
          <w:sz w:val="24"/>
          <w:szCs w:val="24"/>
          <w:highlight w:val="none"/>
        </w:rPr>
        <w:t>评标</w:t>
      </w:r>
      <w:bookmarkEnd w:id="31"/>
      <w:bookmarkEnd w:id="32"/>
      <w:bookmarkEnd w:id="33"/>
      <w:bookmarkEnd w:id="34"/>
    </w:p>
    <w:p w14:paraId="6643B46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 评标委员会</w:t>
      </w:r>
    </w:p>
    <w:p w14:paraId="3456738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6.1.1 评标由采购人按照《政府采购评标专家管理办法》财库〔2016〕198号，依法组建的评标委员会负责。评标委员会由采购人熟悉相关业务的代表，以及有关技术、经济等方面的专家组成。</w:t>
      </w:r>
    </w:p>
    <w:p w14:paraId="2064B39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6.1.2 评标委员会成员有下列情形之一的，应当回避：</w:t>
      </w:r>
    </w:p>
    <w:p w14:paraId="47D25FC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（1）参加采购活动前三年内,与投标人存在劳动关系,或者担任过投标人的董事、监事,或者是投标人的控股股东或实际控制人。</w:t>
      </w:r>
    </w:p>
    <w:p w14:paraId="2CA1FAF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（2）与投标人的法定代表人或者负责人有夫妻、直系血亲、三代以内旁系血亲或者近姻亲关系。</w:t>
      </w:r>
    </w:p>
    <w:p w14:paraId="2A0D30E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（3）与投标人有其他可能影响政府采购活动公平、公正进行的关系。</w:t>
      </w:r>
    </w:p>
    <w:p w14:paraId="34A2333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6.2 评标原则</w:t>
      </w:r>
    </w:p>
    <w:p w14:paraId="72C12A4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评标活动遵循公平、公正、科学和择优的原则。</w:t>
      </w:r>
    </w:p>
    <w:p w14:paraId="26A8FAA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6.3 评标</w:t>
      </w:r>
    </w:p>
    <w:p w14:paraId="403D55A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评标委员会按照招标文件中规定的方法、评标因素、标准和程序对投标文件进行评标。</w:t>
      </w:r>
    </w:p>
    <w:p w14:paraId="31B49595">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35" w:name="_BookMark_10"/>
      <w:bookmarkEnd w:id="35"/>
      <w:bookmarkStart w:id="36" w:name="_Toc19793"/>
      <w:bookmarkStart w:id="37" w:name="_Toc535592201"/>
      <w:bookmarkStart w:id="38" w:name="_Toc10869"/>
      <w:bookmarkStart w:id="39" w:name="_Toc26856"/>
      <w:r>
        <w:rPr>
          <w:rFonts w:hint="eastAsia" w:ascii="仿宋" w:hAnsi="仿宋" w:eastAsia="仿宋" w:cs="仿宋"/>
          <w:b/>
          <w:color w:val="auto"/>
          <w:sz w:val="24"/>
          <w:szCs w:val="24"/>
          <w:highlight w:val="none"/>
          <w:lang w:val="en-US" w:eastAsia="zh-CN"/>
        </w:rPr>
        <w:t>七、</w:t>
      </w:r>
      <w:r>
        <w:rPr>
          <w:rFonts w:hint="eastAsia" w:ascii="仿宋" w:hAnsi="仿宋" w:eastAsia="仿宋" w:cs="仿宋"/>
          <w:b/>
          <w:color w:val="auto"/>
          <w:sz w:val="24"/>
          <w:szCs w:val="24"/>
          <w:highlight w:val="none"/>
        </w:rPr>
        <w:t>定标及合同授予</w:t>
      </w:r>
      <w:bookmarkEnd w:id="36"/>
      <w:bookmarkEnd w:id="37"/>
      <w:bookmarkEnd w:id="38"/>
      <w:bookmarkEnd w:id="39"/>
    </w:p>
    <w:p w14:paraId="69420EA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 定标方法</w:t>
      </w:r>
    </w:p>
    <w:p w14:paraId="1257700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7.1.1 评标活动遵循公平、公正、科学和择优的原则。评标委员会按照招标文件中规定的方法、评标因素、标准和程序对投标文件进行评标，并按投标人须知前附表的规定向采购人推荐中标候选人。采购人依据评标委员会推荐的中标候选人确定中标人。</w:t>
      </w:r>
    </w:p>
    <w:p w14:paraId="49760A2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7.1.2采购人从中标候选人中确定出中标人的原则：采购人应当确定排名第一的中标候选人为中标人。排名第一的中标候选人放弃中标、因不可抗力不能履行合同、拒绝与采购人签订合同，不按照招标文件要求提交履约保证金、或者被查实存在影响中标结果的违法行为等情形，不符合中标条件的，采购人可以按照评标委员会推荐的中标候选人名单排名依次确定其他中标候选人为中标人。</w:t>
      </w:r>
    </w:p>
    <w:p w14:paraId="0210AFB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7.2中标结果公告</w:t>
      </w:r>
    </w:p>
    <w:p w14:paraId="2F37BF8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在公告中标结果的同时，采购人或者采购代理机构向中标人发出中标通知书；对未通过资格审查的投标人，应当告知其未通过的原因。</w:t>
      </w:r>
    </w:p>
    <w:p w14:paraId="64D6043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7.3履约保证金</w:t>
      </w:r>
    </w:p>
    <w:p w14:paraId="3CADD19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7.3.1 在签订合同前，中标人应按投标人须知前附表规定的金额、形式向采购人提交履约保证金。联合体中标的，其履约保证金由牵头人提交，并应符合投标人须知前附表的规定。</w:t>
      </w:r>
    </w:p>
    <w:p w14:paraId="3A2D8E6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7.3.2 中标人未按要求提交履约保证金的，视为放弃中标，其投标保证金不予退还；给采购人造成的损失超过投标保证金数额的，中标人还应当对超过部分予以赔偿。</w:t>
      </w:r>
    </w:p>
    <w:p w14:paraId="23919EA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7.4签订合同</w:t>
      </w:r>
    </w:p>
    <w:p w14:paraId="1824877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7.4.1采购人应当自中标通知书发出之日起30日内，按照招标文件和中标人投标文件的规定，与中标人签订书面合同。</w:t>
      </w:r>
    </w:p>
    <w:p w14:paraId="5173051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7.4.2发出中标通知书后，采购人无正当理由拒签合同的，给中标人造成损失的，还应当赔偿中标人损失。</w:t>
      </w:r>
    </w:p>
    <w:p w14:paraId="0C6C4F3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7.4.3发出中标通知书后，中标人无正当理由拒签合同的，采购人将取消其中标资格，其投标保证金不予退还；给采购人造成的损失超过投标保证金数额的，中标人还应当对超过部分予以赔偿。</w:t>
      </w:r>
    </w:p>
    <w:p w14:paraId="018EF98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7.4.4</w:t>
      </w:r>
      <w:r>
        <w:rPr>
          <w:rFonts w:hint="eastAsia" w:ascii="仿宋" w:hAnsi="仿宋" w:eastAsia="仿宋" w:cs="仿宋"/>
          <w:color w:val="auto"/>
          <w:kern w:val="0"/>
          <w:sz w:val="24"/>
          <w:szCs w:val="24"/>
          <w:highlight w:val="none"/>
        </w:rPr>
        <w:t xml:space="preserve"> 中标人拒绝与采购人签订合同的，采购人可以按照评标报告推荐的中标候选人名单排序，确定下一候选人为中标人，也可以重新开展政府采购活动。</w:t>
      </w:r>
    </w:p>
    <w:p w14:paraId="5260BA3F">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40" w:name="_BookMark_11"/>
      <w:bookmarkEnd w:id="40"/>
      <w:bookmarkStart w:id="41" w:name="_Toc30798"/>
      <w:bookmarkStart w:id="42" w:name="_Toc14256"/>
      <w:bookmarkStart w:id="43" w:name="_Toc535592202"/>
      <w:bookmarkStart w:id="44" w:name="_Toc18355"/>
      <w:bookmarkStart w:id="45" w:name="_Toc28284"/>
      <w:bookmarkStart w:id="46" w:name="_Toc24040"/>
      <w:r>
        <w:rPr>
          <w:rFonts w:hint="eastAsia" w:ascii="仿宋" w:hAnsi="仿宋" w:eastAsia="仿宋" w:cs="仿宋"/>
          <w:b/>
          <w:color w:val="auto"/>
          <w:sz w:val="24"/>
          <w:szCs w:val="24"/>
          <w:highlight w:val="none"/>
        </w:rPr>
        <w:t>八、纪律和监督</w:t>
      </w:r>
      <w:bookmarkEnd w:id="41"/>
      <w:bookmarkEnd w:id="42"/>
      <w:bookmarkEnd w:id="43"/>
      <w:bookmarkEnd w:id="44"/>
      <w:bookmarkEnd w:id="45"/>
      <w:bookmarkEnd w:id="46"/>
    </w:p>
    <w:p w14:paraId="029865E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8.1 对采购人的纪律要求</w:t>
      </w:r>
    </w:p>
    <w:p w14:paraId="5125DCD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采购人不得泄漏招标投标活动中应当保密的情况和资料，不得与投标人串通损害国家利益、社会公共利益或者他人合法权益。</w:t>
      </w:r>
    </w:p>
    <w:p w14:paraId="0C5721B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8.2 对投标人的纪律要求</w:t>
      </w:r>
    </w:p>
    <w:p w14:paraId="7934DA9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7746690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8.3 对评标委员会成员的纪律要求</w:t>
      </w:r>
    </w:p>
    <w:p w14:paraId="74E970D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委员会成员不得收受他人的财物或者其他好处，不得向他人透露对投标文件的评标和比较、中标候选人的推荐情况以及评标有关的其他情况。在评标活动中，评标委员会成员不得擅离职守，影响评标程序正常进行，不得使用评标办法没有规定的评标因素和标准进行评标。</w:t>
      </w:r>
    </w:p>
    <w:p w14:paraId="511E590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8.4 对与评标活动有关的工作人员的纪律要求</w:t>
      </w:r>
    </w:p>
    <w:p w14:paraId="653DCEC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与评标活动有关的工作人员不得收受他人的财物或者其他好处，不得向他人透露对投标文件的评标和比较、中标候选人的推荐情况以及评标有关的其他情况。在评标活动中，与评标活动有关的工作人员不得擅离职守，影响评标程序正常进行。</w:t>
      </w:r>
    </w:p>
    <w:p w14:paraId="76CD270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8.5 监督</w:t>
      </w:r>
    </w:p>
    <w:p w14:paraId="68840C83">
      <w:pPr>
        <w:widowControl/>
        <w:shd w:val="clear" w:color="auto" w:fill="FFFFFF"/>
        <w:snapToGrid w:val="0"/>
        <w:spacing w:line="360" w:lineRule="auto"/>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color w:val="auto"/>
          <w:kern w:val="0"/>
          <w:sz w:val="24"/>
          <w:szCs w:val="24"/>
          <w:highlight w:val="none"/>
        </w:rPr>
        <w:t>本项目的招标投标活动及其相关当事人应当接受有管辖权的监督部门依法实施的监督。</w:t>
      </w:r>
      <w:r>
        <w:rPr>
          <w:rFonts w:hint="eastAsia" w:ascii="仿宋" w:hAnsi="仿宋" w:eastAsia="仿宋" w:cs="仿宋"/>
          <w:bCs/>
          <w:color w:val="auto"/>
          <w:kern w:val="0"/>
          <w:sz w:val="24"/>
          <w:szCs w:val="24"/>
          <w:highlight w:val="none"/>
        </w:rPr>
        <w:br w:type="page"/>
      </w:r>
    </w:p>
    <w:p w14:paraId="7CA5C7D9">
      <w:pPr>
        <w:widowControl/>
        <w:shd w:val="clear" w:color="auto" w:fill="FFFFFF"/>
        <w:snapToGrid w:val="0"/>
        <w:spacing w:line="360" w:lineRule="auto"/>
        <w:jc w:val="center"/>
        <w:outlineLvl w:val="0"/>
        <w:rPr>
          <w:rFonts w:hint="eastAsia" w:ascii="仿宋" w:hAnsi="仿宋" w:eastAsia="仿宋" w:cs="仿宋"/>
          <w:b/>
          <w:color w:val="auto"/>
          <w:sz w:val="24"/>
          <w:szCs w:val="24"/>
          <w:highlight w:val="none"/>
        </w:rPr>
      </w:pPr>
      <w:bookmarkStart w:id="47" w:name="_Toc8133"/>
      <w:r>
        <w:rPr>
          <w:rFonts w:hint="eastAsia" w:ascii="仿宋" w:hAnsi="仿宋" w:eastAsia="仿宋" w:cs="仿宋"/>
          <w:b/>
          <w:color w:val="auto"/>
          <w:sz w:val="24"/>
          <w:szCs w:val="24"/>
          <w:highlight w:val="none"/>
        </w:rPr>
        <w:t>第二章 评标办法</w:t>
      </w:r>
      <w:bookmarkEnd w:id="47"/>
    </w:p>
    <w:p w14:paraId="15080F55">
      <w:pPr>
        <w:keepNext w:val="0"/>
        <w:keepLines w:val="0"/>
        <w:pageBreakBefore w:val="0"/>
        <w:widowControl w:val="0"/>
        <w:tabs>
          <w:tab w:val="center" w:pos="4832"/>
          <w:tab w:val="left" w:pos="7140"/>
        </w:tabs>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color w:val="auto"/>
          <w:sz w:val="24"/>
          <w:szCs w:val="24"/>
          <w:highlight w:val="none"/>
        </w:rPr>
      </w:pPr>
      <w:bookmarkStart w:id="48" w:name="_BookMark_1"/>
      <w:bookmarkEnd w:id="48"/>
      <w:bookmarkStart w:id="49" w:name="_Toc20681"/>
      <w:bookmarkStart w:id="50" w:name="_Toc58342531"/>
      <w:bookmarkStart w:id="51" w:name="_Toc501719166"/>
      <w:r>
        <w:rPr>
          <w:rFonts w:hint="eastAsia" w:ascii="仿宋" w:hAnsi="仿宋" w:eastAsia="仿宋" w:cs="仿宋"/>
          <w:b/>
          <w:color w:val="auto"/>
          <w:sz w:val="24"/>
          <w:szCs w:val="24"/>
          <w:highlight w:val="none"/>
        </w:rPr>
        <w:t>评审办法前附表</w:t>
      </w:r>
      <w:bookmarkEnd w:id="49"/>
      <w:bookmarkEnd w:id="50"/>
    </w:p>
    <w:tbl>
      <w:tblPr>
        <w:tblStyle w:val="39"/>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2"/>
        <w:gridCol w:w="2783"/>
        <w:gridCol w:w="5744"/>
      </w:tblGrid>
      <w:tr w14:paraId="470DD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612" w:type="dxa"/>
            <w:tcMar>
              <w:top w:w="0" w:type="dxa"/>
              <w:left w:w="28" w:type="dxa"/>
              <w:bottom w:w="0" w:type="dxa"/>
              <w:right w:w="28" w:type="dxa"/>
            </w:tcMar>
            <w:vAlign w:val="center"/>
          </w:tcPr>
          <w:p w14:paraId="7DD54F14">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2783" w:type="dxa"/>
            <w:tcMar>
              <w:top w:w="0" w:type="dxa"/>
              <w:left w:w="28" w:type="dxa"/>
              <w:bottom w:w="0" w:type="dxa"/>
              <w:right w:w="28" w:type="dxa"/>
            </w:tcMar>
            <w:vAlign w:val="center"/>
          </w:tcPr>
          <w:p w14:paraId="06C6CB0B">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条款内容</w:t>
            </w:r>
          </w:p>
        </w:tc>
        <w:tc>
          <w:tcPr>
            <w:tcW w:w="5744" w:type="dxa"/>
            <w:tcMar>
              <w:top w:w="0" w:type="dxa"/>
              <w:left w:w="28" w:type="dxa"/>
              <w:bottom w:w="0" w:type="dxa"/>
              <w:right w:w="28" w:type="dxa"/>
            </w:tcMar>
            <w:vAlign w:val="center"/>
          </w:tcPr>
          <w:p w14:paraId="65972012">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编列内容</w:t>
            </w:r>
          </w:p>
        </w:tc>
      </w:tr>
      <w:tr w14:paraId="0624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0" w:hRule="atLeast"/>
          <w:jc w:val="center"/>
        </w:trPr>
        <w:tc>
          <w:tcPr>
            <w:tcW w:w="612" w:type="dxa"/>
            <w:tcMar>
              <w:top w:w="0" w:type="dxa"/>
              <w:left w:w="28" w:type="dxa"/>
              <w:bottom w:w="0" w:type="dxa"/>
              <w:right w:w="28" w:type="dxa"/>
            </w:tcMar>
            <w:vAlign w:val="center"/>
          </w:tcPr>
          <w:p w14:paraId="2AFE3258">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2783" w:type="dxa"/>
            <w:tcMar>
              <w:top w:w="0" w:type="dxa"/>
              <w:left w:w="28" w:type="dxa"/>
              <w:bottom w:w="0" w:type="dxa"/>
              <w:right w:w="28" w:type="dxa"/>
            </w:tcMar>
            <w:vAlign w:val="center"/>
          </w:tcPr>
          <w:p w14:paraId="78822EAB">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分值构成</w:t>
            </w:r>
          </w:p>
          <w:p w14:paraId="067953B9">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(总分100分)</w:t>
            </w:r>
          </w:p>
        </w:tc>
        <w:tc>
          <w:tcPr>
            <w:tcW w:w="5744" w:type="dxa"/>
            <w:tcMar>
              <w:top w:w="0" w:type="dxa"/>
              <w:left w:w="28" w:type="dxa"/>
              <w:bottom w:w="0" w:type="dxa"/>
              <w:right w:w="28" w:type="dxa"/>
            </w:tcMar>
            <w:vAlign w:val="center"/>
          </w:tcPr>
          <w:p w14:paraId="02FBDDD5">
            <w:pPr>
              <w:spacing w:line="360" w:lineRule="auto"/>
              <w:jc w:val="both"/>
              <w:rPr>
                <w:rFonts w:hint="eastAsia" w:ascii="仿宋" w:hAnsi="仿宋" w:eastAsia="仿宋" w:cs="仿宋"/>
                <w:color w:val="auto"/>
                <w:szCs w:val="21"/>
                <w:highlight w:val="none"/>
              </w:rPr>
            </w:pPr>
            <w:r>
              <w:rPr>
                <w:rFonts w:hint="eastAsia" w:ascii="仿宋" w:hAnsi="仿宋" w:eastAsia="仿宋" w:cs="仿宋"/>
                <w:color w:val="auto"/>
                <w:szCs w:val="21"/>
                <w:highlight w:val="none"/>
              </w:rPr>
              <w:t>1.详细评审部分</w:t>
            </w:r>
            <w:r>
              <w:rPr>
                <w:rFonts w:hint="eastAsia" w:ascii="仿宋" w:hAnsi="仿宋" w:eastAsia="仿宋" w:cs="仿宋"/>
                <w:color w:val="auto"/>
                <w:szCs w:val="21"/>
                <w:highlight w:val="none"/>
                <w:lang w:val="en-US" w:eastAsia="zh-CN"/>
              </w:rPr>
              <w:t>90</w:t>
            </w:r>
            <w:r>
              <w:rPr>
                <w:rFonts w:hint="eastAsia" w:ascii="仿宋" w:hAnsi="仿宋" w:eastAsia="仿宋" w:cs="仿宋"/>
                <w:color w:val="auto"/>
                <w:szCs w:val="21"/>
                <w:highlight w:val="none"/>
              </w:rPr>
              <w:t>分</w:t>
            </w:r>
          </w:p>
          <w:p w14:paraId="71090DC9">
            <w:pPr>
              <w:spacing w:line="360" w:lineRule="auto"/>
              <w:jc w:val="both"/>
              <w:rPr>
                <w:rFonts w:hint="eastAsia" w:ascii="仿宋" w:hAnsi="仿宋" w:eastAsia="仿宋" w:cs="仿宋"/>
                <w:color w:val="auto"/>
                <w:szCs w:val="21"/>
                <w:highlight w:val="none"/>
              </w:rPr>
            </w:pPr>
            <w:r>
              <w:rPr>
                <w:rFonts w:hint="eastAsia" w:ascii="仿宋" w:hAnsi="仿宋" w:eastAsia="仿宋" w:cs="仿宋"/>
                <w:color w:val="auto"/>
                <w:szCs w:val="21"/>
                <w:highlight w:val="none"/>
              </w:rPr>
              <w:t>2.投标报价部分</w:t>
            </w:r>
            <w:r>
              <w:rPr>
                <w:rFonts w:hint="eastAsia" w:ascii="仿宋" w:hAnsi="仿宋" w:eastAsia="仿宋" w:cs="仿宋"/>
                <w:color w:val="auto"/>
                <w:szCs w:val="21"/>
                <w:highlight w:val="none"/>
                <w:lang w:val="en-US" w:eastAsia="zh-CN"/>
              </w:rPr>
              <w:t>10</w:t>
            </w:r>
            <w:r>
              <w:rPr>
                <w:rFonts w:hint="eastAsia" w:ascii="仿宋" w:hAnsi="仿宋" w:eastAsia="仿宋" w:cs="仿宋"/>
                <w:color w:val="auto"/>
                <w:szCs w:val="21"/>
                <w:highlight w:val="none"/>
              </w:rPr>
              <w:t>分</w:t>
            </w:r>
          </w:p>
        </w:tc>
      </w:tr>
      <w:tr w14:paraId="61019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7" w:hRule="atLeast"/>
          <w:jc w:val="center"/>
        </w:trPr>
        <w:tc>
          <w:tcPr>
            <w:tcW w:w="612" w:type="dxa"/>
            <w:tcMar>
              <w:top w:w="0" w:type="dxa"/>
              <w:left w:w="28" w:type="dxa"/>
              <w:bottom w:w="0" w:type="dxa"/>
              <w:right w:w="28" w:type="dxa"/>
            </w:tcMar>
            <w:vAlign w:val="center"/>
          </w:tcPr>
          <w:p w14:paraId="717AFDEF">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2783" w:type="dxa"/>
            <w:tcMar>
              <w:top w:w="0" w:type="dxa"/>
              <w:left w:w="28" w:type="dxa"/>
              <w:bottom w:w="0" w:type="dxa"/>
              <w:right w:w="28" w:type="dxa"/>
            </w:tcMar>
            <w:vAlign w:val="center"/>
          </w:tcPr>
          <w:p w14:paraId="4A25573D">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资格审查</w:t>
            </w:r>
          </w:p>
        </w:tc>
        <w:tc>
          <w:tcPr>
            <w:tcW w:w="5744" w:type="dxa"/>
            <w:tcMar>
              <w:top w:w="0" w:type="dxa"/>
              <w:left w:w="28" w:type="dxa"/>
              <w:bottom w:w="0" w:type="dxa"/>
              <w:right w:w="28" w:type="dxa"/>
            </w:tcMar>
            <w:vAlign w:val="center"/>
          </w:tcPr>
          <w:p w14:paraId="172E7DA3">
            <w:pPr>
              <w:spacing w:line="360" w:lineRule="auto"/>
              <w:jc w:val="both"/>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详见《资格审查标准》</w:t>
            </w:r>
          </w:p>
        </w:tc>
      </w:tr>
      <w:tr w14:paraId="1FE1D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612" w:type="dxa"/>
            <w:tcMar>
              <w:top w:w="0" w:type="dxa"/>
              <w:left w:w="28" w:type="dxa"/>
              <w:bottom w:w="0" w:type="dxa"/>
              <w:right w:w="28" w:type="dxa"/>
            </w:tcMar>
            <w:vAlign w:val="center"/>
          </w:tcPr>
          <w:p w14:paraId="47E452C7">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2783" w:type="dxa"/>
            <w:tcMar>
              <w:top w:w="0" w:type="dxa"/>
              <w:left w:w="28" w:type="dxa"/>
              <w:bottom w:w="0" w:type="dxa"/>
              <w:right w:w="28" w:type="dxa"/>
            </w:tcMar>
            <w:vAlign w:val="center"/>
          </w:tcPr>
          <w:p w14:paraId="3D07D325">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完备性及符合性审查</w:t>
            </w:r>
          </w:p>
        </w:tc>
        <w:tc>
          <w:tcPr>
            <w:tcW w:w="5744" w:type="dxa"/>
            <w:tcMar>
              <w:top w:w="0" w:type="dxa"/>
              <w:left w:w="28" w:type="dxa"/>
              <w:bottom w:w="0" w:type="dxa"/>
              <w:right w:w="28" w:type="dxa"/>
            </w:tcMar>
            <w:vAlign w:val="center"/>
          </w:tcPr>
          <w:p w14:paraId="62191333">
            <w:pPr>
              <w:spacing w:line="360" w:lineRule="auto"/>
              <w:jc w:val="both"/>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详见《</w:t>
            </w:r>
            <w:r>
              <w:rPr>
                <w:rFonts w:hint="eastAsia" w:ascii="仿宋" w:hAnsi="仿宋" w:eastAsia="仿宋" w:cs="仿宋"/>
                <w:color w:val="auto"/>
                <w:szCs w:val="21"/>
                <w:highlight w:val="none"/>
                <w:lang w:eastAsia="zh-CN"/>
              </w:rPr>
              <w:t>符合性审查标准</w:t>
            </w:r>
            <w:r>
              <w:rPr>
                <w:rFonts w:hint="eastAsia" w:ascii="仿宋" w:hAnsi="仿宋" w:eastAsia="仿宋" w:cs="仿宋"/>
                <w:color w:val="auto"/>
                <w:szCs w:val="21"/>
                <w:highlight w:val="none"/>
              </w:rPr>
              <w:t>》</w:t>
            </w:r>
          </w:p>
        </w:tc>
      </w:tr>
      <w:tr w14:paraId="5DA79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612" w:type="dxa"/>
            <w:shd w:val="clear" w:color="auto" w:fill="auto"/>
            <w:tcMar>
              <w:top w:w="0" w:type="dxa"/>
              <w:left w:w="28" w:type="dxa"/>
              <w:bottom w:w="0" w:type="dxa"/>
              <w:right w:w="28" w:type="dxa"/>
            </w:tcMar>
            <w:vAlign w:val="center"/>
          </w:tcPr>
          <w:p w14:paraId="68F01544">
            <w:pPr>
              <w:spacing w:line="36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4</w:t>
            </w:r>
          </w:p>
        </w:tc>
        <w:tc>
          <w:tcPr>
            <w:tcW w:w="2783" w:type="dxa"/>
            <w:shd w:val="clear" w:color="auto" w:fill="auto"/>
            <w:tcMar>
              <w:top w:w="0" w:type="dxa"/>
              <w:left w:w="28" w:type="dxa"/>
              <w:bottom w:w="0" w:type="dxa"/>
              <w:right w:w="28" w:type="dxa"/>
            </w:tcMar>
            <w:vAlign w:val="center"/>
          </w:tcPr>
          <w:p w14:paraId="21CDAFD1">
            <w:pPr>
              <w:spacing w:line="36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详细评审</w:t>
            </w:r>
          </w:p>
        </w:tc>
        <w:tc>
          <w:tcPr>
            <w:tcW w:w="5744" w:type="dxa"/>
            <w:tcMar>
              <w:top w:w="0" w:type="dxa"/>
              <w:left w:w="28" w:type="dxa"/>
              <w:bottom w:w="0" w:type="dxa"/>
              <w:right w:w="28" w:type="dxa"/>
            </w:tcMar>
            <w:vAlign w:val="center"/>
          </w:tcPr>
          <w:p w14:paraId="795A3152">
            <w:pPr>
              <w:spacing w:line="360" w:lineRule="auto"/>
              <w:jc w:val="both"/>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详见《详细评审标准》及本节第3.</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款</w:t>
            </w:r>
          </w:p>
        </w:tc>
      </w:tr>
    </w:tbl>
    <w:p w14:paraId="1E2E5CA6">
      <w:pPr>
        <w:widowControl/>
        <w:shd w:val="clear" w:color="auto" w:fill="FFFFFF"/>
        <w:snapToGrid w:val="0"/>
        <w:spacing w:line="276" w:lineRule="auto"/>
        <w:jc w:val="center"/>
        <w:rPr>
          <w:rFonts w:hint="eastAsia" w:ascii="仿宋" w:hAnsi="仿宋" w:eastAsia="仿宋" w:cs="仿宋"/>
          <w:b/>
          <w:color w:val="auto"/>
          <w:kern w:val="0"/>
          <w:sz w:val="24"/>
          <w:szCs w:val="24"/>
          <w:highlight w:val="none"/>
        </w:rPr>
      </w:pPr>
    </w:p>
    <w:p w14:paraId="38E504EA">
      <w:pPr>
        <w:widowControl/>
        <w:shd w:val="clear" w:color="auto" w:fill="FFFFFF"/>
        <w:snapToGrid w:val="0"/>
        <w:spacing w:line="276"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《资格审查标准》</w:t>
      </w:r>
      <w:bookmarkEnd w:id="51"/>
    </w:p>
    <w:tbl>
      <w:tblPr>
        <w:tblStyle w:val="39"/>
        <w:tblW w:w="51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9"/>
        <w:gridCol w:w="3687"/>
        <w:gridCol w:w="4890"/>
      </w:tblGrid>
      <w:tr w14:paraId="4A289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436" w:type="pct"/>
            <w:vAlign w:val="center"/>
          </w:tcPr>
          <w:p w14:paraId="63256EE1">
            <w:pPr>
              <w:widowControl/>
              <w:shd w:val="clear" w:color="auto" w:fill="FFFFFF"/>
              <w:snapToGrid w:val="0"/>
              <w:spacing w:line="360" w:lineRule="auto"/>
              <w:jc w:val="center"/>
              <w:rPr>
                <w:rFonts w:hint="eastAsia" w:ascii="仿宋" w:hAnsi="仿宋" w:eastAsia="仿宋" w:cs="仿宋"/>
                <w:color w:val="auto"/>
                <w:kern w:val="0"/>
                <w:szCs w:val="24"/>
                <w:highlight w:val="none"/>
              </w:rPr>
            </w:pPr>
            <w:bookmarkStart w:id="52" w:name="_Toc501719167"/>
            <w:r>
              <w:rPr>
                <w:rFonts w:hint="eastAsia" w:ascii="仿宋" w:hAnsi="仿宋" w:eastAsia="仿宋" w:cs="仿宋"/>
                <w:color w:val="auto"/>
                <w:kern w:val="0"/>
                <w:szCs w:val="24"/>
                <w:highlight w:val="none"/>
              </w:rPr>
              <w:t>序号</w:t>
            </w:r>
          </w:p>
        </w:tc>
        <w:tc>
          <w:tcPr>
            <w:tcW w:w="1962" w:type="pct"/>
            <w:vAlign w:val="center"/>
          </w:tcPr>
          <w:p w14:paraId="6222D86E">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审查要求</w:t>
            </w:r>
          </w:p>
        </w:tc>
        <w:tc>
          <w:tcPr>
            <w:tcW w:w="2601" w:type="pct"/>
            <w:vAlign w:val="center"/>
          </w:tcPr>
          <w:p w14:paraId="259F3856">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要求说明</w:t>
            </w:r>
          </w:p>
        </w:tc>
      </w:tr>
      <w:tr w14:paraId="23A47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436" w:type="pct"/>
            <w:vAlign w:val="center"/>
          </w:tcPr>
          <w:p w14:paraId="0FA6C3E7">
            <w:pPr>
              <w:widowControl/>
              <w:shd w:val="clear" w:color="auto" w:fill="FFFFFF"/>
              <w:snapToGrid w:val="0"/>
              <w:spacing w:line="360" w:lineRule="auto"/>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1</w:t>
            </w:r>
          </w:p>
        </w:tc>
        <w:tc>
          <w:tcPr>
            <w:tcW w:w="1962" w:type="pct"/>
            <w:shd w:val="clear" w:color="auto" w:fill="auto"/>
            <w:vAlign w:val="center"/>
          </w:tcPr>
          <w:p w14:paraId="266274DD">
            <w:pPr>
              <w:spacing w:line="288" w:lineRule="auto"/>
              <w:jc w:val="left"/>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具有独立承担民事责任的能力</w:t>
            </w:r>
            <w:r>
              <w:rPr>
                <w:rFonts w:hint="eastAsia" w:ascii="仿宋" w:hAnsi="仿宋" w:eastAsia="仿宋" w:cs="仿宋"/>
                <w:color w:val="auto"/>
                <w:szCs w:val="21"/>
                <w:highlight w:val="none"/>
                <w:shd w:val="clear" w:color="auto" w:fill="FFFFFF" w:themeFill="background1"/>
                <w:lang w:eastAsia="zh-CN"/>
              </w:rPr>
              <w:t>。</w:t>
            </w:r>
          </w:p>
        </w:tc>
        <w:tc>
          <w:tcPr>
            <w:tcW w:w="2601" w:type="pct"/>
            <w:shd w:val="clear" w:color="auto" w:fill="auto"/>
            <w:vAlign w:val="center"/>
          </w:tcPr>
          <w:p w14:paraId="09DBD085">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1、如投标人是企业（包括合伙企业)，应提供在工商部门注册的有效“企业法人营业执照”或“营业执照”;</w:t>
            </w:r>
          </w:p>
          <w:p w14:paraId="71741604">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2、如投标人是事业单位，应提供有效的“事业单位法人证书”;</w:t>
            </w:r>
          </w:p>
          <w:p w14:paraId="5B72396B">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3、如投标人是非企业专业服务机构的，应提供执业许可证等证明文件;</w:t>
            </w:r>
          </w:p>
          <w:p w14:paraId="6EAA3767">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4、如投标人是个体工商户，应提供有效的“个体工商户营业执照”;</w:t>
            </w:r>
          </w:p>
          <w:p w14:paraId="25A7848F">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5、如投标人是自然人，应提供有效的自然人身份证明。</w:t>
            </w:r>
          </w:p>
        </w:tc>
      </w:tr>
      <w:tr w14:paraId="1317B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436" w:type="pct"/>
            <w:vAlign w:val="center"/>
          </w:tcPr>
          <w:p w14:paraId="4B31630D">
            <w:pPr>
              <w:widowControl/>
              <w:shd w:val="clear" w:color="auto" w:fill="FFFFFF"/>
              <w:snapToGrid w:val="0"/>
              <w:spacing w:line="360" w:lineRule="auto"/>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2</w:t>
            </w:r>
          </w:p>
        </w:tc>
        <w:tc>
          <w:tcPr>
            <w:tcW w:w="1962" w:type="pct"/>
            <w:shd w:val="clear" w:color="auto" w:fill="auto"/>
            <w:vAlign w:val="center"/>
          </w:tcPr>
          <w:p w14:paraId="511AA615">
            <w:pPr>
              <w:spacing w:line="288" w:lineRule="auto"/>
              <w:jc w:val="left"/>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具有良好的商业信誉和健全的财务会计制度</w:t>
            </w:r>
            <w:r>
              <w:rPr>
                <w:rFonts w:hint="eastAsia" w:ascii="仿宋" w:hAnsi="仿宋" w:eastAsia="仿宋" w:cs="仿宋"/>
                <w:color w:val="auto"/>
                <w:szCs w:val="21"/>
                <w:highlight w:val="none"/>
                <w:shd w:val="clear" w:color="auto" w:fill="FFFFFF" w:themeFill="background1"/>
                <w:lang w:eastAsia="zh-CN"/>
              </w:rPr>
              <w:t>。</w:t>
            </w:r>
          </w:p>
        </w:tc>
        <w:tc>
          <w:tcPr>
            <w:tcW w:w="2601" w:type="pct"/>
            <w:shd w:val="clear" w:color="auto" w:fill="auto"/>
            <w:vAlign w:val="center"/>
          </w:tcPr>
          <w:p w14:paraId="276C0F5D">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满足下述一条要求即可：</w:t>
            </w:r>
          </w:p>
          <w:p w14:paraId="22BB4925">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要求1、经审计的财务报告（</w:t>
            </w:r>
            <w:r>
              <w:rPr>
                <w:rFonts w:hint="eastAsia" w:ascii="仿宋" w:hAnsi="仿宋" w:eastAsia="仿宋" w:cs="仿宋"/>
                <w:color w:val="auto"/>
                <w:kern w:val="0"/>
                <w:szCs w:val="24"/>
                <w:highlight w:val="none"/>
                <w:lang w:eastAsia="zh-CN"/>
              </w:rPr>
              <w:t>2024年度或2025年度</w:t>
            </w:r>
            <w:r>
              <w:rPr>
                <w:rFonts w:hint="eastAsia" w:ascii="仿宋" w:hAnsi="仿宋" w:eastAsia="仿宋" w:cs="仿宋"/>
                <w:color w:val="auto"/>
                <w:kern w:val="0"/>
                <w:szCs w:val="24"/>
                <w:highlight w:val="none"/>
              </w:rPr>
              <w:t>，包括“四表-注”，即资产负债表、利润表、现金流量表、所有者权益变动表及其附注）或银行出具的资信证明（投标文件递交截止之日前六个月内任意一个月</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lang w:val="en-US" w:eastAsia="zh-CN"/>
              </w:rPr>
              <w:t>不限制采购人主体</w:t>
            </w:r>
            <w:r>
              <w:rPr>
                <w:rFonts w:hint="eastAsia" w:ascii="仿宋" w:hAnsi="仿宋" w:eastAsia="仿宋" w:cs="仿宋"/>
                <w:color w:val="auto"/>
                <w:kern w:val="0"/>
                <w:szCs w:val="24"/>
                <w:highlight w:val="none"/>
              </w:rPr>
              <w:t>）。</w:t>
            </w:r>
          </w:p>
          <w:p w14:paraId="21311878">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rPr>
              <w:t>要求2、成立不足</w:t>
            </w:r>
            <w:r>
              <w:rPr>
                <w:rFonts w:hint="eastAsia" w:ascii="仿宋" w:hAnsi="仿宋" w:eastAsia="仿宋" w:cs="仿宋"/>
                <w:color w:val="auto"/>
                <w:kern w:val="0"/>
                <w:szCs w:val="24"/>
                <w:highlight w:val="none"/>
                <w:lang w:val="en-US" w:eastAsia="zh-CN"/>
              </w:rPr>
              <w:t>六</w:t>
            </w:r>
            <w:r>
              <w:rPr>
                <w:rFonts w:hint="eastAsia" w:ascii="仿宋" w:hAnsi="仿宋" w:eastAsia="仿宋" w:cs="仿宋"/>
                <w:color w:val="auto"/>
                <w:kern w:val="0"/>
                <w:szCs w:val="24"/>
                <w:highlight w:val="none"/>
              </w:rPr>
              <w:t>个月（以投标文件递交截止之日为期限）的投标人无需提供。</w:t>
            </w:r>
          </w:p>
        </w:tc>
      </w:tr>
      <w:tr w14:paraId="32A37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436" w:type="pct"/>
            <w:vAlign w:val="center"/>
          </w:tcPr>
          <w:p w14:paraId="0601F3D9">
            <w:pPr>
              <w:widowControl/>
              <w:shd w:val="clear" w:color="auto" w:fill="FFFFFF"/>
              <w:snapToGrid w:val="0"/>
              <w:spacing w:line="360" w:lineRule="auto"/>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3</w:t>
            </w:r>
          </w:p>
        </w:tc>
        <w:tc>
          <w:tcPr>
            <w:tcW w:w="1962" w:type="pct"/>
            <w:shd w:val="clear" w:color="auto" w:fill="auto"/>
            <w:vAlign w:val="center"/>
          </w:tcPr>
          <w:p w14:paraId="247B387D">
            <w:pPr>
              <w:spacing w:line="288" w:lineRule="auto"/>
              <w:jc w:val="left"/>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具有履行合同所必需的设备和专业技术能力</w:t>
            </w:r>
            <w:r>
              <w:rPr>
                <w:rFonts w:hint="eastAsia" w:ascii="仿宋" w:hAnsi="仿宋" w:eastAsia="仿宋" w:cs="仿宋"/>
                <w:color w:val="auto"/>
                <w:szCs w:val="21"/>
                <w:highlight w:val="none"/>
                <w:shd w:val="clear" w:color="auto" w:fill="FFFFFF" w:themeFill="background1"/>
                <w:lang w:eastAsia="zh-CN"/>
              </w:rPr>
              <w:t>。</w:t>
            </w:r>
          </w:p>
        </w:tc>
        <w:tc>
          <w:tcPr>
            <w:tcW w:w="2601" w:type="pct"/>
            <w:shd w:val="clear" w:color="auto" w:fill="auto"/>
            <w:vAlign w:val="center"/>
          </w:tcPr>
          <w:p w14:paraId="670BF9AE">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提供《具有履行合同所必需的设备和专业技术能力的承诺函》，加盖投标人章。</w:t>
            </w:r>
          </w:p>
        </w:tc>
      </w:tr>
      <w:tr w14:paraId="28F35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436" w:type="pct"/>
            <w:vAlign w:val="center"/>
          </w:tcPr>
          <w:p w14:paraId="1D85476E">
            <w:pPr>
              <w:widowControl/>
              <w:shd w:val="clear" w:color="auto" w:fill="FFFFFF"/>
              <w:snapToGrid w:val="0"/>
              <w:spacing w:line="360" w:lineRule="auto"/>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4</w:t>
            </w:r>
          </w:p>
        </w:tc>
        <w:tc>
          <w:tcPr>
            <w:tcW w:w="1962" w:type="pct"/>
            <w:shd w:val="clear" w:color="auto" w:fill="auto"/>
            <w:vAlign w:val="center"/>
          </w:tcPr>
          <w:p w14:paraId="3C1EE9EC">
            <w:pPr>
              <w:spacing w:line="288" w:lineRule="auto"/>
              <w:jc w:val="left"/>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有依法缴纳税收和社会保障资金的良好记录</w:t>
            </w:r>
            <w:r>
              <w:rPr>
                <w:rFonts w:hint="eastAsia" w:ascii="仿宋" w:hAnsi="仿宋" w:eastAsia="仿宋" w:cs="仿宋"/>
                <w:color w:val="auto"/>
                <w:szCs w:val="21"/>
                <w:highlight w:val="none"/>
                <w:shd w:val="clear" w:color="auto" w:fill="FFFFFF" w:themeFill="background1"/>
                <w:lang w:eastAsia="zh-CN"/>
              </w:rPr>
              <w:t>。</w:t>
            </w:r>
          </w:p>
        </w:tc>
        <w:tc>
          <w:tcPr>
            <w:tcW w:w="2601" w:type="pct"/>
            <w:shd w:val="clear" w:color="auto" w:fill="auto"/>
            <w:vAlign w:val="center"/>
          </w:tcPr>
          <w:p w14:paraId="1634592C">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1、依法缴纳税收的证明材料：</w:t>
            </w:r>
          </w:p>
          <w:p w14:paraId="3D675702">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投标人参加政府采购活动前一段时间（投标文件递交截止之日前六个月内任一个月）内缴纳税收的完税凭证（指各种完税证、缴款书、印花税票、扣（收）税凭证以及其他完税证明，提供上述任意一种即可）。</w:t>
            </w:r>
          </w:p>
          <w:p w14:paraId="28FCA865">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2、依法缴纳社会保障资金的证明材料：</w:t>
            </w:r>
          </w:p>
          <w:p w14:paraId="2A01CCA2">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投标人参加政府采购活动前一段时间（投标文件递交截止之日前六个月内任一个月）内缴纳社会保险的凭据，其他组织和自然人也需要提供缴纳税收的凭据和缴纳社会保险的凭据。</w:t>
            </w:r>
          </w:p>
          <w:p w14:paraId="3EE8ECE0">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3、依法免税或不需要缴纳社会保障资金的投标人，应提供相应文件证明其依法免税或不需要缴纳社会保障资金。</w:t>
            </w:r>
          </w:p>
        </w:tc>
      </w:tr>
      <w:tr w14:paraId="42F6B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436" w:type="pct"/>
            <w:vAlign w:val="center"/>
          </w:tcPr>
          <w:p w14:paraId="6E9046E6">
            <w:pPr>
              <w:widowControl/>
              <w:shd w:val="clear" w:color="auto" w:fill="FFFFFF"/>
              <w:snapToGrid w:val="0"/>
              <w:spacing w:line="360" w:lineRule="auto"/>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5</w:t>
            </w:r>
          </w:p>
        </w:tc>
        <w:tc>
          <w:tcPr>
            <w:tcW w:w="1962" w:type="pct"/>
            <w:shd w:val="clear" w:color="auto" w:fill="auto"/>
            <w:vAlign w:val="center"/>
          </w:tcPr>
          <w:p w14:paraId="2FAEA4BC">
            <w:pPr>
              <w:spacing w:line="288" w:lineRule="auto"/>
              <w:jc w:val="left"/>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参加政府采购活动前三年内，在经营活动中没有重大违法记录</w:t>
            </w:r>
            <w:r>
              <w:rPr>
                <w:rFonts w:hint="eastAsia" w:ascii="仿宋" w:hAnsi="仿宋" w:eastAsia="仿宋" w:cs="仿宋"/>
                <w:color w:val="auto"/>
                <w:szCs w:val="21"/>
                <w:highlight w:val="none"/>
                <w:shd w:val="clear" w:color="auto" w:fill="FFFFFF" w:themeFill="background1"/>
                <w:lang w:eastAsia="zh-CN"/>
              </w:rPr>
              <w:t>。</w:t>
            </w:r>
          </w:p>
        </w:tc>
        <w:tc>
          <w:tcPr>
            <w:tcW w:w="2601" w:type="pct"/>
            <w:shd w:val="clear" w:color="auto" w:fill="auto"/>
            <w:vAlign w:val="center"/>
          </w:tcPr>
          <w:p w14:paraId="2E1DDE10">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kern w:val="0"/>
                <w:szCs w:val="24"/>
                <w:highlight w:val="none"/>
                <w:lang w:val="en-US" w:eastAsia="zh-CN"/>
              </w:rPr>
              <w:t>提供《参加政府采购活动前3年内在经营活动中没有重大违法记录的书面声明》，加盖投标人章。</w:t>
            </w:r>
          </w:p>
        </w:tc>
      </w:tr>
      <w:tr w14:paraId="46E6C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436" w:type="pct"/>
            <w:vAlign w:val="center"/>
          </w:tcPr>
          <w:p w14:paraId="054DEF25">
            <w:pPr>
              <w:widowControl/>
              <w:shd w:val="clear" w:color="auto" w:fill="FFFFFF"/>
              <w:snapToGrid w:val="0"/>
              <w:spacing w:line="360" w:lineRule="auto"/>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6</w:t>
            </w:r>
          </w:p>
        </w:tc>
        <w:tc>
          <w:tcPr>
            <w:tcW w:w="1962" w:type="pct"/>
            <w:shd w:val="clear" w:color="auto" w:fill="auto"/>
            <w:vAlign w:val="center"/>
          </w:tcPr>
          <w:p w14:paraId="3C302998">
            <w:pPr>
              <w:spacing w:line="288"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lang w:eastAsia="zh-CN"/>
              </w:rPr>
              <w:t>投标人为小微企业</w:t>
            </w:r>
            <w:r>
              <w:rPr>
                <w:rFonts w:hint="eastAsia" w:ascii="仿宋" w:hAnsi="仿宋" w:eastAsia="仿宋" w:cs="仿宋"/>
                <w:color w:val="auto"/>
                <w:kern w:val="0"/>
                <w:szCs w:val="21"/>
                <w:highlight w:val="none"/>
                <w:shd w:val="clear" w:color="auto" w:fill="FFFFFF" w:themeFill="background1"/>
              </w:rPr>
              <w:t>。</w:t>
            </w:r>
          </w:p>
        </w:tc>
        <w:tc>
          <w:tcPr>
            <w:tcW w:w="2601" w:type="pct"/>
            <w:shd w:val="clear" w:color="auto" w:fill="auto"/>
            <w:vAlign w:val="center"/>
          </w:tcPr>
          <w:p w14:paraId="76456561">
            <w:pPr>
              <w:keepNext w:val="0"/>
              <w:keepLines w:val="0"/>
              <w:pageBreakBefore w:val="0"/>
              <w:widowControl w:val="0"/>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 w:val="21"/>
                <w:szCs w:val="24"/>
                <w:highlight w:val="none"/>
                <w:lang w:val="en-US" w:eastAsia="zh-CN" w:bidi="ar-SA"/>
              </w:rPr>
              <w:t>按招标文件要求提供声明函，</w:t>
            </w:r>
            <w:r>
              <w:rPr>
                <w:rFonts w:hint="eastAsia" w:ascii="仿宋" w:hAnsi="仿宋" w:eastAsia="仿宋" w:cs="仿宋"/>
                <w:color w:val="auto"/>
                <w:kern w:val="0"/>
                <w:szCs w:val="21"/>
                <w:highlight w:val="none"/>
              </w:rPr>
              <w:t>加盖</w:t>
            </w:r>
            <w:r>
              <w:rPr>
                <w:rFonts w:hint="eastAsia" w:ascii="仿宋" w:hAnsi="仿宋" w:eastAsia="仿宋" w:cs="仿宋"/>
                <w:color w:val="auto"/>
                <w:kern w:val="0"/>
                <w:szCs w:val="21"/>
                <w:highlight w:val="none"/>
                <w:lang w:val="en-US" w:eastAsia="zh-CN"/>
              </w:rPr>
              <w:t>投标人</w:t>
            </w:r>
            <w:r>
              <w:rPr>
                <w:rFonts w:hint="eastAsia" w:ascii="仿宋" w:hAnsi="仿宋" w:eastAsia="仿宋" w:cs="仿宋"/>
                <w:color w:val="auto"/>
                <w:kern w:val="0"/>
                <w:szCs w:val="21"/>
                <w:highlight w:val="none"/>
                <w:lang w:eastAsia="zh-CN"/>
              </w:rPr>
              <w:t>章</w:t>
            </w:r>
            <w:r>
              <w:rPr>
                <w:rFonts w:hint="eastAsia" w:ascii="仿宋" w:hAnsi="仿宋" w:eastAsia="仿宋" w:cs="仿宋"/>
                <w:color w:val="auto"/>
                <w:kern w:val="0"/>
                <w:sz w:val="21"/>
                <w:szCs w:val="24"/>
                <w:highlight w:val="none"/>
                <w:lang w:val="en-US" w:eastAsia="zh-CN" w:bidi="ar-SA"/>
              </w:rPr>
              <w:t>。</w:t>
            </w:r>
          </w:p>
        </w:tc>
      </w:tr>
      <w:tr w14:paraId="1C6A5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4" w:hRule="atLeast"/>
          <w:jc w:val="center"/>
        </w:trPr>
        <w:tc>
          <w:tcPr>
            <w:tcW w:w="436" w:type="pct"/>
            <w:vAlign w:val="center"/>
          </w:tcPr>
          <w:p w14:paraId="68A8426A">
            <w:pPr>
              <w:widowControl/>
              <w:shd w:val="clear" w:color="auto" w:fill="FFFFFF"/>
              <w:snapToGrid w:val="0"/>
              <w:spacing w:line="360" w:lineRule="auto"/>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7</w:t>
            </w:r>
          </w:p>
        </w:tc>
        <w:tc>
          <w:tcPr>
            <w:tcW w:w="1962" w:type="pct"/>
            <w:shd w:val="clear" w:color="auto" w:fill="auto"/>
            <w:vAlign w:val="center"/>
          </w:tcPr>
          <w:p w14:paraId="79C70C03">
            <w:pPr>
              <w:spacing w:line="360" w:lineRule="auto"/>
              <w:jc w:val="left"/>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投标人如在“信用中国”网站（www.creditchina.gov.cn）、中国政府采购网（www.ccgp.gov.cn）等渠道被列入失信被执行人、重大税收违法失信主体、政府采购严重违法失信行为记录名单，尚在处罚期内的将被拒绝参加本次采购活动。</w:t>
            </w:r>
          </w:p>
        </w:tc>
        <w:tc>
          <w:tcPr>
            <w:tcW w:w="2601" w:type="pct"/>
            <w:shd w:val="clear" w:color="auto" w:fill="auto"/>
            <w:vAlign w:val="center"/>
          </w:tcPr>
          <w:p w14:paraId="02031CD9">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以采购人或者采购代理机构查询记录为准。</w:t>
            </w:r>
          </w:p>
        </w:tc>
      </w:tr>
      <w:tr w14:paraId="10EF0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5000" w:type="pct"/>
            <w:gridSpan w:val="3"/>
            <w:vAlign w:val="center"/>
          </w:tcPr>
          <w:p w14:paraId="6C807894">
            <w:pPr>
              <w:widowControl/>
              <w:shd w:val="clear" w:color="auto" w:fill="FFFFFF"/>
              <w:snapToGrid w:val="0"/>
              <w:spacing w:line="360" w:lineRule="auto"/>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备注： 如果资格评审中有一项不满足审查标准的，采购人将认定该投标人不通过资格审查，投标文件将被拒绝评审。并且不允许投标人通过修改或撤销其不符合要求的差异或保留，使之成为具有响应性的投标。</w:t>
            </w:r>
          </w:p>
        </w:tc>
      </w:tr>
    </w:tbl>
    <w:p w14:paraId="25F32195">
      <w:pPr>
        <w:widowControl/>
        <w:shd w:val="clear" w:color="auto" w:fill="FFFFFF"/>
        <w:snapToGrid w:val="0"/>
        <w:spacing w:line="276" w:lineRule="auto"/>
        <w:jc w:val="center"/>
        <w:rPr>
          <w:rFonts w:hint="eastAsia" w:ascii="仿宋" w:hAnsi="仿宋" w:eastAsia="仿宋" w:cs="仿宋"/>
          <w:b/>
          <w:color w:val="auto"/>
          <w:kern w:val="0"/>
          <w:sz w:val="24"/>
          <w:szCs w:val="24"/>
          <w:highlight w:val="none"/>
        </w:rPr>
      </w:pPr>
    </w:p>
    <w:p w14:paraId="2967AA62">
      <w:pPr>
        <w:widowControl/>
        <w:shd w:val="clear" w:color="auto" w:fill="FFFFFF"/>
        <w:snapToGrid w:val="0"/>
        <w:spacing w:line="276"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w:t>
      </w:r>
      <w:r>
        <w:rPr>
          <w:rFonts w:hint="eastAsia" w:ascii="仿宋" w:hAnsi="仿宋" w:eastAsia="仿宋" w:cs="仿宋"/>
          <w:b/>
          <w:color w:val="auto"/>
          <w:kern w:val="0"/>
          <w:sz w:val="24"/>
          <w:szCs w:val="24"/>
          <w:highlight w:val="none"/>
          <w:lang w:eastAsia="zh-CN"/>
        </w:rPr>
        <w:t>符合性审查标准</w:t>
      </w:r>
      <w:r>
        <w:rPr>
          <w:rFonts w:hint="eastAsia" w:ascii="仿宋" w:hAnsi="仿宋" w:eastAsia="仿宋" w:cs="仿宋"/>
          <w:b/>
          <w:color w:val="auto"/>
          <w:kern w:val="0"/>
          <w:sz w:val="24"/>
          <w:szCs w:val="24"/>
          <w:highlight w:val="none"/>
        </w:rPr>
        <w:t>》</w:t>
      </w:r>
      <w:bookmarkEnd w:id="52"/>
    </w:p>
    <w:tbl>
      <w:tblPr>
        <w:tblStyle w:val="39"/>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2"/>
        <w:gridCol w:w="4834"/>
        <w:gridCol w:w="3745"/>
      </w:tblGrid>
      <w:tr w14:paraId="4F90C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722" w:type="dxa"/>
            <w:vAlign w:val="center"/>
          </w:tcPr>
          <w:p w14:paraId="33CD07A7">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序号</w:t>
            </w:r>
          </w:p>
        </w:tc>
        <w:tc>
          <w:tcPr>
            <w:tcW w:w="4834" w:type="dxa"/>
            <w:vAlign w:val="center"/>
          </w:tcPr>
          <w:p w14:paraId="6B984298">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审查要求</w:t>
            </w:r>
          </w:p>
        </w:tc>
        <w:tc>
          <w:tcPr>
            <w:tcW w:w="3745" w:type="dxa"/>
            <w:vAlign w:val="center"/>
          </w:tcPr>
          <w:p w14:paraId="035A93B0">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要求说明</w:t>
            </w:r>
          </w:p>
        </w:tc>
      </w:tr>
      <w:tr w14:paraId="2B448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722" w:type="dxa"/>
            <w:vAlign w:val="center"/>
          </w:tcPr>
          <w:p w14:paraId="2B132F33">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w:t>
            </w:r>
          </w:p>
        </w:tc>
        <w:tc>
          <w:tcPr>
            <w:tcW w:w="4834" w:type="dxa"/>
            <w:vAlign w:val="center"/>
          </w:tcPr>
          <w:p w14:paraId="293DE452">
            <w:pPr>
              <w:widowControl/>
              <w:shd w:val="clear" w:color="auto" w:fill="FFFFFF"/>
              <w:snapToGrid w:val="0"/>
              <w:spacing w:line="360" w:lineRule="auto"/>
              <w:jc w:val="both"/>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投标文件必须按招标文件要求加盖</w:t>
            </w:r>
            <w:r>
              <w:rPr>
                <w:rFonts w:hint="eastAsia" w:ascii="仿宋" w:hAnsi="仿宋" w:eastAsia="仿宋" w:cs="仿宋"/>
                <w:color w:val="auto"/>
                <w:kern w:val="0"/>
                <w:szCs w:val="24"/>
                <w:highlight w:val="none"/>
                <w:lang w:eastAsia="zh-CN"/>
              </w:rPr>
              <w:t>投标人章</w:t>
            </w:r>
            <w:r>
              <w:rPr>
                <w:rFonts w:hint="eastAsia" w:ascii="仿宋" w:hAnsi="仿宋" w:eastAsia="仿宋" w:cs="仿宋"/>
                <w:color w:val="auto"/>
                <w:kern w:val="0"/>
                <w:szCs w:val="24"/>
                <w:highlight w:val="none"/>
              </w:rPr>
              <w:t>、</w:t>
            </w:r>
            <w:r>
              <w:rPr>
                <w:rFonts w:hint="eastAsia" w:ascii="仿宋" w:hAnsi="仿宋" w:eastAsia="仿宋" w:cs="仿宋"/>
                <w:color w:val="auto"/>
                <w:kern w:val="0"/>
                <w:szCs w:val="24"/>
                <w:highlight w:val="none"/>
                <w:lang w:eastAsia="zh-CN"/>
              </w:rPr>
              <w:t>法定代表人章（或签字）</w:t>
            </w:r>
            <w:r>
              <w:rPr>
                <w:rFonts w:hint="eastAsia" w:ascii="仿宋" w:hAnsi="仿宋" w:eastAsia="仿宋" w:cs="仿宋"/>
                <w:color w:val="auto"/>
                <w:kern w:val="0"/>
                <w:szCs w:val="24"/>
                <w:highlight w:val="none"/>
              </w:rPr>
              <w:t>。</w:t>
            </w:r>
          </w:p>
        </w:tc>
        <w:tc>
          <w:tcPr>
            <w:tcW w:w="3745" w:type="dxa"/>
            <w:vAlign w:val="center"/>
          </w:tcPr>
          <w:p w14:paraId="2B12F696">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0F2E4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722" w:type="dxa"/>
            <w:vAlign w:val="center"/>
          </w:tcPr>
          <w:p w14:paraId="6AE4600A">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w:t>
            </w:r>
          </w:p>
        </w:tc>
        <w:tc>
          <w:tcPr>
            <w:tcW w:w="4834" w:type="dxa"/>
            <w:vAlign w:val="center"/>
          </w:tcPr>
          <w:p w14:paraId="54F5B407">
            <w:pPr>
              <w:widowControl/>
              <w:shd w:val="clear" w:color="auto" w:fill="FFFFFF"/>
              <w:snapToGrid w:val="0"/>
              <w:spacing w:line="360" w:lineRule="auto"/>
              <w:jc w:val="both"/>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rPr>
              <w:t>投标价格不得超过投标人须知前附表中的</w:t>
            </w:r>
            <w:r>
              <w:rPr>
                <w:rFonts w:hint="eastAsia" w:ascii="仿宋" w:hAnsi="仿宋" w:eastAsia="仿宋" w:cs="仿宋"/>
                <w:color w:val="auto"/>
                <w:kern w:val="0"/>
                <w:szCs w:val="24"/>
                <w:highlight w:val="none"/>
                <w:lang w:val="en-US" w:eastAsia="zh-CN"/>
              </w:rPr>
              <w:t>最高限价。</w:t>
            </w:r>
          </w:p>
        </w:tc>
        <w:tc>
          <w:tcPr>
            <w:tcW w:w="3745" w:type="dxa"/>
            <w:vAlign w:val="center"/>
          </w:tcPr>
          <w:p w14:paraId="18C64067">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41D9C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722" w:type="dxa"/>
            <w:shd w:val="clear" w:color="auto" w:fill="auto"/>
            <w:vAlign w:val="center"/>
          </w:tcPr>
          <w:p w14:paraId="6AEB7216">
            <w:pPr>
              <w:widowControl/>
              <w:shd w:val="clear" w:color="auto" w:fill="FFFFFF"/>
              <w:snapToGrid w:val="0"/>
              <w:spacing w:line="360" w:lineRule="auto"/>
              <w:jc w:val="center"/>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3</w:t>
            </w:r>
          </w:p>
        </w:tc>
        <w:tc>
          <w:tcPr>
            <w:tcW w:w="4834" w:type="dxa"/>
            <w:vAlign w:val="center"/>
          </w:tcPr>
          <w:p w14:paraId="3BA60265">
            <w:pPr>
              <w:widowControl/>
              <w:shd w:val="clear" w:color="auto" w:fill="FFFFFF"/>
              <w:snapToGrid w:val="0"/>
              <w:spacing w:line="360" w:lineRule="auto"/>
              <w:jc w:val="both"/>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投标价格明细表必须完整填写。</w:t>
            </w:r>
          </w:p>
        </w:tc>
        <w:tc>
          <w:tcPr>
            <w:tcW w:w="3745" w:type="dxa"/>
            <w:vAlign w:val="center"/>
          </w:tcPr>
          <w:p w14:paraId="307FB870">
            <w:pPr>
              <w:widowControl/>
              <w:shd w:val="clear" w:color="auto" w:fill="FFFFFF"/>
              <w:snapToGrid w:val="0"/>
              <w:spacing w:line="360" w:lineRule="auto"/>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w:t>
            </w:r>
          </w:p>
        </w:tc>
      </w:tr>
      <w:tr w14:paraId="08B25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722" w:type="dxa"/>
            <w:shd w:val="clear" w:color="auto" w:fill="auto"/>
            <w:vAlign w:val="center"/>
          </w:tcPr>
          <w:p w14:paraId="1F59E4FB">
            <w:pPr>
              <w:widowControl/>
              <w:shd w:val="clear" w:color="auto" w:fill="FFFFFF"/>
              <w:snapToGrid w:val="0"/>
              <w:spacing w:line="360" w:lineRule="auto"/>
              <w:jc w:val="center"/>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4</w:t>
            </w:r>
          </w:p>
        </w:tc>
        <w:tc>
          <w:tcPr>
            <w:tcW w:w="4834" w:type="dxa"/>
            <w:vAlign w:val="center"/>
          </w:tcPr>
          <w:p w14:paraId="1E7AF76B">
            <w:pPr>
              <w:widowControl/>
              <w:shd w:val="clear" w:color="auto" w:fill="FFFFFF"/>
              <w:snapToGrid w:val="0"/>
              <w:spacing w:line="360" w:lineRule="auto"/>
              <w:jc w:val="both"/>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lang w:eastAsia="zh-CN"/>
              </w:rPr>
              <w:t>合同履约期限</w:t>
            </w:r>
            <w:r>
              <w:rPr>
                <w:rFonts w:hint="eastAsia" w:ascii="仿宋" w:hAnsi="仿宋" w:eastAsia="仿宋" w:cs="仿宋"/>
                <w:color w:val="auto"/>
                <w:kern w:val="0"/>
                <w:szCs w:val="24"/>
                <w:highlight w:val="none"/>
              </w:rPr>
              <w:t>必须满足招标文件要求。</w:t>
            </w:r>
          </w:p>
        </w:tc>
        <w:tc>
          <w:tcPr>
            <w:tcW w:w="3745" w:type="dxa"/>
            <w:vAlign w:val="center"/>
          </w:tcPr>
          <w:p w14:paraId="7E90F99B">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0AD19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722" w:type="dxa"/>
            <w:shd w:val="clear" w:color="auto" w:fill="auto"/>
            <w:tcMar>
              <w:top w:w="0" w:type="dxa"/>
              <w:left w:w="28" w:type="dxa"/>
              <w:bottom w:w="0" w:type="dxa"/>
              <w:right w:w="28" w:type="dxa"/>
            </w:tcMar>
            <w:vAlign w:val="center"/>
          </w:tcPr>
          <w:p w14:paraId="08DC2897">
            <w:pPr>
              <w:widowControl/>
              <w:shd w:val="clear" w:color="auto" w:fill="FFFFFF"/>
              <w:snapToGrid w:val="0"/>
              <w:spacing w:line="360" w:lineRule="auto"/>
              <w:jc w:val="center"/>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5</w:t>
            </w:r>
          </w:p>
        </w:tc>
        <w:tc>
          <w:tcPr>
            <w:tcW w:w="4834" w:type="dxa"/>
            <w:vAlign w:val="center"/>
          </w:tcPr>
          <w:p w14:paraId="43FAE19B">
            <w:pPr>
              <w:widowControl/>
              <w:shd w:val="clear" w:color="auto" w:fill="FFFFFF"/>
              <w:snapToGrid w:val="0"/>
              <w:spacing w:line="360" w:lineRule="auto"/>
              <w:jc w:val="both"/>
              <w:rPr>
                <w:rFonts w:hint="eastAsia" w:ascii="仿宋" w:hAnsi="仿宋" w:eastAsia="仿宋" w:cs="仿宋"/>
                <w:color w:val="auto"/>
                <w:highlight w:val="none"/>
                <w:lang w:val="en-US" w:eastAsia="zh-CN"/>
              </w:rPr>
            </w:pPr>
            <w:r>
              <w:rPr>
                <w:rFonts w:hint="eastAsia" w:ascii="仿宋" w:hAnsi="仿宋" w:eastAsia="仿宋" w:cs="仿宋"/>
                <w:color w:val="auto"/>
                <w:kern w:val="0"/>
                <w:szCs w:val="24"/>
                <w:highlight w:val="none"/>
                <w:lang w:val="en-US" w:eastAsia="zh-CN"/>
              </w:rPr>
              <w:t>项目负责人简历表必须提供。</w:t>
            </w:r>
          </w:p>
        </w:tc>
        <w:tc>
          <w:tcPr>
            <w:tcW w:w="3745" w:type="dxa"/>
            <w:tcMar>
              <w:top w:w="0" w:type="dxa"/>
              <w:left w:w="28" w:type="dxa"/>
              <w:bottom w:w="0" w:type="dxa"/>
              <w:right w:w="28" w:type="dxa"/>
            </w:tcMar>
            <w:vAlign w:val="center"/>
          </w:tcPr>
          <w:p w14:paraId="2B1C2FD5">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686B6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722" w:type="dxa"/>
            <w:shd w:val="clear" w:color="auto" w:fill="auto"/>
            <w:tcMar>
              <w:top w:w="0" w:type="dxa"/>
              <w:left w:w="28" w:type="dxa"/>
              <w:bottom w:w="0" w:type="dxa"/>
              <w:right w:w="28" w:type="dxa"/>
            </w:tcMar>
            <w:vAlign w:val="center"/>
          </w:tcPr>
          <w:p w14:paraId="2E37272A">
            <w:pPr>
              <w:widowControl/>
              <w:shd w:val="clear" w:color="auto" w:fill="FFFFFF"/>
              <w:snapToGrid w:val="0"/>
              <w:spacing w:line="360" w:lineRule="auto"/>
              <w:jc w:val="center"/>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lang w:val="en-US" w:eastAsia="zh-CN"/>
              </w:rPr>
              <w:t>6</w:t>
            </w:r>
          </w:p>
        </w:tc>
        <w:tc>
          <w:tcPr>
            <w:tcW w:w="4834" w:type="dxa"/>
            <w:vAlign w:val="center"/>
          </w:tcPr>
          <w:p w14:paraId="71509BE4">
            <w:pPr>
              <w:widowControl/>
              <w:shd w:val="clear" w:color="auto" w:fill="FFFFFF"/>
              <w:snapToGrid w:val="0"/>
              <w:spacing w:line="360" w:lineRule="auto"/>
              <w:jc w:val="both"/>
              <w:rPr>
                <w:rFonts w:hint="eastAsia" w:ascii="仿宋" w:hAnsi="仿宋" w:eastAsia="仿宋" w:cs="仿宋"/>
                <w:color w:val="auto"/>
                <w:kern w:val="0"/>
                <w:szCs w:val="24"/>
                <w:highlight w:val="none"/>
              </w:rPr>
            </w:pPr>
            <w:r>
              <w:rPr>
                <w:rFonts w:hint="eastAsia" w:ascii="仿宋" w:hAnsi="仿宋" w:eastAsia="仿宋" w:cs="仿宋"/>
                <w:color w:val="auto"/>
                <w:highlight w:val="none"/>
                <w:lang w:val="en-US" w:eastAsia="zh-CN"/>
              </w:rPr>
              <w:t>拟派主要服务人员情况表</w:t>
            </w:r>
            <w:r>
              <w:rPr>
                <w:rFonts w:hint="eastAsia" w:ascii="仿宋" w:hAnsi="仿宋" w:eastAsia="仿宋" w:cs="仿宋"/>
                <w:color w:val="auto"/>
                <w:kern w:val="0"/>
                <w:szCs w:val="24"/>
                <w:highlight w:val="none"/>
                <w:lang w:val="en-US" w:eastAsia="zh-CN"/>
              </w:rPr>
              <w:t>必须提供。</w:t>
            </w:r>
          </w:p>
        </w:tc>
        <w:tc>
          <w:tcPr>
            <w:tcW w:w="3745" w:type="dxa"/>
            <w:tcMar>
              <w:top w:w="0" w:type="dxa"/>
              <w:left w:w="28" w:type="dxa"/>
              <w:bottom w:w="0" w:type="dxa"/>
              <w:right w:w="28" w:type="dxa"/>
            </w:tcMar>
            <w:vAlign w:val="center"/>
          </w:tcPr>
          <w:p w14:paraId="2922F686">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00276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4" w:hRule="atLeast"/>
          <w:jc w:val="center"/>
        </w:trPr>
        <w:tc>
          <w:tcPr>
            <w:tcW w:w="722" w:type="dxa"/>
            <w:shd w:val="clear" w:color="auto" w:fill="auto"/>
            <w:tcMar>
              <w:top w:w="0" w:type="dxa"/>
              <w:left w:w="28" w:type="dxa"/>
              <w:bottom w:w="0" w:type="dxa"/>
              <w:right w:w="28" w:type="dxa"/>
            </w:tcMar>
            <w:vAlign w:val="center"/>
          </w:tcPr>
          <w:p w14:paraId="1D76F82D">
            <w:pPr>
              <w:widowControl/>
              <w:shd w:val="clear" w:color="auto" w:fill="FFFFFF"/>
              <w:snapToGrid w:val="0"/>
              <w:spacing w:line="360" w:lineRule="auto"/>
              <w:jc w:val="center"/>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lang w:val="en-US" w:eastAsia="zh-CN"/>
              </w:rPr>
              <w:t>7</w:t>
            </w:r>
          </w:p>
        </w:tc>
        <w:tc>
          <w:tcPr>
            <w:tcW w:w="4834" w:type="dxa"/>
            <w:shd w:val="clear" w:color="auto" w:fill="auto"/>
            <w:vAlign w:val="center"/>
          </w:tcPr>
          <w:p w14:paraId="0C2BB191">
            <w:pPr>
              <w:spacing w:line="360" w:lineRule="auto"/>
              <w:jc w:val="both"/>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投标保证金必须按照招标文件要求缴纳。</w:t>
            </w:r>
          </w:p>
        </w:tc>
        <w:tc>
          <w:tcPr>
            <w:tcW w:w="3745" w:type="dxa"/>
            <w:shd w:val="clear" w:color="auto" w:fill="auto"/>
            <w:tcMar>
              <w:top w:w="0" w:type="dxa"/>
              <w:left w:w="28" w:type="dxa"/>
              <w:bottom w:w="0" w:type="dxa"/>
              <w:right w:w="28" w:type="dxa"/>
            </w:tcMar>
            <w:vAlign w:val="center"/>
          </w:tcPr>
          <w:p w14:paraId="214A2E4A">
            <w:pPr>
              <w:spacing w:line="360" w:lineRule="auto"/>
              <w:jc w:val="left"/>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保证金缴纳证明材料：汇款凭证或支票或汇票或保函或保证金收据等的扫描件。</w:t>
            </w:r>
            <w:r>
              <w:rPr>
                <w:rFonts w:hint="eastAsia" w:ascii="仿宋" w:hAnsi="仿宋" w:eastAsia="仿宋" w:cs="仿宋"/>
                <w:color w:val="auto"/>
                <w:kern w:val="0"/>
                <w:szCs w:val="24"/>
                <w:highlight w:val="none"/>
                <w:lang w:val="en-US" w:eastAsia="zh-CN"/>
              </w:rPr>
              <w:t>注：采用电汇方式缴纳的，若投标人未提供上述证明材料，但采购代理机构已查实足额缴纳的，视为已按规定缴纳保证金。</w:t>
            </w:r>
          </w:p>
        </w:tc>
      </w:tr>
      <w:tr w14:paraId="430B8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722" w:type="dxa"/>
            <w:shd w:val="clear" w:color="auto" w:fill="auto"/>
            <w:tcMar>
              <w:top w:w="0" w:type="dxa"/>
              <w:left w:w="28" w:type="dxa"/>
              <w:bottom w:w="0" w:type="dxa"/>
              <w:right w:w="28" w:type="dxa"/>
            </w:tcMar>
            <w:vAlign w:val="center"/>
          </w:tcPr>
          <w:p w14:paraId="51009F06">
            <w:pPr>
              <w:widowControl/>
              <w:shd w:val="clear" w:color="auto" w:fill="FFFFFF"/>
              <w:snapToGrid w:val="0"/>
              <w:spacing w:line="360" w:lineRule="auto"/>
              <w:jc w:val="center"/>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 w:val="21"/>
                <w:szCs w:val="24"/>
                <w:highlight w:val="none"/>
                <w:lang w:val="en-US" w:eastAsia="zh-CN" w:bidi="ar-SA"/>
              </w:rPr>
              <w:t>8</w:t>
            </w:r>
          </w:p>
        </w:tc>
        <w:tc>
          <w:tcPr>
            <w:tcW w:w="4834" w:type="dxa"/>
            <w:shd w:val="clear" w:color="auto" w:fill="auto"/>
            <w:vAlign w:val="center"/>
          </w:tcPr>
          <w:p w14:paraId="39C2D18E">
            <w:pPr>
              <w:widowControl/>
              <w:shd w:val="clear" w:color="auto" w:fill="FFFFFF"/>
              <w:snapToGrid w:val="0"/>
              <w:spacing w:line="360" w:lineRule="auto"/>
              <w:jc w:val="both"/>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投标文件符合招标文件全部实质性要求。</w:t>
            </w:r>
          </w:p>
        </w:tc>
        <w:tc>
          <w:tcPr>
            <w:tcW w:w="3745" w:type="dxa"/>
            <w:shd w:val="clear" w:color="auto" w:fill="auto"/>
            <w:tcMar>
              <w:top w:w="0" w:type="dxa"/>
              <w:left w:w="28" w:type="dxa"/>
              <w:bottom w:w="0" w:type="dxa"/>
              <w:right w:w="28" w:type="dxa"/>
            </w:tcMar>
            <w:vAlign w:val="center"/>
          </w:tcPr>
          <w:p w14:paraId="0571D9FC">
            <w:pPr>
              <w:widowControl/>
              <w:shd w:val="clear" w:color="auto" w:fill="FFFFFF"/>
              <w:snapToGrid w:val="0"/>
              <w:spacing w:line="360" w:lineRule="auto"/>
              <w:jc w:val="center"/>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w:t>
            </w:r>
          </w:p>
        </w:tc>
      </w:tr>
      <w:tr w14:paraId="0A88E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9301" w:type="dxa"/>
            <w:gridSpan w:val="3"/>
            <w:vAlign w:val="center"/>
          </w:tcPr>
          <w:p w14:paraId="6A1BDEB5">
            <w:pPr>
              <w:widowControl/>
              <w:shd w:val="clear" w:color="auto" w:fill="FFFFFF"/>
              <w:snapToGrid w:val="0"/>
              <w:spacing w:line="360" w:lineRule="auto"/>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备注：完备性及符合性审查中有一项不满足评审标准的，评标委员会将认定该投标人不通过完备性及符合性审查，不得进入下一阶段评审。并且不允许投标人通过修改或撤销其不符合要求的差异或保留，使之成为具有响应性的投标。</w:t>
            </w:r>
          </w:p>
        </w:tc>
      </w:tr>
    </w:tbl>
    <w:p w14:paraId="451E2604">
      <w:pPr>
        <w:rPr>
          <w:rFonts w:hint="eastAsia" w:ascii="仿宋" w:hAnsi="仿宋" w:eastAsia="仿宋" w:cs="仿宋"/>
          <w:b/>
          <w:color w:val="auto"/>
          <w:szCs w:val="24"/>
          <w:highlight w:val="none"/>
        </w:rPr>
      </w:pPr>
    </w:p>
    <w:p w14:paraId="38154504">
      <w:pPr>
        <w:rPr>
          <w:rFonts w:hint="eastAsia" w:ascii="仿宋" w:hAnsi="仿宋" w:eastAsia="仿宋" w:cs="仿宋"/>
          <w:b/>
          <w:color w:val="auto"/>
          <w:szCs w:val="24"/>
          <w:highlight w:val="none"/>
        </w:rPr>
      </w:pPr>
    </w:p>
    <w:p w14:paraId="11884CE2">
      <w:pPr>
        <w:rPr>
          <w:rFonts w:hint="eastAsia" w:ascii="仿宋" w:hAnsi="仿宋" w:eastAsia="仿宋" w:cs="仿宋"/>
          <w:b/>
          <w:color w:val="auto"/>
          <w:szCs w:val="24"/>
          <w:highlight w:val="none"/>
        </w:rPr>
      </w:pPr>
    </w:p>
    <w:p w14:paraId="36F170E1">
      <w:pPr>
        <w:rPr>
          <w:rFonts w:hint="eastAsia" w:ascii="仿宋" w:hAnsi="仿宋" w:eastAsia="仿宋" w:cs="仿宋"/>
          <w:b/>
          <w:color w:val="auto"/>
          <w:szCs w:val="24"/>
          <w:highlight w:val="none"/>
        </w:rPr>
      </w:pPr>
    </w:p>
    <w:p w14:paraId="1EE21171">
      <w:pPr>
        <w:jc w:val="center"/>
        <w:rPr>
          <w:rFonts w:hint="eastAsia" w:ascii="仿宋" w:hAnsi="仿宋" w:eastAsia="仿宋" w:cs="仿宋"/>
          <w:color w:val="auto"/>
          <w:highlight w:val="none"/>
        </w:rPr>
      </w:pPr>
      <w:r>
        <w:rPr>
          <w:rFonts w:hint="eastAsia" w:ascii="仿宋" w:hAnsi="仿宋" w:eastAsia="仿宋" w:cs="仿宋"/>
          <w:b/>
          <w:color w:val="auto"/>
          <w:szCs w:val="24"/>
          <w:highlight w:val="none"/>
        </w:rPr>
        <w:t>《详细评审标准》</w:t>
      </w:r>
    </w:p>
    <w:tbl>
      <w:tblPr>
        <w:tblStyle w:val="39"/>
        <w:tblW w:w="9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00"/>
        <w:gridCol w:w="1093"/>
        <w:gridCol w:w="6354"/>
      </w:tblGrid>
      <w:tr w14:paraId="6275F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65" w:type="dxa"/>
            <w:noWrap w:val="0"/>
            <w:vAlign w:val="center"/>
          </w:tcPr>
          <w:p w14:paraId="307441C9">
            <w:pPr>
              <w:pStyle w:val="56"/>
              <w:keepLines w:val="0"/>
              <w:pageBreakBefore w:val="0"/>
              <w:wordWrap/>
              <w:overflowPunct/>
              <w:topLinePunct w:val="0"/>
              <w:bidi w:val="0"/>
              <w:spacing w:line="360" w:lineRule="auto"/>
              <w:jc w:val="center"/>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序号</w:t>
            </w:r>
          </w:p>
        </w:tc>
        <w:tc>
          <w:tcPr>
            <w:tcW w:w="1200" w:type="dxa"/>
            <w:noWrap w:val="0"/>
            <w:vAlign w:val="center"/>
          </w:tcPr>
          <w:p w14:paraId="19994E73">
            <w:pPr>
              <w:pStyle w:val="56"/>
              <w:keepLines w:val="0"/>
              <w:pageBreakBefore w:val="0"/>
              <w:wordWrap/>
              <w:overflowPunct/>
              <w:topLinePunct w:val="0"/>
              <w:bidi w:val="0"/>
              <w:spacing w:line="360" w:lineRule="auto"/>
              <w:jc w:val="center"/>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评标项目</w:t>
            </w:r>
          </w:p>
        </w:tc>
        <w:tc>
          <w:tcPr>
            <w:tcW w:w="1093" w:type="dxa"/>
            <w:noWrap w:val="0"/>
            <w:vAlign w:val="center"/>
          </w:tcPr>
          <w:p w14:paraId="047C8D60">
            <w:pPr>
              <w:pStyle w:val="56"/>
              <w:keepLines w:val="0"/>
              <w:pageBreakBefore w:val="0"/>
              <w:wordWrap/>
              <w:overflowPunct/>
              <w:topLinePunct w:val="0"/>
              <w:bidi w:val="0"/>
              <w:spacing w:line="360" w:lineRule="auto"/>
              <w:jc w:val="center"/>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评标分值</w:t>
            </w:r>
          </w:p>
        </w:tc>
        <w:tc>
          <w:tcPr>
            <w:tcW w:w="6354" w:type="dxa"/>
            <w:noWrap w:val="0"/>
            <w:vAlign w:val="center"/>
          </w:tcPr>
          <w:p w14:paraId="727BCD0A">
            <w:pPr>
              <w:pStyle w:val="56"/>
              <w:keepLines w:val="0"/>
              <w:pageBreakBefore w:val="0"/>
              <w:wordWrap/>
              <w:overflowPunct/>
              <w:topLinePunct w:val="0"/>
              <w:bidi w:val="0"/>
              <w:spacing w:line="360" w:lineRule="auto"/>
              <w:jc w:val="center"/>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评标方法描述</w:t>
            </w:r>
          </w:p>
        </w:tc>
      </w:tr>
      <w:tr w14:paraId="60E48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65" w:type="dxa"/>
            <w:shd w:val="clear" w:color="auto" w:fill="auto"/>
            <w:noWrap w:val="0"/>
            <w:vAlign w:val="center"/>
          </w:tcPr>
          <w:p w14:paraId="4486EB2E">
            <w:pPr>
              <w:pStyle w:val="56"/>
              <w:keepLines w:val="0"/>
              <w:pageBreakBefore w:val="0"/>
              <w:wordWrap/>
              <w:overflowPunct/>
              <w:topLinePunct w:val="0"/>
              <w:bidi w:val="0"/>
              <w:spacing w:line="360" w:lineRule="auto"/>
              <w:jc w:val="center"/>
              <w:outlineLvl w:val="9"/>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rPr>
              <w:t>1</w:t>
            </w:r>
          </w:p>
        </w:tc>
        <w:tc>
          <w:tcPr>
            <w:tcW w:w="1200" w:type="dxa"/>
            <w:shd w:val="clear" w:color="auto" w:fill="auto"/>
            <w:noWrap w:val="0"/>
            <w:vAlign w:val="center"/>
          </w:tcPr>
          <w:p w14:paraId="7924746C">
            <w:pPr>
              <w:keepLines w:val="0"/>
              <w:pageBreakBefore w:val="0"/>
              <w:wordWrap/>
              <w:overflowPunct/>
              <w:topLinePunct w:val="0"/>
              <w:bidi w:val="0"/>
              <w:spacing w:line="360" w:lineRule="auto"/>
              <w:ind w:left="-105" w:leftChars="-50" w:right="-105" w:rightChars="-50"/>
              <w:jc w:val="center"/>
              <w:outlineLvl w:val="9"/>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投标报价</w:t>
            </w:r>
          </w:p>
        </w:tc>
        <w:tc>
          <w:tcPr>
            <w:tcW w:w="1093" w:type="dxa"/>
            <w:shd w:val="clear" w:color="auto" w:fill="auto"/>
            <w:noWrap w:val="0"/>
            <w:vAlign w:val="center"/>
          </w:tcPr>
          <w:p w14:paraId="05449B1D">
            <w:pPr>
              <w:keepLines w:val="0"/>
              <w:pageBreakBefore w:val="0"/>
              <w:wordWrap/>
              <w:overflowPunct/>
              <w:topLinePunct w:val="0"/>
              <w:bidi w:val="0"/>
              <w:spacing w:line="360" w:lineRule="auto"/>
              <w:ind w:left="-105" w:leftChars="-50" w:right="-105" w:rightChars="-50"/>
              <w:jc w:val="center"/>
              <w:outlineLvl w:val="9"/>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rPr>
              <w:t>1</w:t>
            </w:r>
            <w:r>
              <w:rPr>
                <w:rFonts w:hint="eastAsia" w:ascii="仿宋" w:hAnsi="仿宋" w:eastAsia="仿宋" w:cs="仿宋"/>
                <w:color w:val="auto"/>
                <w:kern w:val="0"/>
                <w:sz w:val="21"/>
                <w:szCs w:val="21"/>
                <w:highlight w:val="none"/>
              </w:rPr>
              <w:t>0</w:t>
            </w:r>
          </w:p>
        </w:tc>
        <w:tc>
          <w:tcPr>
            <w:tcW w:w="6354" w:type="dxa"/>
            <w:shd w:val="clear" w:color="auto" w:fill="auto"/>
            <w:noWrap w:val="0"/>
            <w:vAlign w:val="center"/>
          </w:tcPr>
          <w:p w14:paraId="4D444B2C">
            <w:pPr>
              <w:widowControl/>
              <w:shd w:val="clear" w:color="auto" w:fill="FFFFFF"/>
              <w:snapToGrid w:val="0"/>
              <w:spacing w:line="360" w:lineRule="auto"/>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投标报价得分计算方法：</w:t>
            </w:r>
          </w:p>
          <w:p w14:paraId="5F75CCF4">
            <w:pPr>
              <w:widowControl/>
              <w:shd w:val="clear" w:color="auto" w:fill="FFFFFF"/>
              <w:snapToGrid w:val="0"/>
              <w:spacing w:line="360" w:lineRule="auto"/>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1.投标报价的确定</w:t>
            </w:r>
          </w:p>
          <w:p w14:paraId="46527BC3">
            <w:pPr>
              <w:widowControl/>
              <w:shd w:val="clear" w:color="auto" w:fill="FFFFFF"/>
              <w:snapToGrid w:val="0"/>
              <w:spacing w:line="360" w:lineRule="auto"/>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投标报价是指经评审的且不超过</w:t>
            </w:r>
            <w:r>
              <w:rPr>
                <w:rFonts w:hint="eastAsia" w:ascii="仿宋" w:hAnsi="仿宋" w:eastAsia="仿宋" w:cs="仿宋"/>
                <w:color w:val="auto"/>
                <w:kern w:val="0"/>
                <w:szCs w:val="21"/>
                <w:highlight w:val="none"/>
                <w:lang w:val="en-US" w:eastAsia="zh-CN"/>
              </w:rPr>
              <w:t>最高限价</w:t>
            </w:r>
            <w:r>
              <w:rPr>
                <w:rFonts w:hint="eastAsia" w:ascii="仿宋" w:hAnsi="仿宋" w:eastAsia="仿宋" w:cs="仿宋"/>
                <w:color w:val="auto"/>
                <w:kern w:val="0"/>
                <w:szCs w:val="21"/>
                <w:highlight w:val="none"/>
              </w:rPr>
              <w:t>的投标价格</w:t>
            </w:r>
          </w:p>
          <w:p w14:paraId="50953006">
            <w:pPr>
              <w:widowControl/>
              <w:shd w:val="clear" w:color="auto" w:fill="FFFFFF"/>
              <w:snapToGrid w:val="0"/>
              <w:spacing w:line="360" w:lineRule="auto"/>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2.评标基准价的确定</w:t>
            </w:r>
          </w:p>
          <w:p w14:paraId="61C231D2">
            <w:pPr>
              <w:widowControl/>
              <w:shd w:val="clear" w:color="auto" w:fill="FFFFFF"/>
              <w:snapToGrid w:val="0"/>
              <w:spacing w:line="360" w:lineRule="auto"/>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满足招标文件要求且投标报价最低的为评标基准价</w:t>
            </w:r>
          </w:p>
          <w:p w14:paraId="1D1E590A">
            <w:pPr>
              <w:widowControl/>
              <w:shd w:val="clear" w:color="auto" w:fill="FFFFFF"/>
              <w:snapToGrid w:val="0"/>
              <w:spacing w:line="360" w:lineRule="auto"/>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3.</w:t>
            </w:r>
            <w:r>
              <w:rPr>
                <w:rFonts w:hint="eastAsia" w:ascii="仿宋" w:hAnsi="仿宋" w:eastAsia="仿宋" w:cs="仿宋"/>
                <w:color w:val="auto"/>
                <w:kern w:val="0"/>
                <w:szCs w:val="21"/>
                <w:highlight w:val="none"/>
              </w:rPr>
              <w:t>投标报价得分=(评标基准价／投标报价)×</w:t>
            </w:r>
            <w:r>
              <w:rPr>
                <w:rFonts w:hint="eastAsia" w:ascii="仿宋" w:hAnsi="仿宋" w:eastAsia="仿宋" w:cs="仿宋"/>
                <w:color w:val="auto"/>
                <w:kern w:val="0"/>
                <w:szCs w:val="21"/>
                <w:highlight w:val="none"/>
                <w:lang w:val="en-US" w:eastAsia="zh-CN"/>
              </w:rPr>
              <w:t>10</w:t>
            </w:r>
          </w:p>
          <w:p w14:paraId="065ADD5D">
            <w:pPr>
              <w:widowControl/>
              <w:shd w:val="clear" w:color="auto" w:fill="FFFFFF"/>
              <w:snapToGrid w:val="0"/>
              <w:spacing w:line="360" w:lineRule="auto"/>
              <w:jc w:val="left"/>
              <w:rPr>
                <w:rFonts w:hint="eastAsia" w:ascii="仿宋" w:hAnsi="仿宋" w:eastAsia="仿宋" w:cs="仿宋"/>
                <w:color w:val="auto"/>
                <w:kern w:val="2"/>
                <w:sz w:val="21"/>
                <w:szCs w:val="22"/>
                <w:highlight w:val="none"/>
                <w:lang w:val="en-US" w:eastAsia="zh-CN" w:bidi="ar-SA"/>
              </w:rPr>
            </w:pPr>
            <w:r>
              <w:rPr>
                <w:rFonts w:hint="eastAsia" w:ascii="仿宋" w:hAnsi="仿宋" w:eastAsia="仿宋" w:cs="仿宋"/>
                <w:color w:val="auto"/>
                <w:kern w:val="0"/>
                <w:szCs w:val="21"/>
                <w:highlight w:val="none"/>
              </w:rPr>
              <w:t>4.评分分值计算保留小数点后两位，小数点后三位“四舍五入”。</w:t>
            </w:r>
          </w:p>
        </w:tc>
      </w:tr>
      <w:tr w14:paraId="0B6F9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765" w:type="dxa"/>
            <w:shd w:val="clear" w:color="auto" w:fill="auto"/>
            <w:noWrap w:val="0"/>
            <w:vAlign w:val="center"/>
          </w:tcPr>
          <w:p w14:paraId="612F4821">
            <w:pPr>
              <w:pStyle w:val="56"/>
              <w:keepLines w:val="0"/>
              <w:pageBreakBefore w:val="0"/>
              <w:wordWrap/>
              <w:overflowPunct/>
              <w:topLinePunct w:val="0"/>
              <w:bidi w:val="0"/>
              <w:spacing w:line="360" w:lineRule="auto"/>
              <w:jc w:val="center"/>
              <w:outlineLvl w:val="9"/>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rPr>
              <w:t>2</w:t>
            </w:r>
          </w:p>
        </w:tc>
        <w:tc>
          <w:tcPr>
            <w:tcW w:w="1200" w:type="dxa"/>
            <w:shd w:val="clear" w:color="auto" w:fill="auto"/>
            <w:noWrap w:val="0"/>
            <w:vAlign w:val="center"/>
          </w:tcPr>
          <w:p w14:paraId="2D3DE299">
            <w:pPr>
              <w:pStyle w:val="56"/>
              <w:keepLines w:val="0"/>
              <w:pageBreakBefore w:val="0"/>
              <w:wordWrap/>
              <w:overflowPunct/>
              <w:topLinePunct w:val="0"/>
              <w:bidi w:val="0"/>
              <w:spacing w:line="360" w:lineRule="auto"/>
              <w:jc w:val="center"/>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业绩</w:t>
            </w:r>
          </w:p>
        </w:tc>
        <w:tc>
          <w:tcPr>
            <w:tcW w:w="1093" w:type="dxa"/>
            <w:shd w:val="clear" w:color="auto" w:fill="auto"/>
            <w:noWrap w:val="0"/>
            <w:vAlign w:val="center"/>
          </w:tcPr>
          <w:p w14:paraId="04FDE72E">
            <w:pPr>
              <w:pStyle w:val="56"/>
              <w:keepLines w:val="0"/>
              <w:pageBreakBefore w:val="0"/>
              <w:wordWrap/>
              <w:overflowPunct/>
              <w:topLinePunct w:val="0"/>
              <w:bidi w:val="0"/>
              <w:spacing w:line="360" w:lineRule="auto"/>
              <w:jc w:val="center"/>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9</w:t>
            </w:r>
          </w:p>
        </w:tc>
        <w:tc>
          <w:tcPr>
            <w:tcW w:w="6354" w:type="dxa"/>
            <w:shd w:val="clear" w:color="auto" w:fill="auto"/>
            <w:noWrap w:val="0"/>
            <w:vAlign w:val="center"/>
          </w:tcPr>
          <w:p w14:paraId="0B88C57F">
            <w:pPr>
              <w:widowControl/>
              <w:shd w:val="clear" w:color="auto" w:fill="FFFFFF"/>
              <w:snapToGrid w:val="0"/>
              <w:spacing w:line="360" w:lineRule="auto"/>
              <w:jc w:val="left"/>
              <w:rPr>
                <w:rFonts w:hint="eastAsia" w:ascii="仿宋" w:hAnsi="仿宋" w:eastAsia="仿宋" w:cs="仿宋"/>
                <w:color w:val="auto"/>
                <w:highlight w:val="none"/>
                <w:lang w:val="en-US" w:eastAsia="zh-CN"/>
              </w:rPr>
            </w:pPr>
            <w:r>
              <w:rPr>
                <w:rFonts w:hint="eastAsia" w:ascii="仿宋" w:hAnsi="仿宋" w:eastAsia="仿宋" w:cs="仿宋"/>
                <w:color w:val="auto"/>
                <w:kern w:val="0"/>
                <w:szCs w:val="21"/>
                <w:highlight w:val="none"/>
              </w:rPr>
              <w:t>投标人近三年(</w:t>
            </w:r>
            <w:r>
              <w:rPr>
                <w:rFonts w:hint="eastAsia" w:ascii="仿宋" w:hAnsi="仿宋" w:eastAsia="仿宋" w:cs="仿宋"/>
                <w:color w:val="auto"/>
                <w:kern w:val="0"/>
                <w:szCs w:val="21"/>
                <w:highlight w:val="none"/>
                <w:lang w:eastAsia="zh-CN"/>
              </w:rPr>
              <w:t>2023年</w:t>
            </w:r>
            <w:r>
              <w:rPr>
                <w:rFonts w:hint="eastAsia" w:ascii="仿宋" w:hAnsi="仿宋" w:eastAsia="仿宋" w:cs="仿宋"/>
                <w:color w:val="auto"/>
                <w:kern w:val="0"/>
                <w:szCs w:val="21"/>
                <w:highlight w:val="none"/>
              </w:rPr>
              <w:t>1月1日-至今</w:t>
            </w: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Cs w:val="21"/>
                <w:highlight w:val="none"/>
                <w:lang w:val="en-US" w:eastAsia="zh-CN"/>
              </w:rPr>
              <w:t>以合同签订时间为准</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val="en-US" w:eastAsia="zh-CN"/>
              </w:rPr>
              <w:t>承接</w:t>
            </w:r>
            <w:r>
              <w:rPr>
                <w:rFonts w:hint="eastAsia" w:ascii="仿宋" w:hAnsi="仿宋" w:eastAsia="仿宋" w:cs="仿宋"/>
                <w:color w:val="auto"/>
                <w:kern w:val="0"/>
                <w:szCs w:val="21"/>
                <w:highlight w:val="none"/>
              </w:rPr>
              <w:t>的类似业绩，一项计</w:t>
            </w:r>
            <w:r>
              <w:rPr>
                <w:rFonts w:hint="eastAsia" w:ascii="仿宋" w:hAnsi="仿宋" w:eastAsia="仿宋" w:cs="仿宋"/>
                <w:color w:val="auto"/>
                <w:kern w:val="0"/>
                <w:szCs w:val="21"/>
                <w:highlight w:val="none"/>
                <w:lang w:val="en-US" w:eastAsia="zh-CN"/>
              </w:rPr>
              <w:t>3</w:t>
            </w:r>
            <w:r>
              <w:rPr>
                <w:rFonts w:hint="eastAsia" w:ascii="仿宋" w:hAnsi="仿宋" w:eastAsia="仿宋" w:cs="仿宋"/>
                <w:color w:val="auto"/>
                <w:kern w:val="0"/>
                <w:szCs w:val="21"/>
                <w:highlight w:val="none"/>
              </w:rPr>
              <w:t>分，最多计</w:t>
            </w:r>
            <w:r>
              <w:rPr>
                <w:rFonts w:hint="eastAsia" w:ascii="仿宋" w:hAnsi="仿宋" w:eastAsia="仿宋" w:cs="仿宋"/>
                <w:color w:val="auto"/>
                <w:kern w:val="0"/>
                <w:szCs w:val="21"/>
                <w:highlight w:val="none"/>
                <w:lang w:val="en-US" w:eastAsia="zh-CN"/>
              </w:rPr>
              <w:t>3</w:t>
            </w:r>
            <w:r>
              <w:rPr>
                <w:rFonts w:hint="eastAsia" w:ascii="仿宋" w:hAnsi="仿宋" w:eastAsia="仿宋" w:cs="仿宋"/>
                <w:color w:val="auto"/>
                <w:kern w:val="0"/>
                <w:szCs w:val="21"/>
                <w:highlight w:val="none"/>
              </w:rPr>
              <w:t>项(须提供合同)</w:t>
            </w:r>
            <w:r>
              <w:rPr>
                <w:rFonts w:hint="eastAsia" w:ascii="仿宋" w:hAnsi="仿宋" w:eastAsia="仿宋" w:cs="仿宋"/>
                <w:color w:val="auto"/>
                <w:kern w:val="0"/>
                <w:szCs w:val="21"/>
                <w:highlight w:val="none"/>
                <w:lang w:eastAsia="zh-CN"/>
              </w:rPr>
              <w:t>。</w:t>
            </w:r>
          </w:p>
        </w:tc>
      </w:tr>
      <w:tr w14:paraId="34119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65" w:type="dxa"/>
            <w:shd w:val="clear" w:color="auto" w:fill="auto"/>
            <w:noWrap w:val="0"/>
            <w:vAlign w:val="center"/>
          </w:tcPr>
          <w:p w14:paraId="1C65D73D">
            <w:pPr>
              <w:pStyle w:val="56"/>
              <w:keepLines w:val="0"/>
              <w:pageBreakBefore w:val="0"/>
              <w:wordWrap/>
              <w:overflowPunct/>
              <w:topLinePunct w:val="0"/>
              <w:bidi w:val="0"/>
              <w:spacing w:line="360" w:lineRule="auto"/>
              <w:jc w:val="center"/>
              <w:outlineLvl w:val="9"/>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rPr>
              <w:t>3</w:t>
            </w:r>
          </w:p>
        </w:tc>
        <w:tc>
          <w:tcPr>
            <w:tcW w:w="1200" w:type="dxa"/>
            <w:shd w:val="clear" w:color="auto" w:fill="auto"/>
            <w:noWrap w:val="0"/>
            <w:vAlign w:val="center"/>
          </w:tcPr>
          <w:p w14:paraId="3B1969B5">
            <w:pPr>
              <w:pStyle w:val="56"/>
              <w:keepLines w:val="0"/>
              <w:pageBreakBefore w:val="0"/>
              <w:wordWrap/>
              <w:overflowPunct/>
              <w:topLinePunct w:val="0"/>
              <w:bidi w:val="0"/>
              <w:spacing w:line="360" w:lineRule="auto"/>
              <w:jc w:val="center"/>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人员配置</w:t>
            </w:r>
          </w:p>
        </w:tc>
        <w:tc>
          <w:tcPr>
            <w:tcW w:w="1093" w:type="dxa"/>
            <w:shd w:val="clear" w:color="auto" w:fill="auto"/>
            <w:noWrap w:val="0"/>
            <w:vAlign w:val="center"/>
          </w:tcPr>
          <w:p w14:paraId="048B7C70">
            <w:pPr>
              <w:pStyle w:val="56"/>
              <w:keepLines w:val="0"/>
              <w:pageBreakBefore w:val="0"/>
              <w:wordWrap/>
              <w:overflowPunct/>
              <w:topLinePunct w:val="0"/>
              <w:bidi w:val="0"/>
              <w:spacing w:line="360" w:lineRule="auto"/>
              <w:jc w:val="center"/>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12</w:t>
            </w:r>
          </w:p>
        </w:tc>
        <w:tc>
          <w:tcPr>
            <w:tcW w:w="6354" w:type="dxa"/>
            <w:shd w:val="clear" w:color="auto" w:fill="auto"/>
            <w:noWrap w:val="0"/>
            <w:vAlign w:val="center"/>
          </w:tcPr>
          <w:p w14:paraId="2D004888">
            <w:pPr>
              <w:widowControl/>
              <w:shd w:val="clear" w:color="auto" w:fill="FFFFFF"/>
              <w:snapToGrid w:val="0"/>
              <w:spacing w:line="360" w:lineRule="auto"/>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highlight w:val="none"/>
                <w:lang w:val="en-US" w:eastAsia="zh-CN"/>
              </w:rPr>
              <w:t>①</w:t>
            </w:r>
            <w:r>
              <w:rPr>
                <w:rFonts w:hint="eastAsia" w:ascii="仿宋" w:hAnsi="仿宋" w:eastAsia="仿宋" w:cs="仿宋"/>
                <w:color w:val="auto"/>
                <w:kern w:val="0"/>
                <w:szCs w:val="21"/>
                <w:highlight w:val="none"/>
              </w:rPr>
              <w:t>拟派项目负责人具备</w:t>
            </w:r>
            <w:r>
              <w:rPr>
                <w:rFonts w:hint="eastAsia" w:ascii="仿宋" w:hAnsi="仿宋" w:eastAsia="仿宋" w:cs="仿宋"/>
                <w:color w:val="auto"/>
                <w:kern w:val="0"/>
                <w:szCs w:val="21"/>
                <w:highlight w:val="none"/>
                <w:lang w:val="en-US" w:eastAsia="zh-CN"/>
              </w:rPr>
              <w:t>中级及以上信息技术相关专业职称的得4分；</w:t>
            </w:r>
          </w:p>
          <w:p w14:paraId="4C00B158">
            <w:pPr>
              <w:widowControl/>
              <w:shd w:val="clear" w:color="auto" w:fill="FFFFFF"/>
              <w:snapToGrid w:val="0"/>
              <w:spacing w:line="360" w:lineRule="auto"/>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②维护团队（除项目负责人外）：投标人拟派人员具有系统集成项目管理工程师证书或相关的职业资格证书或培训证书，每提供一人得2分，最多计4人；</w:t>
            </w:r>
          </w:p>
          <w:p w14:paraId="48BF27C3">
            <w:pPr>
              <w:widowControl/>
              <w:shd w:val="clear" w:color="auto" w:fill="FFFFFF"/>
              <w:snapToGrid w:val="0"/>
              <w:spacing w:line="360" w:lineRule="auto"/>
              <w:jc w:val="left"/>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1"/>
                <w:highlight w:val="none"/>
                <w:lang w:val="en-US" w:eastAsia="zh-CN"/>
              </w:rPr>
              <w:t>须提供上述人员身份证、证书扫描件、递交投标文件截止时间前半年内任意一个月的本单位社保缴费证明材料扫描件，未提供证明材料的不得分。</w:t>
            </w:r>
          </w:p>
        </w:tc>
      </w:tr>
      <w:tr w14:paraId="4656B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65" w:type="dxa"/>
            <w:shd w:val="clear" w:color="auto" w:fill="auto"/>
            <w:noWrap w:val="0"/>
            <w:vAlign w:val="center"/>
          </w:tcPr>
          <w:p w14:paraId="613CA5C4">
            <w:pPr>
              <w:pStyle w:val="56"/>
              <w:keepLines w:val="0"/>
              <w:pageBreakBefore w:val="0"/>
              <w:wordWrap/>
              <w:overflowPunct/>
              <w:topLinePunct w:val="0"/>
              <w:bidi w:val="0"/>
              <w:spacing w:line="360" w:lineRule="auto"/>
              <w:jc w:val="center"/>
              <w:outlineLvl w:val="9"/>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rPr>
              <w:t>4</w:t>
            </w:r>
          </w:p>
        </w:tc>
        <w:tc>
          <w:tcPr>
            <w:tcW w:w="1200" w:type="dxa"/>
            <w:shd w:val="clear" w:color="auto" w:fill="auto"/>
            <w:noWrap w:val="0"/>
            <w:vAlign w:val="center"/>
          </w:tcPr>
          <w:p w14:paraId="49325CA9">
            <w:pPr>
              <w:pStyle w:val="56"/>
              <w:keepLines w:val="0"/>
              <w:pageBreakBefore w:val="0"/>
              <w:wordWrap/>
              <w:overflowPunct/>
              <w:topLinePunct w:val="0"/>
              <w:bidi w:val="0"/>
              <w:spacing w:line="360" w:lineRule="auto"/>
              <w:jc w:val="center"/>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项目需求分析</w:t>
            </w:r>
          </w:p>
        </w:tc>
        <w:tc>
          <w:tcPr>
            <w:tcW w:w="1093" w:type="dxa"/>
            <w:shd w:val="clear" w:color="auto" w:fill="auto"/>
            <w:noWrap w:val="0"/>
            <w:vAlign w:val="center"/>
          </w:tcPr>
          <w:p w14:paraId="23ED6EAC">
            <w:pPr>
              <w:pStyle w:val="56"/>
              <w:keepLines w:val="0"/>
              <w:pageBreakBefore w:val="0"/>
              <w:wordWrap/>
              <w:overflowPunct/>
              <w:topLinePunct w:val="0"/>
              <w:bidi w:val="0"/>
              <w:spacing w:line="360" w:lineRule="auto"/>
              <w:jc w:val="center"/>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12</w:t>
            </w:r>
          </w:p>
        </w:tc>
        <w:tc>
          <w:tcPr>
            <w:tcW w:w="6354" w:type="dxa"/>
            <w:shd w:val="clear" w:color="auto" w:fill="auto"/>
            <w:noWrap w:val="0"/>
            <w:vAlign w:val="center"/>
          </w:tcPr>
          <w:p w14:paraId="0112B375">
            <w:pPr>
              <w:widowControl/>
              <w:shd w:val="clear" w:color="auto" w:fill="FFFFFF"/>
              <w:snapToGrid w:val="0"/>
              <w:spacing w:line="360" w:lineRule="auto"/>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项目采购需求分析包括但不限于：①项目背景；②项目重难点；③风险分析；3部分要素进行评审。</w:t>
            </w:r>
          </w:p>
          <w:p w14:paraId="7814B19A">
            <w:pPr>
              <w:widowControl/>
              <w:shd w:val="clear" w:color="auto" w:fill="FFFFFF"/>
              <w:snapToGrid w:val="0"/>
              <w:spacing w:line="360" w:lineRule="auto"/>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Cs w:val="21"/>
                <w:highlight w:val="none"/>
                <w:lang w:val="en-US" w:eastAsia="zh-CN"/>
              </w:rPr>
              <w:t>所有要素齐全且完全满足项目要求得12分，每缺一个要素扣4分，每个要素里每有一处内容缺陷扣2分（扣完为止）。</w:t>
            </w:r>
          </w:p>
        </w:tc>
      </w:tr>
      <w:tr w14:paraId="56BCF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shd w:val="clear" w:color="auto" w:fill="auto"/>
            <w:noWrap w:val="0"/>
            <w:vAlign w:val="center"/>
          </w:tcPr>
          <w:p w14:paraId="3853CBE0">
            <w:pPr>
              <w:pStyle w:val="56"/>
              <w:keepLines w:val="0"/>
              <w:pageBreakBefore w:val="0"/>
              <w:wordWrap/>
              <w:overflowPunct/>
              <w:topLinePunct w:val="0"/>
              <w:bidi w:val="0"/>
              <w:spacing w:line="360" w:lineRule="auto"/>
              <w:jc w:val="center"/>
              <w:outlineLvl w:val="9"/>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rPr>
              <w:t>5</w:t>
            </w:r>
          </w:p>
        </w:tc>
        <w:tc>
          <w:tcPr>
            <w:tcW w:w="1200" w:type="dxa"/>
            <w:shd w:val="clear" w:color="auto" w:fill="auto"/>
            <w:noWrap w:val="0"/>
            <w:vAlign w:val="center"/>
          </w:tcPr>
          <w:p w14:paraId="359D23B4">
            <w:pPr>
              <w:pStyle w:val="56"/>
              <w:keepLines w:val="0"/>
              <w:pageBreakBefore w:val="0"/>
              <w:wordWrap/>
              <w:overflowPunct/>
              <w:topLinePunct w:val="0"/>
              <w:bidi w:val="0"/>
              <w:spacing w:line="360" w:lineRule="auto"/>
              <w:jc w:val="center"/>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运维方案</w:t>
            </w:r>
          </w:p>
        </w:tc>
        <w:tc>
          <w:tcPr>
            <w:tcW w:w="1093" w:type="dxa"/>
            <w:shd w:val="clear" w:color="auto" w:fill="auto"/>
            <w:noWrap w:val="0"/>
            <w:vAlign w:val="center"/>
          </w:tcPr>
          <w:p w14:paraId="27DDBE99">
            <w:pPr>
              <w:pStyle w:val="56"/>
              <w:keepLines w:val="0"/>
              <w:pageBreakBefore w:val="0"/>
              <w:wordWrap/>
              <w:overflowPunct/>
              <w:topLinePunct w:val="0"/>
              <w:bidi w:val="0"/>
              <w:spacing w:line="360" w:lineRule="auto"/>
              <w:jc w:val="center"/>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25</w:t>
            </w:r>
          </w:p>
        </w:tc>
        <w:tc>
          <w:tcPr>
            <w:tcW w:w="6354" w:type="dxa"/>
            <w:shd w:val="clear" w:color="auto" w:fill="auto"/>
            <w:noWrap w:val="0"/>
            <w:vAlign w:val="center"/>
          </w:tcPr>
          <w:p w14:paraId="158F6D70">
            <w:pPr>
              <w:widowControl/>
              <w:shd w:val="clear" w:color="auto" w:fill="FFFFFF"/>
              <w:snapToGrid w:val="0"/>
              <w:spacing w:line="360" w:lineRule="auto"/>
              <w:jc w:val="left"/>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运维方案包括但不限于：①</w:t>
            </w:r>
            <w:r>
              <w:rPr>
                <w:rFonts w:hint="eastAsia" w:ascii="仿宋" w:hAnsi="仿宋" w:eastAsia="仿宋" w:cs="仿宋"/>
                <w:color w:val="auto"/>
                <w:highlight w:val="none"/>
              </w:rPr>
              <w:t>数据运维（安全）管理方案</w:t>
            </w:r>
            <w:r>
              <w:rPr>
                <w:rFonts w:hint="eastAsia" w:ascii="仿宋" w:hAnsi="仿宋" w:eastAsia="仿宋" w:cs="仿宋"/>
                <w:color w:val="auto"/>
                <w:kern w:val="0"/>
                <w:szCs w:val="24"/>
                <w:highlight w:val="none"/>
                <w:lang w:val="en-US" w:eastAsia="zh-CN"/>
              </w:rPr>
              <w:t>、②日常运维和故障漏洞处理、③</w:t>
            </w:r>
            <w:r>
              <w:rPr>
                <w:rFonts w:hint="eastAsia" w:ascii="仿宋" w:hAnsi="仿宋" w:eastAsia="仿宋" w:cs="仿宋"/>
                <w:color w:val="auto"/>
                <w:highlight w:val="none"/>
              </w:rPr>
              <w:t>信息系统（网络）安全保障方案</w:t>
            </w:r>
            <w:r>
              <w:rPr>
                <w:rFonts w:hint="eastAsia" w:ascii="仿宋" w:hAnsi="仿宋" w:eastAsia="仿宋" w:cs="仿宋"/>
                <w:color w:val="auto"/>
                <w:kern w:val="0"/>
                <w:szCs w:val="24"/>
                <w:highlight w:val="none"/>
                <w:lang w:val="en-US" w:eastAsia="zh-CN"/>
              </w:rPr>
              <w:t>、④</w:t>
            </w:r>
            <w:r>
              <w:rPr>
                <w:rFonts w:hint="eastAsia" w:ascii="仿宋" w:hAnsi="仿宋" w:eastAsia="仿宋" w:cs="仿宋"/>
                <w:color w:val="auto"/>
                <w:highlight w:val="none"/>
              </w:rPr>
              <w:t>维护进度计划</w:t>
            </w:r>
            <w:r>
              <w:rPr>
                <w:rFonts w:hint="eastAsia" w:ascii="仿宋" w:hAnsi="仿宋" w:eastAsia="仿宋" w:cs="仿宋"/>
                <w:color w:val="auto"/>
                <w:kern w:val="0"/>
                <w:szCs w:val="24"/>
                <w:highlight w:val="none"/>
                <w:lang w:val="en-US" w:eastAsia="zh-CN"/>
              </w:rPr>
              <w:t>、⑤</w:t>
            </w:r>
            <w:r>
              <w:rPr>
                <w:rFonts w:hint="eastAsia" w:ascii="仿宋" w:hAnsi="仿宋" w:eastAsia="仿宋" w:cs="仿宋"/>
                <w:color w:val="auto"/>
                <w:sz w:val="21"/>
                <w:szCs w:val="21"/>
                <w:highlight w:val="none"/>
                <w:lang w:val="en-US" w:eastAsia="zh-CN"/>
              </w:rPr>
              <w:t>人员组织结构及责任分配；</w:t>
            </w:r>
            <w:r>
              <w:rPr>
                <w:rFonts w:hint="eastAsia" w:ascii="仿宋" w:hAnsi="仿宋" w:eastAsia="仿宋" w:cs="仿宋"/>
                <w:color w:val="auto"/>
                <w:kern w:val="0"/>
                <w:szCs w:val="24"/>
                <w:highlight w:val="none"/>
                <w:lang w:val="en-US" w:eastAsia="zh-CN"/>
              </w:rPr>
              <w:t>5部分要素进行评审。</w:t>
            </w:r>
          </w:p>
          <w:p w14:paraId="409C35DE">
            <w:pPr>
              <w:widowControl/>
              <w:shd w:val="clear" w:color="auto" w:fill="FFFFFF"/>
              <w:snapToGrid w:val="0"/>
              <w:spacing w:line="360" w:lineRule="auto"/>
              <w:jc w:val="left"/>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所有要素齐全且完全满足项目要求得25分，每缺一个要素扣5分，每个要素里每有一处内容缺陷扣2分（扣完为止）。</w:t>
            </w:r>
          </w:p>
        </w:tc>
      </w:tr>
      <w:tr w14:paraId="6EC36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shd w:val="clear" w:color="auto" w:fill="auto"/>
            <w:noWrap w:val="0"/>
            <w:vAlign w:val="center"/>
          </w:tcPr>
          <w:p w14:paraId="386508C2">
            <w:pPr>
              <w:pStyle w:val="56"/>
              <w:keepLines w:val="0"/>
              <w:pageBreakBefore w:val="0"/>
              <w:wordWrap/>
              <w:overflowPunct/>
              <w:topLinePunct w:val="0"/>
              <w:bidi w:val="0"/>
              <w:spacing w:line="360" w:lineRule="auto"/>
              <w:jc w:val="center"/>
              <w:outlineLvl w:val="9"/>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rPr>
              <w:t>6</w:t>
            </w:r>
          </w:p>
        </w:tc>
        <w:tc>
          <w:tcPr>
            <w:tcW w:w="1200" w:type="dxa"/>
            <w:shd w:val="clear" w:color="auto" w:fill="auto"/>
            <w:noWrap w:val="0"/>
            <w:vAlign w:val="center"/>
          </w:tcPr>
          <w:p w14:paraId="49EB034E">
            <w:pPr>
              <w:pStyle w:val="56"/>
              <w:keepLines w:val="0"/>
              <w:pageBreakBefore w:val="0"/>
              <w:wordWrap/>
              <w:overflowPunct/>
              <w:topLinePunct w:val="0"/>
              <w:bidi w:val="0"/>
              <w:spacing w:line="360" w:lineRule="auto"/>
              <w:jc w:val="center"/>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应急方案</w:t>
            </w:r>
          </w:p>
        </w:tc>
        <w:tc>
          <w:tcPr>
            <w:tcW w:w="1093" w:type="dxa"/>
            <w:shd w:val="clear" w:color="auto" w:fill="auto"/>
            <w:noWrap w:val="0"/>
            <w:vAlign w:val="center"/>
          </w:tcPr>
          <w:p w14:paraId="5C8AD153">
            <w:pPr>
              <w:pStyle w:val="56"/>
              <w:keepLines w:val="0"/>
              <w:pageBreakBefore w:val="0"/>
              <w:wordWrap/>
              <w:overflowPunct/>
              <w:topLinePunct w:val="0"/>
              <w:bidi w:val="0"/>
              <w:spacing w:line="360" w:lineRule="auto"/>
              <w:jc w:val="center"/>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20</w:t>
            </w:r>
          </w:p>
        </w:tc>
        <w:tc>
          <w:tcPr>
            <w:tcW w:w="6354" w:type="dxa"/>
            <w:shd w:val="clear" w:color="auto" w:fill="auto"/>
            <w:noWrap w:val="0"/>
            <w:vAlign w:val="center"/>
          </w:tcPr>
          <w:p w14:paraId="4B5F5F99">
            <w:pPr>
              <w:widowControl/>
              <w:shd w:val="clear" w:color="auto" w:fill="FFFFFF"/>
              <w:snapToGrid w:val="0"/>
              <w:spacing w:line="360" w:lineRule="auto"/>
              <w:jc w:val="left"/>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应急方案包括但不限于：</w:t>
            </w:r>
            <w:r>
              <w:rPr>
                <w:rFonts w:hint="eastAsia" w:ascii="仿宋" w:hAnsi="仿宋" w:eastAsia="仿宋" w:cs="仿宋"/>
                <w:color w:val="auto"/>
                <w:szCs w:val="21"/>
                <w:highlight w:val="none"/>
                <w:shd w:val="clear" w:color="auto" w:fill="FFFFFF" w:themeFill="background1"/>
                <w:lang w:val="en-US" w:eastAsia="zh-CN"/>
              </w:rPr>
              <w:t>①应急资源准备（信息备份），②典型场景预案（网络中断、安全攻击、性能异常），③应急响应时间及流程、④协作机制，⑤原因分析</w:t>
            </w:r>
            <w:r>
              <w:rPr>
                <w:rFonts w:hint="eastAsia" w:ascii="仿宋" w:hAnsi="仿宋" w:eastAsia="仿宋" w:cs="仿宋"/>
                <w:color w:val="auto"/>
                <w:kern w:val="0"/>
                <w:szCs w:val="24"/>
                <w:highlight w:val="none"/>
                <w:lang w:val="en-US" w:eastAsia="zh-CN"/>
              </w:rPr>
              <w:t>，5部分要素进行评审。</w:t>
            </w:r>
          </w:p>
          <w:p w14:paraId="49E20EBD">
            <w:pPr>
              <w:widowControl/>
              <w:shd w:val="clear" w:color="auto" w:fill="FFFFFF"/>
              <w:snapToGrid w:val="0"/>
              <w:spacing w:line="360" w:lineRule="auto"/>
              <w:jc w:val="left"/>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所有要素齐全且完全满足项目要求得20分，每缺一个要素扣4分，每个要素里每有一处内容缺陷扣2分（扣完为止）。</w:t>
            </w:r>
          </w:p>
        </w:tc>
      </w:tr>
      <w:tr w14:paraId="4F42D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shd w:val="clear" w:color="auto" w:fill="auto"/>
            <w:noWrap w:val="0"/>
            <w:vAlign w:val="center"/>
          </w:tcPr>
          <w:p w14:paraId="2A91D063">
            <w:pPr>
              <w:pStyle w:val="56"/>
              <w:keepLines w:val="0"/>
              <w:pageBreakBefore w:val="0"/>
              <w:wordWrap/>
              <w:overflowPunct/>
              <w:topLinePunct w:val="0"/>
              <w:bidi w:val="0"/>
              <w:spacing w:line="360" w:lineRule="auto"/>
              <w:jc w:val="center"/>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7</w:t>
            </w:r>
          </w:p>
        </w:tc>
        <w:tc>
          <w:tcPr>
            <w:tcW w:w="1200" w:type="dxa"/>
            <w:shd w:val="clear" w:color="auto" w:fill="auto"/>
            <w:noWrap w:val="0"/>
            <w:vAlign w:val="center"/>
          </w:tcPr>
          <w:p w14:paraId="2C8E0E33">
            <w:pPr>
              <w:pStyle w:val="56"/>
              <w:keepLines w:val="0"/>
              <w:pageBreakBefore w:val="0"/>
              <w:wordWrap/>
              <w:overflowPunct/>
              <w:topLinePunct w:val="0"/>
              <w:bidi w:val="0"/>
              <w:spacing w:line="360" w:lineRule="auto"/>
              <w:jc w:val="center"/>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售后服务支持能力</w:t>
            </w:r>
          </w:p>
        </w:tc>
        <w:tc>
          <w:tcPr>
            <w:tcW w:w="1093" w:type="dxa"/>
            <w:shd w:val="clear" w:color="auto" w:fill="auto"/>
            <w:noWrap w:val="0"/>
            <w:vAlign w:val="center"/>
          </w:tcPr>
          <w:p w14:paraId="51E8A995">
            <w:pPr>
              <w:pStyle w:val="56"/>
              <w:keepLines w:val="0"/>
              <w:pageBreakBefore w:val="0"/>
              <w:wordWrap/>
              <w:overflowPunct/>
              <w:topLinePunct w:val="0"/>
              <w:bidi w:val="0"/>
              <w:spacing w:line="360" w:lineRule="auto"/>
              <w:jc w:val="center"/>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12</w:t>
            </w:r>
          </w:p>
        </w:tc>
        <w:tc>
          <w:tcPr>
            <w:tcW w:w="6354" w:type="dxa"/>
            <w:shd w:val="clear" w:color="auto" w:fill="auto"/>
            <w:noWrap w:val="0"/>
            <w:vAlign w:val="center"/>
          </w:tcPr>
          <w:p w14:paraId="000D6B5B">
            <w:pPr>
              <w:widowControl/>
              <w:shd w:val="clear" w:color="auto" w:fill="FFFFFF"/>
              <w:snapToGrid w:val="0"/>
              <w:spacing w:line="360" w:lineRule="auto"/>
              <w:jc w:val="left"/>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售后服务支持能力包括但不限于：①售后人员及响应时间、②售后服务内容、③售后服务安排；3部分要素进行评审。</w:t>
            </w:r>
          </w:p>
          <w:p w14:paraId="6B444BA6">
            <w:pPr>
              <w:widowControl/>
              <w:shd w:val="clear" w:color="auto" w:fill="FFFFFF"/>
              <w:snapToGrid w:val="0"/>
              <w:spacing w:line="360" w:lineRule="auto"/>
              <w:jc w:val="left"/>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所有要素齐全且完全满足项目要求得12分，每缺一个要素扣4分，每个要素里每有一处内容缺陷扣2分（扣完为止）。</w:t>
            </w:r>
          </w:p>
        </w:tc>
      </w:tr>
      <w:tr w14:paraId="59E80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5" w:type="dxa"/>
            <w:gridSpan w:val="2"/>
            <w:noWrap w:val="0"/>
            <w:vAlign w:val="center"/>
          </w:tcPr>
          <w:p w14:paraId="6C4E930E">
            <w:pPr>
              <w:pStyle w:val="56"/>
              <w:keepLines w:val="0"/>
              <w:pageBreakBefore w:val="0"/>
              <w:wordWrap/>
              <w:overflowPunct/>
              <w:topLinePunct w:val="0"/>
              <w:bidi w:val="0"/>
              <w:spacing w:line="360" w:lineRule="auto"/>
              <w:jc w:val="center"/>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合计</w:t>
            </w:r>
          </w:p>
        </w:tc>
        <w:tc>
          <w:tcPr>
            <w:tcW w:w="1093" w:type="dxa"/>
            <w:noWrap w:val="0"/>
            <w:vAlign w:val="center"/>
          </w:tcPr>
          <w:p w14:paraId="0831D349">
            <w:pPr>
              <w:pStyle w:val="56"/>
              <w:keepLines w:val="0"/>
              <w:pageBreakBefore w:val="0"/>
              <w:wordWrap/>
              <w:overflowPunct/>
              <w:topLinePunct w:val="0"/>
              <w:bidi w:val="0"/>
              <w:spacing w:line="360" w:lineRule="auto"/>
              <w:jc w:val="center"/>
              <w:outlineLvl w:val="9"/>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100</w:t>
            </w:r>
          </w:p>
        </w:tc>
        <w:tc>
          <w:tcPr>
            <w:tcW w:w="6354" w:type="dxa"/>
            <w:noWrap w:val="0"/>
            <w:vAlign w:val="center"/>
          </w:tcPr>
          <w:p w14:paraId="56D239D5">
            <w:pPr>
              <w:pStyle w:val="56"/>
              <w:keepLines w:val="0"/>
              <w:pageBreakBefore w:val="0"/>
              <w:wordWrap/>
              <w:overflowPunct/>
              <w:topLinePunct w:val="0"/>
              <w:bidi w:val="0"/>
              <w:spacing w:line="360" w:lineRule="auto"/>
              <w:jc w:val="center"/>
              <w:outlineLvl w:val="9"/>
              <w:rPr>
                <w:rFonts w:hint="eastAsia" w:ascii="仿宋" w:hAnsi="仿宋" w:eastAsia="仿宋" w:cs="仿宋"/>
                <w:color w:val="auto"/>
                <w:sz w:val="21"/>
                <w:szCs w:val="21"/>
                <w:highlight w:val="none"/>
                <w:lang w:val="en-US" w:eastAsia="zh-CN"/>
              </w:rPr>
            </w:pPr>
          </w:p>
        </w:tc>
      </w:tr>
      <w:tr w14:paraId="5A8D4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412" w:type="dxa"/>
            <w:gridSpan w:val="4"/>
            <w:noWrap w:val="0"/>
            <w:vAlign w:val="center"/>
          </w:tcPr>
          <w:p w14:paraId="1BE4F3D3">
            <w:pPr>
              <w:keepLines w:val="0"/>
              <w:pageBreakBefore w:val="0"/>
              <w:wordWrap/>
              <w:overflowPunct/>
              <w:topLinePunct w:val="0"/>
              <w:bidi w:val="0"/>
              <w:spacing w:line="360" w:lineRule="auto"/>
              <w:jc w:val="left"/>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说明：</w:t>
            </w:r>
            <w:r>
              <w:rPr>
                <w:rFonts w:hint="eastAsia" w:ascii="仿宋" w:hAnsi="仿宋" w:eastAsia="仿宋" w:cs="仿宋"/>
                <w:color w:val="auto"/>
                <w:kern w:val="0"/>
                <w:szCs w:val="21"/>
                <w:highlight w:val="none"/>
              </w:rPr>
              <w:t>本评审内容中“内容缺陷”是指：①内容与实际情况不匹配、②不符合项目特点、③内容不完整或缺少关键节点、④未按采购需求针对描述、⑤存在描述内容过于简略、⑥缺失不全、⑦前后矛盾、⑧表述不清晰、⑨凭空编造、⑩逻辑混淆错误、⑪涉及的规范及标准错误不可能实现的情形等任意一种情形。</w:t>
            </w:r>
          </w:p>
        </w:tc>
      </w:tr>
    </w:tbl>
    <w:p w14:paraId="778F9877">
      <w:pPr>
        <w:widowControl/>
        <w:jc w:val="left"/>
        <w:rPr>
          <w:rFonts w:hint="eastAsia" w:ascii="仿宋" w:hAnsi="仿宋" w:eastAsia="仿宋" w:cs="仿宋"/>
          <w:color w:val="auto"/>
          <w:highlight w:val="none"/>
        </w:rPr>
      </w:pPr>
    </w:p>
    <w:p w14:paraId="5B92F5D4">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53" w:name="_Toc13566"/>
      <w:bookmarkStart w:id="54" w:name="_Toc12409"/>
      <w:bookmarkStart w:id="55" w:name="_Toc115977387"/>
      <w:bookmarkStart w:id="56" w:name="_Toc3667"/>
      <w:bookmarkStart w:id="57" w:name="_Toc485312286"/>
      <w:r>
        <w:rPr>
          <w:rFonts w:hint="eastAsia" w:ascii="仿宋" w:hAnsi="仿宋" w:eastAsia="仿宋" w:cs="仿宋"/>
          <w:b/>
          <w:color w:val="auto"/>
          <w:sz w:val="24"/>
          <w:szCs w:val="24"/>
          <w:highlight w:val="none"/>
          <w:lang w:val="en-US" w:eastAsia="zh-CN"/>
        </w:rPr>
        <w:t>一、</w:t>
      </w:r>
      <w:r>
        <w:rPr>
          <w:rFonts w:hint="eastAsia" w:ascii="仿宋" w:hAnsi="仿宋" w:eastAsia="仿宋" w:cs="仿宋"/>
          <w:b/>
          <w:color w:val="auto"/>
          <w:sz w:val="24"/>
          <w:szCs w:val="24"/>
          <w:highlight w:val="none"/>
        </w:rPr>
        <w:t>评标方法</w:t>
      </w:r>
      <w:bookmarkEnd w:id="53"/>
      <w:bookmarkEnd w:id="54"/>
      <w:bookmarkEnd w:id="55"/>
      <w:bookmarkEnd w:id="56"/>
    </w:p>
    <w:p w14:paraId="24C3B14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本次评标采用综合评分法。评标委员会对满足招标文件实质性要求的投标文件，按照本节规定的评审标准进行评审。评标中各评委若发生意见分歧，以少数服从多数原则确定。</w:t>
      </w:r>
    </w:p>
    <w:p w14:paraId="74ED9668">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58" w:name="_Toc8393"/>
      <w:bookmarkStart w:id="59" w:name="_Toc18020"/>
      <w:bookmarkStart w:id="60" w:name="_Toc115977388"/>
      <w:bookmarkStart w:id="61" w:name="_Toc2089"/>
      <w:r>
        <w:rPr>
          <w:rFonts w:hint="eastAsia" w:ascii="仿宋" w:hAnsi="仿宋" w:eastAsia="仿宋" w:cs="仿宋"/>
          <w:b/>
          <w:color w:val="auto"/>
          <w:sz w:val="24"/>
          <w:szCs w:val="24"/>
          <w:highlight w:val="none"/>
          <w:lang w:val="en-US" w:eastAsia="zh-CN"/>
        </w:rPr>
        <w:t>二、</w:t>
      </w:r>
      <w:r>
        <w:rPr>
          <w:rFonts w:hint="eastAsia" w:ascii="仿宋" w:hAnsi="仿宋" w:eastAsia="仿宋" w:cs="仿宋"/>
          <w:b/>
          <w:color w:val="auto"/>
          <w:sz w:val="24"/>
          <w:szCs w:val="24"/>
          <w:highlight w:val="none"/>
        </w:rPr>
        <w:t>评审标准</w:t>
      </w:r>
      <w:bookmarkEnd w:id="58"/>
      <w:bookmarkEnd w:id="59"/>
      <w:bookmarkEnd w:id="60"/>
      <w:bookmarkEnd w:id="61"/>
    </w:p>
    <w:p w14:paraId="4929CCD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2.1资格审查：评审因素和评审标准见《资格审查标准》。</w:t>
      </w:r>
    </w:p>
    <w:p w14:paraId="2093A3A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2.2完备性及符合性审查：评审因素和评审标准见《</w:t>
      </w:r>
      <w:r>
        <w:rPr>
          <w:rFonts w:hint="eastAsia" w:ascii="仿宋" w:hAnsi="仿宋" w:eastAsia="仿宋" w:cs="仿宋"/>
          <w:color w:val="auto"/>
          <w:kern w:val="0"/>
          <w:sz w:val="24"/>
          <w:szCs w:val="24"/>
          <w:highlight w:val="none"/>
          <w:lang w:eastAsia="zh-CN"/>
        </w:rPr>
        <w:t>符合性审查标准</w:t>
      </w:r>
      <w:r>
        <w:rPr>
          <w:rFonts w:hint="eastAsia" w:ascii="仿宋" w:hAnsi="仿宋" w:eastAsia="仿宋" w:cs="仿宋"/>
          <w:color w:val="auto"/>
          <w:kern w:val="0"/>
          <w:sz w:val="24"/>
          <w:szCs w:val="24"/>
          <w:highlight w:val="none"/>
        </w:rPr>
        <w:t>》。</w:t>
      </w:r>
    </w:p>
    <w:p w14:paraId="24F6F71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详细评审：</w:t>
      </w:r>
    </w:p>
    <w:p w14:paraId="0F28705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.1详细评审：评审因素和评审标准见《详细评审标准》及本节第3.</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款。</w:t>
      </w:r>
    </w:p>
    <w:p w14:paraId="535121B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.2 投标报价评分标准：</w:t>
      </w:r>
    </w:p>
    <w:p w14:paraId="6B114AA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（1）分值构成：见评标办法前附表。</w:t>
      </w:r>
    </w:p>
    <w:p w14:paraId="29F7558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（2）评标基准价的确定：见评标办法前附表。</w:t>
      </w:r>
    </w:p>
    <w:p w14:paraId="341F5AA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（3）投标报价得分的计算：见评标办法前附表。</w:t>
      </w:r>
    </w:p>
    <w:p w14:paraId="5CB25F03">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62" w:name="_Toc24086"/>
      <w:bookmarkStart w:id="63" w:name="_Toc115977389"/>
      <w:bookmarkStart w:id="64" w:name="_Toc25812"/>
      <w:bookmarkStart w:id="65" w:name="_Toc9713"/>
      <w:r>
        <w:rPr>
          <w:rFonts w:hint="eastAsia" w:ascii="仿宋" w:hAnsi="仿宋" w:eastAsia="仿宋" w:cs="仿宋"/>
          <w:b/>
          <w:color w:val="auto"/>
          <w:sz w:val="24"/>
          <w:szCs w:val="24"/>
          <w:highlight w:val="none"/>
          <w:lang w:val="en-US" w:eastAsia="zh-CN"/>
        </w:rPr>
        <w:t>三、</w:t>
      </w:r>
      <w:r>
        <w:rPr>
          <w:rFonts w:hint="eastAsia" w:ascii="仿宋" w:hAnsi="仿宋" w:eastAsia="仿宋" w:cs="仿宋"/>
          <w:b/>
          <w:color w:val="auto"/>
          <w:sz w:val="24"/>
          <w:szCs w:val="24"/>
          <w:highlight w:val="none"/>
        </w:rPr>
        <w:t>评标程序</w:t>
      </w:r>
      <w:bookmarkEnd w:id="62"/>
      <w:bookmarkEnd w:id="63"/>
      <w:bookmarkEnd w:id="64"/>
      <w:bookmarkEnd w:id="65"/>
    </w:p>
    <w:p w14:paraId="447AFAF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 基本程序</w:t>
      </w:r>
    </w:p>
    <w:p w14:paraId="5362D28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评标活动将按以下步骤进行：</w:t>
      </w:r>
    </w:p>
    <w:p w14:paraId="3A67BCD7">
      <w:pPr>
        <w:pStyle w:val="201"/>
        <w:widowControl/>
        <w:numPr>
          <w:ilvl w:val="0"/>
          <w:numId w:val="3"/>
        </w:numPr>
        <w:shd w:val="clear" w:color="auto" w:fill="FFFFFF"/>
        <w:snapToGrid w:val="0"/>
        <w:spacing w:line="360" w:lineRule="auto"/>
        <w:ind w:firstLineChars="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评标准备</w:t>
      </w:r>
    </w:p>
    <w:p w14:paraId="6BA0BE9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 资格审查</w:t>
      </w:r>
    </w:p>
    <w:p w14:paraId="5A31824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 完备性及符合性审查</w:t>
      </w:r>
    </w:p>
    <w:p w14:paraId="0241FC1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 详细评审</w:t>
      </w:r>
    </w:p>
    <w:p w14:paraId="7D3E886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 澄清、说明或补正</w:t>
      </w:r>
    </w:p>
    <w:p w14:paraId="53E3023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 推荐中标候选人及提交评标报告</w:t>
      </w:r>
    </w:p>
    <w:p w14:paraId="11FF278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 评标准备</w:t>
      </w:r>
    </w:p>
    <w:p w14:paraId="708669C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3.2.1评标委员会成员签到</w:t>
      </w:r>
    </w:p>
    <w:p w14:paraId="119E885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评标委员会成员到达评标现场时应当在签到表上签到以证明其出席。</w:t>
      </w:r>
    </w:p>
    <w:p w14:paraId="406260B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 评标委员会的分工</w:t>
      </w:r>
    </w:p>
    <w:p w14:paraId="05A69ED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3.2.2.1评标委员会首先推选一名评标委员会主任。评标委员会主任负责评标活动的组织领导工作。评标委员会主任与评标委员会其它成员具有同等的评标权力。</w:t>
      </w:r>
    </w:p>
    <w:p w14:paraId="4BEAE9C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3.2.2.2 评标委员会主任除履行自己作为评标委员会成员独立评标的职责外，主要负责以下工作：</w:t>
      </w:r>
    </w:p>
    <w:p w14:paraId="2F0FCF6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（1）组织评标委员会成员学习招标文件；</w:t>
      </w:r>
    </w:p>
    <w:p w14:paraId="5CEFBBE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（2）汇总各评标委员会成员认为需要投标人澄清、说明或者补正的问题；</w:t>
      </w:r>
    </w:p>
    <w:p w14:paraId="62B2E19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（3）组织评标委员会对投标人质询并对投标人的答复进行评审；</w:t>
      </w:r>
    </w:p>
    <w:p w14:paraId="4001FFA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（4）对出现较大争议的事项进行书面记录；</w:t>
      </w:r>
    </w:p>
    <w:p w14:paraId="4374550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（5）组织收回评标过程中使用的文件、表格和评标记录以及其它资料，并查验评标记录的完整性及有效性；</w:t>
      </w:r>
    </w:p>
    <w:p w14:paraId="097BA21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（6）组织对评标结论进行复核确认；</w:t>
      </w:r>
    </w:p>
    <w:p w14:paraId="1281F85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（7）组织编写评标报告。</w:t>
      </w:r>
    </w:p>
    <w:p w14:paraId="6F5CE92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3.2.3 熟悉文件资料</w:t>
      </w:r>
    </w:p>
    <w:p w14:paraId="0B4B60C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3.2.3.1 评标委员会主任应当组织评标委员会成员认真研究招标文件，了解和熟悉招标目的、招标范围、</w:t>
      </w:r>
      <w:r>
        <w:rPr>
          <w:rFonts w:hint="eastAsia" w:ascii="仿宋" w:hAnsi="仿宋" w:eastAsia="仿宋" w:cs="仿宋"/>
          <w:color w:val="auto"/>
          <w:kern w:val="0"/>
          <w:sz w:val="24"/>
          <w:szCs w:val="24"/>
          <w:highlight w:val="none"/>
          <w:lang w:eastAsia="zh-CN"/>
        </w:rPr>
        <w:t>服务标准和要求</w:t>
      </w:r>
      <w:r>
        <w:rPr>
          <w:rFonts w:hint="eastAsia" w:ascii="仿宋" w:hAnsi="仿宋" w:eastAsia="仿宋" w:cs="仿宋"/>
          <w:color w:val="auto"/>
          <w:kern w:val="0"/>
          <w:sz w:val="24"/>
          <w:szCs w:val="24"/>
          <w:highlight w:val="none"/>
        </w:rPr>
        <w:t>，掌握评标标准和方法。</w:t>
      </w:r>
    </w:p>
    <w:p w14:paraId="6792C96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3.2.3.2 采购人或采购代理机构应当向评标委员会提供评标所需的信息和数据，包括：</w:t>
      </w:r>
    </w:p>
    <w:p w14:paraId="484EED9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（1）招标文件及其澄清修改等招标文件补充；</w:t>
      </w:r>
    </w:p>
    <w:p w14:paraId="537CCC0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（2）未在开标会上当场拒绝的各投标文件；</w:t>
      </w:r>
    </w:p>
    <w:p w14:paraId="4F72916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（3）开标会记录；</w:t>
      </w:r>
    </w:p>
    <w:p w14:paraId="36D69D5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（4）评标表格；</w:t>
      </w:r>
    </w:p>
    <w:p w14:paraId="2C7EFB7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（5）其它信息和数据。</w:t>
      </w:r>
    </w:p>
    <w:p w14:paraId="4FCF8E5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3.3资格审查</w:t>
      </w:r>
    </w:p>
    <w:p w14:paraId="4FE7FF7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依据本章规定的评审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14:paraId="6B0495A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3.4完备性及符合性审查</w:t>
      </w:r>
    </w:p>
    <w:p w14:paraId="189B2A8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3.4.1 评标委员依据本章规定的评审因素和评审标准，对投标人的投标文件进行完备性及符合性审查。完备性及符合性审查有一项未通过评审标准，评标委员会将认定整个投标文件不响应招标文件而否决其投标，并且不允许投标人通过修改或撤销其不符合要求的差异或保留，使之成为具有响应性的投标。</w:t>
      </w:r>
    </w:p>
    <w:p w14:paraId="4666FF1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3.4.2 完备性及符合性审查条款是指对本招标项目产生了重大影响的重大偏差，而且纠正此类偏差将会对响应本次招标的其它投标人的竞争地位产生不公正的影响。</w:t>
      </w:r>
    </w:p>
    <w:p w14:paraId="53764BB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3.4.3细微偏差是指投标文件在实质上响应招标文件要求，但在个别地方存在疏漏或者提供了不完整的技术信息和数据等情况，并且补正这些遗漏和不完整不会对其它投标人造成不公平的结果。细微偏差不影响投标文件的有效性，评标委员会可要求存在细微偏差的投标人予以补正。</w:t>
      </w:r>
    </w:p>
    <w:p w14:paraId="473235B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3.4.4政府采购评审中出现下列情形之一的，评审委员会应当启动异常低价投标（响应）审查程序：</w:t>
      </w:r>
    </w:p>
    <w:p w14:paraId="0345399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.投标（响应）报价低于全部通过符合性审查</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投标（响应）报价平均值50%的，即投标（响应）报价&lt;全部通过符合性审查</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投标（响应）报价平均值×50%；</w:t>
      </w:r>
    </w:p>
    <w:p w14:paraId="5D6F6BE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.投标（响应）报价低于通过符合性审查的次低报价</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投标（响应）报价50%的，即投标（响应）报价&lt;通过符合性审查的次低报价</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投标（响应）报价×50%；</w:t>
      </w:r>
    </w:p>
    <w:p w14:paraId="2B4B5BF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.投标（响应）报价低于采购项目最高限价45%的，即投标（响应）报价&lt;采购项目最高限价×45%；</w:t>
      </w:r>
    </w:p>
    <w:p w14:paraId="4A7A083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.评审委员会基于专业判断，认为</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报价过低，有可能影响产品质量或者不能诚信履约的其他情形。</w:t>
      </w:r>
    </w:p>
    <w:p w14:paraId="5BA4D56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3.4.5评审委员会启动异常低价投标（响应）审查后，属于前述第1项至第4项情形的，应当要求相关投标人在评审现场合理的时间内对投标（响应）价格作出解释，提供项目具体成本测算等与报价合理性相关的书面说明及必要的证明材料，包括但不限于原材料成本、人工成本、制造费用等，给予相关投标人的合理时间一般不少于30分钟。其中，属于第3项情形，投标人已随投标（响应）文件一并提交相关书面说明及必要的证明材料的，在评审现场可不再重复提交。</w:t>
      </w:r>
    </w:p>
    <w:p w14:paraId="362F009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3.4.6评审委员会依据专业经验，参考同类项目中标（成交）价格、类似产品市场价格水平、行业人工费用标准、国家有关部门指导行业协会发布的行业平均成本等情况，对报价合理性进行判断。投标（响应）投标人不能提供书面说明、证明材料，或者提供的书面说明、证明材料不能证明其报价合理性的，评审委员会应当将其作为无效投标（响应）处理。</w:t>
      </w:r>
    </w:p>
    <w:p w14:paraId="2D9017E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详细评审</w:t>
      </w:r>
    </w:p>
    <w:p w14:paraId="498A022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.1.只有通过了资格审查、完备性及符合性审查</w:t>
      </w:r>
      <w:r>
        <w:rPr>
          <w:rFonts w:hint="eastAsia" w:ascii="仿宋" w:hAnsi="仿宋" w:eastAsia="仿宋" w:cs="仿宋"/>
          <w:color w:val="auto"/>
          <w:kern w:val="0"/>
          <w:sz w:val="24"/>
          <w:szCs w:val="24"/>
          <w:highlight w:val="none"/>
          <w:lang w:val="en-US" w:eastAsia="zh-CN"/>
        </w:rPr>
        <w:t>的投标人</w:t>
      </w:r>
      <w:r>
        <w:rPr>
          <w:rFonts w:hint="eastAsia" w:ascii="仿宋" w:hAnsi="仿宋" w:eastAsia="仿宋" w:cs="仿宋"/>
          <w:color w:val="auto"/>
          <w:kern w:val="0"/>
          <w:sz w:val="24"/>
          <w:szCs w:val="24"/>
          <w:highlight w:val="none"/>
        </w:rPr>
        <w:t>不少于3个方可进入详细评审。</w:t>
      </w:r>
    </w:p>
    <w:p w14:paraId="1F27C62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3.5</w:t>
      </w:r>
      <w:r>
        <w:rPr>
          <w:rFonts w:hint="eastAsia" w:ascii="仿宋" w:hAnsi="仿宋" w:eastAsia="仿宋" w:cs="仿宋"/>
          <w:color w:val="auto"/>
          <w:kern w:val="0"/>
          <w:sz w:val="24"/>
          <w:szCs w:val="24"/>
          <w:highlight w:val="none"/>
        </w:rPr>
        <w:t>.2 澄清、说明和补正</w:t>
      </w:r>
    </w:p>
    <w:p w14:paraId="6811C20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3.5</w:t>
      </w:r>
      <w:r>
        <w:rPr>
          <w:rFonts w:hint="eastAsia" w:ascii="仿宋" w:hAnsi="仿宋" w:eastAsia="仿宋" w:cs="仿宋"/>
          <w:color w:val="auto"/>
          <w:kern w:val="0"/>
          <w:sz w:val="24"/>
          <w:szCs w:val="24"/>
          <w:highlight w:val="none"/>
        </w:rPr>
        <w:t>.2.1在不改变投标人投标文件实质性内容的前提下，评标委员会应当对投标文件进行基础性数据分析和整理，从而发现并提取其中可能存在的对招标范围理解的偏差、技术响应偏离、投标价格的算术性错误、错漏项、投标价格构成不合理、不平衡报价等存在明显异常的问题。</w:t>
      </w:r>
    </w:p>
    <w:p w14:paraId="027940C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3.5</w:t>
      </w:r>
      <w:r>
        <w:rPr>
          <w:rFonts w:hint="eastAsia" w:ascii="仿宋" w:hAnsi="仿宋" w:eastAsia="仿宋" w:cs="仿宋"/>
          <w:color w:val="auto"/>
          <w:kern w:val="0"/>
          <w:sz w:val="24"/>
          <w:szCs w:val="24"/>
          <w:highlight w:val="none"/>
        </w:rPr>
        <w:t>.2.2澄清、说明和补正内容不得改变投标文件的实质性内容（算术性错误修正的除外）。投标人的书面澄清、说明和补正属于投标文件的组成部分。</w:t>
      </w:r>
    </w:p>
    <w:p w14:paraId="70432F1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3.5</w:t>
      </w:r>
      <w:r>
        <w:rPr>
          <w:rFonts w:hint="eastAsia" w:ascii="仿宋" w:hAnsi="仿宋" w:eastAsia="仿宋" w:cs="仿宋"/>
          <w:color w:val="auto"/>
          <w:kern w:val="0"/>
          <w:sz w:val="24"/>
          <w:szCs w:val="24"/>
          <w:highlight w:val="none"/>
        </w:rPr>
        <w:t>.2.3评标委员会针对需要投标人对所提交投标文件中不明确的内容进行书面澄清、说明或补正。澄清通知不得向投标人提出带有暗示性或诱导性问题，或向其明确投标文件中的遗漏和错误。投标人接到评标委员会发出的书面澄清通知后，应按评标委员会的要求提供书面澄清资料，并在规定的时间递交到指定地点。评标委员会不接受投标人主动提出的澄清、说明或补正。</w:t>
      </w:r>
    </w:p>
    <w:p w14:paraId="77612AA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3.5</w:t>
      </w:r>
      <w:r>
        <w:rPr>
          <w:rFonts w:hint="eastAsia" w:ascii="仿宋" w:hAnsi="仿宋" w:eastAsia="仿宋" w:cs="仿宋"/>
          <w:color w:val="auto"/>
          <w:kern w:val="0"/>
          <w:sz w:val="24"/>
          <w:szCs w:val="24"/>
          <w:highlight w:val="none"/>
        </w:rPr>
        <w:t>.2.4评标委员会对投标人提交的澄清、说明或补正有疑问的，可以要求投标人进一步澄清、说明或补正，直至满足评标委员会的要求。</w:t>
      </w:r>
    </w:p>
    <w:p w14:paraId="7B10DE9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3.5</w:t>
      </w:r>
      <w:r>
        <w:rPr>
          <w:rFonts w:hint="eastAsia" w:ascii="仿宋" w:hAnsi="仿宋" w:eastAsia="仿宋" w:cs="仿宋"/>
          <w:color w:val="auto"/>
          <w:kern w:val="0"/>
          <w:sz w:val="24"/>
          <w:szCs w:val="24"/>
          <w:highlight w:val="none"/>
        </w:rPr>
        <w:t>.3评委评分：评委按照《详细评审标准》评分，投标人详细评审得分等于全部评委评分的算术平均值。</w:t>
      </w:r>
    </w:p>
    <w:p w14:paraId="61EBCAB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3.5</w:t>
      </w:r>
      <w:r>
        <w:rPr>
          <w:rFonts w:hint="eastAsia" w:ascii="仿宋" w:hAnsi="仿宋" w:eastAsia="仿宋" w:cs="仿宋"/>
          <w:color w:val="auto"/>
          <w:kern w:val="0"/>
          <w:sz w:val="24"/>
          <w:szCs w:val="24"/>
          <w:highlight w:val="none"/>
        </w:rPr>
        <w:t>.4 算术错误修正：投标价格有算术错误或前后不一致的，评标委员会按以下原则对投标价格进行修正：</w:t>
      </w:r>
    </w:p>
    <w:p w14:paraId="025CDAE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电子交易平台中报价与</w:t>
      </w:r>
      <w:r>
        <w:rPr>
          <w:rFonts w:hint="eastAsia" w:ascii="仿宋" w:hAnsi="仿宋" w:eastAsia="仿宋" w:cs="仿宋"/>
          <w:color w:val="auto"/>
          <w:kern w:val="0"/>
          <w:sz w:val="24"/>
          <w:szCs w:val="24"/>
          <w:highlight w:val="none"/>
        </w:rPr>
        <w:t>投标文件相应内容不一致的，以投标文件为准；</w:t>
      </w:r>
    </w:p>
    <w:p w14:paraId="36AF96C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eastAsia="zh-CN"/>
        </w:rPr>
        <w:t>开标一览表</w:t>
      </w:r>
      <w:r>
        <w:rPr>
          <w:rFonts w:hint="eastAsia" w:ascii="仿宋" w:hAnsi="仿宋" w:eastAsia="仿宋" w:cs="仿宋"/>
          <w:color w:val="auto"/>
          <w:kern w:val="0"/>
          <w:sz w:val="24"/>
          <w:szCs w:val="24"/>
          <w:highlight w:val="none"/>
        </w:rPr>
        <w:t>与投标文件中相应内容不一致的，以</w:t>
      </w:r>
      <w:r>
        <w:rPr>
          <w:rFonts w:hint="eastAsia" w:ascii="仿宋" w:hAnsi="仿宋" w:eastAsia="仿宋" w:cs="仿宋"/>
          <w:color w:val="auto"/>
          <w:kern w:val="0"/>
          <w:sz w:val="24"/>
          <w:szCs w:val="24"/>
          <w:highlight w:val="none"/>
          <w:lang w:eastAsia="zh-CN"/>
        </w:rPr>
        <w:t>开标一览表</w:t>
      </w:r>
      <w:r>
        <w:rPr>
          <w:rFonts w:hint="eastAsia" w:ascii="仿宋" w:hAnsi="仿宋" w:eastAsia="仿宋" w:cs="仿宋"/>
          <w:color w:val="auto"/>
          <w:kern w:val="0"/>
          <w:sz w:val="24"/>
          <w:szCs w:val="24"/>
          <w:highlight w:val="none"/>
        </w:rPr>
        <w:t>为准；</w:t>
      </w:r>
    </w:p>
    <w:p w14:paraId="3872DFB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（3）大写金额和小写金额不一致的，以大写金额为准；</w:t>
      </w:r>
    </w:p>
    <w:p w14:paraId="1014B34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）单价金额小数点或者百分比有明显错位的，以</w:t>
      </w:r>
      <w:r>
        <w:rPr>
          <w:rFonts w:hint="eastAsia" w:ascii="仿宋" w:hAnsi="仿宋" w:eastAsia="仿宋" w:cs="仿宋"/>
          <w:color w:val="auto"/>
          <w:kern w:val="0"/>
          <w:sz w:val="24"/>
          <w:szCs w:val="24"/>
          <w:highlight w:val="none"/>
          <w:lang w:eastAsia="zh-CN"/>
        </w:rPr>
        <w:t>开标一览表</w:t>
      </w:r>
      <w:r>
        <w:rPr>
          <w:rFonts w:hint="eastAsia" w:ascii="仿宋" w:hAnsi="仿宋" w:eastAsia="仿宋" w:cs="仿宋"/>
          <w:color w:val="auto"/>
          <w:kern w:val="0"/>
          <w:sz w:val="24"/>
          <w:szCs w:val="24"/>
          <w:highlight w:val="none"/>
        </w:rPr>
        <w:t>的总价为准，并修改单价；</w:t>
      </w:r>
    </w:p>
    <w:p w14:paraId="50D3BBD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）总价金额与按单价汇总金额不一致的，以单价金额计算结果为准。</w:t>
      </w:r>
    </w:p>
    <w:p w14:paraId="409AF39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同时出现两种以上不一致的，按照</w:t>
      </w:r>
      <w:r>
        <w:rPr>
          <w:rFonts w:hint="eastAsia" w:ascii="仿宋" w:hAnsi="仿宋" w:eastAsia="仿宋" w:cs="仿宋"/>
          <w:color w:val="auto"/>
          <w:kern w:val="0"/>
          <w:sz w:val="24"/>
          <w:szCs w:val="24"/>
          <w:highlight w:val="none"/>
          <w:lang w:val="en-US" w:eastAsia="zh-CN"/>
        </w:rPr>
        <w:t>上述</w:t>
      </w:r>
      <w:r>
        <w:rPr>
          <w:rFonts w:hint="eastAsia" w:ascii="仿宋" w:hAnsi="仿宋" w:eastAsia="仿宋" w:cs="仿宋"/>
          <w:color w:val="auto"/>
          <w:kern w:val="0"/>
          <w:sz w:val="24"/>
          <w:szCs w:val="24"/>
          <w:highlight w:val="none"/>
        </w:rPr>
        <w:t>的顺序修正。修正后的报价经投标人确认后产生约束力，投标人不确认或不接受的，其投标无效。</w:t>
      </w:r>
    </w:p>
    <w:p w14:paraId="2AC8AD2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3.5</w:t>
      </w:r>
      <w:r>
        <w:rPr>
          <w:rFonts w:hint="eastAsia" w:ascii="仿宋" w:hAnsi="仿宋" w:eastAsia="仿宋" w:cs="仿宋"/>
          <w:color w:val="auto"/>
          <w:kern w:val="0"/>
          <w:sz w:val="24"/>
          <w:szCs w:val="24"/>
          <w:highlight w:val="none"/>
        </w:rPr>
        <w:t>.5投标报价评分：对投标报价进行投标报价得分计算，计算方法详见评标办法前附表。</w:t>
      </w:r>
    </w:p>
    <w:p w14:paraId="495D9A8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3.5</w:t>
      </w:r>
      <w:r>
        <w:rPr>
          <w:rFonts w:hint="eastAsia" w:ascii="仿宋" w:hAnsi="仿宋" w:eastAsia="仿宋" w:cs="仿宋"/>
          <w:color w:val="auto"/>
          <w:kern w:val="0"/>
          <w:sz w:val="24"/>
          <w:szCs w:val="24"/>
          <w:highlight w:val="none"/>
        </w:rPr>
        <w:t>.6汇总评分结果，评分分值计算保留小数点后两位，小数点后第三位“四舍五入”。</w:t>
      </w:r>
    </w:p>
    <w:p w14:paraId="42EED5E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3.5</w:t>
      </w:r>
      <w:r>
        <w:rPr>
          <w:rFonts w:hint="eastAsia" w:ascii="仿宋" w:hAnsi="仿宋" w:eastAsia="仿宋" w:cs="仿宋"/>
          <w:color w:val="auto"/>
          <w:kern w:val="0"/>
          <w:sz w:val="24"/>
          <w:szCs w:val="24"/>
          <w:highlight w:val="none"/>
        </w:rPr>
        <w:t>.7详细评审工作全部结束后，投标人总得分排序按照以下原则进行。</w:t>
      </w:r>
    </w:p>
    <w:p w14:paraId="563F1E6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.7.1按照总得分由高到低顺序对投标人进行排序；</w:t>
      </w:r>
    </w:p>
    <w:p w14:paraId="7DC54FD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.7.2总得分相同时报价低的投标人排序靠前；</w:t>
      </w:r>
    </w:p>
    <w:p w14:paraId="556E054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.7.3总得分相同且报价相同的投标人，由采购人确定排序顺序；</w:t>
      </w:r>
    </w:p>
    <w:p w14:paraId="11F34EB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推荐中标候选人及提交评标报告</w:t>
      </w:r>
    </w:p>
    <w:p w14:paraId="330A3A8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.1评标委员会推荐中标候选人，总得分排序第一的投标人将被确定为第一中标候选人，以此类推确定出规定数量的的中标候选人。</w:t>
      </w:r>
    </w:p>
    <w:p w14:paraId="5F17A18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.2当通过了资格审查、完备性及符合性审查后，投标</w:t>
      </w:r>
      <w:r>
        <w:rPr>
          <w:rFonts w:hint="eastAsia" w:ascii="仿宋" w:hAnsi="仿宋" w:eastAsia="仿宋" w:cs="仿宋"/>
          <w:color w:val="auto"/>
          <w:kern w:val="0"/>
          <w:sz w:val="24"/>
          <w:szCs w:val="24"/>
          <w:highlight w:val="none"/>
          <w:lang w:val="en-US" w:eastAsia="zh-CN"/>
        </w:rPr>
        <w:t>人</w:t>
      </w:r>
      <w:r>
        <w:rPr>
          <w:rFonts w:hint="eastAsia" w:ascii="仿宋" w:hAnsi="仿宋" w:eastAsia="仿宋" w:cs="仿宋"/>
          <w:color w:val="auto"/>
          <w:kern w:val="0"/>
          <w:sz w:val="24"/>
          <w:szCs w:val="24"/>
          <w:highlight w:val="none"/>
        </w:rPr>
        <w:t>少于3个时，采购人应当依法重新招标。</w:t>
      </w:r>
    </w:p>
    <w:p w14:paraId="5B463E9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.3 评标委员会完成评标后，应当向采购人提交书面评标报告。</w:t>
      </w:r>
    </w:p>
    <w:p w14:paraId="7F7115C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特殊情况的处置程序</w:t>
      </w:r>
    </w:p>
    <w:p w14:paraId="32CF165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.1 关于评标活动暂停</w:t>
      </w:r>
    </w:p>
    <w:p w14:paraId="64A3E0F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委员会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委员会继续评标。</w:t>
      </w:r>
    </w:p>
    <w:p w14:paraId="505F78A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.2关于评标中途更换评委</w:t>
      </w:r>
    </w:p>
    <w:p w14:paraId="5CE47EC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.2.1 除非发生下列情况之一，评标委员会成员不得在评标中途更换：</w:t>
      </w:r>
    </w:p>
    <w:p w14:paraId="1EFAB00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（1）因不可抗拒的客观原因，不能到场或需在评标中途退出评标活动。</w:t>
      </w:r>
    </w:p>
    <w:p w14:paraId="7266599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（2）根据法律法规规定，某个或某几个评标委员会成员需要回避。</w:t>
      </w:r>
    </w:p>
    <w:p w14:paraId="2ACC9F1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.2.2 退出评标的评标委员会成员，其已完成的评标行为无效，由更换的评委进行评标。</w:t>
      </w:r>
    </w:p>
    <w:p w14:paraId="33CA474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.3 在评标环节中，需评标委员会就某项定性的评审结论做出表决的，由评标委员会全体成员按照少数服从多数的原则确定。</w:t>
      </w:r>
    </w:p>
    <w:bookmarkEnd w:id="57"/>
    <w:p w14:paraId="4109DD7D">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7C1573D5">
      <w:pPr>
        <w:spacing w:line="440" w:lineRule="exact"/>
        <w:jc w:val="center"/>
        <w:outlineLvl w:val="0"/>
        <w:rPr>
          <w:rFonts w:hint="eastAsia" w:ascii="仿宋" w:hAnsi="仿宋" w:eastAsia="仿宋" w:cs="仿宋"/>
          <w:b/>
          <w:color w:val="auto"/>
          <w:sz w:val="24"/>
          <w:szCs w:val="24"/>
          <w:highlight w:val="none"/>
          <w:lang w:val="en-US" w:eastAsia="zh-CN"/>
        </w:rPr>
      </w:pPr>
      <w:bookmarkStart w:id="66" w:name="_Toc11142"/>
      <w:bookmarkStart w:id="67" w:name="_Toc20380"/>
      <w:r>
        <w:rPr>
          <w:rFonts w:hint="eastAsia" w:ascii="仿宋" w:hAnsi="仿宋" w:eastAsia="仿宋" w:cs="仿宋"/>
          <w:b/>
          <w:color w:val="auto"/>
          <w:sz w:val="24"/>
          <w:szCs w:val="24"/>
          <w:highlight w:val="none"/>
        </w:rPr>
        <w:t>第三章 合同</w:t>
      </w:r>
      <w:r>
        <w:rPr>
          <w:rFonts w:hint="eastAsia" w:ascii="仿宋" w:hAnsi="仿宋" w:eastAsia="仿宋" w:cs="仿宋"/>
          <w:b/>
          <w:color w:val="auto"/>
          <w:sz w:val="24"/>
          <w:szCs w:val="24"/>
          <w:highlight w:val="none"/>
          <w:lang w:val="en-US" w:eastAsia="zh-CN"/>
        </w:rPr>
        <w:t>文本</w:t>
      </w:r>
      <w:bookmarkEnd w:id="66"/>
    </w:p>
    <w:p w14:paraId="23626387">
      <w:pPr>
        <w:rPr>
          <w:rFonts w:hint="eastAsia" w:ascii="仿宋" w:hAnsi="仿宋" w:eastAsia="仿宋" w:cs="仿宋"/>
          <w:color w:val="auto"/>
          <w:highlight w:val="none"/>
        </w:rPr>
      </w:pPr>
    </w:p>
    <w:p w14:paraId="28AF7A80">
      <w:pPr>
        <w:jc w:val="center"/>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注：本合同文本供参考，具体内容以双方签订的为准</w:t>
      </w:r>
      <w:r>
        <w:rPr>
          <w:rFonts w:hint="eastAsia" w:ascii="仿宋" w:hAnsi="仿宋" w:eastAsia="仿宋" w:cs="仿宋"/>
          <w:b w:val="0"/>
          <w:bCs w:val="0"/>
          <w:color w:val="auto"/>
          <w:sz w:val="24"/>
          <w:szCs w:val="24"/>
          <w:highlight w:val="none"/>
          <w:lang w:eastAsia="zh-CN"/>
        </w:rPr>
        <w:t>。</w:t>
      </w:r>
    </w:p>
    <w:p w14:paraId="3DD6E034">
      <w:pPr>
        <w:widowControl/>
        <w:jc w:val="center"/>
        <w:rPr>
          <w:rFonts w:hint="eastAsia" w:ascii="仿宋" w:hAnsi="仿宋" w:eastAsia="仿宋" w:cs="仿宋"/>
          <w:b/>
          <w:bCs/>
          <w:color w:val="auto"/>
          <w:sz w:val="52"/>
          <w:szCs w:val="52"/>
          <w:highlight w:val="none"/>
          <w:lang w:val="en-US"/>
        </w:rPr>
      </w:pPr>
    </w:p>
    <w:p w14:paraId="15AB8A73">
      <w:pPr>
        <w:widowControl/>
        <w:jc w:val="center"/>
        <w:rPr>
          <w:rFonts w:hint="eastAsia" w:ascii="仿宋" w:hAnsi="仿宋" w:eastAsia="仿宋" w:cs="仿宋"/>
          <w:b/>
          <w:bCs/>
          <w:color w:val="auto"/>
          <w:sz w:val="52"/>
          <w:szCs w:val="52"/>
          <w:highlight w:val="none"/>
          <w:lang w:val="en-US"/>
        </w:rPr>
      </w:pPr>
    </w:p>
    <w:p w14:paraId="697A2F25">
      <w:pPr>
        <w:widowControl/>
        <w:jc w:val="center"/>
        <w:rPr>
          <w:rFonts w:hint="eastAsia" w:ascii="仿宋" w:hAnsi="仿宋" w:eastAsia="仿宋" w:cs="仿宋"/>
          <w:b/>
          <w:bCs/>
          <w:color w:val="auto"/>
          <w:sz w:val="52"/>
          <w:szCs w:val="52"/>
          <w:highlight w:val="none"/>
          <w:lang w:val="en-US"/>
        </w:rPr>
      </w:pPr>
      <w:r>
        <w:rPr>
          <w:rFonts w:hint="eastAsia" w:ascii="仿宋" w:hAnsi="仿宋" w:eastAsia="仿宋" w:cs="仿宋"/>
          <w:b/>
          <w:bCs/>
          <w:color w:val="auto"/>
          <w:sz w:val="52"/>
          <w:szCs w:val="52"/>
          <w:highlight w:val="none"/>
          <w:lang w:val="en-US"/>
        </w:rPr>
        <w:t>新疆畜牧兽医大数据平台</w:t>
      </w:r>
    </w:p>
    <w:p w14:paraId="279E8096">
      <w:pPr>
        <w:widowControl/>
        <w:jc w:val="center"/>
        <w:rPr>
          <w:rFonts w:hint="eastAsia" w:ascii="仿宋" w:hAnsi="仿宋" w:eastAsia="仿宋" w:cs="仿宋"/>
          <w:b/>
          <w:bCs/>
          <w:color w:val="auto"/>
          <w:sz w:val="52"/>
          <w:szCs w:val="52"/>
          <w:highlight w:val="none"/>
        </w:rPr>
      </w:pPr>
      <w:r>
        <w:rPr>
          <w:rFonts w:hint="eastAsia" w:ascii="仿宋" w:hAnsi="仿宋" w:eastAsia="仿宋" w:cs="仿宋"/>
          <w:b/>
          <w:bCs/>
          <w:color w:val="auto"/>
          <w:sz w:val="52"/>
          <w:szCs w:val="52"/>
          <w:highlight w:val="none"/>
          <w:lang w:val="en-US" w:eastAsia="zh-CN"/>
        </w:rPr>
        <w:t>运行维护</w:t>
      </w:r>
      <w:r>
        <w:rPr>
          <w:rFonts w:hint="eastAsia" w:ascii="仿宋" w:hAnsi="仿宋" w:eastAsia="仿宋" w:cs="仿宋"/>
          <w:b/>
          <w:bCs/>
          <w:color w:val="auto"/>
          <w:sz w:val="52"/>
          <w:szCs w:val="52"/>
          <w:highlight w:val="none"/>
        </w:rPr>
        <w:t>服务合同</w:t>
      </w:r>
    </w:p>
    <w:p w14:paraId="01276A9D">
      <w:pPr>
        <w:widowControl/>
        <w:jc w:val="center"/>
        <w:rPr>
          <w:rFonts w:hint="eastAsia" w:ascii="仿宋" w:hAnsi="仿宋" w:eastAsia="仿宋" w:cs="仿宋"/>
          <w:b/>
          <w:bCs/>
          <w:color w:val="auto"/>
          <w:sz w:val="52"/>
          <w:szCs w:val="52"/>
          <w:highlight w:val="none"/>
        </w:rPr>
      </w:pPr>
    </w:p>
    <w:p w14:paraId="2986FA10">
      <w:pPr>
        <w:widowControl/>
        <w:jc w:val="left"/>
        <w:rPr>
          <w:rFonts w:hint="eastAsia" w:ascii="仿宋" w:hAnsi="仿宋" w:eastAsia="仿宋" w:cs="仿宋"/>
          <w:b/>
          <w:bCs/>
          <w:color w:val="auto"/>
          <w:sz w:val="32"/>
          <w:szCs w:val="32"/>
          <w:highlight w:val="none"/>
        </w:rPr>
      </w:pPr>
    </w:p>
    <w:p w14:paraId="54130475">
      <w:pPr>
        <w:widowControl/>
        <w:jc w:val="left"/>
        <w:rPr>
          <w:rFonts w:hint="eastAsia" w:ascii="仿宋" w:hAnsi="仿宋" w:eastAsia="仿宋" w:cs="仿宋"/>
          <w:b/>
          <w:bCs/>
          <w:color w:val="auto"/>
          <w:sz w:val="32"/>
          <w:szCs w:val="32"/>
          <w:highlight w:val="none"/>
        </w:rPr>
      </w:pPr>
    </w:p>
    <w:p w14:paraId="594FE17E">
      <w:pPr>
        <w:widowControl/>
        <w:ind w:firstLine="964" w:firstLineChars="300"/>
        <w:jc w:val="left"/>
        <w:rPr>
          <w:rFonts w:hint="eastAsia" w:ascii="仿宋" w:hAnsi="仿宋" w:eastAsia="仿宋" w:cs="仿宋"/>
          <w:b/>
          <w:bCs/>
          <w:color w:val="auto"/>
          <w:sz w:val="32"/>
          <w:szCs w:val="32"/>
          <w:highlight w:val="none"/>
          <w:u w:val="single"/>
          <w:lang w:val="en-US" w:eastAsia="zh-CN"/>
        </w:rPr>
      </w:pPr>
      <w:r>
        <w:rPr>
          <w:rFonts w:hint="eastAsia" w:ascii="仿宋" w:hAnsi="仿宋" w:eastAsia="仿宋" w:cs="仿宋"/>
          <w:b/>
          <w:bCs/>
          <w:color w:val="auto"/>
          <w:sz w:val="32"/>
          <w:szCs w:val="32"/>
          <w:highlight w:val="none"/>
        </w:rPr>
        <w:t>甲方：</w:t>
      </w:r>
      <w:r>
        <w:rPr>
          <w:rFonts w:hint="eastAsia" w:ascii="仿宋" w:hAnsi="仿宋" w:eastAsia="仿宋" w:cs="仿宋"/>
          <w:b/>
          <w:bCs/>
          <w:color w:val="auto"/>
          <w:sz w:val="32"/>
          <w:szCs w:val="32"/>
          <w:highlight w:val="none"/>
          <w:u w:val="single"/>
        </w:rPr>
        <w:t xml:space="preserve">  </w:t>
      </w:r>
      <w:r>
        <w:rPr>
          <w:rFonts w:hint="eastAsia" w:ascii="仿宋" w:hAnsi="仿宋" w:eastAsia="仿宋" w:cs="仿宋"/>
          <w:b/>
          <w:bCs/>
          <w:color w:val="auto"/>
          <w:sz w:val="32"/>
          <w:szCs w:val="32"/>
          <w:highlight w:val="none"/>
          <w:u w:val="single"/>
          <w:lang w:val="en-US" w:eastAsia="zh-CN"/>
        </w:rPr>
        <w:t>新疆维吾尔自治区畜牧总站</w:t>
      </w:r>
      <w:r>
        <w:rPr>
          <w:rFonts w:hint="eastAsia" w:ascii="仿宋" w:hAnsi="仿宋" w:eastAsia="仿宋" w:cs="仿宋"/>
          <w:b/>
          <w:bCs/>
          <w:color w:val="auto"/>
          <w:sz w:val="32"/>
          <w:szCs w:val="32"/>
          <w:highlight w:val="none"/>
          <w:u w:val="single"/>
        </w:rPr>
        <w:t xml:space="preserve">       </w:t>
      </w:r>
      <w:r>
        <w:rPr>
          <w:rFonts w:hint="eastAsia" w:ascii="仿宋" w:hAnsi="仿宋" w:eastAsia="仿宋" w:cs="仿宋"/>
          <w:b/>
          <w:bCs/>
          <w:color w:val="auto"/>
          <w:sz w:val="32"/>
          <w:szCs w:val="32"/>
          <w:highlight w:val="none"/>
          <w:u w:val="single"/>
          <w:lang w:val="en-US" w:eastAsia="zh-CN"/>
        </w:rPr>
        <w:t xml:space="preserve"> </w:t>
      </w:r>
    </w:p>
    <w:p w14:paraId="7450E040">
      <w:pPr>
        <w:widowControl/>
        <w:jc w:val="left"/>
        <w:rPr>
          <w:rFonts w:hint="eastAsia" w:ascii="仿宋" w:hAnsi="仿宋" w:eastAsia="仿宋" w:cs="仿宋"/>
          <w:b/>
          <w:bCs/>
          <w:color w:val="auto"/>
          <w:sz w:val="32"/>
          <w:szCs w:val="32"/>
          <w:highlight w:val="none"/>
          <w:u w:val="single"/>
        </w:rPr>
      </w:pPr>
    </w:p>
    <w:p w14:paraId="65F67621">
      <w:pPr>
        <w:widowControl/>
        <w:jc w:val="left"/>
        <w:rPr>
          <w:rFonts w:hint="eastAsia" w:ascii="仿宋" w:hAnsi="仿宋" w:eastAsia="仿宋" w:cs="仿宋"/>
          <w:b/>
          <w:bCs/>
          <w:color w:val="auto"/>
          <w:sz w:val="32"/>
          <w:szCs w:val="32"/>
          <w:highlight w:val="none"/>
          <w:u w:val="single"/>
        </w:rPr>
      </w:pPr>
    </w:p>
    <w:p w14:paraId="2AB9375A">
      <w:pPr>
        <w:widowControl/>
        <w:ind w:firstLine="964" w:firstLineChars="300"/>
        <w:jc w:val="left"/>
        <w:rPr>
          <w:rFonts w:hint="eastAsia" w:ascii="仿宋" w:hAnsi="仿宋" w:eastAsia="仿宋" w:cs="仿宋"/>
          <w:b/>
          <w:bCs/>
          <w:color w:val="auto"/>
          <w:sz w:val="32"/>
          <w:szCs w:val="32"/>
          <w:highlight w:val="none"/>
          <w:u w:val="single"/>
        </w:rPr>
      </w:pPr>
      <w:r>
        <w:rPr>
          <w:rFonts w:hint="eastAsia" w:ascii="仿宋" w:hAnsi="仿宋" w:eastAsia="仿宋" w:cs="仿宋"/>
          <w:b/>
          <w:bCs/>
          <w:color w:val="auto"/>
          <w:sz w:val="32"/>
          <w:szCs w:val="32"/>
          <w:highlight w:val="none"/>
        </w:rPr>
        <w:t>乙方：</w:t>
      </w:r>
      <w:r>
        <w:rPr>
          <w:rFonts w:hint="eastAsia" w:ascii="仿宋" w:hAnsi="仿宋" w:eastAsia="仿宋" w:cs="仿宋"/>
          <w:b/>
          <w:bCs/>
          <w:color w:val="auto"/>
          <w:sz w:val="32"/>
          <w:szCs w:val="32"/>
          <w:highlight w:val="none"/>
          <w:u w:val="single"/>
        </w:rPr>
        <w:t xml:space="preserve"> </w:t>
      </w:r>
      <w:r>
        <w:rPr>
          <w:rFonts w:hint="eastAsia" w:ascii="仿宋" w:hAnsi="仿宋" w:eastAsia="仿宋" w:cs="仿宋"/>
          <w:b/>
          <w:bCs/>
          <w:color w:val="auto"/>
          <w:sz w:val="32"/>
          <w:szCs w:val="32"/>
          <w:highlight w:val="none"/>
          <w:u w:val="single"/>
          <w:lang w:val="en-US" w:eastAsia="zh-CN"/>
        </w:rPr>
        <w:t xml:space="preserve">                             </w:t>
      </w:r>
      <w:r>
        <w:rPr>
          <w:rFonts w:hint="eastAsia" w:ascii="仿宋" w:hAnsi="仿宋" w:eastAsia="仿宋" w:cs="仿宋"/>
          <w:b/>
          <w:bCs/>
          <w:color w:val="auto"/>
          <w:sz w:val="32"/>
          <w:szCs w:val="32"/>
          <w:highlight w:val="none"/>
          <w:u w:val="single"/>
        </w:rPr>
        <w:t xml:space="preserve">    </w:t>
      </w:r>
    </w:p>
    <w:p w14:paraId="33D657BF">
      <w:pPr>
        <w:widowControl/>
        <w:jc w:val="left"/>
        <w:rPr>
          <w:rFonts w:hint="eastAsia" w:ascii="仿宋" w:hAnsi="仿宋" w:eastAsia="仿宋" w:cs="仿宋"/>
          <w:b/>
          <w:bCs/>
          <w:color w:val="auto"/>
          <w:sz w:val="32"/>
          <w:szCs w:val="32"/>
          <w:highlight w:val="none"/>
          <w:u w:val="single"/>
        </w:rPr>
      </w:pPr>
    </w:p>
    <w:p w14:paraId="2DD301D2">
      <w:pPr>
        <w:widowControl/>
        <w:jc w:val="left"/>
        <w:rPr>
          <w:rFonts w:hint="eastAsia" w:ascii="仿宋" w:hAnsi="仿宋" w:eastAsia="仿宋" w:cs="仿宋"/>
          <w:b/>
          <w:bCs/>
          <w:color w:val="auto"/>
          <w:sz w:val="32"/>
          <w:szCs w:val="32"/>
          <w:highlight w:val="none"/>
          <w:u w:val="single"/>
        </w:rPr>
      </w:pPr>
    </w:p>
    <w:p w14:paraId="0CFF8C0D">
      <w:pPr>
        <w:widowControl/>
        <w:jc w:val="left"/>
        <w:rPr>
          <w:rFonts w:hint="eastAsia" w:ascii="仿宋" w:hAnsi="仿宋" w:eastAsia="仿宋" w:cs="仿宋"/>
          <w:b/>
          <w:bCs/>
          <w:color w:val="auto"/>
          <w:sz w:val="32"/>
          <w:szCs w:val="32"/>
          <w:highlight w:val="none"/>
          <w:u w:val="single"/>
        </w:rPr>
      </w:pPr>
    </w:p>
    <w:p w14:paraId="60305D53">
      <w:pPr>
        <w:widowControl/>
        <w:jc w:val="left"/>
        <w:rPr>
          <w:rFonts w:hint="eastAsia" w:ascii="仿宋" w:hAnsi="仿宋" w:eastAsia="仿宋" w:cs="仿宋"/>
          <w:b/>
          <w:bCs/>
          <w:color w:val="auto"/>
          <w:sz w:val="32"/>
          <w:szCs w:val="32"/>
          <w:highlight w:val="none"/>
          <w:u w:val="single"/>
        </w:rPr>
      </w:pPr>
    </w:p>
    <w:p w14:paraId="6640FDD0">
      <w:pPr>
        <w:widowControl/>
        <w:jc w:val="center"/>
        <w:rPr>
          <w:rFonts w:hint="eastAsia" w:ascii="仿宋" w:hAnsi="仿宋" w:eastAsia="仿宋" w:cs="仿宋"/>
          <w:b/>
          <w:bCs/>
          <w:color w:val="auto"/>
          <w:sz w:val="52"/>
          <w:szCs w:val="52"/>
          <w:highlight w:val="none"/>
        </w:rPr>
      </w:pPr>
      <w:r>
        <w:rPr>
          <w:rFonts w:hint="eastAsia" w:ascii="仿宋" w:hAnsi="仿宋" w:eastAsia="仿宋" w:cs="仿宋"/>
          <w:b/>
          <w:bCs/>
          <w:color w:val="auto"/>
          <w:sz w:val="32"/>
          <w:szCs w:val="32"/>
          <w:highlight w:val="none"/>
        </w:rPr>
        <w:t>合同日期：</w:t>
      </w:r>
      <w:r>
        <w:rPr>
          <w:rFonts w:hint="eastAsia" w:ascii="仿宋" w:hAnsi="仿宋" w:eastAsia="仿宋" w:cs="仿宋"/>
          <w:b/>
          <w:bCs/>
          <w:color w:val="auto"/>
          <w:sz w:val="32"/>
          <w:szCs w:val="32"/>
          <w:highlight w:val="none"/>
          <w:lang w:val="en-US" w:eastAsia="zh-CN"/>
        </w:rPr>
        <w:t xml:space="preserve">   </w:t>
      </w:r>
      <w:r>
        <w:rPr>
          <w:rFonts w:hint="eastAsia" w:ascii="仿宋" w:hAnsi="仿宋" w:eastAsia="仿宋" w:cs="仿宋"/>
          <w:b/>
          <w:bCs/>
          <w:color w:val="auto"/>
          <w:sz w:val="32"/>
          <w:szCs w:val="32"/>
          <w:highlight w:val="none"/>
        </w:rPr>
        <w:t>年</w:t>
      </w:r>
      <w:r>
        <w:rPr>
          <w:rFonts w:hint="eastAsia" w:ascii="仿宋" w:hAnsi="仿宋" w:eastAsia="仿宋" w:cs="仿宋"/>
          <w:b/>
          <w:bCs/>
          <w:color w:val="auto"/>
          <w:sz w:val="32"/>
          <w:szCs w:val="32"/>
          <w:highlight w:val="none"/>
          <w:lang w:val="en-US" w:eastAsia="zh-CN"/>
        </w:rPr>
        <w:t xml:space="preserve">  </w:t>
      </w:r>
      <w:r>
        <w:rPr>
          <w:rFonts w:hint="eastAsia" w:ascii="仿宋" w:hAnsi="仿宋" w:eastAsia="仿宋" w:cs="仿宋"/>
          <w:b/>
          <w:bCs/>
          <w:color w:val="auto"/>
          <w:sz w:val="32"/>
          <w:szCs w:val="32"/>
          <w:highlight w:val="none"/>
        </w:rPr>
        <w:t>月  日</w:t>
      </w:r>
      <w:r>
        <w:rPr>
          <w:rFonts w:hint="eastAsia" w:ascii="仿宋" w:hAnsi="仿宋" w:eastAsia="仿宋" w:cs="仿宋"/>
          <w:b/>
          <w:bCs/>
          <w:color w:val="auto"/>
          <w:sz w:val="52"/>
          <w:szCs w:val="52"/>
          <w:highlight w:val="none"/>
        </w:rPr>
        <w:br w:type="page"/>
      </w:r>
    </w:p>
    <w:p w14:paraId="78873437">
      <w:pPr>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val="0"/>
          <w:bCs w:val="0"/>
          <w:color w:val="auto"/>
          <w:sz w:val="24"/>
          <w:szCs w:val="24"/>
          <w:highlight w:val="none"/>
        </w:rPr>
        <w:t>新疆畜牧兽医大数据平台运维</w:t>
      </w:r>
      <w:r>
        <w:rPr>
          <w:rFonts w:hint="eastAsia" w:ascii="仿宋" w:hAnsi="仿宋" w:eastAsia="仿宋" w:cs="仿宋"/>
          <w:b w:val="0"/>
          <w:bCs w:val="0"/>
          <w:color w:val="auto"/>
          <w:sz w:val="24"/>
          <w:szCs w:val="24"/>
          <w:highlight w:val="none"/>
          <w:lang w:val="en-US" w:eastAsia="zh-CN"/>
        </w:rPr>
        <w:t>维护</w:t>
      </w:r>
      <w:r>
        <w:rPr>
          <w:rFonts w:hint="eastAsia" w:ascii="仿宋" w:hAnsi="仿宋" w:eastAsia="仿宋" w:cs="仿宋"/>
          <w:b w:val="0"/>
          <w:bCs w:val="0"/>
          <w:color w:val="auto"/>
          <w:sz w:val="24"/>
          <w:szCs w:val="24"/>
          <w:highlight w:val="none"/>
        </w:rPr>
        <w:t>服务合同</w:t>
      </w:r>
    </w:p>
    <w:p w14:paraId="4AC7EBC8">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40BDF57F">
      <w:pPr>
        <w:spacing w:line="360" w:lineRule="auto"/>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新疆维吾尔自治区畜牧总站</w:t>
      </w:r>
      <w:r>
        <w:rPr>
          <w:rFonts w:hint="eastAsia" w:ascii="仿宋" w:hAnsi="仿宋" w:eastAsia="仿宋" w:cs="仿宋"/>
          <w:color w:val="auto"/>
          <w:sz w:val="24"/>
          <w:szCs w:val="24"/>
          <w:highlight w:val="none"/>
          <w:u w:val="single"/>
        </w:rPr>
        <w:t xml:space="preserve">                       </w:t>
      </w:r>
    </w:p>
    <w:p w14:paraId="6C28838D">
      <w:pPr>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项目联系人：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刘鸽</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联系方式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17690991600</w:t>
      </w:r>
      <w:r>
        <w:rPr>
          <w:rFonts w:hint="eastAsia" w:ascii="仿宋" w:hAnsi="仿宋" w:eastAsia="仿宋" w:cs="仿宋"/>
          <w:color w:val="auto"/>
          <w:sz w:val="24"/>
          <w:szCs w:val="24"/>
          <w:highlight w:val="none"/>
          <w:u w:val="single"/>
        </w:rPr>
        <w:t xml:space="preserve">   </w:t>
      </w:r>
    </w:p>
    <w:p w14:paraId="76EDB9FD">
      <w:pPr>
        <w:spacing w:line="360" w:lineRule="auto"/>
        <w:ind w:left="1960" w:hanging="1680" w:hangingChars="7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通讯地址：</w:t>
      </w:r>
      <w:r>
        <w:rPr>
          <w:rFonts w:hint="eastAsia" w:ascii="仿宋" w:hAnsi="仿宋" w:eastAsia="仿宋" w:cs="仿宋"/>
          <w:color w:val="auto"/>
          <w:sz w:val="24"/>
          <w:szCs w:val="24"/>
          <w:highlight w:val="none"/>
          <w:u w:val="single"/>
        </w:rPr>
        <w:t xml:space="preserve">    新疆乌鲁木齐市沙依巴克区西山东街476号沃美广场4楼新疆维吾尔自治区畜牧总站               </w:t>
      </w:r>
    </w:p>
    <w:p w14:paraId="0E0C8858">
      <w:pPr>
        <w:spacing w:line="360" w:lineRule="auto"/>
        <w:rPr>
          <w:rFonts w:hint="eastAsia" w:ascii="仿宋" w:hAnsi="仿宋" w:eastAsia="仿宋" w:cs="仿宋"/>
          <w:color w:val="auto"/>
          <w:sz w:val="24"/>
          <w:szCs w:val="24"/>
          <w:highlight w:val="none"/>
        </w:rPr>
      </w:pPr>
    </w:p>
    <w:p w14:paraId="6A32E39B">
      <w:pPr>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乙方：</w:t>
      </w:r>
      <w:r>
        <w:rPr>
          <w:rFonts w:hint="eastAsia" w:ascii="仿宋" w:hAnsi="仿宋" w:eastAsia="仿宋" w:cs="仿宋"/>
          <w:color w:val="auto"/>
          <w:sz w:val="24"/>
          <w:szCs w:val="24"/>
          <w:highlight w:val="none"/>
          <w:u w:val="single"/>
        </w:rPr>
        <w:t xml:space="preserve">                             </w:t>
      </w:r>
    </w:p>
    <w:p w14:paraId="6B7F4BD1">
      <w:pPr>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法定代表人：</w:t>
      </w:r>
      <w:r>
        <w:rPr>
          <w:rFonts w:hint="eastAsia" w:ascii="仿宋" w:hAnsi="仿宋" w:eastAsia="仿宋" w:cs="仿宋"/>
          <w:color w:val="auto"/>
          <w:sz w:val="24"/>
          <w:szCs w:val="24"/>
          <w:highlight w:val="none"/>
          <w:u w:val="single"/>
        </w:rPr>
        <w:t xml:space="preserve">                                   </w:t>
      </w:r>
    </w:p>
    <w:p w14:paraId="02FAC92C">
      <w:pPr>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项目联系人：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联系方式 ：</w:t>
      </w:r>
      <w:r>
        <w:rPr>
          <w:rFonts w:hint="eastAsia" w:ascii="仿宋" w:hAnsi="仿宋" w:eastAsia="仿宋" w:cs="仿宋"/>
          <w:color w:val="auto"/>
          <w:sz w:val="24"/>
          <w:szCs w:val="24"/>
          <w:highlight w:val="none"/>
          <w:u w:val="single"/>
        </w:rPr>
        <w:t xml:space="preserve">                  </w:t>
      </w:r>
    </w:p>
    <w:p w14:paraId="15470546">
      <w:pPr>
        <w:spacing w:line="36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 xml:space="preserve">     通讯地址：</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p>
    <w:p w14:paraId="2B67740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甲乙双方、经过平等协商，在真实、充分地表达各自意愿的基础上，根据《中华人民共和国民法典》</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中华人民共和国</w:t>
      </w:r>
      <w:r>
        <w:rPr>
          <w:rFonts w:hint="eastAsia" w:ascii="仿宋" w:hAnsi="仿宋" w:eastAsia="仿宋" w:cs="仿宋"/>
          <w:color w:val="auto"/>
          <w:sz w:val="24"/>
          <w:szCs w:val="24"/>
          <w:highlight w:val="none"/>
          <w:lang w:val="en-US" w:eastAsia="zh-CN"/>
        </w:rPr>
        <w:t>数据安全法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中华人民共和国</w:t>
      </w:r>
      <w:r>
        <w:rPr>
          <w:rFonts w:hint="eastAsia" w:ascii="仿宋" w:hAnsi="仿宋" w:eastAsia="仿宋" w:cs="仿宋"/>
          <w:color w:val="auto"/>
          <w:sz w:val="24"/>
          <w:szCs w:val="24"/>
          <w:highlight w:val="none"/>
          <w:lang w:val="en-US" w:eastAsia="zh-CN"/>
        </w:rPr>
        <w:t>个人信息保护法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的规定，就“</w:t>
      </w:r>
      <w:r>
        <w:rPr>
          <w:rFonts w:hint="eastAsia" w:ascii="仿宋" w:hAnsi="仿宋" w:eastAsia="仿宋" w:cs="仿宋"/>
          <w:color w:val="auto"/>
          <w:sz w:val="24"/>
          <w:szCs w:val="24"/>
          <w:highlight w:val="none"/>
          <w:lang w:val="en-US" w:eastAsia="zh-CN"/>
        </w:rPr>
        <w:t>新疆畜牧兽医大数据平台</w:t>
      </w:r>
      <w:r>
        <w:rPr>
          <w:rFonts w:hint="eastAsia" w:ascii="仿宋" w:hAnsi="仿宋" w:eastAsia="仿宋" w:cs="仿宋"/>
          <w:color w:val="auto"/>
          <w:sz w:val="24"/>
          <w:szCs w:val="24"/>
          <w:highlight w:val="none"/>
        </w:rPr>
        <w:t>”（以下简称平台系统）的</w:t>
      </w:r>
      <w:r>
        <w:rPr>
          <w:rFonts w:hint="eastAsia" w:ascii="仿宋" w:hAnsi="仿宋" w:eastAsia="仿宋" w:cs="仿宋"/>
          <w:color w:val="auto"/>
          <w:sz w:val="24"/>
          <w:szCs w:val="24"/>
          <w:highlight w:val="none"/>
          <w:lang w:val="en-US" w:eastAsia="zh-CN"/>
        </w:rPr>
        <w:t>运行维护</w:t>
      </w:r>
      <w:r>
        <w:rPr>
          <w:rFonts w:hint="eastAsia" w:ascii="仿宋" w:hAnsi="仿宋" w:eastAsia="仿宋" w:cs="仿宋"/>
          <w:color w:val="auto"/>
          <w:sz w:val="24"/>
          <w:szCs w:val="24"/>
          <w:highlight w:val="none"/>
        </w:rPr>
        <w:t xml:space="preserve">服务达成以下合同内容。 </w:t>
      </w:r>
    </w:p>
    <w:p w14:paraId="24ED48BF">
      <w:pPr>
        <w:numPr>
          <w:ilvl w:val="0"/>
          <w:numId w:val="4"/>
        </w:numPr>
        <w:spacing w:line="360" w:lineRule="auto"/>
        <w:ind w:firstLine="56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定义：</w:t>
      </w:r>
    </w:p>
    <w:p w14:paraId="60DA9AD7">
      <w:pPr>
        <w:spacing w:line="360" w:lineRule="auto"/>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 “运维”是指乙方为甲方提供平台系统各项功能在生产管理中进行的运营与维护服务。</w:t>
      </w:r>
    </w:p>
    <w:p w14:paraId="451BD502">
      <w:pPr>
        <w:spacing w:line="360" w:lineRule="auto"/>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1.2 “维护”是指乙方为甲方提供基于系统的技术指导和解决产品故障等服务工作的总称。 </w:t>
      </w:r>
    </w:p>
    <w:p w14:paraId="5823E3AF">
      <w:pPr>
        <w:spacing w:line="360" w:lineRule="auto"/>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1.3 “远程维护”是指乙方根据甲方提出的技术问题通过电话或互联网向甲方提供问题解答和技术指导的过程。  </w:t>
      </w:r>
    </w:p>
    <w:p w14:paraId="176C3CF1">
      <w:pPr>
        <w:spacing w:line="360" w:lineRule="auto"/>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 “技术服务”是指乙方为了保障软件和系统正常运行，在服务时间内通过电话或互联网向甲方提供的援助或技术指导。包括</w:t>
      </w:r>
    </w:p>
    <w:p w14:paraId="57F6AD5E">
      <w:pPr>
        <w:numPr>
          <w:ilvl w:val="0"/>
          <w:numId w:val="5"/>
        </w:numPr>
        <w:spacing w:line="360" w:lineRule="auto"/>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澄清软件的功能和特点；</w:t>
      </w:r>
    </w:p>
    <w:p w14:paraId="10C38035">
      <w:pPr>
        <w:numPr>
          <w:ilvl w:val="0"/>
          <w:numId w:val="5"/>
        </w:numPr>
        <w:spacing w:line="360" w:lineRule="auto"/>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文档资料的澄清；</w:t>
      </w:r>
    </w:p>
    <w:p w14:paraId="071617AD">
      <w:pPr>
        <w:numPr>
          <w:ilvl w:val="0"/>
          <w:numId w:val="5"/>
        </w:numPr>
        <w:spacing w:line="360" w:lineRule="auto"/>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许可软件的操作指导；</w:t>
      </w:r>
    </w:p>
    <w:p w14:paraId="2B7FDC66">
      <w:pPr>
        <w:numPr>
          <w:ilvl w:val="0"/>
          <w:numId w:val="5"/>
        </w:numPr>
        <w:spacing w:line="360" w:lineRule="auto"/>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通过电话或互联网确认、分析和纠正错误。            </w:t>
      </w:r>
    </w:p>
    <w:p w14:paraId="24CC5877">
      <w:pPr>
        <w:spacing w:line="360" w:lineRule="auto"/>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1.5“响应时间”是指从乙方接到甲方服务请求之后，到与甲方进行沟通并对甲方做出服务承诺的时间。 </w:t>
      </w:r>
    </w:p>
    <w:p w14:paraId="3655FF98">
      <w:pPr>
        <w:spacing w:line="360" w:lineRule="auto"/>
        <w:ind w:firstLine="547" w:firstLineChars="22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1.6 “服务时间”是指乙方工作时间，每天10:00至19:30。  </w:t>
      </w:r>
    </w:p>
    <w:p w14:paraId="3FEAE4E0">
      <w:pPr>
        <w:spacing w:line="360" w:lineRule="auto"/>
        <w:ind w:firstLine="547" w:firstLineChars="22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 “保密信息”指双方签订的本合同及其所有附件和补充文件，所有软件、软件目录、文件、信息、数据、基准测试、技术规格、商业秘密，以及其他由甲、乙方各自专有的、且提供给对方的并明确标有“保密”字样的信息，包括由甲、乙方于本合同之前或之后签订的其他合同中规定为“保密信息”的所有项目。</w:t>
      </w:r>
    </w:p>
    <w:p w14:paraId="5D19F8A3">
      <w:pPr>
        <w:spacing w:line="360" w:lineRule="auto"/>
        <w:ind w:firstLine="547" w:firstLineChars="22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rPr>
        <w:t>第二条 提供运维与技术支持服务</w:t>
      </w:r>
    </w:p>
    <w:p w14:paraId="08EDED5B">
      <w:pPr>
        <w:spacing w:line="360" w:lineRule="auto"/>
        <w:ind w:firstLine="547" w:firstLineChars="22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 在甲方向乙方支付了相应的服务费以后，乙方将根据本合同的约定向甲方提供平台系统的功能运维与技术服务。乙方提供的运维服务为标准</w:t>
      </w:r>
      <w:r>
        <w:rPr>
          <w:rFonts w:hint="eastAsia" w:ascii="仿宋" w:hAnsi="仿宋" w:eastAsia="仿宋" w:cs="仿宋"/>
          <w:color w:val="auto"/>
          <w:sz w:val="24"/>
          <w:szCs w:val="24"/>
          <w:highlight w:val="none"/>
          <w:lang w:val="en-US" w:eastAsia="zh-CN"/>
        </w:rPr>
        <w:t>运行维护</w:t>
      </w:r>
      <w:r>
        <w:rPr>
          <w:rFonts w:hint="eastAsia" w:ascii="仿宋" w:hAnsi="仿宋" w:eastAsia="仿宋" w:cs="仿宋"/>
          <w:color w:val="auto"/>
          <w:sz w:val="24"/>
          <w:szCs w:val="24"/>
          <w:highlight w:val="none"/>
        </w:rPr>
        <w:t>服务（</w:t>
      </w:r>
      <w:r>
        <w:rPr>
          <w:rFonts w:hint="eastAsia" w:ascii="仿宋" w:hAnsi="仿宋" w:eastAsia="仿宋" w:cs="仿宋"/>
          <w:color w:val="auto"/>
          <w:sz w:val="24"/>
          <w:szCs w:val="24"/>
          <w:highlight w:val="none"/>
        </w:rPr>
        <w:t>具体内容见本合同附件一</w:t>
      </w:r>
      <w:r>
        <w:rPr>
          <w:rFonts w:hint="eastAsia" w:ascii="仿宋" w:hAnsi="仿宋" w:eastAsia="仿宋" w:cs="仿宋"/>
          <w:color w:val="auto"/>
          <w:sz w:val="24"/>
          <w:szCs w:val="24"/>
          <w:highlight w:val="none"/>
        </w:rPr>
        <w:t>）。除本合同另有明确约定以外，本合同所称</w:t>
      </w:r>
      <w:r>
        <w:rPr>
          <w:rFonts w:hint="eastAsia" w:ascii="仿宋" w:hAnsi="仿宋" w:eastAsia="仿宋" w:cs="仿宋"/>
          <w:color w:val="auto"/>
          <w:sz w:val="24"/>
          <w:szCs w:val="24"/>
          <w:highlight w:val="none"/>
          <w:lang w:val="en-US" w:eastAsia="zh-CN"/>
        </w:rPr>
        <w:t>运行维护</w:t>
      </w:r>
      <w:r>
        <w:rPr>
          <w:rFonts w:hint="eastAsia" w:ascii="仿宋" w:hAnsi="仿宋" w:eastAsia="仿宋" w:cs="仿宋"/>
          <w:color w:val="auto"/>
          <w:sz w:val="24"/>
          <w:szCs w:val="24"/>
          <w:highlight w:val="none"/>
        </w:rPr>
        <w:t xml:space="preserve">服务仅指标准服务。  </w:t>
      </w:r>
    </w:p>
    <w:p w14:paraId="1C3D0BAB">
      <w:pPr>
        <w:spacing w:line="360" w:lineRule="auto"/>
        <w:ind w:firstLine="547" w:firstLineChars="22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2.2 如果甲方需要乙方提供附加服务，甲乙双方应在本合同附件一中明确约定服务内容及服务费用。乙方将根据该约定向甲方提供附加服务。  </w:t>
      </w:r>
    </w:p>
    <w:p w14:paraId="6BB8FD6A">
      <w:pPr>
        <w:spacing w:line="360" w:lineRule="auto"/>
        <w:ind w:firstLine="547" w:firstLineChars="22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2.3 本合同附件一反映了本合同生效时乙方提供运维服务与技术支持的服务内容。所有改变（如有）将在当时的运维服务与技术服务合同期限届满之后才生效。在续签运维与技术服务合同之前，甲方有义务审查乙方当时有效的运维服务政策。 </w:t>
      </w:r>
    </w:p>
    <w:p w14:paraId="582DCE46">
      <w:pPr>
        <w:spacing w:line="360" w:lineRule="auto"/>
        <w:ind w:left="479" w:leftChars="228"/>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 xml:space="preserve">  第三条 合同期限</w:t>
      </w:r>
      <w:r>
        <w:rPr>
          <w:rFonts w:hint="eastAsia" w:ascii="仿宋" w:hAnsi="仿宋" w:eastAsia="仿宋" w:cs="仿宋"/>
          <w:color w:val="auto"/>
          <w:sz w:val="24"/>
          <w:szCs w:val="24"/>
          <w:highlight w:val="none"/>
        </w:rPr>
        <w:t xml:space="preserve">  </w:t>
      </w:r>
    </w:p>
    <w:p w14:paraId="4AE1FF84">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3.1 本合同有效期限为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年，从</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起开始计算。</w:t>
      </w:r>
    </w:p>
    <w:p w14:paraId="3A002B58">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3.2 本合同有效期限届满，如果甲方需要乙方继续提供系统运维服务，应提前一个月通知乙方续签维护服务合同。</w:t>
      </w:r>
    </w:p>
    <w:p w14:paraId="4DDA1997">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rPr>
        <w:t>第四条 服务费</w:t>
      </w:r>
      <w:r>
        <w:rPr>
          <w:rFonts w:hint="eastAsia" w:ascii="仿宋" w:hAnsi="仿宋" w:eastAsia="仿宋" w:cs="仿宋"/>
          <w:color w:val="auto"/>
          <w:sz w:val="24"/>
          <w:szCs w:val="24"/>
          <w:highlight w:val="none"/>
        </w:rPr>
        <w:t xml:space="preserve">  </w:t>
      </w:r>
    </w:p>
    <w:p w14:paraId="55EE7857">
      <w:pPr>
        <w:widowControl/>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4.1 根据本合同的约定，乙方向甲方提供的运维服务，甲方同意向乙方支付运维服务费（以下简称“服务费”）。合同总价款¥</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元人民币（大写：人民币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），款项按年支付，每年¥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元人民币（大写：人民币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p>
    <w:p w14:paraId="015B016E">
      <w:pPr>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乙方开户名称：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2C4CB61">
      <w:pPr>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开户银行名称：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0B0C08AB">
      <w:pPr>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帐号：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03623A54">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具体付款方式为：</w:t>
      </w:r>
    </w:p>
    <w:p w14:paraId="5E6361C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首年甲方需在合同签署后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15</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日内向乙方支付金额¥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元人民币（大写：人民币</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），后续每年应在合同到期前一个月向乙方支付约定的合同价款。</w:t>
      </w:r>
    </w:p>
    <w:p w14:paraId="6E59501C">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4.2 服务费不包括乙方服务人员为向甲方提供合同约定以外服务的费用支出，乙方在提供合同约定外服务的过程中实际发生的服务费、差旅费和食宿费由甲方报销。</w:t>
      </w:r>
    </w:p>
    <w:p w14:paraId="3A024FF6">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rPr>
        <w:t>第五条 责任限制与违约责任</w:t>
      </w:r>
      <w:r>
        <w:rPr>
          <w:rFonts w:hint="eastAsia" w:ascii="仿宋" w:hAnsi="仿宋" w:eastAsia="仿宋" w:cs="仿宋"/>
          <w:color w:val="auto"/>
          <w:sz w:val="24"/>
          <w:szCs w:val="24"/>
          <w:highlight w:val="none"/>
        </w:rPr>
        <w:t xml:space="preserve"> </w:t>
      </w:r>
    </w:p>
    <w:p w14:paraId="738F961B">
      <w:pPr>
        <w:spacing w:line="360" w:lineRule="auto"/>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 责任限制</w:t>
      </w:r>
    </w:p>
    <w:p w14:paraId="54A614D4">
      <w:pPr>
        <w:spacing w:line="360" w:lineRule="auto"/>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5.1.1 乙方在合同服务期限内，向甲方提供免费质保服务。 </w:t>
      </w:r>
    </w:p>
    <w:p w14:paraId="7A1DF4F7">
      <w:pPr>
        <w:spacing w:line="360" w:lineRule="auto"/>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5.1.2 乙方承诺根据本合同约定及时向甲方提供服务，但是对于因不可抗力因素导致的延误而给甲方造成的损失不承担任何责任。</w:t>
      </w:r>
    </w:p>
    <w:p w14:paraId="08C856BF">
      <w:pPr>
        <w:spacing w:line="360" w:lineRule="auto"/>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5.1.3 甲方应按合同约定支付货款。</w:t>
      </w:r>
    </w:p>
    <w:p w14:paraId="675523A1">
      <w:pPr>
        <w:spacing w:line="360" w:lineRule="auto"/>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5.2. 乙方违约责任  </w:t>
      </w:r>
    </w:p>
    <w:p w14:paraId="43E148C4">
      <w:pPr>
        <w:spacing w:line="360" w:lineRule="auto"/>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5.2.1 甲方有权对乙方不履行本合同条款的行为向乙方服务管理部门投诉；服务投诉电话：</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w:t>
      </w:r>
    </w:p>
    <w:p w14:paraId="30C2DC17">
      <w:pPr>
        <w:spacing w:line="360" w:lineRule="auto"/>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5.2.2 乙方的技术人员不按本合同约定履行服务时，甲方可向乙方投诉，在接到甲方投诉后，乙方根据投诉类型采取补救措施：</w:t>
      </w:r>
    </w:p>
    <w:p w14:paraId="65BF744B">
      <w:pPr>
        <w:numPr>
          <w:ilvl w:val="0"/>
          <w:numId w:val="6"/>
        </w:numPr>
        <w:spacing w:line="360" w:lineRule="auto"/>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可通过电话、远程支持解决的投诉，乙方在24小时内解决；</w:t>
      </w:r>
    </w:p>
    <w:p w14:paraId="3A9FF559">
      <w:pPr>
        <w:numPr>
          <w:ilvl w:val="0"/>
          <w:numId w:val="6"/>
        </w:numPr>
        <w:spacing w:line="360" w:lineRule="auto"/>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需技术服务人员到场服务的，乙方应在48小时内抵达甲方现场。</w:t>
      </w:r>
    </w:p>
    <w:p w14:paraId="3E213948">
      <w:pPr>
        <w:spacing w:line="360" w:lineRule="auto"/>
        <w:ind w:firstLine="56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第六条  保密条款</w:t>
      </w:r>
    </w:p>
    <w:p w14:paraId="7E503A19">
      <w:pPr>
        <w:adjustRightInd w:val="0"/>
        <w:snapToGrid w:val="0"/>
        <w:spacing w:line="360" w:lineRule="auto"/>
        <w:ind w:firstLine="480" w:firstLineChars="200"/>
        <w:rPr>
          <w:rFonts w:hint="eastAsia" w:ascii="仿宋" w:hAnsi="仿宋" w:eastAsia="仿宋" w:cs="仿宋"/>
          <w:snapToGrid w:val="0"/>
          <w:color w:val="auto"/>
          <w:kern w:val="0"/>
          <w:sz w:val="24"/>
          <w:szCs w:val="24"/>
          <w:highlight w:val="none"/>
        </w:rPr>
      </w:pPr>
      <w:r>
        <w:rPr>
          <w:rFonts w:hint="eastAsia" w:ascii="仿宋" w:hAnsi="仿宋" w:eastAsia="仿宋" w:cs="仿宋"/>
          <w:color w:val="auto"/>
          <w:sz w:val="24"/>
          <w:szCs w:val="24"/>
          <w:highlight w:val="none"/>
        </w:rPr>
        <w:t>6.1保密信</w:t>
      </w:r>
      <w:r>
        <w:rPr>
          <w:rFonts w:hint="eastAsia" w:ascii="仿宋" w:hAnsi="仿宋" w:eastAsia="仿宋" w:cs="仿宋"/>
          <w:snapToGrid w:val="0"/>
          <w:color w:val="auto"/>
          <w:kern w:val="0"/>
          <w:sz w:val="24"/>
          <w:szCs w:val="24"/>
          <w:highlight w:val="none"/>
        </w:rPr>
        <w:t>息包括但不限于技术性信息、商业性信息、文件、程序、计划、技术、图表、模型、参数、数据、标准、专有技术、业务或业务运作方法以及其他专有信息。</w:t>
      </w:r>
    </w:p>
    <w:p w14:paraId="4185C3D6">
      <w:pPr>
        <w:adjustRightInd w:val="0"/>
        <w:snapToGrid w:val="0"/>
        <w:spacing w:line="360" w:lineRule="auto"/>
        <w:ind w:firstLine="570"/>
        <w:rPr>
          <w:rFonts w:hint="eastAsia" w:ascii="仿宋" w:hAnsi="仿宋" w:eastAsia="仿宋" w:cs="仿宋"/>
          <w:snapToGrid w:val="0"/>
          <w:color w:val="auto"/>
          <w:kern w:val="0"/>
          <w:sz w:val="24"/>
          <w:szCs w:val="24"/>
          <w:highlight w:val="none"/>
        </w:rPr>
      </w:pPr>
      <w:r>
        <w:rPr>
          <w:rFonts w:hint="eastAsia" w:ascii="仿宋" w:hAnsi="仿宋" w:eastAsia="仿宋" w:cs="仿宋"/>
          <w:b/>
          <w:bCs/>
          <w:snapToGrid w:val="0"/>
          <w:color w:val="auto"/>
          <w:kern w:val="0"/>
          <w:sz w:val="24"/>
          <w:szCs w:val="24"/>
          <w:highlight w:val="none"/>
        </w:rPr>
        <w:t xml:space="preserve">6.2 </w:t>
      </w:r>
      <w:r>
        <w:rPr>
          <w:rFonts w:hint="eastAsia" w:ascii="仿宋" w:hAnsi="仿宋" w:eastAsia="仿宋" w:cs="仿宋"/>
          <w:snapToGrid w:val="0"/>
          <w:color w:val="auto"/>
          <w:kern w:val="0"/>
          <w:sz w:val="24"/>
          <w:szCs w:val="24"/>
          <w:highlight w:val="none"/>
        </w:rPr>
        <w:t>本合同的条款和与本合同有关的其他商业信息和技术信息，只能由甲乙双方的相关人员为本合同目的而使用。除本合同另有规定外，对于任意一方提供的任何保密信息，未经其书面同意，另一方不得直接或间接地以任何方式提供或披露给任何“第三方”。</w:t>
      </w:r>
    </w:p>
    <w:p w14:paraId="068BF2EC">
      <w:pPr>
        <w:adjustRightInd w:val="0"/>
        <w:snapToGrid w:val="0"/>
        <w:spacing w:line="360" w:lineRule="auto"/>
        <w:ind w:firstLine="570"/>
        <w:rPr>
          <w:rFonts w:hint="eastAsia" w:ascii="仿宋" w:hAnsi="仿宋" w:eastAsia="仿宋" w:cs="仿宋"/>
          <w:snapToGrid w:val="0"/>
          <w:color w:val="auto"/>
          <w:kern w:val="0"/>
          <w:sz w:val="24"/>
          <w:szCs w:val="24"/>
          <w:highlight w:val="none"/>
        </w:rPr>
      </w:pPr>
      <w:r>
        <w:rPr>
          <w:rFonts w:hint="eastAsia" w:ascii="仿宋" w:hAnsi="仿宋" w:eastAsia="仿宋" w:cs="仿宋"/>
          <w:b/>
          <w:bCs/>
          <w:snapToGrid w:val="0"/>
          <w:color w:val="auto"/>
          <w:kern w:val="0"/>
          <w:sz w:val="24"/>
          <w:szCs w:val="24"/>
          <w:highlight w:val="none"/>
        </w:rPr>
        <w:t xml:space="preserve">6.3 </w:t>
      </w:r>
      <w:r>
        <w:rPr>
          <w:rFonts w:hint="eastAsia" w:ascii="仿宋" w:hAnsi="仿宋" w:eastAsia="仿宋" w:cs="仿宋"/>
          <w:snapToGrid w:val="0"/>
          <w:color w:val="auto"/>
          <w:kern w:val="0"/>
          <w:sz w:val="24"/>
          <w:szCs w:val="24"/>
          <w:highlight w:val="none"/>
        </w:rPr>
        <w:t>在任何情形下，本条所规定的保密义务应永久持续有效。如相关政府部门或政府监管机构要求接受方披露任何保密信息，接受方可在该政府部门或机构要求的范围内做出披露而无需承担本合同项下的责任。</w:t>
      </w:r>
    </w:p>
    <w:p w14:paraId="60789F37">
      <w:pPr>
        <w:adjustRightInd w:val="0"/>
        <w:snapToGrid w:val="0"/>
        <w:spacing w:line="360" w:lineRule="auto"/>
        <w:ind w:firstLine="570"/>
        <w:rPr>
          <w:rFonts w:hint="eastAsia" w:ascii="仿宋" w:hAnsi="仿宋" w:eastAsia="仿宋" w:cs="仿宋"/>
          <w:snapToGrid w:val="0"/>
          <w:color w:val="auto"/>
          <w:kern w:val="0"/>
          <w:sz w:val="24"/>
          <w:szCs w:val="24"/>
          <w:highlight w:val="none"/>
        </w:rPr>
      </w:pPr>
      <w:r>
        <w:rPr>
          <w:rFonts w:hint="eastAsia" w:ascii="仿宋" w:hAnsi="仿宋" w:eastAsia="仿宋" w:cs="仿宋"/>
          <w:b/>
          <w:bCs/>
          <w:snapToGrid w:val="0"/>
          <w:color w:val="auto"/>
          <w:kern w:val="0"/>
          <w:sz w:val="24"/>
          <w:szCs w:val="24"/>
          <w:highlight w:val="none"/>
          <w:lang w:val="en-US" w:eastAsia="zh-CN"/>
        </w:rPr>
        <w:t xml:space="preserve">6.4 </w:t>
      </w:r>
      <w:r>
        <w:rPr>
          <w:rFonts w:hint="eastAsia" w:ascii="仿宋" w:hAnsi="仿宋" w:eastAsia="仿宋" w:cs="仿宋"/>
          <w:snapToGrid w:val="0"/>
          <w:color w:val="auto"/>
          <w:kern w:val="0"/>
          <w:sz w:val="24"/>
          <w:szCs w:val="24"/>
          <w:highlight w:val="none"/>
          <w:lang w:val="en-US" w:eastAsia="zh-CN"/>
        </w:rPr>
        <w:t>乙方在服务过程中接触到的畜牧业基础数据、政务数据等，均属于国家秘密或工作秘密，不得私自留存、复制或向第三方泄露。</w:t>
      </w:r>
    </w:p>
    <w:p w14:paraId="188551D6">
      <w:pPr>
        <w:spacing w:line="360" w:lineRule="auto"/>
        <w:ind w:firstLine="56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第七条</w:t>
      </w: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rPr>
        <w:t>合同终止</w:t>
      </w:r>
      <w:r>
        <w:rPr>
          <w:rFonts w:hint="eastAsia" w:ascii="仿宋" w:hAnsi="仿宋" w:eastAsia="仿宋" w:cs="仿宋"/>
          <w:color w:val="auto"/>
          <w:sz w:val="24"/>
          <w:szCs w:val="24"/>
          <w:highlight w:val="none"/>
        </w:rPr>
        <w:t xml:space="preserve"> </w:t>
      </w:r>
    </w:p>
    <w:p w14:paraId="0BA5836B">
      <w:pPr>
        <w:spacing w:line="360" w:lineRule="auto"/>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7.1 合同期限届满并且双方没有续签合同，本合同终止。  </w:t>
      </w:r>
    </w:p>
    <w:p w14:paraId="3A080E97">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rPr>
        <w:t xml:space="preserve">第八条 适用法律及争议解决 </w:t>
      </w:r>
    </w:p>
    <w:p w14:paraId="1749BD4C">
      <w:pPr>
        <w:spacing w:line="360" w:lineRule="auto"/>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8.1 本合同适用法律为：《中华人民共和国</w:t>
      </w:r>
      <w:r>
        <w:rPr>
          <w:rFonts w:hint="eastAsia" w:ascii="仿宋" w:hAnsi="仿宋" w:eastAsia="仿宋" w:cs="仿宋"/>
          <w:color w:val="auto"/>
          <w:sz w:val="24"/>
          <w:szCs w:val="24"/>
          <w:highlight w:val="none"/>
          <w:lang w:val="en-US" w:eastAsia="zh-CN"/>
        </w:rPr>
        <w:t>民法典</w:t>
      </w:r>
      <w:r>
        <w:rPr>
          <w:rFonts w:hint="eastAsia" w:ascii="仿宋" w:hAnsi="仿宋" w:eastAsia="仿宋" w:cs="仿宋"/>
          <w:color w:val="auto"/>
          <w:sz w:val="24"/>
          <w:szCs w:val="24"/>
          <w:highlight w:val="none"/>
        </w:rPr>
        <w:t>》、《中华人民共和国著作权法》、《计算机软件保护条例》等中国相关法律法规。</w:t>
      </w:r>
    </w:p>
    <w:p w14:paraId="621F71AD">
      <w:pPr>
        <w:keepNext w:val="0"/>
        <w:keepLines w:val="0"/>
        <w:widowControl/>
        <w:suppressLineNumbers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8.2 凡由本合同引起的或与解释或执行本合同有关的任何争议，双方应首先通过友好协商或调解解决。协商或调解不成，双方同意向</w:t>
      </w:r>
      <w:r>
        <w:rPr>
          <w:rFonts w:hint="eastAsia" w:ascii="仿宋" w:hAnsi="仿宋" w:eastAsia="仿宋" w:cs="仿宋"/>
          <w:color w:val="auto"/>
          <w:sz w:val="24"/>
          <w:szCs w:val="24"/>
          <w:highlight w:val="none"/>
          <w:lang w:val="en-US" w:eastAsia="zh-CN"/>
        </w:rPr>
        <w:t>甲方所在地法院</w:t>
      </w:r>
      <w:r>
        <w:rPr>
          <w:rFonts w:hint="eastAsia" w:ascii="仿宋" w:hAnsi="仿宋" w:eastAsia="仿宋" w:cs="仿宋"/>
          <w:color w:val="auto"/>
          <w:sz w:val="24"/>
          <w:szCs w:val="24"/>
          <w:highlight w:val="none"/>
        </w:rPr>
        <w:t xml:space="preserve">提起诉讼；诉讼结果对双方都有约束力；诉讼费用应由败诉方承担。 </w:t>
      </w:r>
    </w:p>
    <w:p w14:paraId="4C2C3CC2">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rPr>
        <w:t xml:space="preserve">第九条 其他  </w:t>
      </w:r>
    </w:p>
    <w:p w14:paraId="18EE9CF9">
      <w:pPr>
        <w:spacing w:line="360" w:lineRule="auto"/>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9.1 本合同中的标题仅作为参考，不影响本合同的含义及其解释。  </w:t>
      </w:r>
    </w:p>
    <w:p w14:paraId="5D81679E">
      <w:pPr>
        <w:spacing w:line="360" w:lineRule="auto"/>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w:t>
      </w:r>
      <w:bookmarkStart w:id="68" w:name="_Hlk9005609"/>
      <w:r>
        <w:rPr>
          <w:rFonts w:hint="eastAsia" w:ascii="仿宋" w:hAnsi="仿宋" w:eastAsia="仿宋" w:cs="仿宋"/>
          <w:color w:val="auto"/>
          <w:sz w:val="24"/>
          <w:szCs w:val="24"/>
          <w:highlight w:val="none"/>
        </w:rPr>
        <w:t xml:space="preserve"> 不可抗力。因地震、台风、洪水、火灾、战争、暴乱、罢工及其他合同双方不能预见、不能避免并不能克服的客观情况导致本合同不能履行或不能完全履行时，遭遇上述不可抗力的一方，应立即将相应情况用书面通知对方。根据不可抗力事由对履行本合同影响的程度，由双方协商解除本合同，或者部分免除本合同的履行义务，或者延期履行本合同。 </w:t>
      </w:r>
      <w:bookmarkEnd w:id="68"/>
      <w:r>
        <w:rPr>
          <w:rFonts w:hint="eastAsia" w:ascii="仿宋" w:hAnsi="仿宋" w:eastAsia="仿宋" w:cs="仿宋"/>
          <w:color w:val="auto"/>
          <w:sz w:val="24"/>
          <w:szCs w:val="24"/>
          <w:highlight w:val="none"/>
        </w:rPr>
        <w:t xml:space="preserve">   </w:t>
      </w:r>
    </w:p>
    <w:p w14:paraId="51F25532">
      <w:pPr>
        <w:spacing w:line="360" w:lineRule="auto"/>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9.3 本合同由以下附件组成，附件为本合同不可分割的部分，与本合同具有同等法律效力。 </w:t>
      </w:r>
    </w:p>
    <w:p w14:paraId="0D6177E8">
      <w:pPr>
        <w:spacing w:line="360" w:lineRule="auto"/>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9.4 本合同自双方授权代表签字并加盖公章生效；本合同一式肆份，双方各执二份，具有同等法律效力。 </w:t>
      </w:r>
    </w:p>
    <w:p w14:paraId="6B9EE4BB">
      <w:pPr>
        <w:spacing w:line="360" w:lineRule="auto"/>
        <w:ind w:firstLine="560"/>
        <w:rPr>
          <w:rFonts w:hint="eastAsia" w:ascii="仿宋" w:hAnsi="仿宋" w:eastAsia="仿宋" w:cs="仿宋"/>
          <w:color w:val="auto"/>
          <w:sz w:val="24"/>
          <w:szCs w:val="24"/>
          <w:highlight w:val="none"/>
        </w:rPr>
      </w:pPr>
    </w:p>
    <w:p w14:paraId="21B98820">
      <w:pPr>
        <w:spacing w:line="360" w:lineRule="auto"/>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附件：《新疆畜牧兽医大数据平台标准运行维护服务内容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   </w:t>
      </w:r>
    </w:p>
    <w:p w14:paraId="7306B467">
      <w:pPr>
        <w:spacing w:line="360" w:lineRule="auto"/>
        <w:ind w:firstLine="560"/>
        <w:rPr>
          <w:rFonts w:hint="eastAsia" w:ascii="仿宋" w:hAnsi="仿宋" w:eastAsia="仿宋" w:cs="仿宋"/>
          <w:color w:val="auto"/>
          <w:sz w:val="24"/>
          <w:szCs w:val="24"/>
          <w:highlight w:val="none"/>
        </w:rPr>
      </w:pPr>
    </w:p>
    <w:p w14:paraId="490B2F75">
      <w:pPr>
        <w:spacing w:line="360" w:lineRule="auto"/>
        <w:ind w:firstLine="560"/>
        <w:rPr>
          <w:rFonts w:hint="eastAsia" w:ascii="仿宋" w:hAnsi="仿宋" w:eastAsia="仿宋" w:cs="仿宋"/>
          <w:color w:val="auto"/>
          <w:sz w:val="24"/>
          <w:szCs w:val="24"/>
          <w:highlight w:val="none"/>
        </w:rPr>
      </w:pPr>
    </w:p>
    <w:p w14:paraId="142FF2DD">
      <w:pPr>
        <w:spacing w:line="360" w:lineRule="auto"/>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新疆维吾尔自治区畜牧总站</w:t>
      </w:r>
      <w:r>
        <w:rPr>
          <w:rFonts w:hint="eastAsia" w:ascii="仿宋" w:hAnsi="仿宋" w:eastAsia="仿宋" w:cs="仿宋"/>
          <w:color w:val="auto"/>
          <w:sz w:val="24"/>
          <w:szCs w:val="24"/>
          <w:highlight w:val="none"/>
          <w:u w:val="single"/>
        </w:rPr>
        <w:t xml:space="preserve">         </w:t>
      </w:r>
    </w:p>
    <w:p w14:paraId="30940D15">
      <w:pPr>
        <w:spacing w:line="360" w:lineRule="auto"/>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授权代表：</w:t>
      </w:r>
      <w:r>
        <w:rPr>
          <w:rFonts w:hint="eastAsia" w:ascii="仿宋" w:hAnsi="仿宋" w:eastAsia="仿宋" w:cs="仿宋"/>
          <w:color w:val="auto"/>
          <w:sz w:val="24"/>
          <w:szCs w:val="24"/>
          <w:highlight w:val="none"/>
          <w:u w:val="single"/>
        </w:rPr>
        <w:t xml:space="preserve">                                         </w:t>
      </w:r>
    </w:p>
    <w:p w14:paraId="2DD6E361">
      <w:pPr>
        <w:spacing w:line="360" w:lineRule="auto"/>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530A1E75">
      <w:pPr>
        <w:spacing w:line="360" w:lineRule="auto"/>
        <w:ind w:firstLine="560"/>
        <w:rPr>
          <w:rFonts w:hint="eastAsia" w:ascii="仿宋" w:hAnsi="仿宋" w:eastAsia="仿宋" w:cs="仿宋"/>
          <w:color w:val="auto"/>
          <w:sz w:val="24"/>
          <w:szCs w:val="24"/>
          <w:highlight w:val="none"/>
        </w:rPr>
      </w:pPr>
    </w:p>
    <w:p w14:paraId="00B5E06B">
      <w:pPr>
        <w:spacing w:line="360" w:lineRule="auto"/>
        <w:ind w:firstLine="56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乙方（公章）：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39B0C849">
      <w:pPr>
        <w:spacing w:line="360" w:lineRule="auto"/>
        <w:ind w:firstLine="56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授权代表：</w:t>
      </w:r>
      <w:r>
        <w:rPr>
          <w:rFonts w:hint="eastAsia" w:ascii="仿宋" w:hAnsi="仿宋" w:eastAsia="仿宋" w:cs="仿宋"/>
          <w:color w:val="auto"/>
          <w:sz w:val="24"/>
          <w:szCs w:val="24"/>
          <w:highlight w:val="none"/>
          <w:u w:val="single"/>
        </w:rPr>
        <w:t xml:space="preserve">                                         </w:t>
      </w:r>
    </w:p>
    <w:p w14:paraId="195AE7A4">
      <w:pPr>
        <w:spacing w:line="360" w:lineRule="auto"/>
        <w:ind w:firstLine="560"/>
        <w:rPr>
          <w:rFonts w:hint="eastAsia" w:ascii="仿宋" w:hAnsi="仿宋" w:eastAsia="仿宋" w:cs="仿宋"/>
          <w:color w:val="auto"/>
          <w:sz w:val="24"/>
          <w:szCs w:val="24"/>
          <w:highlight w:val="none"/>
        </w:rPr>
      </w:pPr>
    </w:p>
    <w:p w14:paraId="05EFBCAC">
      <w:pPr>
        <w:spacing w:line="360" w:lineRule="auto"/>
        <w:ind w:firstLine="560"/>
        <w:jc w:val="right"/>
        <w:rPr>
          <w:rFonts w:hint="eastAsia"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日</w:t>
      </w:r>
    </w:p>
    <w:p w14:paraId="24DB6538">
      <w:pPr>
        <w:jc w:val="center"/>
        <w:rPr>
          <w:rFonts w:hint="eastAsia" w:ascii="仿宋" w:hAnsi="仿宋" w:eastAsia="仿宋" w:cs="仿宋"/>
          <w:b w:val="0"/>
          <w:bCs w:val="0"/>
          <w:color w:val="auto"/>
          <w:sz w:val="24"/>
          <w:szCs w:val="24"/>
          <w:highlight w:val="none"/>
          <w:lang w:eastAsia="zh-CN"/>
        </w:rPr>
      </w:pPr>
    </w:p>
    <w:p w14:paraId="72464080">
      <w:pPr>
        <w:jc w:val="center"/>
        <w:rPr>
          <w:rFonts w:hint="eastAsia" w:ascii="仿宋" w:hAnsi="仿宋" w:eastAsia="仿宋" w:cs="仿宋"/>
          <w:b w:val="0"/>
          <w:bCs w:val="0"/>
          <w:color w:val="auto"/>
          <w:sz w:val="24"/>
          <w:szCs w:val="24"/>
          <w:highlight w:val="none"/>
          <w:lang w:eastAsia="zh-CN"/>
        </w:rPr>
        <w:sectPr>
          <w:headerReference r:id="rId7" w:type="default"/>
          <w:footerReference r:id="rId8" w:type="default"/>
          <w:pgSz w:w="11906" w:h="16838"/>
          <w:pgMar w:top="1134" w:right="1418" w:bottom="1134" w:left="1418" w:header="851" w:footer="992" w:gutter="0"/>
          <w:pgNumType w:fmt="decimal"/>
          <w:cols w:space="425" w:num="1"/>
          <w:docGrid w:linePitch="312" w:charSpace="0"/>
        </w:sectPr>
      </w:pPr>
    </w:p>
    <w:bookmarkEnd w:id="67"/>
    <w:p w14:paraId="7EA35CD6">
      <w:pPr>
        <w:spacing w:line="440" w:lineRule="exact"/>
        <w:jc w:val="center"/>
        <w:outlineLvl w:val="0"/>
        <w:rPr>
          <w:rFonts w:hint="eastAsia" w:ascii="仿宋" w:hAnsi="仿宋" w:eastAsia="仿宋" w:cs="仿宋"/>
          <w:color w:val="auto"/>
          <w:highlight w:val="none"/>
        </w:rPr>
      </w:pPr>
      <w:bookmarkStart w:id="69" w:name="_Toc138638535"/>
      <w:bookmarkEnd w:id="69"/>
      <w:bookmarkStart w:id="70" w:name="_Toc138638907"/>
      <w:bookmarkEnd w:id="70"/>
      <w:bookmarkStart w:id="71" w:name="_Toc138639091"/>
      <w:bookmarkEnd w:id="71"/>
      <w:bookmarkStart w:id="72" w:name="_Toc138638883"/>
      <w:bookmarkEnd w:id="72"/>
      <w:bookmarkStart w:id="73" w:name="_Toc138639090"/>
      <w:bookmarkEnd w:id="73"/>
      <w:bookmarkStart w:id="74" w:name="_Toc138638884"/>
      <w:bookmarkEnd w:id="74"/>
      <w:bookmarkStart w:id="75" w:name="_Toc138638719"/>
      <w:bookmarkEnd w:id="75"/>
      <w:bookmarkStart w:id="76" w:name="_Toc138639145"/>
      <w:bookmarkEnd w:id="76"/>
      <w:bookmarkStart w:id="77" w:name="_Toc138639074"/>
      <w:bookmarkEnd w:id="77"/>
      <w:bookmarkStart w:id="78" w:name="_Toc138638906"/>
      <w:bookmarkEnd w:id="78"/>
      <w:bookmarkStart w:id="79" w:name="_Toc138638510"/>
      <w:bookmarkEnd w:id="79"/>
      <w:bookmarkStart w:id="80" w:name="_Toc138638910"/>
      <w:bookmarkEnd w:id="80"/>
      <w:bookmarkStart w:id="81" w:name="_Toc138638718"/>
      <w:bookmarkEnd w:id="81"/>
      <w:bookmarkStart w:id="82" w:name="_Toc138638538"/>
      <w:bookmarkEnd w:id="82"/>
      <w:bookmarkStart w:id="83" w:name="_Toc138638773"/>
      <w:bookmarkEnd w:id="83"/>
      <w:bookmarkStart w:id="84" w:name="_合同文件的组成及解释顺序"/>
      <w:bookmarkEnd w:id="84"/>
      <w:bookmarkStart w:id="85" w:name="_Toc138638702"/>
      <w:bookmarkEnd w:id="85"/>
      <w:bookmarkStart w:id="86" w:name="_Toc138638509"/>
      <w:bookmarkEnd w:id="86"/>
      <w:bookmarkStart w:id="87" w:name="_Toc138638534"/>
      <w:bookmarkEnd w:id="87"/>
      <w:bookmarkStart w:id="88" w:name="_Toc531016893"/>
      <w:r>
        <w:rPr>
          <w:rFonts w:hint="eastAsia" w:ascii="仿宋" w:hAnsi="仿宋" w:eastAsia="仿宋" w:cs="仿宋"/>
          <w:b/>
          <w:color w:val="auto"/>
          <w:sz w:val="24"/>
          <w:szCs w:val="24"/>
          <w:highlight w:val="none"/>
        </w:rPr>
        <w:t xml:space="preserve">第四章 </w:t>
      </w:r>
      <w:r>
        <w:rPr>
          <w:rFonts w:hint="eastAsia" w:ascii="仿宋" w:hAnsi="仿宋" w:eastAsia="仿宋" w:cs="仿宋"/>
          <w:b/>
          <w:color w:val="auto"/>
          <w:sz w:val="24"/>
          <w:szCs w:val="24"/>
          <w:highlight w:val="none"/>
          <w:lang w:eastAsia="zh-CN"/>
        </w:rPr>
        <w:t>服务标准和要求</w:t>
      </w:r>
    </w:p>
    <w:p w14:paraId="1AAF0871">
      <w:pPr>
        <w:pStyle w:val="3"/>
        <w:keepNext w:val="0"/>
        <w:keepLines w:val="0"/>
        <w:pageBreakBefore w:val="0"/>
        <w:widowControl/>
        <w:suppressLineNumbers w:val="0"/>
        <w:kinsoku/>
        <w:wordWrap/>
        <w:overflowPunct/>
        <w:topLinePunct w:val="0"/>
        <w:autoSpaceDE/>
        <w:autoSpaceDN/>
        <w:bidi w:val="0"/>
        <w:adjustRightInd/>
        <w:snapToGrid/>
        <w:spacing w:before="0" w:after="0"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一、项目</w:t>
      </w:r>
      <w:r>
        <w:rPr>
          <w:rFonts w:hint="eastAsia" w:ascii="仿宋" w:hAnsi="仿宋" w:eastAsia="仿宋" w:cs="仿宋"/>
          <w:color w:val="auto"/>
          <w:sz w:val="24"/>
          <w:szCs w:val="24"/>
          <w:highlight w:val="none"/>
          <w:lang w:val="en-US" w:eastAsia="zh-CN"/>
        </w:rPr>
        <w:t>概述</w:t>
      </w:r>
    </w:p>
    <w:p w14:paraId="0443C1C5">
      <w:pPr>
        <w:keepNext w:val="0"/>
        <w:keepLines w:val="0"/>
        <w:pageBreakBefore w:val="0"/>
        <w:widowControl w:val="0"/>
        <w:kinsoku/>
        <w:wordWrap/>
        <w:overflowPunct/>
        <w:topLinePunct w:val="0"/>
        <w:autoSpaceDE w:val="0"/>
        <w:autoSpaceDN w:val="0"/>
        <w:bidi w:val="0"/>
        <w:adjustRightInd w:val="0"/>
        <w:snapToGrid/>
        <w:spacing w:beforeAutospacing="0" w:afterAutospacing="0" w:line="360" w:lineRule="auto"/>
        <w:ind w:firstLine="480" w:firstLineChars="200"/>
        <w:jc w:val="both"/>
        <w:textAlignment w:val="auto"/>
        <w:outlineLvl w:val="9"/>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大数据平台畜牧兽医业务主要信息化系统已运行应用七年，随着业务工作的不断推进，业务功能越来越多。同时，还需向国家农业农村部、自治区党委政法委综治中心、其他有需求的州的大数据中心等单位提供数据同步共享服务。这些工作涉及的硬件维护、数据存储、网络通信、信息安全等服务对运行维护服务提出了极高的要求。为了保障和提高IT服务质量，有必要延续运行维护服务，以解决当前IT服务各方面日益增长的需求和有限的提供能力之间的矛盾，进一步提高畜牧兽医大数据平台相关软件、硬件、业务应用软件的运行维护效率，确保信息系统正常运行。</w:t>
      </w:r>
    </w:p>
    <w:p w14:paraId="797DABCF">
      <w:pPr>
        <w:keepNext w:val="0"/>
        <w:keepLines w:val="0"/>
        <w:pageBreakBefore w:val="0"/>
        <w:widowControl/>
        <w:suppressLineNumbers w:val="0"/>
        <w:kinsoku/>
        <w:wordWrap/>
        <w:overflowPunct/>
        <w:topLinePunct w:val="0"/>
        <w:bidi w:val="0"/>
        <w:snapToGrid/>
        <w:spacing w:before="0" w:beforeAutospacing="0" w:after="0" w:afterAutospacing="0"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结合新疆畜牧兽医大数据平台的建设实际，现需不断完善运维管理体系，加强信息系统正常运行保障，“以流程为导向，以服务为核心”提高服务质量水平、转变服务理念、拓宽服务范围、提高服务效率、提升用户服务满意度。</w:t>
      </w:r>
    </w:p>
    <w:p w14:paraId="1BBE95D6">
      <w:pPr>
        <w:jc w:val="center"/>
        <w:rPr>
          <w:rFonts w:hint="eastAsia" w:ascii="仿宋" w:hAnsi="仿宋" w:eastAsia="仿宋" w:cs="仿宋"/>
          <w:color w:val="auto"/>
          <w:sz w:val="24"/>
          <w:szCs w:val="24"/>
          <w:highlight w:val="none"/>
          <w:lang w:val="en-US"/>
        </w:rPr>
      </w:pPr>
      <w:r>
        <w:rPr>
          <w:rFonts w:hint="eastAsia" w:ascii="仿宋" w:hAnsi="仿宋" w:eastAsia="仿宋" w:cs="仿宋"/>
          <w:b/>
          <w:bCs/>
          <w:color w:val="auto"/>
          <w:sz w:val="24"/>
          <w:szCs w:val="24"/>
          <w:highlight w:val="none"/>
          <w:lang w:val="en-US" w:eastAsia="zh-CN"/>
        </w:rPr>
        <w:t>新疆畜牧兽医大数据平台信息系统运维服务内容</w:t>
      </w:r>
    </w:p>
    <w:tbl>
      <w:tblPr>
        <w:tblStyle w:val="39"/>
        <w:tblpPr w:leftFromText="180" w:rightFromText="180" w:vertAnchor="text" w:horzAnchor="page" w:tblpXSpec="center" w:tblpY="2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2"/>
        <w:gridCol w:w="6300"/>
      </w:tblGrid>
      <w:tr w14:paraId="71224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222" w:type="dxa"/>
            <w:noWrap w:val="0"/>
            <w:vAlign w:val="top"/>
          </w:tcPr>
          <w:p w14:paraId="055A5ACB">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outlineLvl w:val="9"/>
              <w:rPr>
                <w:rFonts w:hint="eastAsia" w:ascii="仿宋" w:hAnsi="仿宋" w:eastAsia="仿宋" w:cs="仿宋"/>
                <w:b/>
                <w:bCs/>
                <w:color w:val="auto"/>
                <w:sz w:val="24"/>
                <w:szCs w:val="24"/>
                <w:highlight w:val="none"/>
                <w:vertAlign w:val="baseline"/>
                <w:lang w:val="en-US" w:eastAsia="zh-CN" w:bidi="ar-SA"/>
              </w:rPr>
            </w:pPr>
            <w:r>
              <w:rPr>
                <w:rFonts w:hint="eastAsia" w:ascii="仿宋" w:hAnsi="仿宋" w:eastAsia="仿宋" w:cs="仿宋"/>
                <w:b/>
                <w:bCs/>
                <w:color w:val="auto"/>
                <w:sz w:val="24"/>
                <w:szCs w:val="24"/>
                <w:highlight w:val="none"/>
                <w:vertAlign w:val="baseline"/>
                <w:lang w:val="en-US" w:eastAsia="zh-CN" w:bidi="ar-SA"/>
              </w:rPr>
              <w:t>运维系统名称</w:t>
            </w:r>
          </w:p>
        </w:tc>
        <w:tc>
          <w:tcPr>
            <w:tcW w:w="6300" w:type="dxa"/>
            <w:noWrap w:val="0"/>
            <w:vAlign w:val="top"/>
          </w:tcPr>
          <w:p w14:paraId="422566F3">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outlineLvl w:val="9"/>
              <w:rPr>
                <w:rFonts w:hint="eastAsia" w:ascii="仿宋" w:hAnsi="仿宋" w:eastAsia="仿宋" w:cs="仿宋"/>
                <w:b/>
                <w:bCs/>
                <w:color w:val="auto"/>
                <w:sz w:val="24"/>
                <w:szCs w:val="24"/>
                <w:highlight w:val="none"/>
                <w:vertAlign w:val="baseline"/>
                <w:lang w:val="en-US" w:eastAsia="zh-CN" w:bidi="ar-SA"/>
              </w:rPr>
            </w:pPr>
            <w:r>
              <w:rPr>
                <w:rFonts w:hint="eastAsia" w:ascii="仿宋" w:hAnsi="仿宋" w:eastAsia="仿宋" w:cs="仿宋"/>
                <w:b/>
                <w:bCs/>
                <w:color w:val="auto"/>
                <w:sz w:val="24"/>
                <w:szCs w:val="24"/>
                <w:highlight w:val="none"/>
                <w:vertAlign w:val="baseline"/>
                <w:lang w:val="en-US" w:eastAsia="zh-CN" w:bidi="ar-SA"/>
              </w:rPr>
              <w:t>运维内容</w:t>
            </w:r>
          </w:p>
        </w:tc>
      </w:tr>
      <w:tr w14:paraId="2DFFC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2222" w:type="dxa"/>
            <w:vMerge w:val="restart"/>
            <w:noWrap w:val="0"/>
            <w:vAlign w:val="center"/>
          </w:tcPr>
          <w:p w14:paraId="3C65512C">
            <w:pPr>
              <w:widowControl w:val="0"/>
              <w:autoSpaceDE w:val="0"/>
              <w:autoSpaceDN w:val="0"/>
              <w:bidi w:val="0"/>
              <w:adjustRightInd w:val="0"/>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新疆畜牧兽医大数据平台</w:t>
            </w:r>
          </w:p>
        </w:tc>
        <w:tc>
          <w:tcPr>
            <w:tcW w:w="6300" w:type="dxa"/>
            <w:noWrap w:val="0"/>
            <w:vAlign w:val="top"/>
          </w:tcPr>
          <w:p w14:paraId="0D60B911">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both"/>
              <w:textAlignment w:val="auto"/>
              <w:outlineLvl w:val="9"/>
              <w:rPr>
                <w:rFonts w:hint="eastAsia" w:ascii="仿宋" w:hAnsi="仿宋" w:eastAsia="仿宋" w:cs="仿宋"/>
                <w:color w:val="auto"/>
                <w:sz w:val="24"/>
                <w:szCs w:val="24"/>
                <w:highlight w:val="none"/>
                <w:vertAlign w:val="baseline"/>
                <w:lang w:val="en-US" w:eastAsia="zh-CN" w:bidi="ar-SA"/>
              </w:rPr>
            </w:pPr>
            <w:r>
              <w:rPr>
                <w:rFonts w:hint="eastAsia" w:ascii="仿宋" w:hAnsi="仿宋" w:eastAsia="仿宋" w:cs="仿宋"/>
                <w:b w:val="0"/>
                <w:bCs w:val="0"/>
                <w:color w:val="auto"/>
                <w:sz w:val="24"/>
                <w:szCs w:val="24"/>
                <w:highlight w:val="none"/>
                <w:lang w:val="en-US" w:eastAsia="zh-CN" w:bidi="ar-SA"/>
              </w:rPr>
              <w:t>1.畜牧兽医大数据平台涵盖云服务器、操作系统、网络安全、域名、数据库、中间件、基础服务、应用系统、开发运维、微信平台（包括小程序和公众号）以及技术支持服务11个关键领域；</w:t>
            </w:r>
          </w:p>
        </w:tc>
      </w:tr>
      <w:tr w14:paraId="63DA2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2222" w:type="dxa"/>
            <w:vMerge w:val="continue"/>
            <w:noWrap w:val="0"/>
            <w:vAlign w:val="top"/>
          </w:tcPr>
          <w:p w14:paraId="1CD4180D">
            <w:pPr>
              <w:widowControl w:val="0"/>
              <w:autoSpaceDE w:val="0"/>
              <w:autoSpaceDN w:val="0"/>
              <w:bidi w:val="0"/>
              <w:adjustRightInd w:val="0"/>
              <w:jc w:val="both"/>
              <w:rPr>
                <w:rFonts w:hint="eastAsia" w:ascii="仿宋" w:hAnsi="仿宋" w:eastAsia="仿宋" w:cs="仿宋"/>
                <w:color w:val="auto"/>
                <w:sz w:val="24"/>
                <w:szCs w:val="24"/>
                <w:highlight w:val="none"/>
                <w:lang w:val="en-US" w:eastAsia="zh-CN" w:bidi="ar-SA"/>
              </w:rPr>
            </w:pPr>
          </w:p>
        </w:tc>
        <w:tc>
          <w:tcPr>
            <w:tcW w:w="6300" w:type="dxa"/>
            <w:noWrap w:val="0"/>
            <w:vAlign w:val="top"/>
          </w:tcPr>
          <w:p w14:paraId="11CB8189">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both"/>
              <w:textAlignment w:val="auto"/>
              <w:outlineLvl w:val="9"/>
              <w:rPr>
                <w:rFonts w:hint="eastAsia" w:ascii="仿宋" w:hAnsi="仿宋" w:eastAsia="仿宋" w:cs="仿宋"/>
                <w:color w:val="auto"/>
                <w:sz w:val="24"/>
                <w:szCs w:val="24"/>
                <w:highlight w:val="none"/>
                <w:vertAlign w:val="baseline"/>
                <w:lang w:val="en-US" w:eastAsia="zh-CN" w:bidi="ar-SA"/>
              </w:rPr>
            </w:pPr>
            <w:r>
              <w:rPr>
                <w:rFonts w:hint="eastAsia" w:ascii="仿宋" w:hAnsi="仿宋" w:eastAsia="仿宋" w:cs="仿宋"/>
                <w:b w:val="0"/>
                <w:bCs w:val="0"/>
                <w:color w:val="auto"/>
                <w:sz w:val="24"/>
                <w:szCs w:val="24"/>
                <w:highlight w:val="none"/>
                <w:lang w:val="en-US" w:eastAsia="zh-CN" w:bidi="ar-SA"/>
              </w:rPr>
              <w:t>2.品种改良模块涵盖14个地州现场或线上系统培训、操作系统、关联域名、数据库、中间件、基础服务、新提出功能需求系统开发、系统支持升级新变更区划、24小时技术支持等运维服务；</w:t>
            </w:r>
          </w:p>
        </w:tc>
      </w:tr>
      <w:tr w14:paraId="40C18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2222" w:type="dxa"/>
            <w:vMerge w:val="continue"/>
            <w:noWrap w:val="0"/>
            <w:vAlign w:val="top"/>
          </w:tcPr>
          <w:p w14:paraId="7DD61047">
            <w:pPr>
              <w:widowControl w:val="0"/>
              <w:autoSpaceDE w:val="0"/>
              <w:autoSpaceDN w:val="0"/>
              <w:bidi w:val="0"/>
              <w:adjustRightInd w:val="0"/>
              <w:jc w:val="both"/>
              <w:rPr>
                <w:rFonts w:hint="eastAsia" w:ascii="仿宋" w:hAnsi="仿宋" w:eastAsia="仿宋" w:cs="仿宋"/>
                <w:color w:val="auto"/>
                <w:sz w:val="24"/>
                <w:szCs w:val="24"/>
                <w:highlight w:val="none"/>
                <w:lang w:val="en-US" w:eastAsia="zh-CN" w:bidi="ar-SA"/>
              </w:rPr>
            </w:pPr>
          </w:p>
        </w:tc>
        <w:tc>
          <w:tcPr>
            <w:tcW w:w="6300" w:type="dxa"/>
            <w:noWrap w:val="0"/>
            <w:vAlign w:val="top"/>
          </w:tcPr>
          <w:p w14:paraId="7C73A793">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both"/>
              <w:textAlignment w:val="auto"/>
              <w:outlineLvl w:val="9"/>
              <w:rPr>
                <w:rFonts w:hint="eastAsia" w:ascii="仿宋" w:hAnsi="仿宋" w:eastAsia="仿宋" w:cs="仿宋"/>
                <w:color w:val="auto"/>
                <w:sz w:val="24"/>
                <w:szCs w:val="24"/>
                <w:highlight w:val="none"/>
                <w:vertAlign w:val="baseline"/>
                <w:lang w:val="en-US" w:eastAsia="zh-CN" w:bidi="ar-SA"/>
              </w:rPr>
            </w:pPr>
            <w:r>
              <w:rPr>
                <w:rFonts w:hint="eastAsia" w:ascii="仿宋" w:hAnsi="仿宋" w:eastAsia="仿宋" w:cs="仿宋"/>
                <w:b w:val="0"/>
                <w:bCs w:val="0"/>
                <w:color w:val="auto"/>
                <w:sz w:val="24"/>
                <w:szCs w:val="24"/>
                <w:highlight w:val="none"/>
                <w:lang w:val="en-US" w:eastAsia="zh-CN" w:bidi="ar-SA"/>
              </w:rPr>
              <w:t>3.云服务器资源租赁涵盖服务器集群及存储灾备空间租赁，并为服务器集群提供7*24小时全天候保障服务，确保服务器故障率低于3%，且能有效抵御病毒、黑客、网络攻击等威胁。服务器运行监控服务、稳定性服务和安全保障服务。各系统软硬安全环境最低要满足二级等级保护要求。</w:t>
            </w:r>
          </w:p>
        </w:tc>
      </w:tr>
    </w:tbl>
    <w:p w14:paraId="7F4F2D21">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after="0" w:line="360" w:lineRule="auto"/>
        <w:jc w:val="both"/>
        <w:textAlignment w:val="auto"/>
        <w:outlineLvl w:val="1"/>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服务范围</w:t>
      </w:r>
    </w:p>
    <w:p w14:paraId="6388E12C">
      <w:pPr>
        <w:keepNext/>
        <w:keepLines w:val="0"/>
        <w:pageBreakBefore w:val="0"/>
        <w:widowControl/>
        <w:kinsoku/>
        <w:wordWrap/>
        <w:overflowPunct/>
        <w:topLinePunct w:val="0"/>
        <w:bidi w:val="0"/>
        <w:snapToGrid/>
        <w:spacing w:before="0" w:after="0" w:line="360" w:lineRule="auto"/>
        <w:jc w:val="both"/>
        <w:textAlignment w:val="auto"/>
        <w:outlineLvl w:val="2"/>
        <w:rPr>
          <w:rFonts w:hint="eastAsia" w:ascii="仿宋" w:hAnsi="仿宋" w:eastAsia="仿宋" w:cs="仿宋"/>
          <w:b/>
          <w:bCs/>
          <w:color w:val="auto"/>
          <w:kern w:val="0"/>
          <w:sz w:val="24"/>
          <w:szCs w:val="32"/>
          <w:highlight w:val="none"/>
          <w:lang w:val="en-US" w:eastAsia="zh-CN" w:bidi="ar-SA"/>
        </w:rPr>
      </w:pPr>
      <w:r>
        <w:rPr>
          <w:rFonts w:hint="eastAsia" w:ascii="仿宋" w:hAnsi="仿宋" w:eastAsia="仿宋" w:cs="仿宋"/>
          <w:b/>
          <w:bCs/>
          <w:color w:val="auto"/>
          <w:kern w:val="0"/>
          <w:sz w:val="24"/>
          <w:szCs w:val="32"/>
          <w:highlight w:val="none"/>
          <w:lang w:val="en-US" w:eastAsia="zh-CN" w:bidi="ar-SA"/>
        </w:rPr>
        <w:t>（一）云服务器运维</w:t>
      </w:r>
    </w:p>
    <w:p w14:paraId="54236E62">
      <w:pPr>
        <w:keepLines w:val="0"/>
        <w:pageBreakBefore w:val="0"/>
        <w:widowControl w:val="0"/>
        <w:kinsoku/>
        <w:wordWrap/>
        <w:overflowPunct/>
        <w:topLinePunct w:val="0"/>
        <w:autoSpaceDE w:val="0"/>
        <w:autoSpaceDN w:val="0"/>
        <w:bidi w:val="0"/>
        <w:adjustRightInd w:val="0"/>
        <w:snapToGrid/>
        <w:spacing w:line="360" w:lineRule="auto"/>
        <w:ind w:firstLine="42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（1）云服务器数量统计</w:t>
      </w:r>
    </w:p>
    <w:tbl>
      <w:tblPr>
        <w:tblStyle w:val="39"/>
        <w:tblW w:w="9415" w:type="dxa"/>
        <w:tblInd w:w="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2"/>
        <w:gridCol w:w="2549"/>
        <w:gridCol w:w="843"/>
        <w:gridCol w:w="775"/>
        <w:gridCol w:w="899"/>
        <w:gridCol w:w="886"/>
        <w:gridCol w:w="845"/>
        <w:gridCol w:w="2076"/>
      </w:tblGrid>
      <w:tr w14:paraId="3CC16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54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8328E9">
            <w:pPr>
              <w:spacing w:beforeLines="0" w:afterLine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54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8C1BF0">
            <w:pPr>
              <w:spacing w:beforeLines="0" w:afterLine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服务器名称</w:t>
            </w:r>
          </w:p>
        </w:tc>
        <w:tc>
          <w:tcPr>
            <w:tcW w:w="84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7152D5">
            <w:pPr>
              <w:spacing w:beforeLines="0" w:afterLine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CPU</w:t>
            </w:r>
          </w:p>
        </w:tc>
        <w:tc>
          <w:tcPr>
            <w:tcW w:w="7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3660EA">
            <w:pPr>
              <w:spacing w:beforeLines="0" w:afterLine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内存</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5ADFF2">
            <w:pPr>
              <w:spacing w:beforeLines="0" w:afterLine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系统盘</w:t>
            </w:r>
          </w:p>
        </w:tc>
        <w:tc>
          <w:tcPr>
            <w:tcW w:w="8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31D3F5">
            <w:pPr>
              <w:spacing w:beforeLines="0" w:afterLine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数据盘</w:t>
            </w:r>
          </w:p>
        </w:tc>
        <w:tc>
          <w:tcPr>
            <w:tcW w:w="8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58312C">
            <w:pPr>
              <w:spacing w:beforeLines="0" w:afterLine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公网带宽</w:t>
            </w:r>
          </w:p>
        </w:tc>
        <w:tc>
          <w:tcPr>
            <w:tcW w:w="20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CB7C85">
            <w:pPr>
              <w:spacing w:beforeLines="0" w:afterLine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操作系统及版本</w:t>
            </w:r>
          </w:p>
        </w:tc>
      </w:tr>
      <w:tr w14:paraId="43986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54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EC929B">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54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8D2EDC">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nginx</w:t>
            </w:r>
          </w:p>
        </w:tc>
        <w:tc>
          <w:tcPr>
            <w:tcW w:w="84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55DBED">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4核</w:t>
            </w:r>
          </w:p>
        </w:tc>
        <w:tc>
          <w:tcPr>
            <w:tcW w:w="7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6FE92B">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8GB</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3649E8">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300GB</w:t>
            </w:r>
          </w:p>
        </w:tc>
        <w:tc>
          <w:tcPr>
            <w:tcW w:w="8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1231AE">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p>
        </w:tc>
        <w:tc>
          <w:tcPr>
            <w:tcW w:w="8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EC4BA1">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50MB</w:t>
            </w:r>
          </w:p>
        </w:tc>
        <w:tc>
          <w:tcPr>
            <w:tcW w:w="20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2C9C69">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Ubuntu 22.04</w:t>
            </w:r>
          </w:p>
        </w:tc>
      </w:tr>
      <w:tr w14:paraId="4999D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54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198DE4">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254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7FC7CA">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prod-ticket-new</w:t>
            </w:r>
          </w:p>
        </w:tc>
        <w:tc>
          <w:tcPr>
            <w:tcW w:w="84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4979C0">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16核</w:t>
            </w:r>
          </w:p>
        </w:tc>
        <w:tc>
          <w:tcPr>
            <w:tcW w:w="7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4BCF4D">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32GB</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8D6C6E">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300GB</w:t>
            </w:r>
          </w:p>
        </w:tc>
        <w:tc>
          <w:tcPr>
            <w:tcW w:w="8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9C872F">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p>
        </w:tc>
        <w:tc>
          <w:tcPr>
            <w:tcW w:w="8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C27DE7">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p>
        </w:tc>
        <w:tc>
          <w:tcPr>
            <w:tcW w:w="20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29562F">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Ubuntu 22.04</w:t>
            </w:r>
          </w:p>
        </w:tc>
      </w:tr>
      <w:tr w14:paraId="7B44C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54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C7DFA2">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254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B01093">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prod-ticket-hot</w:t>
            </w:r>
          </w:p>
        </w:tc>
        <w:tc>
          <w:tcPr>
            <w:tcW w:w="84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343F9C">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16核</w:t>
            </w:r>
          </w:p>
        </w:tc>
        <w:tc>
          <w:tcPr>
            <w:tcW w:w="7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17D9D9">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32GB</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CD1464">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300GB</w:t>
            </w:r>
          </w:p>
        </w:tc>
        <w:tc>
          <w:tcPr>
            <w:tcW w:w="8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42E012">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p>
        </w:tc>
        <w:tc>
          <w:tcPr>
            <w:tcW w:w="8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B15797">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p>
        </w:tc>
        <w:tc>
          <w:tcPr>
            <w:tcW w:w="20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A25EE9">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Ubuntu 22.04</w:t>
            </w:r>
          </w:p>
        </w:tc>
      </w:tr>
      <w:tr w14:paraId="76D1A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54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4CD9D0">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254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377E9A">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prod-mysql</w:t>
            </w:r>
          </w:p>
        </w:tc>
        <w:tc>
          <w:tcPr>
            <w:tcW w:w="84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D31011">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32核</w:t>
            </w:r>
          </w:p>
        </w:tc>
        <w:tc>
          <w:tcPr>
            <w:tcW w:w="7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931F0D">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64GB</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AE67BD">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500GB</w:t>
            </w:r>
          </w:p>
        </w:tc>
        <w:tc>
          <w:tcPr>
            <w:tcW w:w="8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12DF60">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1TB</w:t>
            </w:r>
          </w:p>
        </w:tc>
        <w:tc>
          <w:tcPr>
            <w:tcW w:w="8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043DDA">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p>
        </w:tc>
        <w:tc>
          <w:tcPr>
            <w:tcW w:w="20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8E3BCD">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Ubuntu 16.04</w:t>
            </w:r>
          </w:p>
        </w:tc>
      </w:tr>
      <w:tr w14:paraId="2CBEF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54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4366EE">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254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926019">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prod-paae</w:t>
            </w:r>
          </w:p>
        </w:tc>
        <w:tc>
          <w:tcPr>
            <w:tcW w:w="84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5DE6F5">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16核</w:t>
            </w:r>
          </w:p>
        </w:tc>
        <w:tc>
          <w:tcPr>
            <w:tcW w:w="7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238267">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32GB</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74ABF8">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500GB</w:t>
            </w:r>
          </w:p>
        </w:tc>
        <w:tc>
          <w:tcPr>
            <w:tcW w:w="8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EB7BCE">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p>
        </w:tc>
        <w:tc>
          <w:tcPr>
            <w:tcW w:w="8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FC18A0">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p>
        </w:tc>
        <w:tc>
          <w:tcPr>
            <w:tcW w:w="20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9DD7F1">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Ubuntu 16.04</w:t>
            </w:r>
          </w:p>
        </w:tc>
      </w:tr>
      <w:tr w14:paraId="65CBC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54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A734B8">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254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8EE60C">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prod-doris-fe</w:t>
            </w:r>
          </w:p>
        </w:tc>
        <w:tc>
          <w:tcPr>
            <w:tcW w:w="84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C8B9E6">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16核</w:t>
            </w:r>
          </w:p>
        </w:tc>
        <w:tc>
          <w:tcPr>
            <w:tcW w:w="7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1004D4">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64GB</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B1ECBC">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600GB</w:t>
            </w:r>
          </w:p>
        </w:tc>
        <w:tc>
          <w:tcPr>
            <w:tcW w:w="8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4160D3">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p>
        </w:tc>
        <w:tc>
          <w:tcPr>
            <w:tcW w:w="8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042BB1">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p>
        </w:tc>
        <w:tc>
          <w:tcPr>
            <w:tcW w:w="20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0A548B">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CentOS 7.9</w:t>
            </w:r>
          </w:p>
        </w:tc>
      </w:tr>
      <w:tr w14:paraId="59390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54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2C9944">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254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0C08CA">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prod-doris-be</w:t>
            </w:r>
          </w:p>
        </w:tc>
        <w:tc>
          <w:tcPr>
            <w:tcW w:w="84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4CBEFB">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16核</w:t>
            </w:r>
          </w:p>
        </w:tc>
        <w:tc>
          <w:tcPr>
            <w:tcW w:w="7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6FF698">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64GB</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539A4D">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600GB</w:t>
            </w:r>
          </w:p>
        </w:tc>
        <w:tc>
          <w:tcPr>
            <w:tcW w:w="8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EF08AE">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p>
        </w:tc>
        <w:tc>
          <w:tcPr>
            <w:tcW w:w="8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D653DD">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p>
        </w:tc>
        <w:tc>
          <w:tcPr>
            <w:tcW w:w="20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B49B19">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CentOS 7.9</w:t>
            </w:r>
          </w:p>
        </w:tc>
      </w:tr>
      <w:tr w14:paraId="193E3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54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F1C881">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254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B40C9A">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prod-fink-cdc</w:t>
            </w:r>
          </w:p>
        </w:tc>
        <w:tc>
          <w:tcPr>
            <w:tcW w:w="84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7F2FA7">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8核</w:t>
            </w:r>
          </w:p>
        </w:tc>
        <w:tc>
          <w:tcPr>
            <w:tcW w:w="7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8B29D1">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64GB</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004A16">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200GB</w:t>
            </w:r>
          </w:p>
        </w:tc>
        <w:tc>
          <w:tcPr>
            <w:tcW w:w="8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EE60AE">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p>
        </w:tc>
        <w:tc>
          <w:tcPr>
            <w:tcW w:w="8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7EEBAA">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p>
        </w:tc>
        <w:tc>
          <w:tcPr>
            <w:tcW w:w="20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86E79F">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CentOS 7.9</w:t>
            </w:r>
          </w:p>
        </w:tc>
      </w:tr>
      <w:tr w14:paraId="6601D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54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BD38FA">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254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C249C9">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middleware</w:t>
            </w:r>
          </w:p>
        </w:tc>
        <w:tc>
          <w:tcPr>
            <w:tcW w:w="84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DA1D88">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4核</w:t>
            </w:r>
          </w:p>
        </w:tc>
        <w:tc>
          <w:tcPr>
            <w:tcW w:w="7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0B9DD6">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8GB</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5CDEFF">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300GB</w:t>
            </w:r>
          </w:p>
        </w:tc>
        <w:tc>
          <w:tcPr>
            <w:tcW w:w="8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FDAB5C">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p>
        </w:tc>
        <w:tc>
          <w:tcPr>
            <w:tcW w:w="8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7348DF">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p>
        </w:tc>
        <w:tc>
          <w:tcPr>
            <w:tcW w:w="20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7A5C69">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Ubuntu 22.04</w:t>
            </w:r>
          </w:p>
        </w:tc>
      </w:tr>
      <w:tr w14:paraId="3E051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54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BBFB1D">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254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32DA6D">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tidb54-tiup</w:t>
            </w:r>
          </w:p>
        </w:tc>
        <w:tc>
          <w:tcPr>
            <w:tcW w:w="84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5D4E7C">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16核</w:t>
            </w:r>
          </w:p>
        </w:tc>
        <w:tc>
          <w:tcPr>
            <w:tcW w:w="7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A9E348">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32GB</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DA3398">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200GB</w:t>
            </w:r>
          </w:p>
        </w:tc>
        <w:tc>
          <w:tcPr>
            <w:tcW w:w="8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1EA3FF">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200GB</w:t>
            </w:r>
          </w:p>
        </w:tc>
        <w:tc>
          <w:tcPr>
            <w:tcW w:w="8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2E5FCD">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p>
        </w:tc>
        <w:tc>
          <w:tcPr>
            <w:tcW w:w="20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E15DE1">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Ubuntu 20.04</w:t>
            </w:r>
          </w:p>
        </w:tc>
      </w:tr>
      <w:tr w14:paraId="057C1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54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398F83">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254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21A333">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tidb54-tidb</w:t>
            </w:r>
          </w:p>
        </w:tc>
        <w:tc>
          <w:tcPr>
            <w:tcW w:w="84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885701">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16核</w:t>
            </w:r>
          </w:p>
        </w:tc>
        <w:tc>
          <w:tcPr>
            <w:tcW w:w="7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597F92">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32GB</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905C80">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500GB</w:t>
            </w:r>
          </w:p>
        </w:tc>
        <w:tc>
          <w:tcPr>
            <w:tcW w:w="8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A2EE18">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p>
        </w:tc>
        <w:tc>
          <w:tcPr>
            <w:tcW w:w="8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41496B">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p>
        </w:tc>
        <w:tc>
          <w:tcPr>
            <w:tcW w:w="20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5224F9">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Ubuntu 20.04</w:t>
            </w:r>
          </w:p>
        </w:tc>
      </w:tr>
      <w:tr w14:paraId="79834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54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203A52">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w:t>
            </w:r>
          </w:p>
        </w:tc>
        <w:tc>
          <w:tcPr>
            <w:tcW w:w="254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4DDD36">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tidb54-tikv</w:t>
            </w:r>
          </w:p>
        </w:tc>
        <w:tc>
          <w:tcPr>
            <w:tcW w:w="84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165204">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16核</w:t>
            </w:r>
          </w:p>
        </w:tc>
        <w:tc>
          <w:tcPr>
            <w:tcW w:w="7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4825E2">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32GB</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8AA94E">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200GB</w:t>
            </w:r>
          </w:p>
        </w:tc>
        <w:tc>
          <w:tcPr>
            <w:tcW w:w="8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30F24D">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500GB</w:t>
            </w:r>
          </w:p>
        </w:tc>
        <w:tc>
          <w:tcPr>
            <w:tcW w:w="8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B92C2B">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p>
        </w:tc>
        <w:tc>
          <w:tcPr>
            <w:tcW w:w="20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50AED2">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Ubuntu 20.04</w:t>
            </w:r>
          </w:p>
        </w:tc>
      </w:tr>
      <w:tr w14:paraId="3749C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54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AE6FAB">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w:t>
            </w:r>
          </w:p>
        </w:tc>
        <w:tc>
          <w:tcPr>
            <w:tcW w:w="254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6962F7">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tidb54-tikv2</w:t>
            </w:r>
          </w:p>
        </w:tc>
        <w:tc>
          <w:tcPr>
            <w:tcW w:w="84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36737A">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16核</w:t>
            </w:r>
          </w:p>
        </w:tc>
        <w:tc>
          <w:tcPr>
            <w:tcW w:w="7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51B38E">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32GB</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E4C8DD">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200GB</w:t>
            </w:r>
          </w:p>
        </w:tc>
        <w:tc>
          <w:tcPr>
            <w:tcW w:w="8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4806DE">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500GB</w:t>
            </w:r>
          </w:p>
        </w:tc>
        <w:tc>
          <w:tcPr>
            <w:tcW w:w="8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64C44A">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p>
        </w:tc>
        <w:tc>
          <w:tcPr>
            <w:tcW w:w="20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AB6FA8">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Ubuntu 20.04</w:t>
            </w:r>
          </w:p>
        </w:tc>
      </w:tr>
      <w:tr w14:paraId="2FBCC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54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982C0C">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w:t>
            </w:r>
          </w:p>
        </w:tc>
        <w:tc>
          <w:tcPr>
            <w:tcW w:w="254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E8CF3F">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tidb54-tikv3</w:t>
            </w:r>
          </w:p>
        </w:tc>
        <w:tc>
          <w:tcPr>
            <w:tcW w:w="84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EADB4D">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16核</w:t>
            </w:r>
          </w:p>
        </w:tc>
        <w:tc>
          <w:tcPr>
            <w:tcW w:w="7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83B5B1">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32GB</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4BE393">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200GB</w:t>
            </w:r>
          </w:p>
        </w:tc>
        <w:tc>
          <w:tcPr>
            <w:tcW w:w="8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24A57C">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500GB</w:t>
            </w:r>
          </w:p>
        </w:tc>
        <w:tc>
          <w:tcPr>
            <w:tcW w:w="8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15C5E6">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p>
        </w:tc>
        <w:tc>
          <w:tcPr>
            <w:tcW w:w="20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1B096A">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Ubuntu 20.04</w:t>
            </w:r>
          </w:p>
        </w:tc>
      </w:tr>
      <w:tr w14:paraId="535F5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54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8A80DC">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254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D2B636">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windows-front-mysql</w:t>
            </w:r>
          </w:p>
        </w:tc>
        <w:tc>
          <w:tcPr>
            <w:tcW w:w="84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39F096">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12核</w:t>
            </w:r>
          </w:p>
        </w:tc>
        <w:tc>
          <w:tcPr>
            <w:tcW w:w="7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386A58">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24GB</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C78ECA">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200GB</w:t>
            </w:r>
          </w:p>
        </w:tc>
        <w:tc>
          <w:tcPr>
            <w:tcW w:w="8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F85313">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500GB</w:t>
            </w:r>
          </w:p>
        </w:tc>
        <w:tc>
          <w:tcPr>
            <w:tcW w:w="8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81FCF0">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p>
        </w:tc>
        <w:tc>
          <w:tcPr>
            <w:tcW w:w="20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FCB0AD">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Windows Server 2008 R2 企业版</w:t>
            </w:r>
          </w:p>
        </w:tc>
      </w:tr>
      <w:tr w14:paraId="70FAF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54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B85C41">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w:t>
            </w:r>
          </w:p>
        </w:tc>
        <w:tc>
          <w:tcPr>
            <w:tcW w:w="254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E93A83">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prod-pvs</w:t>
            </w:r>
          </w:p>
        </w:tc>
        <w:tc>
          <w:tcPr>
            <w:tcW w:w="84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B23846">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16核</w:t>
            </w:r>
          </w:p>
        </w:tc>
        <w:tc>
          <w:tcPr>
            <w:tcW w:w="7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989694">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64GB</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D58CEA">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500GB</w:t>
            </w:r>
          </w:p>
        </w:tc>
        <w:tc>
          <w:tcPr>
            <w:tcW w:w="8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6CD7D3">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p>
        </w:tc>
        <w:tc>
          <w:tcPr>
            <w:tcW w:w="8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5FCA92">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p>
        </w:tc>
        <w:tc>
          <w:tcPr>
            <w:tcW w:w="20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0ACC2B">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Ubuntu 18.04</w:t>
            </w:r>
          </w:p>
        </w:tc>
      </w:tr>
    </w:tbl>
    <w:p w14:paraId="262C185C">
      <w:pPr>
        <w:keepLines w:val="0"/>
        <w:pageBreakBefore w:val="0"/>
        <w:widowControl w:val="0"/>
        <w:kinsoku/>
        <w:wordWrap/>
        <w:overflowPunct/>
        <w:topLinePunct w:val="0"/>
        <w:autoSpaceDE w:val="0"/>
        <w:autoSpaceDN w:val="0"/>
        <w:bidi w:val="0"/>
        <w:adjustRightInd w:val="0"/>
        <w:snapToGrid/>
        <w:spacing w:line="360" w:lineRule="auto"/>
        <w:ind w:left="0" w:firstLine="42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（2）云服务器监控运维</w:t>
      </w:r>
    </w:p>
    <w:p w14:paraId="3F243C86">
      <w:pPr>
        <w:keepLines w:val="0"/>
        <w:pageBreakBefore w:val="0"/>
        <w:widowControl w:val="0"/>
        <w:kinsoku/>
        <w:wordWrap/>
        <w:overflowPunct/>
        <w:topLinePunct w:val="0"/>
        <w:autoSpaceDE w:val="0"/>
        <w:autoSpaceDN w:val="0"/>
        <w:bidi w:val="0"/>
        <w:adjustRightInd w:val="0"/>
        <w:snapToGrid/>
        <w:spacing w:line="360" w:lineRule="auto"/>
        <w:ind w:left="0" w:firstLine="420"/>
        <w:jc w:val="both"/>
        <w:textAlignment w:val="auto"/>
        <w:rPr>
          <w:rFonts w:hint="eastAsia" w:ascii="仿宋" w:hAnsi="仿宋" w:eastAsia="仿宋" w:cs="仿宋"/>
          <w:color w:val="auto"/>
          <w:sz w:val="24"/>
          <w:szCs w:val="24"/>
          <w:highlight w:val="none"/>
          <w:lang w:val="en-US" w:eastAsia="zh-CN" w:bidi="ar-SA"/>
        </w:rPr>
      </w:pPr>
      <w:bookmarkStart w:id="89" w:name="_Toc12254"/>
      <w:r>
        <w:rPr>
          <w:rFonts w:hint="eastAsia" w:ascii="仿宋" w:hAnsi="仿宋" w:eastAsia="仿宋" w:cs="仿宋"/>
          <w:color w:val="auto"/>
          <w:sz w:val="24"/>
          <w:szCs w:val="24"/>
          <w:highlight w:val="none"/>
          <w:lang w:val="en-US" w:eastAsia="zh-CN" w:bidi="ar-SA"/>
        </w:rPr>
        <w:t>（3）云盘快照服务</w:t>
      </w:r>
      <w:bookmarkEnd w:id="89"/>
    </w:p>
    <w:p w14:paraId="265D511C">
      <w:pPr>
        <w:keepNext/>
        <w:keepLines w:val="0"/>
        <w:pageBreakBefore w:val="0"/>
        <w:widowControl/>
        <w:kinsoku/>
        <w:wordWrap/>
        <w:overflowPunct/>
        <w:topLinePunct w:val="0"/>
        <w:bidi w:val="0"/>
        <w:snapToGrid/>
        <w:spacing w:before="0" w:after="0" w:line="360" w:lineRule="auto"/>
        <w:ind w:left="0"/>
        <w:jc w:val="both"/>
        <w:textAlignment w:val="auto"/>
        <w:outlineLvl w:val="2"/>
        <w:rPr>
          <w:rFonts w:hint="eastAsia" w:ascii="仿宋" w:hAnsi="仿宋" w:eastAsia="仿宋" w:cs="仿宋"/>
          <w:b/>
          <w:bCs/>
          <w:color w:val="auto"/>
          <w:kern w:val="0"/>
          <w:sz w:val="24"/>
          <w:szCs w:val="32"/>
          <w:highlight w:val="none"/>
          <w:lang w:val="en-US" w:eastAsia="zh-CN" w:bidi="ar-SA"/>
        </w:rPr>
      </w:pPr>
      <w:bookmarkStart w:id="90" w:name="_Toc14181"/>
      <w:r>
        <w:rPr>
          <w:rFonts w:hint="eastAsia" w:ascii="仿宋" w:hAnsi="仿宋" w:eastAsia="仿宋" w:cs="仿宋"/>
          <w:b/>
          <w:bCs/>
          <w:color w:val="auto"/>
          <w:kern w:val="0"/>
          <w:sz w:val="24"/>
          <w:szCs w:val="32"/>
          <w:highlight w:val="none"/>
          <w:lang w:val="en-US" w:eastAsia="zh-CN" w:bidi="ar-SA"/>
        </w:rPr>
        <w:t>（二）操作系统运维</w:t>
      </w:r>
      <w:bookmarkEnd w:id="90"/>
    </w:p>
    <w:p w14:paraId="2AF978AA">
      <w:pPr>
        <w:keepLines w:val="0"/>
        <w:pageBreakBefore w:val="0"/>
        <w:widowControl w:val="0"/>
        <w:kinsoku/>
        <w:wordWrap/>
        <w:overflowPunct/>
        <w:topLinePunct w:val="0"/>
        <w:autoSpaceDE w:val="0"/>
        <w:autoSpaceDN w:val="0"/>
        <w:bidi w:val="0"/>
        <w:adjustRightInd w:val="0"/>
        <w:snapToGrid/>
        <w:spacing w:line="360" w:lineRule="auto"/>
        <w:ind w:left="0" w:firstLine="420"/>
        <w:jc w:val="both"/>
        <w:textAlignment w:val="auto"/>
        <w:rPr>
          <w:rFonts w:hint="eastAsia" w:ascii="仿宋" w:hAnsi="仿宋" w:eastAsia="仿宋" w:cs="仿宋"/>
          <w:color w:val="auto"/>
          <w:sz w:val="24"/>
          <w:szCs w:val="24"/>
          <w:highlight w:val="none"/>
          <w:lang w:val="en-US" w:eastAsia="zh-CN" w:bidi="ar-SA"/>
        </w:rPr>
      </w:pPr>
      <w:bookmarkStart w:id="91" w:name="_Toc20799"/>
      <w:r>
        <w:rPr>
          <w:rFonts w:hint="eastAsia" w:ascii="仿宋" w:hAnsi="仿宋" w:eastAsia="仿宋" w:cs="仿宋"/>
          <w:color w:val="auto"/>
          <w:sz w:val="24"/>
          <w:szCs w:val="24"/>
          <w:highlight w:val="none"/>
          <w:lang w:val="en-US" w:eastAsia="zh-CN" w:bidi="ar-SA"/>
        </w:rPr>
        <w:t>（1）安全漏洞修复</w:t>
      </w:r>
      <w:bookmarkEnd w:id="91"/>
    </w:p>
    <w:p w14:paraId="778D023B">
      <w:pPr>
        <w:keepLines w:val="0"/>
        <w:pageBreakBefore w:val="0"/>
        <w:widowControl w:val="0"/>
        <w:kinsoku/>
        <w:wordWrap/>
        <w:overflowPunct/>
        <w:topLinePunct w:val="0"/>
        <w:autoSpaceDE w:val="0"/>
        <w:autoSpaceDN w:val="0"/>
        <w:bidi w:val="0"/>
        <w:adjustRightInd w:val="0"/>
        <w:snapToGrid/>
        <w:spacing w:line="360" w:lineRule="auto"/>
        <w:ind w:left="0" w:firstLine="420"/>
        <w:jc w:val="both"/>
        <w:textAlignment w:val="auto"/>
        <w:rPr>
          <w:rFonts w:hint="eastAsia" w:ascii="仿宋" w:hAnsi="仿宋" w:eastAsia="仿宋" w:cs="仿宋"/>
          <w:color w:val="auto"/>
          <w:sz w:val="24"/>
          <w:szCs w:val="24"/>
          <w:highlight w:val="none"/>
          <w:lang w:val="en-US" w:eastAsia="zh-CN" w:bidi="ar-SA"/>
        </w:rPr>
      </w:pPr>
      <w:bookmarkStart w:id="92" w:name="_Toc23886"/>
      <w:r>
        <w:rPr>
          <w:rFonts w:hint="eastAsia" w:ascii="仿宋" w:hAnsi="仿宋" w:eastAsia="仿宋" w:cs="仿宋"/>
          <w:color w:val="auto"/>
          <w:sz w:val="24"/>
          <w:szCs w:val="24"/>
          <w:highlight w:val="none"/>
          <w:lang w:val="en-US" w:eastAsia="zh-CN" w:bidi="ar-SA"/>
        </w:rPr>
        <w:t>（2）安全告警处理</w:t>
      </w:r>
      <w:bookmarkEnd w:id="92"/>
    </w:p>
    <w:p w14:paraId="6663F50F">
      <w:pPr>
        <w:keepLines w:val="0"/>
        <w:pageBreakBefore w:val="0"/>
        <w:widowControl w:val="0"/>
        <w:kinsoku/>
        <w:wordWrap/>
        <w:overflowPunct/>
        <w:topLinePunct w:val="0"/>
        <w:autoSpaceDE w:val="0"/>
        <w:autoSpaceDN w:val="0"/>
        <w:bidi w:val="0"/>
        <w:adjustRightInd w:val="0"/>
        <w:snapToGrid/>
        <w:spacing w:line="360" w:lineRule="auto"/>
        <w:ind w:left="0" w:firstLine="420"/>
        <w:jc w:val="both"/>
        <w:textAlignment w:val="auto"/>
        <w:rPr>
          <w:rFonts w:hint="eastAsia" w:ascii="仿宋" w:hAnsi="仿宋" w:eastAsia="仿宋" w:cs="仿宋"/>
          <w:color w:val="auto"/>
          <w:sz w:val="24"/>
          <w:szCs w:val="24"/>
          <w:highlight w:val="none"/>
          <w:lang w:val="en-US" w:eastAsia="zh-CN" w:bidi="ar-SA"/>
        </w:rPr>
      </w:pPr>
      <w:bookmarkStart w:id="93" w:name="_Toc24157"/>
      <w:r>
        <w:rPr>
          <w:rFonts w:hint="eastAsia" w:ascii="仿宋" w:hAnsi="仿宋" w:eastAsia="仿宋" w:cs="仿宋"/>
          <w:color w:val="auto"/>
          <w:sz w:val="24"/>
          <w:szCs w:val="24"/>
          <w:highlight w:val="none"/>
          <w:lang w:val="en-US" w:eastAsia="zh-CN" w:bidi="ar-SA"/>
        </w:rPr>
        <w:t>（3）运维和安全审计</w:t>
      </w:r>
      <w:bookmarkEnd w:id="93"/>
    </w:p>
    <w:p w14:paraId="13642E49">
      <w:pPr>
        <w:keepNext/>
        <w:keepLines w:val="0"/>
        <w:pageBreakBefore w:val="0"/>
        <w:widowControl/>
        <w:kinsoku/>
        <w:wordWrap/>
        <w:overflowPunct/>
        <w:topLinePunct w:val="0"/>
        <w:bidi w:val="0"/>
        <w:snapToGrid/>
        <w:spacing w:before="0" w:after="0" w:line="360" w:lineRule="auto"/>
        <w:ind w:left="0"/>
        <w:jc w:val="both"/>
        <w:textAlignment w:val="auto"/>
        <w:outlineLvl w:val="2"/>
        <w:rPr>
          <w:rFonts w:hint="eastAsia" w:ascii="仿宋" w:hAnsi="仿宋" w:eastAsia="仿宋" w:cs="仿宋"/>
          <w:b/>
          <w:bCs/>
          <w:color w:val="auto"/>
          <w:kern w:val="0"/>
          <w:sz w:val="24"/>
          <w:szCs w:val="32"/>
          <w:highlight w:val="none"/>
          <w:lang w:val="en-US" w:eastAsia="zh-CN" w:bidi="ar-SA"/>
        </w:rPr>
      </w:pPr>
      <w:bookmarkStart w:id="94" w:name="_Toc8362"/>
      <w:r>
        <w:rPr>
          <w:rFonts w:hint="eastAsia" w:ascii="仿宋" w:hAnsi="仿宋" w:eastAsia="仿宋" w:cs="仿宋"/>
          <w:b/>
          <w:bCs/>
          <w:color w:val="auto"/>
          <w:kern w:val="0"/>
          <w:sz w:val="24"/>
          <w:szCs w:val="32"/>
          <w:highlight w:val="none"/>
          <w:lang w:val="en-US" w:eastAsia="zh-CN" w:bidi="ar-SA"/>
        </w:rPr>
        <w:t>（三）网络安全等级保护测评</w:t>
      </w:r>
    </w:p>
    <w:p w14:paraId="3E0D0F77">
      <w:pPr>
        <w:keepLines w:val="0"/>
        <w:pageBreakBefore w:val="0"/>
        <w:widowControl w:val="0"/>
        <w:kinsoku/>
        <w:wordWrap/>
        <w:overflowPunct/>
        <w:topLinePunct w:val="0"/>
        <w:autoSpaceDE w:val="0"/>
        <w:autoSpaceDN w:val="0"/>
        <w:bidi w:val="0"/>
        <w:adjustRightInd w:val="0"/>
        <w:snapToGrid/>
        <w:spacing w:line="360" w:lineRule="auto"/>
        <w:ind w:left="0"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新疆畜牧兽医大数据平台及各系统软硬安全环境最低要满足二级等级保护要求。</w:t>
      </w:r>
    </w:p>
    <w:p w14:paraId="216213E6">
      <w:pPr>
        <w:keepNext/>
        <w:keepLines w:val="0"/>
        <w:pageBreakBefore w:val="0"/>
        <w:widowControl/>
        <w:kinsoku/>
        <w:wordWrap/>
        <w:overflowPunct/>
        <w:topLinePunct w:val="0"/>
        <w:bidi w:val="0"/>
        <w:snapToGrid/>
        <w:spacing w:before="0" w:after="0" w:line="360" w:lineRule="auto"/>
        <w:ind w:left="0"/>
        <w:jc w:val="both"/>
        <w:textAlignment w:val="auto"/>
        <w:outlineLvl w:val="2"/>
        <w:rPr>
          <w:rFonts w:hint="eastAsia" w:ascii="仿宋" w:hAnsi="仿宋" w:eastAsia="仿宋" w:cs="仿宋"/>
          <w:b/>
          <w:bCs/>
          <w:color w:val="auto"/>
          <w:kern w:val="0"/>
          <w:sz w:val="24"/>
          <w:szCs w:val="32"/>
          <w:highlight w:val="none"/>
          <w:lang w:val="en-US" w:eastAsia="zh-CN" w:bidi="ar-SA"/>
        </w:rPr>
      </w:pPr>
      <w:r>
        <w:rPr>
          <w:rFonts w:hint="eastAsia" w:ascii="仿宋" w:hAnsi="仿宋" w:eastAsia="仿宋" w:cs="仿宋"/>
          <w:b/>
          <w:bCs/>
          <w:color w:val="auto"/>
          <w:kern w:val="0"/>
          <w:sz w:val="24"/>
          <w:szCs w:val="32"/>
          <w:highlight w:val="none"/>
          <w:lang w:val="en-US" w:eastAsia="zh-CN" w:bidi="ar-SA"/>
        </w:rPr>
        <w:t>（四）域名、SSL证书运维</w:t>
      </w:r>
      <w:bookmarkEnd w:id="94"/>
    </w:p>
    <w:p w14:paraId="2BADEDAB">
      <w:pPr>
        <w:keepLines w:val="0"/>
        <w:pageBreakBefore w:val="0"/>
        <w:widowControl w:val="0"/>
        <w:kinsoku/>
        <w:wordWrap/>
        <w:overflowPunct/>
        <w:topLinePunct w:val="0"/>
        <w:autoSpaceDE w:val="0"/>
        <w:autoSpaceDN w:val="0"/>
        <w:bidi w:val="0"/>
        <w:adjustRightInd w:val="0"/>
        <w:snapToGrid/>
        <w:spacing w:line="360" w:lineRule="auto"/>
        <w:ind w:left="0"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当前大数据平台维护的顶级域名为xjy0.cn，</w:t>
      </w:r>
    </w:p>
    <w:p w14:paraId="0E53098A">
      <w:pPr>
        <w:keepLines w:val="0"/>
        <w:pageBreakBefore w:val="0"/>
        <w:widowControl w:val="0"/>
        <w:kinsoku/>
        <w:wordWrap/>
        <w:overflowPunct/>
        <w:topLinePunct w:val="0"/>
        <w:autoSpaceDE w:val="0"/>
        <w:autoSpaceDN w:val="0"/>
        <w:bidi w:val="0"/>
        <w:adjustRightInd w:val="0"/>
        <w:snapToGrid/>
        <w:spacing w:line="360" w:lineRule="auto"/>
        <w:ind w:left="0"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子域名包括：</w:t>
      </w:r>
    </w:p>
    <w:p w14:paraId="3C0059A2">
      <w:pPr>
        <w:keepLines w:val="0"/>
        <w:pageBreakBefore w:val="0"/>
        <w:widowControl w:val="0"/>
        <w:kinsoku/>
        <w:wordWrap/>
        <w:overflowPunct/>
        <w:topLinePunct w:val="0"/>
        <w:autoSpaceDE w:val="0"/>
        <w:autoSpaceDN w:val="0"/>
        <w:bidi w:val="0"/>
        <w:adjustRightInd w:val="0"/>
        <w:snapToGrid/>
        <w:spacing w:line="360" w:lineRule="auto"/>
        <w:ind w:left="0" w:firstLine="42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paae-admin.xjy0.cn</w:t>
      </w:r>
    </w:p>
    <w:p w14:paraId="55417C04">
      <w:pPr>
        <w:keepLines w:val="0"/>
        <w:pageBreakBefore w:val="0"/>
        <w:widowControl w:val="0"/>
        <w:kinsoku/>
        <w:wordWrap/>
        <w:overflowPunct/>
        <w:topLinePunct w:val="0"/>
        <w:autoSpaceDE w:val="0"/>
        <w:autoSpaceDN w:val="0"/>
        <w:bidi w:val="0"/>
        <w:adjustRightInd w:val="0"/>
        <w:snapToGrid/>
        <w:spacing w:line="360" w:lineRule="auto"/>
        <w:ind w:left="0" w:firstLine="42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paae-service.xjy0.cn</w:t>
      </w:r>
    </w:p>
    <w:p w14:paraId="786D60E5">
      <w:pPr>
        <w:keepLines w:val="0"/>
        <w:pageBreakBefore w:val="0"/>
        <w:widowControl w:val="0"/>
        <w:kinsoku/>
        <w:wordWrap/>
        <w:overflowPunct/>
        <w:topLinePunct w:val="0"/>
        <w:autoSpaceDE w:val="0"/>
        <w:autoSpaceDN w:val="0"/>
        <w:bidi w:val="0"/>
        <w:adjustRightInd w:val="0"/>
        <w:snapToGrid/>
        <w:spacing w:line="360" w:lineRule="auto"/>
        <w:ind w:left="0" w:firstLine="42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pvs.xjy0.cn</w:t>
      </w:r>
    </w:p>
    <w:p w14:paraId="30E7C15B">
      <w:pPr>
        <w:keepLines w:val="0"/>
        <w:pageBreakBefore w:val="0"/>
        <w:widowControl w:val="0"/>
        <w:kinsoku/>
        <w:wordWrap/>
        <w:overflowPunct/>
        <w:topLinePunct w:val="0"/>
        <w:autoSpaceDE w:val="0"/>
        <w:autoSpaceDN w:val="0"/>
        <w:bidi w:val="0"/>
        <w:adjustRightInd w:val="0"/>
        <w:snapToGrid/>
        <w:spacing w:line="360" w:lineRule="auto"/>
        <w:ind w:left="0" w:firstLine="42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pvs-service.xjy0.cn</w:t>
      </w:r>
    </w:p>
    <w:p w14:paraId="1251F5B7">
      <w:pPr>
        <w:keepLines w:val="0"/>
        <w:pageBreakBefore w:val="0"/>
        <w:widowControl w:val="0"/>
        <w:kinsoku/>
        <w:wordWrap/>
        <w:overflowPunct/>
        <w:topLinePunct w:val="0"/>
        <w:autoSpaceDE w:val="0"/>
        <w:autoSpaceDN w:val="0"/>
        <w:bidi w:val="0"/>
        <w:adjustRightInd w:val="0"/>
        <w:snapToGrid/>
        <w:spacing w:line="360" w:lineRule="auto"/>
        <w:ind w:left="0" w:firstLine="42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xmyun-web.xjy0.cn</w:t>
      </w:r>
    </w:p>
    <w:p w14:paraId="6B970759">
      <w:pPr>
        <w:keepLines w:val="0"/>
        <w:pageBreakBefore w:val="0"/>
        <w:widowControl w:val="0"/>
        <w:kinsoku/>
        <w:wordWrap/>
        <w:overflowPunct/>
        <w:topLinePunct w:val="0"/>
        <w:autoSpaceDE w:val="0"/>
        <w:autoSpaceDN w:val="0"/>
        <w:bidi w:val="0"/>
        <w:adjustRightInd w:val="0"/>
        <w:snapToGrid/>
        <w:spacing w:line="360" w:lineRule="auto"/>
        <w:ind w:left="0" w:firstLine="42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xymun-service.xjy0.cn.</w:t>
      </w:r>
    </w:p>
    <w:p w14:paraId="002D6427">
      <w:pPr>
        <w:keepLines w:val="0"/>
        <w:pageBreakBefore w:val="0"/>
        <w:widowControl w:val="0"/>
        <w:kinsoku/>
        <w:wordWrap/>
        <w:overflowPunct/>
        <w:topLinePunct w:val="0"/>
        <w:autoSpaceDE w:val="0"/>
        <w:autoSpaceDN w:val="0"/>
        <w:bidi w:val="0"/>
        <w:adjustRightInd w:val="0"/>
        <w:snapToGrid/>
        <w:spacing w:line="360" w:lineRule="auto"/>
        <w:ind w:left="0" w:firstLine="42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fldChar w:fldCharType="begin"/>
      </w:r>
      <w:r>
        <w:rPr>
          <w:rFonts w:hint="eastAsia" w:ascii="仿宋" w:hAnsi="仿宋" w:eastAsia="仿宋" w:cs="仿宋"/>
          <w:color w:val="auto"/>
          <w:sz w:val="24"/>
          <w:szCs w:val="24"/>
          <w:highlight w:val="none"/>
          <w:lang w:val="en-US" w:eastAsia="zh-CN" w:bidi="ar-SA"/>
        </w:rPr>
        <w:instrText xml:space="preserve"> HYPERLINK "https://bis-admin.xjy0.cn" </w:instrText>
      </w:r>
      <w:r>
        <w:rPr>
          <w:rFonts w:hint="eastAsia" w:ascii="仿宋" w:hAnsi="仿宋" w:eastAsia="仿宋" w:cs="仿宋"/>
          <w:color w:val="auto"/>
          <w:sz w:val="24"/>
          <w:szCs w:val="24"/>
          <w:highlight w:val="none"/>
          <w:lang w:val="en-US" w:eastAsia="zh-CN" w:bidi="ar-SA"/>
        </w:rPr>
        <w:fldChar w:fldCharType="separate"/>
      </w:r>
      <w:r>
        <w:rPr>
          <w:rFonts w:hint="eastAsia" w:ascii="仿宋" w:hAnsi="仿宋" w:eastAsia="仿宋" w:cs="仿宋"/>
          <w:color w:val="auto"/>
          <w:sz w:val="24"/>
          <w:szCs w:val="24"/>
          <w:highlight w:val="none"/>
          <w:lang w:val="en-US" w:eastAsia="zh-CN" w:bidi="ar-SA"/>
        </w:rPr>
        <w:t>https://bis-admin.xjy0.cn</w:t>
      </w:r>
      <w:r>
        <w:rPr>
          <w:rFonts w:hint="eastAsia" w:ascii="仿宋" w:hAnsi="仿宋" w:eastAsia="仿宋" w:cs="仿宋"/>
          <w:color w:val="auto"/>
          <w:sz w:val="24"/>
          <w:szCs w:val="24"/>
          <w:highlight w:val="none"/>
          <w:lang w:val="en-US" w:eastAsia="zh-CN" w:bidi="ar-SA"/>
        </w:rPr>
        <w:fldChar w:fldCharType="end"/>
      </w:r>
    </w:p>
    <w:p w14:paraId="4A507CC0">
      <w:pPr>
        <w:keepLines w:val="0"/>
        <w:pageBreakBefore w:val="0"/>
        <w:widowControl w:val="0"/>
        <w:kinsoku/>
        <w:wordWrap/>
        <w:overflowPunct/>
        <w:topLinePunct w:val="0"/>
        <w:autoSpaceDE w:val="0"/>
        <w:autoSpaceDN w:val="0"/>
        <w:bidi w:val="0"/>
        <w:adjustRightInd w:val="0"/>
        <w:snapToGrid/>
        <w:spacing w:line="360" w:lineRule="auto"/>
        <w:ind w:left="0" w:firstLine="42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fldChar w:fldCharType="begin"/>
      </w:r>
      <w:r>
        <w:rPr>
          <w:rFonts w:hint="eastAsia" w:ascii="仿宋" w:hAnsi="仿宋" w:eastAsia="仿宋" w:cs="仿宋"/>
          <w:color w:val="auto"/>
          <w:sz w:val="24"/>
          <w:szCs w:val="24"/>
          <w:highlight w:val="none"/>
          <w:lang w:val="en-US" w:eastAsia="zh-CN" w:bidi="ar-SA"/>
        </w:rPr>
        <w:instrText xml:space="preserve"> HYPERLINK "https://pvs.xjy0.cn" </w:instrText>
      </w:r>
      <w:r>
        <w:rPr>
          <w:rFonts w:hint="eastAsia" w:ascii="仿宋" w:hAnsi="仿宋" w:eastAsia="仿宋" w:cs="仿宋"/>
          <w:color w:val="auto"/>
          <w:sz w:val="24"/>
          <w:szCs w:val="24"/>
          <w:highlight w:val="none"/>
          <w:lang w:val="en-US" w:eastAsia="zh-CN" w:bidi="ar-SA"/>
        </w:rPr>
        <w:fldChar w:fldCharType="separate"/>
      </w:r>
      <w:r>
        <w:rPr>
          <w:rFonts w:hint="eastAsia" w:ascii="仿宋" w:hAnsi="仿宋" w:eastAsia="仿宋" w:cs="仿宋"/>
          <w:color w:val="auto"/>
          <w:sz w:val="24"/>
          <w:szCs w:val="24"/>
          <w:highlight w:val="none"/>
          <w:lang w:val="en-US" w:eastAsia="zh-CN" w:bidi="ar-SA"/>
        </w:rPr>
        <w:t>https://pvs.xjy0.cn</w:t>
      </w:r>
      <w:r>
        <w:rPr>
          <w:rFonts w:hint="eastAsia" w:ascii="仿宋" w:hAnsi="仿宋" w:eastAsia="仿宋" w:cs="仿宋"/>
          <w:color w:val="auto"/>
          <w:sz w:val="24"/>
          <w:szCs w:val="24"/>
          <w:highlight w:val="none"/>
          <w:lang w:val="en-US" w:eastAsia="zh-CN" w:bidi="ar-SA"/>
        </w:rPr>
        <w:fldChar w:fldCharType="end"/>
      </w:r>
    </w:p>
    <w:p w14:paraId="5547F36B">
      <w:pPr>
        <w:keepLines w:val="0"/>
        <w:pageBreakBefore w:val="0"/>
        <w:widowControl w:val="0"/>
        <w:kinsoku/>
        <w:wordWrap/>
        <w:overflowPunct/>
        <w:topLinePunct w:val="0"/>
        <w:autoSpaceDE w:val="0"/>
        <w:autoSpaceDN w:val="0"/>
        <w:bidi w:val="0"/>
        <w:adjustRightInd w:val="0"/>
        <w:snapToGrid/>
        <w:spacing w:line="360" w:lineRule="auto"/>
        <w:ind w:left="0" w:firstLine="42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https://trace-admin.xjy0.cn</w:t>
      </w:r>
    </w:p>
    <w:p w14:paraId="5CC90A4D">
      <w:pPr>
        <w:keepLines w:val="0"/>
        <w:pageBreakBefore w:val="0"/>
        <w:widowControl w:val="0"/>
        <w:kinsoku/>
        <w:wordWrap/>
        <w:overflowPunct/>
        <w:topLinePunct w:val="0"/>
        <w:autoSpaceDE w:val="0"/>
        <w:autoSpaceDN w:val="0"/>
        <w:bidi w:val="0"/>
        <w:adjustRightInd w:val="0"/>
        <w:snapToGrid/>
        <w:spacing w:line="360" w:lineRule="auto"/>
        <w:ind w:left="0" w:firstLine="42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所有域名解析到网关服务器114.215.98.238，网关服务器安装nginx服务对各个子域名服务进行反向代理解析实现服务的中转。</w:t>
      </w:r>
    </w:p>
    <w:p w14:paraId="5DFA91E0">
      <w:pPr>
        <w:keepNext/>
        <w:keepLines w:val="0"/>
        <w:pageBreakBefore w:val="0"/>
        <w:widowControl/>
        <w:kinsoku/>
        <w:wordWrap/>
        <w:overflowPunct/>
        <w:topLinePunct w:val="0"/>
        <w:bidi w:val="0"/>
        <w:snapToGrid/>
        <w:spacing w:before="0" w:after="0" w:line="360" w:lineRule="auto"/>
        <w:ind w:left="0"/>
        <w:jc w:val="both"/>
        <w:textAlignment w:val="auto"/>
        <w:outlineLvl w:val="2"/>
        <w:rPr>
          <w:rFonts w:hint="eastAsia" w:ascii="仿宋" w:hAnsi="仿宋" w:eastAsia="仿宋" w:cs="仿宋"/>
          <w:b/>
          <w:bCs/>
          <w:color w:val="auto"/>
          <w:kern w:val="0"/>
          <w:sz w:val="24"/>
          <w:szCs w:val="32"/>
          <w:highlight w:val="none"/>
          <w:lang w:val="en-US" w:eastAsia="zh-CN" w:bidi="ar-SA"/>
        </w:rPr>
      </w:pPr>
      <w:bookmarkStart w:id="95" w:name="_Toc28502"/>
      <w:r>
        <w:rPr>
          <w:rFonts w:hint="eastAsia" w:ascii="仿宋" w:hAnsi="仿宋" w:eastAsia="仿宋" w:cs="仿宋"/>
          <w:b/>
          <w:bCs/>
          <w:color w:val="auto"/>
          <w:kern w:val="0"/>
          <w:sz w:val="24"/>
          <w:szCs w:val="32"/>
          <w:highlight w:val="none"/>
          <w:lang w:val="en-US" w:eastAsia="zh-CN" w:bidi="ar-SA"/>
        </w:rPr>
        <w:t>（五）数据库运维</w:t>
      </w:r>
      <w:bookmarkEnd w:id="95"/>
    </w:p>
    <w:p w14:paraId="47FCA08C">
      <w:pPr>
        <w:keepLines w:val="0"/>
        <w:pageBreakBefore w:val="0"/>
        <w:kinsoku/>
        <w:wordWrap/>
        <w:overflowPunct/>
        <w:topLinePunct w:val="0"/>
        <w:bidi w:val="0"/>
        <w:snapToGrid/>
        <w:spacing w:line="360" w:lineRule="auto"/>
        <w:ind w:left="0"/>
        <w:textAlignment w:val="auto"/>
        <w:rPr>
          <w:rFonts w:hint="eastAsia" w:ascii="仿宋" w:hAnsi="仿宋" w:eastAsia="仿宋" w:cs="仿宋"/>
          <w:color w:val="auto"/>
          <w:kern w:val="0"/>
          <w:sz w:val="24"/>
          <w:szCs w:val="24"/>
          <w:highlight w:val="none"/>
          <w:lang w:val="en-US" w:eastAsia="zh-CN" w:bidi="ar-SA"/>
        </w:rPr>
      </w:pPr>
      <w:bookmarkStart w:id="96" w:name="_Toc22150"/>
      <w:r>
        <w:rPr>
          <w:rFonts w:hint="eastAsia" w:ascii="仿宋" w:hAnsi="仿宋" w:eastAsia="仿宋" w:cs="仿宋"/>
          <w:color w:val="auto"/>
          <w:kern w:val="0"/>
          <w:sz w:val="24"/>
          <w:szCs w:val="24"/>
          <w:highlight w:val="none"/>
          <w:lang w:val="en-US" w:eastAsia="zh-CN" w:bidi="ar-SA"/>
        </w:rPr>
        <w:t>（1）主从同步</w:t>
      </w:r>
      <w:bookmarkEnd w:id="96"/>
    </w:p>
    <w:p w14:paraId="02CDE95A">
      <w:pPr>
        <w:keepLines w:val="0"/>
        <w:pageBreakBefore w:val="0"/>
        <w:kinsoku/>
        <w:wordWrap/>
        <w:overflowPunct/>
        <w:topLinePunct w:val="0"/>
        <w:bidi w:val="0"/>
        <w:snapToGrid/>
        <w:spacing w:line="360" w:lineRule="auto"/>
        <w:ind w:left="0"/>
        <w:textAlignment w:val="auto"/>
        <w:rPr>
          <w:rFonts w:hint="eastAsia" w:ascii="仿宋" w:hAnsi="仿宋" w:eastAsia="仿宋" w:cs="仿宋"/>
          <w:color w:val="auto"/>
          <w:kern w:val="0"/>
          <w:sz w:val="24"/>
          <w:szCs w:val="24"/>
          <w:highlight w:val="none"/>
          <w:lang w:val="en-US" w:eastAsia="zh-CN" w:bidi="ar-SA"/>
        </w:rPr>
      </w:pPr>
      <w:bookmarkStart w:id="97" w:name="_Toc16424"/>
      <w:r>
        <w:rPr>
          <w:rFonts w:hint="eastAsia" w:ascii="仿宋" w:hAnsi="仿宋" w:eastAsia="仿宋" w:cs="仿宋"/>
          <w:color w:val="auto"/>
          <w:kern w:val="0"/>
          <w:sz w:val="24"/>
          <w:szCs w:val="24"/>
          <w:highlight w:val="none"/>
          <w:lang w:val="en-US" w:eastAsia="zh-CN" w:bidi="ar-SA"/>
        </w:rPr>
        <w:t>（2）数据库备份</w:t>
      </w:r>
      <w:bookmarkEnd w:id="97"/>
    </w:p>
    <w:p w14:paraId="7150318D">
      <w:pPr>
        <w:keepLines w:val="0"/>
        <w:pageBreakBefore w:val="0"/>
        <w:kinsoku/>
        <w:wordWrap/>
        <w:overflowPunct/>
        <w:topLinePunct w:val="0"/>
        <w:bidi w:val="0"/>
        <w:snapToGrid/>
        <w:spacing w:line="360" w:lineRule="auto"/>
        <w:ind w:left="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（3）数据库数据修改操作</w:t>
      </w:r>
    </w:p>
    <w:p w14:paraId="0D9EAD63">
      <w:pPr>
        <w:keepNext/>
        <w:keepLines w:val="0"/>
        <w:pageBreakBefore w:val="0"/>
        <w:widowControl/>
        <w:kinsoku/>
        <w:wordWrap/>
        <w:overflowPunct/>
        <w:topLinePunct w:val="0"/>
        <w:bidi w:val="0"/>
        <w:snapToGrid/>
        <w:spacing w:before="0" w:after="0" w:line="360" w:lineRule="auto"/>
        <w:ind w:left="0"/>
        <w:jc w:val="both"/>
        <w:textAlignment w:val="auto"/>
        <w:outlineLvl w:val="2"/>
        <w:rPr>
          <w:rFonts w:hint="eastAsia" w:ascii="仿宋" w:hAnsi="仿宋" w:eastAsia="仿宋" w:cs="仿宋"/>
          <w:b/>
          <w:bCs/>
          <w:color w:val="auto"/>
          <w:kern w:val="0"/>
          <w:sz w:val="24"/>
          <w:szCs w:val="32"/>
          <w:highlight w:val="none"/>
          <w:lang w:val="en-US" w:eastAsia="zh-CN" w:bidi="ar-SA"/>
        </w:rPr>
      </w:pPr>
      <w:bookmarkStart w:id="98" w:name="_Toc27899"/>
      <w:r>
        <w:rPr>
          <w:rFonts w:hint="eastAsia" w:ascii="仿宋" w:hAnsi="仿宋" w:eastAsia="仿宋" w:cs="仿宋"/>
          <w:b/>
          <w:bCs/>
          <w:color w:val="auto"/>
          <w:kern w:val="0"/>
          <w:sz w:val="24"/>
          <w:szCs w:val="32"/>
          <w:highlight w:val="none"/>
          <w:lang w:val="en-US" w:eastAsia="zh-CN" w:bidi="ar-SA"/>
        </w:rPr>
        <w:t>（六）中间件运维</w:t>
      </w:r>
      <w:bookmarkEnd w:id="98"/>
    </w:p>
    <w:p w14:paraId="4ADD9416">
      <w:pPr>
        <w:keepLines w:val="0"/>
        <w:pageBreakBefore w:val="0"/>
        <w:widowControl w:val="0"/>
        <w:kinsoku/>
        <w:wordWrap/>
        <w:overflowPunct/>
        <w:topLinePunct w:val="0"/>
        <w:autoSpaceDE w:val="0"/>
        <w:autoSpaceDN w:val="0"/>
        <w:bidi w:val="0"/>
        <w:adjustRightInd w:val="0"/>
        <w:snapToGrid/>
        <w:spacing w:line="360" w:lineRule="auto"/>
        <w:ind w:left="0" w:hanging="480" w:hangingChars="200"/>
        <w:jc w:val="both"/>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 xml:space="preserve">    中间件运维具体包括Redis、Nginx、RabbitMQ、Canal。</w:t>
      </w:r>
    </w:p>
    <w:p w14:paraId="2963E035">
      <w:pPr>
        <w:keepNext/>
        <w:keepLines w:val="0"/>
        <w:pageBreakBefore w:val="0"/>
        <w:widowControl/>
        <w:kinsoku/>
        <w:wordWrap/>
        <w:overflowPunct/>
        <w:topLinePunct w:val="0"/>
        <w:bidi w:val="0"/>
        <w:snapToGrid/>
        <w:spacing w:before="0" w:after="0" w:line="360" w:lineRule="auto"/>
        <w:ind w:left="0"/>
        <w:jc w:val="both"/>
        <w:textAlignment w:val="auto"/>
        <w:outlineLvl w:val="2"/>
        <w:rPr>
          <w:rFonts w:hint="eastAsia" w:ascii="仿宋" w:hAnsi="仿宋" w:eastAsia="仿宋" w:cs="仿宋"/>
          <w:b/>
          <w:bCs/>
          <w:color w:val="auto"/>
          <w:kern w:val="0"/>
          <w:sz w:val="24"/>
          <w:szCs w:val="32"/>
          <w:highlight w:val="none"/>
          <w:lang w:val="en-US" w:eastAsia="zh-CN" w:bidi="ar-SA"/>
        </w:rPr>
      </w:pPr>
      <w:bookmarkStart w:id="99" w:name="_Toc845"/>
      <w:r>
        <w:rPr>
          <w:rFonts w:hint="eastAsia" w:ascii="仿宋" w:hAnsi="仿宋" w:eastAsia="仿宋" w:cs="仿宋"/>
          <w:b/>
          <w:bCs/>
          <w:color w:val="auto"/>
          <w:kern w:val="0"/>
          <w:sz w:val="24"/>
          <w:szCs w:val="32"/>
          <w:highlight w:val="none"/>
          <w:lang w:val="en-US" w:eastAsia="zh-CN" w:bidi="ar-SA"/>
        </w:rPr>
        <w:t>（七）基础服务运维</w:t>
      </w:r>
      <w:bookmarkEnd w:id="99"/>
    </w:p>
    <w:p w14:paraId="0248E1C6">
      <w:pPr>
        <w:keepLines w:val="0"/>
        <w:pageBreakBefore w:val="0"/>
        <w:kinsoku/>
        <w:wordWrap/>
        <w:overflowPunct/>
        <w:topLinePunct w:val="0"/>
        <w:bidi w:val="0"/>
        <w:snapToGrid/>
        <w:spacing w:line="360" w:lineRule="auto"/>
        <w:ind w:left="0" w:firstLine="480" w:firstLineChars="200"/>
        <w:textAlignment w:val="auto"/>
        <w:rPr>
          <w:rFonts w:hint="eastAsia" w:ascii="仿宋" w:hAnsi="仿宋" w:eastAsia="仿宋" w:cs="仿宋"/>
          <w:color w:val="auto"/>
          <w:kern w:val="0"/>
          <w:sz w:val="24"/>
          <w:szCs w:val="24"/>
          <w:highlight w:val="none"/>
          <w:lang w:val="en-US" w:eastAsia="zh-CN" w:bidi="ar-SA"/>
        </w:rPr>
      </w:pPr>
      <w:bookmarkStart w:id="100" w:name="_Toc9697"/>
      <w:r>
        <w:rPr>
          <w:rFonts w:hint="eastAsia" w:ascii="仿宋" w:hAnsi="仿宋" w:eastAsia="仿宋" w:cs="仿宋"/>
          <w:color w:val="auto"/>
          <w:kern w:val="0"/>
          <w:sz w:val="24"/>
          <w:szCs w:val="24"/>
          <w:highlight w:val="none"/>
          <w:lang w:val="en-US" w:eastAsia="zh-CN" w:bidi="ar-SA"/>
        </w:rPr>
        <w:t>（1）短信服务</w:t>
      </w:r>
      <w:bookmarkEnd w:id="100"/>
    </w:p>
    <w:p w14:paraId="779895B5">
      <w:pPr>
        <w:keepLines w:val="0"/>
        <w:pageBreakBefore w:val="0"/>
        <w:kinsoku/>
        <w:wordWrap/>
        <w:overflowPunct/>
        <w:topLinePunct w:val="0"/>
        <w:bidi w:val="0"/>
        <w:snapToGrid/>
        <w:spacing w:line="360" w:lineRule="auto"/>
        <w:ind w:left="0" w:firstLine="480" w:firstLineChars="200"/>
        <w:textAlignment w:val="auto"/>
        <w:rPr>
          <w:rFonts w:hint="eastAsia" w:ascii="仿宋" w:hAnsi="仿宋" w:eastAsia="仿宋" w:cs="仿宋"/>
          <w:color w:val="auto"/>
          <w:kern w:val="0"/>
          <w:sz w:val="24"/>
          <w:szCs w:val="24"/>
          <w:highlight w:val="none"/>
          <w:lang w:val="en-US" w:eastAsia="zh-CN" w:bidi="ar-SA"/>
        </w:rPr>
      </w:pPr>
      <w:bookmarkStart w:id="101" w:name="_Toc24489"/>
      <w:r>
        <w:rPr>
          <w:rFonts w:hint="eastAsia" w:ascii="仿宋" w:hAnsi="仿宋" w:eastAsia="仿宋" w:cs="仿宋"/>
          <w:color w:val="auto"/>
          <w:kern w:val="0"/>
          <w:sz w:val="24"/>
          <w:szCs w:val="24"/>
          <w:highlight w:val="none"/>
          <w:lang w:val="en-US" w:eastAsia="zh-CN" w:bidi="ar-SA"/>
        </w:rPr>
        <w:t>（2）邮件服务</w:t>
      </w:r>
      <w:bookmarkEnd w:id="101"/>
    </w:p>
    <w:p w14:paraId="0F2882D8">
      <w:pPr>
        <w:keepLines w:val="0"/>
        <w:pageBreakBefore w:val="0"/>
        <w:kinsoku/>
        <w:wordWrap/>
        <w:overflowPunct/>
        <w:topLinePunct w:val="0"/>
        <w:bidi w:val="0"/>
        <w:snapToGrid/>
        <w:spacing w:line="360" w:lineRule="auto"/>
        <w:ind w:left="0" w:firstLine="480" w:firstLineChars="200"/>
        <w:textAlignment w:val="auto"/>
        <w:rPr>
          <w:rFonts w:hint="eastAsia" w:ascii="仿宋" w:hAnsi="仿宋" w:eastAsia="仿宋" w:cs="仿宋"/>
          <w:color w:val="auto"/>
          <w:kern w:val="0"/>
          <w:sz w:val="24"/>
          <w:szCs w:val="24"/>
          <w:highlight w:val="none"/>
          <w:lang w:val="en-US" w:eastAsia="zh-CN" w:bidi="ar-SA"/>
        </w:rPr>
      </w:pPr>
      <w:bookmarkStart w:id="102" w:name="_Toc12658"/>
      <w:r>
        <w:rPr>
          <w:rFonts w:hint="eastAsia" w:ascii="仿宋" w:hAnsi="仿宋" w:eastAsia="仿宋" w:cs="仿宋"/>
          <w:color w:val="auto"/>
          <w:kern w:val="0"/>
          <w:sz w:val="24"/>
          <w:szCs w:val="24"/>
          <w:highlight w:val="none"/>
          <w:lang w:val="en-US" w:eastAsia="zh-CN" w:bidi="ar-SA"/>
        </w:rPr>
        <w:t>（3）发票识别服务</w:t>
      </w:r>
      <w:bookmarkEnd w:id="102"/>
    </w:p>
    <w:p w14:paraId="219E1B8E">
      <w:pPr>
        <w:keepLines w:val="0"/>
        <w:pageBreakBefore w:val="0"/>
        <w:kinsoku/>
        <w:wordWrap/>
        <w:overflowPunct/>
        <w:topLinePunct w:val="0"/>
        <w:bidi w:val="0"/>
        <w:snapToGrid/>
        <w:spacing w:line="360" w:lineRule="auto"/>
        <w:ind w:left="0" w:firstLine="480" w:firstLineChars="200"/>
        <w:textAlignment w:val="auto"/>
        <w:rPr>
          <w:rFonts w:hint="eastAsia" w:ascii="仿宋" w:hAnsi="仿宋" w:eastAsia="仿宋" w:cs="仿宋"/>
          <w:color w:val="auto"/>
          <w:kern w:val="0"/>
          <w:sz w:val="24"/>
          <w:szCs w:val="24"/>
          <w:highlight w:val="none"/>
          <w:lang w:val="en-US" w:eastAsia="zh-CN" w:bidi="ar-SA"/>
        </w:rPr>
      </w:pPr>
      <w:bookmarkStart w:id="103" w:name="_Toc21415"/>
      <w:r>
        <w:rPr>
          <w:rFonts w:hint="eastAsia" w:ascii="仿宋" w:hAnsi="仿宋" w:eastAsia="仿宋" w:cs="仿宋"/>
          <w:color w:val="auto"/>
          <w:kern w:val="0"/>
          <w:sz w:val="24"/>
          <w:szCs w:val="24"/>
          <w:highlight w:val="none"/>
          <w:lang w:val="en-US" w:eastAsia="zh-CN" w:bidi="ar-SA"/>
        </w:rPr>
        <w:t>（4）身份证识别服务</w:t>
      </w:r>
      <w:bookmarkEnd w:id="103"/>
    </w:p>
    <w:p w14:paraId="1C3CDF5E">
      <w:pPr>
        <w:keepLines w:val="0"/>
        <w:pageBreakBefore w:val="0"/>
        <w:kinsoku/>
        <w:wordWrap/>
        <w:overflowPunct/>
        <w:topLinePunct w:val="0"/>
        <w:bidi w:val="0"/>
        <w:snapToGrid/>
        <w:spacing w:line="360" w:lineRule="auto"/>
        <w:ind w:left="0" w:firstLine="480" w:firstLineChars="200"/>
        <w:textAlignment w:val="auto"/>
        <w:rPr>
          <w:rFonts w:hint="eastAsia" w:ascii="仿宋" w:hAnsi="仿宋" w:eastAsia="仿宋" w:cs="仿宋"/>
          <w:color w:val="auto"/>
          <w:kern w:val="0"/>
          <w:sz w:val="24"/>
          <w:szCs w:val="24"/>
          <w:highlight w:val="none"/>
          <w:lang w:val="en-US" w:eastAsia="zh-CN" w:bidi="ar-SA"/>
        </w:rPr>
      </w:pPr>
      <w:bookmarkStart w:id="104" w:name="_Toc10125"/>
      <w:r>
        <w:rPr>
          <w:rFonts w:hint="eastAsia" w:ascii="仿宋" w:hAnsi="仿宋" w:eastAsia="仿宋" w:cs="仿宋"/>
          <w:color w:val="auto"/>
          <w:kern w:val="0"/>
          <w:sz w:val="24"/>
          <w:szCs w:val="24"/>
          <w:highlight w:val="none"/>
          <w:lang w:val="en-US" w:eastAsia="zh-CN" w:bidi="ar-SA"/>
        </w:rPr>
        <w:t>（5）图片存储服务</w:t>
      </w:r>
      <w:bookmarkEnd w:id="104"/>
    </w:p>
    <w:p w14:paraId="5EC13D19">
      <w:pPr>
        <w:keepNext/>
        <w:keepLines w:val="0"/>
        <w:pageBreakBefore w:val="0"/>
        <w:widowControl/>
        <w:kinsoku/>
        <w:wordWrap/>
        <w:overflowPunct/>
        <w:topLinePunct w:val="0"/>
        <w:bidi w:val="0"/>
        <w:snapToGrid/>
        <w:spacing w:before="0" w:after="0" w:line="360" w:lineRule="auto"/>
        <w:ind w:left="0"/>
        <w:jc w:val="both"/>
        <w:textAlignment w:val="auto"/>
        <w:outlineLvl w:val="2"/>
        <w:rPr>
          <w:rFonts w:hint="eastAsia" w:ascii="仿宋" w:hAnsi="仿宋" w:eastAsia="仿宋" w:cs="仿宋"/>
          <w:b/>
          <w:bCs/>
          <w:color w:val="auto"/>
          <w:kern w:val="0"/>
          <w:sz w:val="24"/>
          <w:szCs w:val="32"/>
          <w:highlight w:val="none"/>
          <w:lang w:val="en-US" w:eastAsia="zh-CN" w:bidi="ar-SA"/>
        </w:rPr>
      </w:pPr>
      <w:bookmarkStart w:id="105" w:name="_Toc14525"/>
      <w:r>
        <w:rPr>
          <w:rFonts w:hint="eastAsia" w:ascii="仿宋" w:hAnsi="仿宋" w:eastAsia="仿宋" w:cs="仿宋"/>
          <w:b/>
          <w:bCs/>
          <w:color w:val="auto"/>
          <w:kern w:val="0"/>
          <w:sz w:val="24"/>
          <w:szCs w:val="32"/>
          <w:highlight w:val="none"/>
          <w:lang w:val="en-US" w:eastAsia="zh-CN" w:bidi="ar-SA"/>
        </w:rPr>
        <w:t>（八）应用服务运维</w:t>
      </w:r>
      <w:bookmarkEnd w:id="105"/>
    </w:p>
    <w:p w14:paraId="093B9C83">
      <w:pPr>
        <w:keepLines w:val="0"/>
        <w:pageBreakBefore w:val="0"/>
        <w:widowControl w:val="0"/>
        <w:kinsoku/>
        <w:wordWrap/>
        <w:overflowPunct/>
        <w:topLinePunct w:val="0"/>
        <w:autoSpaceDE w:val="0"/>
        <w:autoSpaceDN w:val="0"/>
        <w:bidi w:val="0"/>
        <w:adjustRightInd w:val="0"/>
        <w:snapToGrid/>
        <w:spacing w:line="360" w:lineRule="auto"/>
        <w:ind w:left="0" w:firstLine="42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（1）功能迭代升级</w:t>
      </w:r>
    </w:p>
    <w:p w14:paraId="046C00D1">
      <w:pPr>
        <w:keepLines w:val="0"/>
        <w:pageBreakBefore w:val="0"/>
        <w:widowControl w:val="0"/>
        <w:kinsoku/>
        <w:wordWrap/>
        <w:overflowPunct/>
        <w:topLinePunct w:val="0"/>
        <w:autoSpaceDE w:val="0"/>
        <w:autoSpaceDN w:val="0"/>
        <w:bidi w:val="0"/>
        <w:adjustRightInd w:val="0"/>
        <w:snapToGrid/>
        <w:spacing w:line="360" w:lineRule="auto"/>
        <w:ind w:left="0" w:firstLine="42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（2）系统漏洞修复</w:t>
      </w:r>
    </w:p>
    <w:p w14:paraId="1920A729">
      <w:pPr>
        <w:keepLines w:val="0"/>
        <w:pageBreakBefore w:val="0"/>
        <w:widowControl w:val="0"/>
        <w:kinsoku/>
        <w:wordWrap/>
        <w:overflowPunct/>
        <w:topLinePunct w:val="0"/>
        <w:autoSpaceDE w:val="0"/>
        <w:autoSpaceDN w:val="0"/>
        <w:bidi w:val="0"/>
        <w:adjustRightInd w:val="0"/>
        <w:snapToGrid/>
        <w:spacing w:line="360" w:lineRule="auto"/>
        <w:ind w:left="0" w:firstLine="42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（3）宕机应急处理</w:t>
      </w:r>
    </w:p>
    <w:p w14:paraId="1D433B29">
      <w:pPr>
        <w:keepLines w:val="0"/>
        <w:pageBreakBefore w:val="0"/>
        <w:widowControl w:val="0"/>
        <w:kinsoku/>
        <w:wordWrap/>
        <w:overflowPunct/>
        <w:topLinePunct w:val="0"/>
        <w:autoSpaceDE w:val="0"/>
        <w:autoSpaceDN w:val="0"/>
        <w:bidi w:val="0"/>
        <w:adjustRightInd w:val="0"/>
        <w:snapToGrid/>
        <w:spacing w:line="360" w:lineRule="auto"/>
        <w:ind w:left="0" w:firstLine="42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（4）请求日志记录</w:t>
      </w:r>
    </w:p>
    <w:p w14:paraId="02EC74AD">
      <w:pPr>
        <w:keepLines w:val="0"/>
        <w:pageBreakBefore w:val="0"/>
        <w:widowControl w:val="0"/>
        <w:kinsoku/>
        <w:wordWrap/>
        <w:overflowPunct/>
        <w:topLinePunct w:val="0"/>
        <w:autoSpaceDE w:val="0"/>
        <w:autoSpaceDN w:val="0"/>
        <w:bidi w:val="0"/>
        <w:adjustRightInd w:val="0"/>
        <w:snapToGrid/>
        <w:spacing w:line="360" w:lineRule="auto"/>
        <w:ind w:left="0" w:firstLine="42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（5）应用日志记录</w:t>
      </w:r>
    </w:p>
    <w:p w14:paraId="5BF6E317">
      <w:pPr>
        <w:keepNext/>
        <w:keepLines w:val="0"/>
        <w:pageBreakBefore w:val="0"/>
        <w:widowControl/>
        <w:kinsoku/>
        <w:wordWrap/>
        <w:overflowPunct/>
        <w:topLinePunct w:val="0"/>
        <w:bidi w:val="0"/>
        <w:snapToGrid/>
        <w:spacing w:before="0" w:after="0" w:line="360" w:lineRule="auto"/>
        <w:ind w:left="0"/>
        <w:jc w:val="both"/>
        <w:textAlignment w:val="auto"/>
        <w:outlineLvl w:val="2"/>
        <w:rPr>
          <w:rFonts w:hint="eastAsia" w:ascii="仿宋" w:hAnsi="仿宋" w:eastAsia="仿宋" w:cs="仿宋"/>
          <w:b/>
          <w:bCs/>
          <w:color w:val="auto"/>
          <w:kern w:val="0"/>
          <w:sz w:val="24"/>
          <w:szCs w:val="32"/>
          <w:highlight w:val="none"/>
          <w:lang w:val="en-US" w:eastAsia="zh-CN" w:bidi="ar-SA"/>
        </w:rPr>
      </w:pPr>
      <w:bookmarkStart w:id="106" w:name="_Toc26931"/>
      <w:bookmarkStart w:id="107" w:name="_Toc19372"/>
      <w:r>
        <w:rPr>
          <w:rFonts w:hint="eastAsia" w:ascii="仿宋" w:hAnsi="仿宋" w:eastAsia="仿宋" w:cs="仿宋"/>
          <w:b/>
          <w:bCs/>
          <w:color w:val="auto"/>
          <w:kern w:val="0"/>
          <w:sz w:val="24"/>
          <w:szCs w:val="32"/>
          <w:highlight w:val="none"/>
          <w:lang w:val="en-US" w:eastAsia="zh-CN" w:bidi="ar-SA"/>
        </w:rPr>
        <w:t>（九）开发运维</w:t>
      </w:r>
      <w:bookmarkEnd w:id="106"/>
    </w:p>
    <w:p w14:paraId="4D15C985">
      <w:pPr>
        <w:keepLines w:val="0"/>
        <w:pageBreakBefore w:val="0"/>
        <w:widowControl w:val="0"/>
        <w:kinsoku/>
        <w:wordWrap/>
        <w:overflowPunct/>
        <w:topLinePunct w:val="0"/>
        <w:autoSpaceDE w:val="0"/>
        <w:autoSpaceDN w:val="0"/>
        <w:bidi w:val="0"/>
        <w:adjustRightInd w:val="0"/>
        <w:snapToGrid/>
        <w:spacing w:line="360" w:lineRule="auto"/>
        <w:ind w:left="0" w:firstLine="42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（1）代码开发</w:t>
      </w:r>
    </w:p>
    <w:p w14:paraId="68790756">
      <w:pPr>
        <w:keepLines w:val="0"/>
        <w:pageBreakBefore w:val="0"/>
        <w:widowControl w:val="0"/>
        <w:kinsoku/>
        <w:wordWrap/>
        <w:overflowPunct/>
        <w:topLinePunct w:val="0"/>
        <w:autoSpaceDE w:val="0"/>
        <w:autoSpaceDN w:val="0"/>
        <w:bidi w:val="0"/>
        <w:adjustRightInd w:val="0"/>
        <w:snapToGrid/>
        <w:spacing w:line="360" w:lineRule="auto"/>
        <w:ind w:left="0" w:firstLine="42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（2）编译</w:t>
      </w:r>
    </w:p>
    <w:p w14:paraId="0704AD5A">
      <w:pPr>
        <w:keepLines w:val="0"/>
        <w:pageBreakBefore w:val="0"/>
        <w:widowControl w:val="0"/>
        <w:kinsoku/>
        <w:wordWrap/>
        <w:overflowPunct/>
        <w:topLinePunct w:val="0"/>
        <w:autoSpaceDE w:val="0"/>
        <w:autoSpaceDN w:val="0"/>
        <w:bidi w:val="0"/>
        <w:adjustRightInd w:val="0"/>
        <w:snapToGrid/>
        <w:spacing w:line="360" w:lineRule="auto"/>
        <w:ind w:left="0" w:firstLine="42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（3）代码管理</w:t>
      </w:r>
    </w:p>
    <w:p w14:paraId="019F5CFE">
      <w:pPr>
        <w:keepLines w:val="0"/>
        <w:pageBreakBefore w:val="0"/>
        <w:widowControl w:val="0"/>
        <w:kinsoku/>
        <w:wordWrap/>
        <w:overflowPunct/>
        <w:topLinePunct w:val="0"/>
        <w:autoSpaceDE w:val="0"/>
        <w:autoSpaceDN w:val="0"/>
        <w:bidi w:val="0"/>
        <w:adjustRightInd w:val="0"/>
        <w:snapToGrid/>
        <w:spacing w:line="360" w:lineRule="auto"/>
        <w:ind w:left="0" w:firstLine="42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（4）测试</w:t>
      </w:r>
    </w:p>
    <w:p w14:paraId="19DDF713">
      <w:pPr>
        <w:keepLines w:val="0"/>
        <w:pageBreakBefore w:val="0"/>
        <w:widowControl w:val="0"/>
        <w:kinsoku/>
        <w:wordWrap/>
        <w:overflowPunct/>
        <w:topLinePunct w:val="0"/>
        <w:autoSpaceDE w:val="0"/>
        <w:autoSpaceDN w:val="0"/>
        <w:bidi w:val="0"/>
        <w:adjustRightInd w:val="0"/>
        <w:snapToGrid/>
        <w:spacing w:line="360" w:lineRule="auto"/>
        <w:ind w:left="0" w:firstLine="42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（5）部署</w:t>
      </w:r>
    </w:p>
    <w:p w14:paraId="5F58C5BA">
      <w:pPr>
        <w:keepLines w:val="0"/>
        <w:pageBreakBefore w:val="0"/>
        <w:widowControl w:val="0"/>
        <w:kinsoku/>
        <w:wordWrap/>
        <w:overflowPunct/>
        <w:topLinePunct w:val="0"/>
        <w:autoSpaceDE w:val="0"/>
        <w:autoSpaceDN w:val="0"/>
        <w:bidi w:val="0"/>
        <w:adjustRightInd w:val="0"/>
        <w:snapToGrid/>
        <w:spacing w:line="360" w:lineRule="auto"/>
        <w:ind w:left="0" w:firstLine="42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（6）容器镜像服务</w:t>
      </w:r>
    </w:p>
    <w:p w14:paraId="365F6EFB">
      <w:pPr>
        <w:keepNext/>
        <w:keepLines w:val="0"/>
        <w:pageBreakBefore w:val="0"/>
        <w:widowControl/>
        <w:kinsoku/>
        <w:wordWrap/>
        <w:overflowPunct/>
        <w:topLinePunct w:val="0"/>
        <w:bidi w:val="0"/>
        <w:snapToGrid/>
        <w:spacing w:before="0" w:after="0" w:line="360" w:lineRule="auto"/>
        <w:ind w:left="0"/>
        <w:jc w:val="both"/>
        <w:textAlignment w:val="auto"/>
        <w:outlineLvl w:val="2"/>
        <w:rPr>
          <w:rFonts w:hint="eastAsia" w:ascii="仿宋" w:hAnsi="仿宋" w:eastAsia="仿宋" w:cs="仿宋"/>
          <w:b/>
          <w:bCs/>
          <w:color w:val="auto"/>
          <w:kern w:val="0"/>
          <w:sz w:val="24"/>
          <w:szCs w:val="32"/>
          <w:highlight w:val="none"/>
          <w:lang w:val="en-US" w:eastAsia="zh-CN" w:bidi="ar-SA"/>
        </w:rPr>
      </w:pPr>
      <w:r>
        <w:rPr>
          <w:rFonts w:hint="eastAsia" w:ascii="仿宋" w:hAnsi="仿宋" w:eastAsia="仿宋" w:cs="仿宋"/>
          <w:b/>
          <w:bCs/>
          <w:color w:val="auto"/>
          <w:kern w:val="0"/>
          <w:sz w:val="24"/>
          <w:szCs w:val="32"/>
          <w:highlight w:val="none"/>
          <w:lang w:val="en-US" w:eastAsia="zh-CN" w:bidi="ar-SA"/>
        </w:rPr>
        <w:t>（十）微信（小程序、公众号）运维</w:t>
      </w:r>
    </w:p>
    <w:p w14:paraId="3BFF6C5E">
      <w:pPr>
        <w:keepLines w:val="0"/>
        <w:pageBreakBefore w:val="0"/>
        <w:widowControl w:val="0"/>
        <w:kinsoku/>
        <w:wordWrap/>
        <w:overflowPunct/>
        <w:topLinePunct w:val="0"/>
        <w:autoSpaceDE w:val="0"/>
        <w:autoSpaceDN w:val="0"/>
        <w:bidi w:val="0"/>
        <w:adjustRightInd w:val="0"/>
        <w:snapToGrid/>
        <w:spacing w:line="360" w:lineRule="auto"/>
        <w:ind w:left="0" w:firstLine="42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畜牧兽医大数据平台相关的微信公众号有“新疆种畜”，小程序有“品种改良”、“先打后补”、“无纸化防疫”等官方兽医使用的小程序。</w:t>
      </w:r>
    </w:p>
    <w:p w14:paraId="4078DD6C">
      <w:pPr>
        <w:keepLines w:val="0"/>
        <w:pageBreakBefore w:val="0"/>
        <w:widowControl w:val="0"/>
        <w:kinsoku/>
        <w:wordWrap/>
        <w:overflowPunct/>
        <w:topLinePunct w:val="0"/>
        <w:autoSpaceDE w:val="0"/>
        <w:autoSpaceDN w:val="0"/>
        <w:bidi w:val="0"/>
        <w:adjustRightInd w:val="0"/>
        <w:snapToGrid/>
        <w:spacing w:line="360" w:lineRule="auto"/>
        <w:ind w:left="0" w:firstLine="42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运维内容包括：</w:t>
      </w:r>
    </w:p>
    <w:p w14:paraId="7EFF0D75">
      <w:pPr>
        <w:keepLines w:val="0"/>
        <w:pageBreakBefore w:val="0"/>
        <w:widowControl w:val="0"/>
        <w:kinsoku/>
        <w:wordWrap/>
        <w:overflowPunct/>
        <w:topLinePunct w:val="0"/>
        <w:autoSpaceDE w:val="0"/>
        <w:autoSpaceDN w:val="0"/>
        <w:bidi w:val="0"/>
        <w:adjustRightInd w:val="0"/>
        <w:snapToGrid/>
        <w:spacing w:line="360" w:lineRule="auto"/>
        <w:ind w:left="0" w:firstLine="42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认证续签：微信小程序每年需要完成认证续费。</w:t>
      </w:r>
    </w:p>
    <w:p w14:paraId="1EF29480">
      <w:pPr>
        <w:keepLines w:val="0"/>
        <w:pageBreakBefore w:val="0"/>
        <w:widowControl w:val="0"/>
        <w:kinsoku/>
        <w:wordWrap/>
        <w:overflowPunct/>
        <w:topLinePunct w:val="0"/>
        <w:autoSpaceDE w:val="0"/>
        <w:autoSpaceDN w:val="0"/>
        <w:bidi w:val="0"/>
        <w:adjustRightInd w:val="0"/>
        <w:snapToGrid/>
        <w:spacing w:line="360" w:lineRule="auto"/>
        <w:ind w:left="0" w:firstLine="42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微信公众号发布信息：根据政务要求，需要在公众号上每周发布信息。</w:t>
      </w:r>
    </w:p>
    <w:p w14:paraId="26CEEBFB">
      <w:pPr>
        <w:keepLines w:val="0"/>
        <w:pageBreakBefore w:val="0"/>
        <w:widowControl w:val="0"/>
        <w:kinsoku/>
        <w:wordWrap/>
        <w:overflowPunct/>
        <w:topLinePunct w:val="0"/>
        <w:autoSpaceDE w:val="0"/>
        <w:autoSpaceDN w:val="0"/>
        <w:bidi w:val="0"/>
        <w:adjustRightInd w:val="0"/>
        <w:snapToGrid/>
        <w:spacing w:line="360" w:lineRule="auto"/>
        <w:ind w:left="0" w:firstLine="42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微信公众号菜单调整：根据业务要求，对公众号的菜单进行调整。</w:t>
      </w:r>
    </w:p>
    <w:p w14:paraId="37E44AC3">
      <w:pPr>
        <w:keepNext/>
        <w:keepLines w:val="0"/>
        <w:pageBreakBefore w:val="0"/>
        <w:widowControl/>
        <w:kinsoku/>
        <w:wordWrap/>
        <w:overflowPunct/>
        <w:topLinePunct w:val="0"/>
        <w:bidi w:val="0"/>
        <w:snapToGrid/>
        <w:spacing w:before="0" w:after="0" w:line="360" w:lineRule="auto"/>
        <w:ind w:left="0"/>
        <w:jc w:val="both"/>
        <w:textAlignment w:val="auto"/>
        <w:outlineLvl w:val="2"/>
        <w:rPr>
          <w:rFonts w:hint="eastAsia" w:ascii="仿宋" w:hAnsi="仿宋" w:eastAsia="仿宋" w:cs="仿宋"/>
          <w:b/>
          <w:bCs/>
          <w:color w:val="auto"/>
          <w:kern w:val="0"/>
          <w:sz w:val="24"/>
          <w:szCs w:val="32"/>
          <w:highlight w:val="none"/>
          <w:lang w:val="en-US" w:eastAsia="zh-CN" w:bidi="ar-SA"/>
        </w:rPr>
      </w:pPr>
      <w:r>
        <w:rPr>
          <w:rFonts w:hint="eastAsia" w:ascii="仿宋" w:hAnsi="仿宋" w:eastAsia="仿宋" w:cs="仿宋"/>
          <w:b/>
          <w:bCs/>
          <w:color w:val="auto"/>
          <w:kern w:val="0"/>
          <w:sz w:val="24"/>
          <w:szCs w:val="32"/>
          <w:highlight w:val="none"/>
          <w:lang w:val="en-US" w:eastAsia="zh-CN" w:bidi="ar-SA"/>
        </w:rPr>
        <w:t>（十一）技术支持</w:t>
      </w:r>
      <w:bookmarkEnd w:id="107"/>
      <w:r>
        <w:rPr>
          <w:rFonts w:hint="eastAsia" w:ascii="仿宋" w:hAnsi="仿宋" w:eastAsia="仿宋" w:cs="仿宋"/>
          <w:b/>
          <w:bCs/>
          <w:color w:val="auto"/>
          <w:kern w:val="0"/>
          <w:sz w:val="24"/>
          <w:szCs w:val="32"/>
          <w:highlight w:val="none"/>
          <w:lang w:val="en-US" w:eastAsia="zh-CN" w:bidi="ar-SA"/>
        </w:rPr>
        <w:t>服务</w:t>
      </w:r>
    </w:p>
    <w:p w14:paraId="01227EC0">
      <w:pPr>
        <w:keepLines w:val="0"/>
        <w:pageBreakBefore w:val="0"/>
        <w:widowControl w:val="0"/>
        <w:kinsoku/>
        <w:wordWrap/>
        <w:overflowPunct/>
        <w:topLinePunct w:val="0"/>
        <w:autoSpaceDE w:val="0"/>
        <w:autoSpaceDN w:val="0"/>
        <w:bidi w:val="0"/>
        <w:adjustRightInd w:val="0"/>
        <w:snapToGrid/>
        <w:spacing w:line="360" w:lineRule="auto"/>
        <w:ind w:left="0" w:firstLine="42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（1）微信群服务</w:t>
      </w:r>
    </w:p>
    <w:p w14:paraId="6F5C90AB">
      <w:pPr>
        <w:keepLines w:val="0"/>
        <w:pageBreakBefore w:val="0"/>
        <w:widowControl w:val="0"/>
        <w:kinsoku/>
        <w:wordWrap/>
        <w:overflowPunct/>
        <w:topLinePunct w:val="0"/>
        <w:autoSpaceDE w:val="0"/>
        <w:autoSpaceDN w:val="0"/>
        <w:bidi w:val="0"/>
        <w:adjustRightInd w:val="0"/>
        <w:snapToGrid/>
        <w:spacing w:line="360" w:lineRule="auto"/>
        <w:ind w:left="0" w:firstLine="42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针对不同用户群体，建立技术支持微信群，在技术服务与系统用户之间搭建一个交流、学习平台。使技术服务人员能及时获取用户需求，解决用户使用问题，保障用户无障碍使用系统。</w:t>
      </w:r>
    </w:p>
    <w:p w14:paraId="35B158D3">
      <w:pPr>
        <w:keepLines w:val="0"/>
        <w:pageBreakBefore w:val="0"/>
        <w:widowControl w:val="0"/>
        <w:kinsoku/>
        <w:wordWrap/>
        <w:overflowPunct/>
        <w:topLinePunct w:val="0"/>
        <w:autoSpaceDE w:val="0"/>
        <w:autoSpaceDN w:val="0"/>
        <w:bidi w:val="0"/>
        <w:adjustRightInd w:val="0"/>
        <w:snapToGrid/>
        <w:spacing w:line="360" w:lineRule="auto"/>
        <w:ind w:left="0" w:firstLine="42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（2）热线服务</w:t>
      </w:r>
    </w:p>
    <w:p w14:paraId="3302D91F">
      <w:pPr>
        <w:keepLines w:val="0"/>
        <w:pageBreakBefore w:val="0"/>
        <w:widowControl w:val="0"/>
        <w:kinsoku/>
        <w:wordWrap/>
        <w:overflowPunct/>
        <w:topLinePunct w:val="0"/>
        <w:autoSpaceDE w:val="0"/>
        <w:autoSpaceDN w:val="0"/>
        <w:bidi w:val="0"/>
        <w:adjustRightInd w:val="0"/>
        <w:snapToGrid/>
        <w:spacing w:line="360" w:lineRule="auto"/>
        <w:ind w:left="0" w:firstLine="42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设置7x24小时客户服务热线，通过服务热线不间断提供有关业务或工作的业务咨询、业务受理和投诉建议等专业服务。</w:t>
      </w:r>
    </w:p>
    <w:p w14:paraId="7D152364">
      <w:pPr>
        <w:keepLines w:val="0"/>
        <w:pageBreakBefore w:val="0"/>
        <w:widowControl w:val="0"/>
        <w:kinsoku/>
        <w:wordWrap/>
        <w:overflowPunct/>
        <w:topLinePunct w:val="0"/>
        <w:autoSpaceDE w:val="0"/>
        <w:autoSpaceDN w:val="0"/>
        <w:bidi w:val="0"/>
        <w:adjustRightInd w:val="0"/>
        <w:snapToGrid/>
        <w:spacing w:line="360" w:lineRule="auto"/>
        <w:ind w:left="0" w:firstLine="42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（3）远程服务</w:t>
      </w:r>
    </w:p>
    <w:p w14:paraId="7C5ADA08">
      <w:pPr>
        <w:keepLines w:val="0"/>
        <w:pageBreakBefore w:val="0"/>
        <w:widowControl w:val="0"/>
        <w:kinsoku/>
        <w:wordWrap/>
        <w:overflowPunct/>
        <w:topLinePunct w:val="0"/>
        <w:autoSpaceDE w:val="0"/>
        <w:autoSpaceDN w:val="0"/>
        <w:bidi w:val="0"/>
        <w:adjustRightInd w:val="0"/>
        <w:snapToGrid/>
        <w:spacing w:line="360" w:lineRule="auto"/>
        <w:ind w:left="0" w:firstLine="42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但远程技术支持不能满足要求时，派遣专业工程师到现场解决项目系统遇到的软硬件问题。</w:t>
      </w:r>
    </w:p>
    <w:p w14:paraId="0C706EAA">
      <w:pPr>
        <w:keepLines w:val="0"/>
        <w:pageBreakBefore w:val="0"/>
        <w:widowControl w:val="0"/>
        <w:kinsoku/>
        <w:wordWrap/>
        <w:overflowPunct/>
        <w:topLinePunct w:val="0"/>
        <w:autoSpaceDE w:val="0"/>
        <w:autoSpaceDN w:val="0"/>
        <w:bidi w:val="0"/>
        <w:adjustRightInd w:val="0"/>
        <w:snapToGrid/>
        <w:spacing w:line="360" w:lineRule="auto"/>
        <w:ind w:left="0" w:firstLine="42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（4）培训服务</w:t>
      </w:r>
    </w:p>
    <w:p w14:paraId="2518F458">
      <w:pPr>
        <w:keepLines w:val="0"/>
        <w:pageBreakBefore w:val="0"/>
        <w:widowControl w:val="0"/>
        <w:kinsoku/>
        <w:wordWrap/>
        <w:overflowPunct/>
        <w:topLinePunct w:val="0"/>
        <w:autoSpaceDE w:val="0"/>
        <w:autoSpaceDN w:val="0"/>
        <w:bidi w:val="0"/>
        <w:adjustRightInd w:val="0"/>
        <w:snapToGrid/>
        <w:spacing w:line="360" w:lineRule="auto"/>
        <w:ind w:left="0" w:firstLine="42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每年对信息化系统使用单位和人员提供集中培训和现场培训服务，使各系统业务管理、操作人员达到能独立进行管理、故障处理、日常测试维护等工作，便于信息化系统能够高效运行。培训结束后，并做好培训相关的照片、签到记录工作。</w:t>
      </w:r>
    </w:p>
    <w:p w14:paraId="2DF3B2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jc w:val="both"/>
        <w:textAlignment w:val="auto"/>
        <w:outlineLvl w:val="1"/>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三、服务要求</w:t>
      </w:r>
    </w:p>
    <w:p w14:paraId="46C2185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left="0" w:leftChars="0"/>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响应时间与服务可用性</w:t>
      </w:r>
    </w:p>
    <w:p w14:paraId="37315B8B">
      <w:pPr>
        <w:keepNext w:val="0"/>
        <w:keepLines w:val="0"/>
        <w:pageBreakBefore w:val="0"/>
        <w:widowControl/>
        <w:numPr>
          <w:ilvl w:val="0"/>
          <w:numId w:val="8"/>
        </w:numPr>
        <w:suppressLineNumbers w:val="0"/>
        <w:kinsoku/>
        <w:wordWrap/>
        <w:overflowPunct/>
        <w:topLinePunct w:val="0"/>
        <w:autoSpaceDE/>
        <w:autoSpaceDN/>
        <w:bidi w:val="0"/>
        <w:adjustRightInd/>
        <w:snapToGrid/>
        <w:spacing w:beforeAutospacing="0" w:afterAutospacing="0" w:line="360" w:lineRule="auto"/>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一般故障响应不超过30分钟，重大故障不超过15分钟。</w:t>
      </w:r>
    </w:p>
    <w:p w14:paraId="27E96D78">
      <w:pPr>
        <w:keepNext w:val="0"/>
        <w:keepLines w:val="0"/>
        <w:pageBreakBefore w:val="0"/>
        <w:widowControl/>
        <w:numPr>
          <w:ilvl w:val="0"/>
          <w:numId w:val="8"/>
        </w:numPr>
        <w:suppressLineNumbers w:val="0"/>
        <w:kinsoku/>
        <w:wordWrap/>
        <w:overflowPunct/>
        <w:topLinePunct w:val="0"/>
        <w:autoSpaceDE/>
        <w:autoSpaceDN/>
        <w:bidi w:val="0"/>
        <w:adjustRightInd/>
        <w:snapToGrid/>
        <w:spacing w:beforeAutospacing="0" w:afterAutospacing="0" w:line="360" w:lineRule="auto"/>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系统年可用性不低于99.5%，关键业务时段可用性不低于99.9%。</w:t>
      </w:r>
    </w:p>
    <w:p w14:paraId="50441565">
      <w:pPr>
        <w:keepNext w:val="0"/>
        <w:keepLines w:val="0"/>
        <w:pageBreakBefore w:val="0"/>
        <w:widowControl/>
        <w:numPr>
          <w:ilvl w:val="0"/>
          <w:numId w:val="8"/>
        </w:numPr>
        <w:suppressLineNumbers w:val="0"/>
        <w:kinsoku/>
        <w:wordWrap/>
        <w:overflowPunct/>
        <w:topLinePunct w:val="0"/>
        <w:autoSpaceDE/>
        <w:autoSpaceDN/>
        <w:bidi w:val="0"/>
        <w:adjustRightInd/>
        <w:snapToGrid/>
        <w:spacing w:beforeAutospacing="0" w:afterAutospacing="0" w:line="360" w:lineRule="auto"/>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提供7×24小时的技术支持服务，</w:t>
      </w:r>
      <w:r>
        <w:rPr>
          <w:rFonts w:hint="eastAsia" w:ascii="仿宋" w:hAnsi="仿宋" w:eastAsia="仿宋" w:cs="仿宋"/>
          <w:color w:val="auto"/>
          <w:sz w:val="24"/>
          <w:szCs w:val="24"/>
          <w:highlight w:val="none"/>
        </w:rPr>
        <w:t>服务热线、远程支持及现场支援机制。</w:t>
      </w:r>
    </w:p>
    <w:p w14:paraId="00049754">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left="0" w:leftChars="0"/>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rPr>
        <w:t>服务质量</w:t>
      </w:r>
    </w:p>
    <w:p w14:paraId="60E3DA0B">
      <w:pPr>
        <w:keepNext w:val="0"/>
        <w:keepLines w:val="0"/>
        <w:pageBreakBefore w:val="0"/>
        <w:widowControl/>
        <w:numPr>
          <w:ilvl w:val="0"/>
          <w:numId w:val="9"/>
        </w:numPr>
        <w:suppressLineNumbers w:val="0"/>
        <w:kinsoku/>
        <w:wordWrap/>
        <w:overflowPunct/>
        <w:topLinePunct w:val="0"/>
        <w:autoSpaceDE/>
        <w:autoSpaceDN/>
        <w:bidi w:val="0"/>
        <w:adjustRightInd/>
        <w:snapToGrid/>
        <w:spacing w:beforeAutospacing="0" w:afterAutospacing="0" w:line="360" w:lineRule="auto"/>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提供专业化运维团队，具备相关技术认证和行业经验。</w:t>
      </w:r>
    </w:p>
    <w:p w14:paraId="1E82009F">
      <w:pPr>
        <w:keepNext w:val="0"/>
        <w:keepLines w:val="0"/>
        <w:pageBreakBefore w:val="0"/>
        <w:widowControl/>
        <w:numPr>
          <w:ilvl w:val="0"/>
          <w:numId w:val="9"/>
        </w:numPr>
        <w:suppressLineNumbers w:val="0"/>
        <w:kinsoku/>
        <w:wordWrap/>
        <w:overflowPunct/>
        <w:topLinePunct w:val="0"/>
        <w:autoSpaceDE/>
        <w:autoSpaceDN/>
        <w:bidi w:val="0"/>
        <w:adjustRightInd/>
        <w:snapToGrid/>
        <w:spacing w:beforeAutospacing="0" w:afterAutospacing="0" w:line="360" w:lineRule="auto"/>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建立标准化运维流程，确保服务一致性。</w:t>
      </w:r>
    </w:p>
    <w:p w14:paraId="5BA1AEB1">
      <w:pPr>
        <w:keepNext w:val="0"/>
        <w:keepLines w:val="0"/>
        <w:pageBreakBefore w:val="0"/>
        <w:widowControl/>
        <w:numPr>
          <w:ilvl w:val="0"/>
          <w:numId w:val="9"/>
        </w:numPr>
        <w:suppressLineNumbers w:val="0"/>
        <w:kinsoku/>
        <w:wordWrap/>
        <w:overflowPunct/>
        <w:topLinePunct w:val="0"/>
        <w:autoSpaceDE/>
        <w:autoSpaceDN/>
        <w:bidi w:val="0"/>
        <w:adjustRightInd/>
        <w:snapToGrid/>
        <w:spacing w:beforeAutospacing="0" w:afterAutospacing="0" w:line="360" w:lineRule="auto"/>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定期开展运维考核和持续优化，确保服务持续提升。</w:t>
      </w:r>
    </w:p>
    <w:p w14:paraId="3C23215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left="0" w:leftChars="0"/>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技术要求</w:t>
      </w:r>
    </w:p>
    <w:p w14:paraId="253DFC7E">
      <w:pPr>
        <w:keepNext w:val="0"/>
        <w:keepLines w:val="0"/>
        <w:pageBreakBefore w:val="0"/>
        <w:widowControl/>
        <w:numPr>
          <w:ilvl w:val="0"/>
          <w:numId w:val="10"/>
        </w:numPr>
        <w:suppressLineNumbers w:val="0"/>
        <w:kinsoku/>
        <w:wordWrap/>
        <w:overflowPunct/>
        <w:topLinePunct w:val="0"/>
        <w:autoSpaceDE/>
        <w:autoSpaceDN/>
        <w:bidi w:val="0"/>
        <w:adjustRightInd/>
        <w:snapToGrid/>
        <w:spacing w:beforeAutospacing="0" w:afterAutospacing="0" w:line="360" w:lineRule="auto"/>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熟悉主流操作系统、数据库、中间件及网络设备技术。</w:t>
      </w:r>
    </w:p>
    <w:p w14:paraId="2E6A359D">
      <w:pPr>
        <w:keepNext w:val="0"/>
        <w:keepLines w:val="0"/>
        <w:pageBreakBefore w:val="0"/>
        <w:widowControl/>
        <w:numPr>
          <w:ilvl w:val="0"/>
          <w:numId w:val="10"/>
        </w:numPr>
        <w:suppressLineNumbers w:val="0"/>
        <w:kinsoku/>
        <w:wordWrap/>
        <w:overflowPunct/>
        <w:topLinePunct w:val="0"/>
        <w:autoSpaceDE/>
        <w:autoSpaceDN/>
        <w:bidi w:val="0"/>
        <w:adjustRightInd/>
        <w:snapToGrid/>
        <w:spacing w:beforeAutospacing="0" w:afterAutospacing="0" w:line="360" w:lineRule="auto"/>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能够执行系统安全加固、漏洞修复及访问控制。</w:t>
      </w:r>
    </w:p>
    <w:p w14:paraId="0A49A078">
      <w:pPr>
        <w:keepNext w:val="0"/>
        <w:keepLines w:val="0"/>
        <w:pageBreakBefore w:val="0"/>
        <w:widowControl/>
        <w:numPr>
          <w:ilvl w:val="0"/>
          <w:numId w:val="10"/>
        </w:numPr>
        <w:suppressLineNumbers w:val="0"/>
        <w:kinsoku/>
        <w:wordWrap/>
        <w:overflowPunct/>
        <w:topLinePunct w:val="0"/>
        <w:autoSpaceDE/>
        <w:autoSpaceDN/>
        <w:bidi w:val="0"/>
        <w:adjustRightInd/>
        <w:snapToGrid/>
        <w:spacing w:beforeAutospacing="0" w:afterAutospacing="0" w:line="360" w:lineRule="auto"/>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熟悉自动化运维工具和监控平台，提升运维效率。</w:t>
      </w:r>
    </w:p>
    <w:p w14:paraId="7B9B036C">
      <w:pPr>
        <w:keepNext w:val="0"/>
        <w:keepLines w:val="0"/>
        <w:pageBreakBefore w:val="0"/>
        <w:widowControl/>
        <w:numPr>
          <w:ilvl w:val="0"/>
          <w:numId w:val="10"/>
        </w:numPr>
        <w:suppressLineNumbers w:val="0"/>
        <w:kinsoku/>
        <w:wordWrap/>
        <w:overflowPunct/>
        <w:topLinePunct w:val="0"/>
        <w:autoSpaceDE/>
        <w:autoSpaceDN/>
        <w:bidi w:val="0"/>
        <w:adjustRightInd/>
        <w:snapToGrid/>
        <w:spacing w:beforeAutospacing="0" w:afterAutospacing="0" w:line="360" w:lineRule="auto"/>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具备应急处理和灾难恢复能力，确保系统快速恢复。</w:t>
      </w:r>
    </w:p>
    <w:p w14:paraId="22085E54">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left="0" w:leftChars="0"/>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lang w:val="en-US" w:eastAsia="zh-CN"/>
        </w:rPr>
        <w:t>4、</w:t>
      </w:r>
      <w:r>
        <w:rPr>
          <w:rFonts w:hint="eastAsia" w:ascii="仿宋" w:hAnsi="仿宋" w:eastAsia="仿宋" w:cs="仿宋"/>
          <w:b/>
          <w:color w:val="auto"/>
          <w:sz w:val="24"/>
          <w:szCs w:val="24"/>
          <w:highlight w:val="none"/>
        </w:rPr>
        <w:t>风险管理与应急保障</w:t>
      </w:r>
    </w:p>
    <w:p w14:paraId="03575CE2">
      <w:pPr>
        <w:keepNext w:val="0"/>
        <w:keepLines w:val="0"/>
        <w:pageBreakBefore w:val="0"/>
        <w:widowControl/>
        <w:numPr>
          <w:ilvl w:val="0"/>
          <w:numId w:val="11"/>
        </w:numPr>
        <w:suppressLineNumbers w:val="0"/>
        <w:kinsoku/>
        <w:wordWrap/>
        <w:overflowPunct/>
        <w:topLinePunct w:val="0"/>
        <w:autoSpaceDE/>
        <w:autoSpaceDN/>
        <w:bidi w:val="0"/>
        <w:adjustRightInd/>
        <w:snapToGrid/>
        <w:spacing w:beforeAutospacing="0" w:afterAutospacing="0" w:line="360" w:lineRule="auto"/>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制定全面风险评估方案，识别潜在安全威胁和系统瓶颈。</w:t>
      </w:r>
    </w:p>
    <w:p w14:paraId="15257178">
      <w:pPr>
        <w:keepNext w:val="0"/>
        <w:keepLines w:val="0"/>
        <w:pageBreakBefore w:val="0"/>
        <w:widowControl/>
        <w:numPr>
          <w:ilvl w:val="0"/>
          <w:numId w:val="11"/>
        </w:numPr>
        <w:suppressLineNumbers w:val="0"/>
        <w:kinsoku/>
        <w:wordWrap/>
        <w:overflowPunct/>
        <w:topLinePunct w:val="0"/>
        <w:autoSpaceDE/>
        <w:autoSpaceDN/>
        <w:bidi w:val="0"/>
        <w:adjustRightInd/>
        <w:snapToGrid/>
        <w:spacing w:beforeAutospacing="0" w:afterAutospacing="0" w:line="360" w:lineRule="auto"/>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建立多级应急响应机制，保障业务连续性。</w:t>
      </w:r>
    </w:p>
    <w:p w14:paraId="656FF0EC">
      <w:pPr>
        <w:keepNext w:val="0"/>
        <w:keepLines w:val="0"/>
        <w:pageBreakBefore w:val="0"/>
        <w:widowControl/>
        <w:numPr>
          <w:ilvl w:val="0"/>
          <w:numId w:val="11"/>
        </w:numPr>
        <w:suppressLineNumbers w:val="0"/>
        <w:kinsoku/>
        <w:wordWrap/>
        <w:overflowPunct/>
        <w:topLinePunct w:val="0"/>
        <w:autoSpaceDE/>
        <w:autoSpaceDN/>
        <w:bidi w:val="0"/>
        <w:adjustRightInd/>
        <w:snapToGrid/>
        <w:spacing w:beforeAutospacing="0" w:afterAutospacing="0" w:line="360" w:lineRule="auto"/>
        <w:ind w:lef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定期进行演练和回顾，优化应急方案及预案执行效率。</w:t>
      </w:r>
    </w:p>
    <w:p w14:paraId="228B77D5">
      <w:pPr>
        <w:keepNext w:val="0"/>
        <w:keepLines w:val="0"/>
        <w:pageBreakBefore w:val="0"/>
        <w:widowControl/>
        <w:suppressLineNumbers w:val="0"/>
        <w:kinsoku/>
        <w:wordWrap/>
        <w:overflowPunct/>
        <w:topLinePunct w:val="0"/>
        <w:autoSpaceDE/>
        <w:autoSpaceDN/>
        <w:bidi w:val="0"/>
        <w:adjustRightInd/>
        <w:snapToGrid/>
        <w:spacing w:before="260" w:beforeAutospacing="0" w:after="260" w:afterAutospacing="0" w:line="360" w:lineRule="auto"/>
        <w:ind w:left="0"/>
        <w:jc w:val="both"/>
        <w:textAlignment w:val="auto"/>
        <w:outlineLvl w:val="1"/>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四、交付要求</w:t>
      </w:r>
    </w:p>
    <w:p w14:paraId="59097B1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360" w:leftChars="0"/>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运维报告</w:t>
      </w:r>
    </w:p>
    <w:p w14:paraId="0119F6B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每</w:t>
      </w:r>
      <w:r>
        <w:rPr>
          <w:rFonts w:hint="eastAsia" w:ascii="仿宋" w:hAnsi="仿宋" w:eastAsia="仿宋" w:cs="仿宋"/>
          <w:color w:val="auto"/>
          <w:sz w:val="24"/>
          <w:szCs w:val="24"/>
          <w:highlight w:val="none"/>
          <w:lang w:val="en-US" w:eastAsia="zh-CN"/>
        </w:rPr>
        <w:t>年</w:t>
      </w:r>
      <w:r>
        <w:rPr>
          <w:rFonts w:hint="eastAsia" w:ascii="仿宋" w:hAnsi="仿宋" w:eastAsia="仿宋" w:cs="仿宋"/>
          <w:color w:val="auto"/>
          <w:sz w:val="24"/>
          <w:szCs w:val="24"/>
          <w:highlight w:val="none"/>
        </w:rPr>
        <w:t>提供详细系统运行报告，包括监控数据、故障分析、安全事件及优化建议。</w:t>
      </w:r>
    </w:p>
    <w:p w14:paraId="363B6D3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360" w:leftChars="0"/>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rPr>
        <w:t>文档资料</w:t>
      </w:r>
    </w:p>
    <w:p w14:paraId="3C5BF77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完整运维手册、操作指南、应急预案及安全策略文件。</w:t>
      </w:r>
    </w:p>
    <w:p w14:paraId="111BB05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所有文档需电子版和纸质版提供，并保持版本更新。</w:t>
      </w:r>
    </w:p>
    <w:p w14:paraId="0B8D10F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360" w:leftChars="0"/>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培训与知识传承</w:t>
      </w:r>
    </w:p>
    <w:p w14:paraId="57438D3D">
      <w:pPr>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Autospacing="0" w:after="0" w:afterAutospacing="0" w:line="360" w:lineRule="auto"/>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定期为</w:t>
      </w:r>
      <w:r>
        <w:rPr>
          <w:rFonts w:hint="eastAsia" w:ascii="仿宋" w:hAnsi="仿宋" w:eastAsia="仿宋" w:cs="仿宋"/>
          <w:color w:val="auto"/>
          <w:sz w:val="24"/>
          <w:szCs w:val="24"/>
          <w:highlight w:val="none"/>
          <w:lang w:val="en-US" w:eastAsia="zh-CN"/>
        </w:rPr>
        <w:t>用户单位</w:t>
      </w:r>
      <w:r>
        <w:rPr>
          <w:rFonts w:hint="eastAsia" w:ascii="仿宋" w:hAnsi="仿宋" w:eastAsia="仿宋" w:cs="仿宋"/>
          <w:color w:val="auto"/>
          <w:sz w:val="24"/>
          <w:szCs w:val="24"/>
          <w:highlight w:val="none"/>
        </w:rPr>
        <w:t>人员提供培训，包括系统操作、安全管理、应急处理及优化技能。</w:t>
      </w:r>
    </w:p>
    <w:p w14:paraId="620A4D46">
      <w:pPr>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Autospacing="0" w:after="0" w:afterAutospacing="0" w:line="360" w:lineRule="auto"/>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提供在线及现场培训资料，确保知识可持续传承。</w:t>
      </w:r>
    </w:p>
    <w:p w14:paraId="5276D522">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040C0166">
      <w:pPr>
        <w:rPr>
          <w:rFonts w:hint="eastAsia" w:ascii="仿宋" w:hAnsi="仿宋" w:eastAsia="仿宋" w:cs="仿宋"/>
          <w:color w:val="auto"/>
          <w:highlight w:val="none"/>
        </w:rPr>
      </w:pPr>
    </w:p>
    <w:p w14:paraId="0A6E37F3">
      <w:pPr>
        <w:keepNext w:val="0"/>
        <w:keepLines w:val="0"/>
        <w:pageBreakBefore w:val="0"/>
        <w:widowControl w:val="0"/>
        <w:kinsoku/>
        <w:wordWrap/>
        <w:overflowPunct/>
        <w:topLinePunct w:val="0"/>
        <w:bidi w:val="0"/>
        <w:snapToGrid/>
        <w:textAlignment w:val="auto"/>
        <w:outlineLvl w:val="9"/>
        <w:rPr>
          <w:rFonts w:hint="eastAsia" w:ascii="仿宋" w:hAnsi="仿宋" w:eastAsia="仿宋" w:cs="仿宋"/>
          <w:color w:val="auto"/>
          <w:highlight w:val="none"/>
        </w:rPr>
      </w:pPr>
    </w:p>
    <w:p w14:paraId="17BEA65D">
      <w:pPr>
        <w:spacing w:line="440" w:lineRule="exact"/>
        <w:jc w:val="center"/>
        <w:outlineLvl w:val="0"/>
        <w:rPr>
          <w:rFonts w:hint="eastAsia" w:ascii="仿宋" w:hAnsi="仿宋" w:eastAsia="仿宋" w:cs="仿宋"/>
          <w:b/>
          <w:color w:val="auto"/>
          <w:sz w:val="24"/>
          <w:szCs w:val="24"/>
          <w:highlight w:val="none"/>
        </w:rPr>
      </w:pPr>
      <w:bookmarkStart w:id="108" w:name="_Toc8265"/>
      <w:r>
        <w:rPr>
          <w:rFonts w:hint="eastAsia" w:ascii="仿宋" w:hAnsi="仿宋" w:eastAsia="仿宋" w:cs="仿宋"/>
          <w:b/>
          <w:color w:val="auto"/>
          <w:sz w:val="24"/>
          <w:szCs w:val="24"/>
          <w:highlight w:val="none"/>
        </w:rPr>
        <w:t>第五章 投标文件格式</w:t>
      </w:r>
      <w:bookmarkEnd w:id="88"/>
      <w:bookmarkEnd w:id="108"/>
    </w:p>
    <w:p w14:paraId="1B4D7084">
      <w:pPr>
        <w:rPr>
          <w:rFonts w:hint="eastAsia" w:ascii="仿宋" w:hAnsi="仿宋" w:eastAsia="仿宋" w:cs="仿宋"/>
          <w:b/>
          <w:color w:val="auto"/>
          <w:sz w:val="24"/>
          <w:szCs w:val="24"/>
          <w:highlight w:val="none"/>
        </w:rPr>
      </w:pPr>
    </w:p>
    <w:p w14:paraId="144F3838">
      <w:pPr>
        <w:rPr>
          <w:rFonts w:hint="eastAsia" w:ascii="仿宋" w:hAnsi="仿宋" w:eastAsia="仿宋" w:cs="仿宋"/>
          <w:color w:val="auto"/>
          <w:sz w:val="24"/>
          <w:szCs w:val="24"/>
          <w:highlight w:val="none"/>
          <w:u w:val="single"/>
        </w:rPr>
      </w:pPr>
    </w:p>
    <w:p w14:paraId="08CDB3AA">
      <w:pPr>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投标文件封面示例</w:t>
      </w:r>
    </w:p>
    <w:p w14:paraId="658BF6E4">
      <w:pPr>
        <w:spacing w:line="480" w:lineRule="auto"/>
        <w:jc w:val="center"/>
        <w:rPr>
          <w:rFonts w:hint="eastAsia" w:ascii="仿宋" w:hAnsi="仿宋" w:eastAsia="仿宋" w:cs="仿宋"/>
          <w:b/>
          <w:bCs/>
          <w:color w:val="auto"/>
          <w:sz w:val="24"/>
          <w:szCs w:val="24"/>
          <w:highlight w:val="none"/>
          <w:u w:val="single"/>
        </w:rPr>
      </w:pPr>
    </w:p>
    <w:p w14:paraId="19794BE6">
      <w:pPr>
        <w:pStyle w:val="37"/>
        <w:rPr>
          <w:rFonts w:hint="eastAsia" w:ascii="仿宋" w:hAnsi="仿宋" w:eastAsia="仿宋" w:cs="仿宋"/>
          <w:color w:val="auto"/>
          <w:highlight w:val="none"/>
        </w:rPr>
      </w:pPr>
    </w:p>
    <w:p w14:paraId="565CD4A2">
      <w:pPr>
        <w:spacing w:line="480" w:lineRule="auto"/>
        <w:jc w:val="center"/>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u w:val="single"/>
        </w:rPr>
        <w:t>（</w:t>
      </w:r>
      <w:r>
        <w:rPr>
          <w:rFonts w:hint="eastAsia" w:ascii="仿宋" w:hAnsi="仿宋" w:eastAsia="仿宋" w:cs="仿宋"/>
          <w:b/>
          <w:bCs/>
          <w:color w:val="auto"/>
          <w:sz w:val="24"/>
          <w:szCs w:val="24"/>
          <w:highlight w:val="none"/>
          <w:u w:val="single"/>
          <w:lang w:val="en-US" w:eastAsia="zh-CN"/>
        </w:rPr>
        <w:t>项目名称</w:t>
      </w:r>
      <w:r>
        <w:rPr>
          <w:rFonts w:hint="eastAsia" w:ascii="仿宋" w:hAnsi="仿宋" w:eastAsia="仿宋" w:cs="仿宋"/>
          <w:b/>
          <w:bCs/>
          <w:color w:val="auto"/>
          <w:sz w:val="24"/>
          <w:szCs w:val="24"/>
          <w:highlight w:val="none"/>
          <w:u w:val="single"/>
        </w:rPr>
        <w:t>）</w:t>
      </w:r>
    </w:p>
    <w:p w14:paraId="600A8576">
      <w:pPr>
        <w:spacing w:line="480" w:lineRule="auto"/>
        <w:jc w:val="center"/>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u w:val="single"/>
        </w:rPr>
        <w:t>（</w:t>
      </w:r>
      <w:r>
        <w:rPr>
          <w:rFonts w:hint="eastAsia" w:ascii="仿宋" w:hAnsi="仿宋" w:eastAsia="仿宋" w:cs="仿宋"/>
          <w:b/>
          <w:bCs/>
          <w:color w:val="auto"/>
          <w:sz w:val="24"/>
          <w:szCs w:val="24"/>
          <w:highlight w:val="none"/>
          <w:u w:val="single"/>
          <w:lang w:val="en-US" w:eastAsia="zh-CN"/>
        </w:rPr>
        <w:t>项目编号</w:t>
      </w:r>
      <w:r>
        <w:rPr>
          <w:rFonts w:hint="eastAsia" w:ascii="仿宋" w:hAnsi="仿宋" w:eastAsia="仿宋" w:cs="仿宋"/>
          <w:b/>
          <w:bCs/>
          <w:color w:val="auto"/>
          <w:sz w:val="24"/>
          <w:szCs w:val="24"/>
          <w:highlight w:val="none"/>
          <w:u w:val="single"/>
        </w:rPr>
        <w:t>）</w:t>
      </w:r>
    </w:p>
    <w:p w14:paraId="39E71733">
      <w:pPr>
        <w:spacing w:line="300" w:lineRule="exact"/>
        <w:jc w:val="center"/>
        <w:rPr>
          <w:rFonts w:hint="eastAsia" w:ascii="仿宋" w:hAnsi="仿宋" w:eastAsia="仿宋" w:cs="仿宋"/>
          <w:b/>
          <w:bCs/>
          <w:color w:val="auto"/>
          <w:sz w:val="24"/>
          <w:szCs w:val="24"/>
          <w:highlight w:val="none"/>
        </w:rPr>
      </w:pPr>
    </w:p>
    <w:p w14:paraId="342DE633">
      <w:pPr>
        <w:spacing w:line="300" w:lineRule="exact"/>
        <w:jc w:val="center"/>
        <w:rPr>
          <w:rFonts w:hint="eastAsia" w:ascii="仿宋" w:hAnsi="仿宋" w:eastAsia="仿宋" w:cs="仿宋"/>
          <w:b/>
          <w:bCs/>
          <w:color w:val="auto"/>
          <w:sz w:val="24"/>
          <w:szCs w:val="24"/>
          <w:highlight w:val="none"/>
        </w:rPr>
      </w:pPr>
    </w:p>
    <w:p w14:paraId="227314FD">
      <w:pPr>
        <w:spacing w:line="30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投标文件</w:t>
      </w:r>
    </w:p>
    <w:p w14:paraId="2923F342">
      <w:pPr>
        <w:spacing w:line="720" w:lineRule="auto"/>
        <w:rPr>
          <w:rFonts w:hint="eastAsia" w:ascii="仿宋" w:hAnsi="仿宋" w:eastAsia="仿宋" w:cs="仿宋"/>
          <w:color w:val="auto"/>
          <w:sz w:val="24"/>
          <w:szCs w:val="24"/>
          <w:highlight w:val="none"/>
        </w:rPr>
      </w:pPr>
    </w:p>
    <w:p w14:paraId="12CC1CAA">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投标人：（盖章）</w:t>
      </w:r>
    </w:p>
    <w:p w14:paraId="49B06D04">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sz w:val="24"/>
          <w:szCs w:val="24"/>
          <w:highlight w:val="none"/>
        </w:rPr>
        <w:t>）</w:t>
      </w:r>
    </w:p>
    <w:p w14:paraId="6F5CD6C0">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单位地址：</w:t>
      </w:r>
    </w:p>
    <w:p w14:paraId="4B428206">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p w14:paraId="4F472509">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p w14:paraId="718366F5">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p w14:paraId="4FA0FCDB">
      <w:pPr>
        <w:spacing w:line="720" w:lineRule="auto"/>
        <w:rPr>
          <w:rFonts w:hint="eastAsia" w:ascii="仿宋" w:hAnsi="仿宋" w:eastAsia="仿宋" w:cs="仿宋"/>
          <w:color w:val="auto"/>
          <w:sz w:val="24"/>
          <w:szCs w:val="24"/>
          <w:highlight w:val="none"/>
        </w:rPr>
      </w:pPr>
    </w:p>
    <w:p w14:paraId="74423D82">
      <w:pPr>
        <w:spacing w:line="720" w:lineRule="auto"/>
        <w:ind w:firstLine="2" w:firstLineChars="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74D9D060">
      <w:pPr>
        <w:tabs>
          <w:tab w:val="center" w:pos="4832"/>
          <w:tab w:val="left" w:pos="7140"/>
        </w:tabs>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bookmarkStart w:id="109" w:name="_Toc130252613"/>
      <w:r>
        <w:rPr>
          <w:rFonts w:hint="eastAsia" w:ascii="仿宋" w:hAnsi="仿宋" w:eastAsia="仿宋" w:cs="仿宋"/>
          <w:b/>
          <w:color w:val="auto"/>
          <w:sz w:val="24"/>
          <w:szCs w:val="24"/>
          <w:highlight w:val="none"/>
        </w:rPr>
        <w:t>目 录</w:t>
      </w:r>
      <w:bookmarkEnd w:id="109"/>
    </w:p>
    <w:p w14:paraId="32E5CB6E">
      <w:pPr>
        <w:spacing w:line="280" w:lineRule="exact"/>
        <w:ind w:firstLine="240" w:firstLineChars="100"/>
        <w:rPr>
          <w:rFonts w:hint="eastAsia" w:ascii="仿宋" w:hAnsi="仿宋" w:eastAsia="仿宋" w:cs="仿宋"/>
          <w:bCs/>
          <w:color w:val="auto"/>
          <w:sz w:val="24"/>
          <w:szCs w:val="24"/>
          <w:highlight w:val="none"/>
        </w:rPr>
      </w:pPr>
    </w:p>
    <w:p w14:paraId="0B45514A">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一、开标一览表</w:t>
      </w:r>
    </w:p>
    <w:p w14:paraId="16DDB009">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二、投标函</w:t>
      </w:r>
    </w:p>
    <w:p w14:paraId="0B0BBECD">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三、投标价格明细表</w:t>
      </w:r>
    </w:p>
    <w:p w14:paraId="3F7FCEFD">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四、商务条款偏离表</w:t>
      </w:r>
    </w:p>
    <w:p w14:paraId="5D74D7F8">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五、技术条款偏离表</w:t>
      </w:r>
    </w:p>
    <w:p w14:paraId="10D6BE60">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六、法定代表人身份证明书</w:t>
      </w:r>
    </w:p>
    <w:p w14:paraId="44C52FD2">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七、法定代表人授权委托书</w:t>
      </w:r>
    </w:p>
    <w:p w14:paraId="756D82B4">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八、投标人资格条件证明材料</w:t>
      </w:r>
    </w:p>
    <w:p w14:paraId="3E09CCFE">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九、投标人近年类似项目情况表</w:t>
      </w:r>
    </w:p>
    <w:p w14:paraId="15192236">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十、项目负责人简历表</w:t>
      </w:r>
    </w:p>
    <w:p w14:paraId="7F7DE9A6">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十一、拟派主要服务人员情况表</w:t>
      </w:r>
    </w:p>
    <w:p w14:paraId="014313EE">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十二、服务方案</w:t>
      </w:r>
    </w:p>
    <w:p w14:paraId="1271A572">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十三、保证金缴纳证明材料</w:t>
      </w:r>
    </w:p>
    <w:p w14:paraId="4945AF6A">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十四、</w:t>
      </w:r>
      <w:r>
        <w:rPr>
          <w:rFonts w:hint="eastAsia" w:ascii="仿宋" w:hAnsi="仿宋" w:eastAsia="仿宋" w:cs="仿宋"/>
          <w:color w:val="auto"/>
          <w:kern w:val="0"/>
          <w:sz w:val="24"/>
          <w:szCs w:val="24"/>
          <w:highlight w:val="none"/>
        </w:rPr>
        <w:t>其它需要提交的资料</w:t>
      </w:r>
    </w:p>
    <w:p w14:paraId="6238BC33">
      <w:pPr>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注：为了便于查找，请按上述顺序编制投标文件内容，并在目录中标明每项内容的起始页码。</w:t>
      </w:r>
    </w:p>
    <w:p w14:paraId="297994EB">
      <w:pPr>
        <w:numPr>
          <w:ilvl w:val="0"/>
          <w:numId w:val="0"/>
        </w:numPr>
        <w:tabs>
          <w:tab w:val="center" w:pos="4832"/>
          <w:tab w:val="left" w:pos="7140"/>
        </w:tabs>
        <w:jc w:val="center"/>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bookmarkStart w:id="110" w:name="_Toc6644"/>
      <w:bookmarkStart w:id="111" w:name="_Toc18209"/>
      <w:bookmarkStart w:id="112" w:name="_Toc18033"/>
      <w:r>
        <w:rPr>
          <w:rFonts w:hint="eastAsia" w:ascii="仿宋" w:hAnsi="仿宋" w:eastAsia="仿宋" w:cs="仿宋"/>
          <w:b/>
          <w:color w:val="auto"/>
          <w:sz w:val="24"/>
          <w:szCs w:val="24"/>
          <w:highlight w:val="none"/>
          <w:lang w:val="en-US" w:eastAsia="zh-CN"/>
        </w:rPr>
        <w:t>一、</w:t>
      </w:r>
      <w:r>
        <w:rPr>
          <w:rFonts w:hint="eastAsia" w:ascii="仿宋" w:hAnsi="仿宋" w:eastAsia="仿宋" w:cs="仿宋"/>
          <w:b/>
          <w:color w:val="auto"/>
          <w:sz w:val="24"/>
          <w:szCs w:val="24"/>
          <w:highlight w:val="none"/>
        </w:rPr>
        <w:t>开标一览表</w:t>
      </w:r>
      <w:bookmarkEnd w:id="110"/>
      <w:bookmarkEnd w:id="111"/>
      <w:bookmarkEnd w:id="112"/>
    </w:p>
    <w:p w14:paraId="31EF9313">
      <w:pPr>
        <w:rPr>
          <w:rFonts w:hint="eastAsia" w:ascii="仿宋" w:hAnsi="仿宋" w:eastAsia="仿宋" w:cs="仿宋"/>
          <w:color w:val="auto"/>
          <w:highlight w:val="none"/>
        </w:rPr>
      </w:pPr>
    </w:p>
    <w:p w14:paraId="4EC0F420">
      <w:pPr>
        <w:rPr>
          <w:rFonts w:hint="eastAsia" w:ascii="仿宋" w:hAnsi="仿宋" w:eastAsia="仿宋" w:cs="仿宋"/>
          <w:color w:val="auto"/>
          <w:highlight w:val="none"/>
        </w:rPr>
      </w:pPr>
    </w:p>
    <w:tbl>
      <w:tblPr>
        <w:tblStyle w:val="39"/>
        <w:tblpPr w:leftFromText="180" w:rightFromText="180" w:vertAnchor="text" w:horzAnchor="page" w:tblpX="1590" w:tblpY="473"/>
        <w:tblOverlap w:val="never"/>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79"/>
        <w:gridCol w:w="6249"/>
      </w:tblGrid>
      <w:tr w14:paraId="57CE2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1BD2324E">
            <w:pPr>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rPr>
              <w:t>项目名称</w:t>
            </w:r>
          </w:p>
        </w:tc>
        <w:tc>
          <w:tcPr>
            <w:tcW w:w="3499" w:type="pct"/>
            <w:tcBorders>
              <w:left w:val="single" w:color="auto" w:sz="4" w:space="0"/>
            </w:tcBorders>
            <w:shd w:val="clear" w:color="auto" w:fill="auto"/>
            <w:vAlign w:val="center"/>
          </w:tcPr>
          <w:p w14:paraId="60C69916">
            <w:pPr>
              <w:spacing w:line="360" w:lineRule="auto"/>
              <w:ind w:right="-670" w:rightChars="0"/>
              <w:rPr>
                <w:rFonts w:hint="eastAsia" w:ascii="仿宋" w:hAnsi="仿宋" w:eastAsia="仿宋" w:cs="仿宋"/>
                <w:bCs/>
                <w:color w:val="auto"/>
                <w:kern w:val="2"/>
                <w:sz w:val="24"/>
                <w:szCs w:val="24"/>
                <w:highlight w:val="none"/>
                <w:lang w:val="en-US" w:eastAsia="zh-CN" w:bidi="ar-SA"/>
              </w:rPr>
            </w:pPr>
          </w:p>
        </w:tc>
      </w:tr>
      <w:tr w14:paraId="77840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04637253">
            <w:pPr>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rPr>
              <w:t>项目编号</w:t>
            </w:r>
          </w:p>
        </w:tc>
        <w:tc>
          <w:tcPr>
            <w:tcW w:w="3499" w:type="pct"/>
            <w:tcBorders>
              <w:left w:val="single" w:color="auto" w:sz="4" w:space="0"/>
            </w:tcBorders>
            <w:shd w:val="clear" w:color="auto" w:fill="auto"/>
            <w:vAlign w:val="center"/>
          </w:tcPr>
          <w:p w14:paraId="35107763">
            <w:pPr>
              <w:spacing w:line="360" w:lineRule="auto"/>
              <w:ind w:right="-670" w:rightChars="0"/>
              <w:rPr>
                <w:rFonts w:hint="eastAsia" w:ascii="仿宋" w:hAnsi="仿宋" w:eastAsia="仿宋" w:cs="仿宋"/>
                <w:bCs/>
                <w:color w:val="auto"/>
                <w:kern w:val="2"/>
                <w:sz w:val="24"/>
                <w:szCs w:val="24"/>
                <w:highlight w:val="none"/>
                <w:lang w:val="en-US" w:eastAsia="zh-CN" w:bidi="ar-SA"/>
              </w:rPr>
            </w:pPr>
          </w:p>
        </w:tc>
      </w:tr>
      <w:tr w14:paraId="7149E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6360F24E">
            <w:pPr>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rPr>
              <w:t>投标价格</w:t>
            </w:r>
          </w:p>
        </w:tc>
        <w:tc>
          <w:tcPr>
            <w:tcW w:w="3499" w:type="pct"/>
            <w:tcBorders>
              <w:left w:val="single" w:color="auto" w:sz="4" w:space="0"/>
            </w:tcBorders>
            <w:shd w:val="clear" w:color="auto" w:fill="auto"/>
            <w:vAlign w:val="center"/>
          </w:tcPr>
          <w:p w14:paraId="15601ABB">
            <w:pPr>
              <w:snapToGrid w:val="0"/>
              <w:spacing w:line="360" w:lineRule="auto"/>
              <w:rPr>
                <w:rFonts w:hint="eastAsia" w:ascii="仿宋" w:hAnsi="仿宋" w:eastAsia="仿宋" w:cs="仿宋"/>
                <w:bCs/>
                <w:color w:val="auto"/>
                <w:kern w:val="2"/>
                <w:sz w:val="24"/>
                <w:szCs w:val="24"/>
                <w:highlight w:val="none"/>
                <w:u w:val="single"/>
                <w:lang w:val="en-US" w:eastAsia="zh-CN" w:bidi="ar-SA"/>
              </w:rPr>
            </w:pPr>
            <w:r>
              <w:rPr>
                <w:rFonts w:hint="eastAsia" w:ascii="仿宋" w:hAnsi="仿宋" w:eastAsia="仿宋" w:cs="仿宋"/>
                <w:bCs/>
                <w:color w:val="auto"/>
                <w:kern w:val="2"/>
                <w:sz w:val="24"/>
                <w:szCs w:val="24"/>
                <w:highlight w:val="none"/>
                <w:lang w:val="en-US" w:eastAsia="zh-CN" w:bidi="ar-SA"/>
              </w:rPr>
              <w:t>小写：</w:t>
            </w:r>
            <w:r>
              <w:rPr>
                <w:rFonts w:hint="eastAsia" w:ascii="仿宋" w:hAnsi="仿宋" w:eastAsia="仿宋" w:cs="仿宋"/>
                <w:bCs/>
                <w:color w:val="auto"/>
                <w:kern w:val="2"/>
                <w:sz w:val="24"/>
                <w:szCs w:val="24"/>
                <w:highlight w:val="none"/>
                <w:u w:val="single"/>
                <w:lang w:val="en-US" w:eastAsia="zh-CN" w:bidi="ar-SA"/>
              </w:rPr>
              <w:t xml:space="preserve">            元</w:t>
            </w:r>
          </w:p>
          <w:p w14:paraId="048510CB">
            <w:pPr>
              <w:snapToGrid w:val="0"/>
              <w:spacing w:line="360" w:lineRule="auto"/>
              <w:rPr>
                <w:rFonts w:hint="eastAsia" w:ascii="仿宋" w:hAnsi="仿宋" w:eastAsia="仿宋" w:cs="仿宋"/>
                <w:color w:val="auto"/>
                <w:highlight w:val="none"/>
                <w:lang w:val="en-US" w:eastAsia="zh-CN"/>
              </w:rPr>
            </w:pPr>
            <w:r>
              <w:rPr>
                <w:rFonts w:hint="eastAsia" w:ascii="仿宋" w:hAnsi="仿宋" w:eastAsia="仿宋" w:cs="仿宋"/>
                <w:bCs/>
                <w:color w:val="auto"/>
                <w:kern w:val="2"/>
                <w:sz w:val="24"/>
                <w:szCs w:val="24"/>
                <w:highlight w:val="none"/>
                <w:lang w:val="en-US" w:eastAsia="zh-CN" w:bidi="ar-SA"/>
              </w:rPr>
              <w:t>大写：</w:t>
            </w:r>
            <w:r>
              <w:rPr>
                <w:rFonts w:hint="eastAsia" w:ascii="仿宋" w:hAnsi="仿宋" w:eastAsia="仿宋" w:cs="仿宋"/>
                <w:bCs/>
                <w:color w:val="auto"/>
                <w:kern w:val="2"/>
                <w:sz w:val="24"/>
                <w:szCs w:val="24"/>
                <w:highlight w:val="none"/>
                <w:u w:val="single"/>
                <w:lang w:val="en-US" w:eastAsia="zh-CN" w:bidi="ar-SA"/>
              </w:rPr>
              <w:t xml:space="preserve">            元</w:t>
            </w:r>
          </w:p>
        </w:tc>
      </w:tr>
      <w:tr w14:paraId="5A340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708E4767">
            <w:pPr>
              <w:snapToGrid w:val="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rPr>
              <w:t>合同履约期限</w:t>
            </w:r>
          </w:p>
        </w:tc>
        <w:tc>
          <w:tcPr>
            <w:tcW w:w="3499" w:type="pct"/>
            <w:tcBorders>
              <w:left w:val="single" w:color="auto" w:sz="4" w:space="0"/>
            </w:tcBorders>
            <w:shd w:val="clear" w:color="auto" w:fill="auto"/>
            <w:vAlign w:val="center"/>
          </w:tcPr>
          <w:p w14:paraId="3E4A8B81">
            <w:pPr>
              <w:snapToGrid w:val="0"/>
              <w:spacing w:line="360" w:lineRule="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lang w:eastAsia="zh-CN"/>
              </w:rPr>
              <w:t>1年</w:t>
            </w:r>
          </w:p>
        </w:tc>
      </w:tr>
      <w:tr w14:paraId="5E654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0D4C206D">
            <w:pPr>
              <w:snapToGrid w:val="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rPr>
              <w:t>投标有效期</w:t>
            </w:r>
          </w:p>
        </w:tc>
        <w:tc>
          <w:tcPr>
            <w:tcW w:w="3499" w:type="pct"/>
            <w:tcBorders>
              <w:left w:val="single" w:color="auto" w:sz="4" w:space="0"/>
            </w:tcBorders>
            <w:shd w:val="clear" w:color="auto" w:fill="auto"/>
            <w:vAlign w:val="center"/>
          </w:tcPr>
          <w:p w14:paraId="0D633AC8">
            <w:pPr>
              <w:snapToGrid w:val="0"/>
              <w:spacing w:line="360" w:lineRule="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自投标截止之日</w:t>
            </w:r>
            <w:r>
              <w:rPr>
                <w:rFonts w:hint="eastAsia" w:ascii="仿宋" w:hAnsi="仿宋" w:eastAsia="仿宋" w:cs="仿宋"/>
                <w:bCs/>
                <w:color w:val="auto"/>
                <w:kern w:val="2"/>
                <w:sz w:val="24"/>
                <w:szCs w:val="24"/>
                <w:highlight w:val="none"/>
                <w:u w:val="single"/>
                <w:lang w:val="en-US" w:eastAsia="zh-CN" w:bidi="ar-SA"/>
              </w:rPr>
              <w:t xml:space="preserve"> 90 </w:t>
            </w:r>
            <w:r>
              <w:rPr>
                <w:rFonts w:hint="eastAsia" w:ascii="仿宋" w:hAnsi="仿宋" w:eastAsia="仿宋" w:cs="仿宋"/>
                <w:bCs/>
                <w:color w:val="auto"/>
                <w:kern w:val="2"/>
                <w:sz w:val="24"/>
                <w:szCs w:val="24"/>
                <w:highlight w:val="none"/>
                <w:lang w:val="en-US" w:eastAsia="zh-CN" w:bidi="ar-SA"/>
              </w:rPr>
              <w:t>日历日</w:t>
            </w:r>
          </w:p>
        </w:tc>
      </w:tr>
      <w:tr w14:paraId="29FCE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0D61ADA1">
            <w:pPr>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rPr>
              <w:t>备注</w:t>
            </w:r>
          </w:p>
        </w:tc>
        <w:tc>
          <w:tcPr>
            <w:tcW w:w="3499" w:type="pct"/>
            <w:tcBorders>
              <w:left w:val="single" w:color="auto" w:sz="4" w:space="0"/>
            </w:tcBorders>
            <w:shd w:val="clear" w:color="auto" w:fill="auto"/>
            <w:vAlign w:val="center"/>
          </w:tcPr>
          <w:p w14:paraId="7A71EEF0">
            <w:pPr>
              <w:rPr>
                <w:rFonts w:hint="eastAsia" w:ascii="仿宋" w:hAnsi="仿宋" w:eastAsia="仿宋" w:cs="仿宋"/>
                <w:bCs/>
                <w:color w:val="auto"/>
                <w:kern w:val="2"/>
                <w:sz w:val="24"/>
                <w:szCs w:val="24"/>
                <w:highlight w:val="none"/>
                <w:lang w:val="en-US" w:eastAsia="zh-CN" w:bidi="ar-SA"/>
              </w:rPr>
            </w:pPr>
          </w:p>
        </w:tc>
      </w:tr>
    </w:tbl>
    <w:p w14:paraId="74501674">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5539E279">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4C64E403">
      <w:pPr>
        <w:pStyle w:val="38"/>
        <w:rPr>
          <w:rFonts w:hint="eastAsia" w:ascii="仿宋" w:hAnsi="仿宋" w:eastAsia="仿宋" w:cs="仿宋"/>
          <w:color w:val="auto"/>
          <w:highlight w:val="none"/>
        </w:rPr>
      </w:pPr>
    </w:p>
    <w:p w14:paraId="70988BB1">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6DA8A73C">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3647DECE">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rPr>
        <w:t>）</w:t>
      </w:r>
    </w:p>
    <w:p w14:paraId="04BCAF8C">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1BA7C447">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4EFA2A8D">
      <w:pPr>
        <w:tabs>
          <w:tab w:val="center" w:pos="4832"/>
          <w:tab w:val="left" w:pos="7140"/>
        </w:tabs>
        <w:jc w:val="center"/>
        <w:outlineLvl w:val="1"/>
        <w:rPr>
          <w:rFonts w:hint="eastAsia" w:ascii="仿宋" w:hAnsi="仿宋" w:eastAsia="仿宋" w:cs="仿宋"/>
          <w:b/>
          <w:color w:val="auto"/>
          <w:sz w:val="24"/>
          <w:szCs w:val="24"/>
          <w:highlight w:val="none"/>
        </w:rPr>
      </w:pPr>
      <w:bookmarkStart w:id="113" w:name="_Toc6911"/>
      <w:bookmarkStart w:id="114" w:name="_Toc22764"/>
      <w:bookmarkStart w:id="115" w:name="_Toc13707"/>
      <w:r>
        <w:rPr>
          <w:rFonts w:hint="eastAsia" w:ascii="仿宋" w:hAnsi="仿宋" w:eastAsia="仿宋" w:cs="仿宋"/>
          <w:b/>
          <w:color w:val="auto"/>
          <w:sz w:val="24"/>
          <w:szCs w:val="24"/>
          <w:highlight w:val="none"/>
        </w:rPr>
        <w:t>二、投标函</w:t>
      </w:r>
      <w:bookmarkEnd w:id="113"/>
      <w:bookmarkEnd w:id="114"/>
      <w:bookmarkEnd w:id="115"/>
    </w:p>
    <w:p w14:paraId="289E126F">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35F40D55">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（采购人名称）</w:t>
      </w:r>
    </w:p>
    <w:p w14:paraId="57E4B239">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7496DB43">
      <w:pPr>
        <w:widowControl/>
        <w:shd w:val="clear" w:color="auto" w:fill="FFFFFF"/>
        <w:snapToGrid w:val="0"/>
        <w:spacing w:line="384"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根据已收到的</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项目名称</w:t>
      </w:r>
      <w:r>
        <w:rPr>
          <w:rFonts w:hint="eastAsia" w:ascii="仿宋" w:hAnsi="仿宋" w:eastAsia="仿宋" w:cs="仿宋"/>
          <w:color w:val="auto"/>
          <w:kern w:val="0"/>
          <w:sz w:val="24"/>
          <w:szCs w:val="24"/>
          <w:highlight w:val="none"/>
        </w:rPr>
        <w:t>）的招标文件，遵照《中华人民共和国政府采购法》等有关法律法规的规定，经考察现场和充分研究贵方的招标文件的全部内容后，我方郑重承诺如下：</w:t>
      </w:r>
    </w:p>
    <w:p w14:paraId="06725F90">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zh-CN"/>
        </w:rPr>
        <w:t xml:space="preserve">、不向项目有关人员及部门赠送礼金礼物、有价证券、回扣以及中介费、介绍费、咨询费等好处费；不为项目有关人员及部门报销应由你方单位或个人支付的费用。 </w:t>
      </w:r>
    </w:p>
    <w:p w14:paraId="5466FA9C">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zh-CN"/>
        </w:rPr>
        <w:t>、不向项目有关人员及部门提供有可能影响公正的宴请和健身娱乐等活动；不为项目有关人员及部门出国（境）、旅游等提供方便；不为项目有关人员个人装修住房、婚丧嫁娶、配偶子女工作安排等提供好处。</w:t>
      </w:r>
    </w:p>
    <w:p w14:paraId="4E1629D5">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zh-CN"/>
        </w:rPr>
        <w:t xml:space="preserve">、严格遵守《中华人民共和国政府采购法》、《中华人民共和国民法典》等法律法规，诚实守信，合法经营，坚决抵制各种违法违纪行为。 </w:t>
      </w:r>
    </w:p>
    <w:p w14:paraId="0B8F54C4">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rPr>
        <w:t>4、我方所递交的投标文件及有关资料内容完整、真实和准确，且不存在投标人须知前附表规定的投标人不得存在的任何一种情形。</w:t>
      </w:r>
    </w:p>
    <w:p w14:paraId="110C35EB">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5、本</w:t>
      </w:r>
      <w:r>
        <w:rPr>
          <w:rFonts w:hint="eastAsia" w:ascii="仿宋" w:hAnsi="仿宋" w:eastAsia="仿宋" w:cs="仿宋"/>
          <w:color w:val="auto"/>
          <w:sz w:val="24"/>
          <w:szCs w:val="24"/>
          <w:highlight w:val="none"/>
          <w:shd w:val="clear" w:color="auto" w:fill="FFFFFF" w:themeFill="background1"/>
        </w:rPr>
        <w:t>投标文件</w:t>
      </w:r>
      <w:r>
        <w:rPr>
          <w:rFonts w:hint="eastAsia" w:ascii="仿宋" w:hAnsi="仿宋" w:eastAsia="仿宋" w:cs="仿宋"/>
          <w:color w:val="auto"/>
          <w:kern w:val="0"/>
          <w:sz w:val="24"/>
          <w:szCs w:val="24"/>
          <w:highlight w:val="none"/>
          <w:shd w:val="clear" w:color="auto" w:fill="FFFFFF" w:themeFill="background1"/>
        </w:rPr>
        <w:t>在</w:t>
      </w:r>
      <w:r>
        <w:rPr>
          <w:rFonts w:hint="eastAsia" w:ascii="仿宋" w:hAnsi="仿宋" w:eastAsia="仿宋" w:cs="仿宋"/>
          <w:color w:val="auto"/>
          <w:sz w:val="24"/>
          <w:szCs w:val="24"/>
          <w:highlight w:val="none"/>
          <w:shd w:val="clear" w:color="auto" w:fill="FFFFFF" w:themeFill="background1"/>
        </w:rPr>
        <w:t>招标文件</w:t>
      </w:r>
      <w:r>
        <w:rPr>
          <w:rFonts w:hint="eastAsia" w:ascii="仿宋" w:hAnsi="仿宋" w:eastAsia="仿宋" w:cs="仿宋"/>
          <w:color w:val="auto"/>
          <w:kern w:val="0"/>
          <w:sz w:val="24"/>
          <w:szCs w:val="24"/>
          <w:highlight w:val="none"/>
          <w:shd w:val="clear" w:color="auto" w:fill="FFFFFF" w:themeFill="background1"/>
        </w:rPr>
        <w:t>规定的投标有效期内对我方具有约束力，如果我方在投标有效期内撤销投标，其投标保证金将被贵方没收。</w:t>
      </w:r>
    </w:p>
    <w:p w14:paraId="316081FA">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shd w:val="clear" w:color="auto" w:fill="FFFFFF" w:themeFill="background1"/>
        </w:rPr>
        <w:t>6、</w:t>
      </w:r>
      <w:r>
        <w:rPr>
          <w:rFonts w:hint="eastAsia" w:ascii="仿宋" w:hAnsi="仿宋" w:eastAsia="仿宋" w:cs="仿宋"/>
          <w:color w:val="auto"/>
          <w:kern w:val="0"/>
          <w:sz w:val="24"/>
          <w:szCs w:val="24"/>
          <w:highlight w:val="none"/>
        </w:rPr>
        <w:t>我方已完全理解招标文件的全部内容，并无异议。</w:t>
      </w:r>
    </w:p>
    <w:p w14:paraId="6164D5E4">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7、如我方中标，我方自愿向代理机构支付咨询费，并在合同签订后</w:t>
      </w:r>
      <w:r>
        <w:rPr>
          <w:rFonts w:hint="eastAsia" w:ascii="仿宋" w:hAnsi="仿宋" w:eastAsia="仿宋" w:cs="仿宋"/>
          <w:color w:val="auto"/>
          <w:kern w:val="0"/>
          <w:sz w:val="24"/>
          <w:szCs w:val="24"/>
          <w:highlight w:val="none"/>
          <w:shd w:val="clear" w:color="auto" w:fill="FFFFFF" w:themeFill="background1"/>
          <w:lang w:val="en-US" w:eastAsia="zh-CN"/>
        </w:rPr>
        <w:t>1</w:t>
      </w:r>
      <w:r>
        <w:rPr>
          <w:rFonts w:hint="eastAsia" w:ascii="仿宋" w:hAnsi="仿宋" w:eastAsia="仿宋" w:cs="仿宋"/>
          <w:color w:val="auto"/>
          <w:kern w:val="0"/>
          <w:sz w:val="24"/>
          <w:szCs w:val="24"/>
          <w:highlight w:val="none"/>
          <w:shd w:val="clear" w:color="auto" w:fill="FFFFFF" w:themeFill="background1"/>
        </w:rPr>
        <w:t>个工作日内向采购代理机构提供采购合同原件一份用于采购资料备案工作。</w:t>
      </w:r>
    </w:p>
    <w:p w14:paraId="76540176">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8、我方愿意提供贵方可能要求的与采购有关的一切数据或资料，完全理解贵方不一定接受最低投标报价的投标或收到的任何投标。</w:t>
      </w:r>
    </w:p>
    <w:p w14:paraId="2C569CD8">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3A2E7529">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46586AC5">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58D15695">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rPr>
        <w:t>）</w:t>
      </w:r>
    </w:p>
    <w:p w14:paraId="76ED552C">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31906FAF">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30FAD369">
      <w:pPr>
        <w:tabs>
          <w:tab w:val="center" w:pos="4832"/>
          <w:tab w:val="left" w:pos="7140"/>
        </w:tabs>
        <w:jc w:val="center"/>
        <w:outlineLvl w:val="1"/>
        <w:rPr>
          <w:rFonts w:hint="eastAsia" w:ascii="仿宋" w:hAnsi="仿宋" w:eastAsia="仿宋" w:cs="仿宋"/>
          <w:color w:val="auto"/>
          <w:sz w:val="24"/>
          <w:szCs w:val="24"/>
          <w:highlight w:val="none"/>
          <w:lang w:eastAsia="zh-CN"/>
        </w:rPr>
      </w:pPr>
      <w:bookmarkStart w:id="116" w:name="_Toc24006"/>
      <w:bookmarkStart w:id="117" w:name="_Toc109921158"/>
      <w:bookmarkStart w:id="118" w:name="_Toc109941765"/>
      <w:bookmarkStart w:id="119" w:name="_Toc130252615"/>
      <w:bookmarkStart w:id="120" w:name="_Toc110707965"/>
      <w:bookmarkStart w:id="121" w:name="_Toc2378"/>
      <w:r>
        <w:rPr>
          <w:rFonts w:hint="eastAsia" w:ascii="仿宋" w:hAnsi="仿宋" w:eastAsia="仿宋" w:cs="仿宋"/>
          <w:b/>
          <w:color w:val="auto"/>
          <w:sz w:val="24"/>
          <w:szCs w:val="24"/>
          <w:highlight w:val="none"/>
          <w:lang w:val="en-US" w:eastAsia="zh-CN"/>
        </w:rPr>
        <w:t>三</w:t>
      </w:r>
      <w:r>
        <w:rPr>
          <w:rFonts w:hint="eastAsia" w:ascii="仿宋" w:hAnsi="仿宋" w:eastAsia="仿宋" w:cs="仿宋"/>
          <w:b/>
          <w:color w:val="auto"/>
          <w:sz w:val="24"/>
          <w:szCs w:val="24"/>
          <w:highlight w:val="none"/>
        </w:rPr>
        <w:t>、投标价格明细表</w:t>
      </w:r>
      <w:bookmarkEnd w:id="116"/>
      <w:bookmarkEnd w:id="117"/>
      <w:bookmarkEnd w:id="118"/>
      <w:bookmarkEnd w:id="119"/>
      <w:bookmarkEnd w:id="120"/>
      <w:bookmarkEnd w:id="121"/>
    </w:p>
    <w:tbl>
      <w:tblPr>
        <w:tblStyle w:val="39"/>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7"/>
        <w:gridCol w:w="3203"/>
        <w:gridCol w:w="1109"/>
        <w:gridCol w:w="1231"/>
        <w:gridCol w:w="1471"/>
        <w:gridCol w:w="1391"/>
      </w:tblGrid>
      <w:tr w14:paraId="63C20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473" w:type="pct"/>
            <w:vAlign w:val="center"/>
          </w:tcPr>
          <w:p w14:paraId="1E6DD319">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序号</w:t>
            </w:r>
          </w:p>
        </w:tc>
        <w:tc>
          <w:tcPr>
            <w:tcW w:w="1725" w:type="pct"/>
            <w:vAlign w:val="center"/>
          </w:tcPr>
          <w:p w14:paraId="32BB3E12">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名称</w:t>
            </w:r>
          </w:p>
        </w:tc>
        <w:tc>
          <w:tcPr>
            <w:tcW w:w="597" w:type="pct"/>
            <w:vAlign w:val="center"/>
          </w:tcPr>
          <w:p w14:paraId="59105FDC">
            <w:pPr>
              <w:spacing w:line="360" w:lineRule="auto"/>
              <w:jc w:val="center"/>
              <w:rPr>
                <w:rFonts w:hint="eastAsia" w:ascii="仿宋" w:hAnsi="仿宋" w:eastAsia="仿宋" w:cs="仿宋"/>
                <w:color w:val="auto"/>
                <w:szCs w:val="21"/>
                <w:highlight w:val="none"/>
                <w:shd w:val="clear" w:color="auto" w:fill="FFFFFF" w:themeFill="background1"/>
                <w:lang w:val="en-US" w:eastAsia="zh-CN"/>
              </w:rPr>
            </w:pPr>
            <w:r>
              <w:rPr>
                <w:rFonts w:hint="eastAsia" w:ascii="仿宋" w:hAnsi="仿宋" w:eastAsia="仿宋" w:cs="仿宋"/>
                <w:color w:val="auto"/>
                <w:szCs w:val="21"/>
                <w:highlight w:val="none"/>
                <w:shd w:val="clear" w:color="auto" w:fill="FFFFFF" w:themeFill="background1"/>
                <w:lang w:val="en-US" w:eastAsia="zh-CN"/>
              </w:rPr>
              <w:t>数量</w:t>
            </w:r>
          </w:p>
        </w:tc>
        <w:tc>
          <w:tcPr>
            <w:tcW w:w="661" w:type="pct"/>
            <w:vAlign w:val="center"/>
          </w:tcPr>
          <w:p w14:paraId="05702953">
            <w:pPr>
              <w:spacing w:line="360" w:lineRule="auto"/>
              <w:jc w:val="center"/>
              <w:rPr>
                <w:rFonts w:hint="eastAsia" w:ascii="仿宋" w:hAnsi="仿宋" w:eastAsia="仿宋" w:cs="仿宋"/>
                <w:color w:val="auto"/>
                <w:szCs w:val="21"/>
                <w:highlight w:val="none"/>
                <w:shd w:val="clear" w:color="auto" w:fill="FFFFFF" w:themeFill="background1"/>
                <w:lang w:val="en-US" w:eastAsia="zh-CN"/>
              </w:rPr>
            </w:pPr>
            <w:r>
              <w:rPr>
                <w:rFonts w:hint="eastAsia" w:ascii="仿宋" w:hAnsi="仿宋" w:eastAsia="仿宋" w:cs="仿宋"/>
                <w:color w:val="auto"/>
                <w:szCs w:val="21"/>
                <w:highlight w:val="none"/>
                <w:shd w:val="clear" w:color="auto" w:fill="FFFFFF" w:themeFill="background1"/>
                <w:lang w:val="en-US" w:eastAsia="zh-CN"/>
              </w:rPr>
              <w:t>单位</w:t>
            </w:r>
          </w:p>
        </w:tc>
        <w:tc>
          <w:tcPr>
            <w:tcW w:w="792" w:type="pct"/>
            <w:vAlign w:val="center"/>
          </w:tcPr>
          <w:p w14:paraId="687BCB77">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小计（元）</w:t>
            </w:r>
          </w:p>
        </w:tc>
        <w:tc>
          <w:tcPr>
            <w:tcW w:w="749" w:type="pct"/>
            <w:vAlign w:val="center"/>
          </w:tcPr>
          <w:p w14:paraId="4EAB288D">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备注</w:t>
            </w:r>
          </w:p>
        </w:tc>
      </w:tr>
      <w:tr w14:paraId="38A18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473" w:type="pct"/>
            <w:vAlign w:val="center"/>
          </w:tcPr>
          <w:p w14:paraId="59F81491">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1</w:t>
            </w:r>
          </w:p>
        </w:tc>
        <w:tc>
          <w:tcPr>
            <w:tcW w:w="1725" w:type="pct"/>
            <w:vAlign w:val="center"/>
          </w:tcPr>
          <w:p w14:paraId="2874E4B4">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eastAsia" w:ascii="仿宋" w:hAnsi="仿宋" w:eastAsia="仿宋" w:cs="仿宋"/>
                <w:bCs/>
                <w:color w:val="auto"/>
                <w:szCs w:val="21"/>
                <w:highlight w:val="none"/>
                <w:shd w:val="clear" w:color="auto" w:fill="FFFFFF" w:themeFill="background1"/>
                <w:lang w:val="en-US" w:eastAsia="zh-CN"/>
              </w:rPr>
            </w:pPr>
          </w:p>
        </w:tc>
        <w:tc>
          <w:tcPr>
            <w:tcW w:w="597" w:type="pct"/>
            <w:vAlign w:val="center"/>
          </w:tcPr>
          <w:p w14:paraId="39240368">
            <w:pPr>
              <w:spacing w:line="360" w:lineRule="auto"/>
              <w:jc w:val="center"/>
              <w:rPr>
                <w:rFonts w:hint="eastAsia" w:ascii="仿宋" w:hAnsi="仿宋" w:eastAsia="仿宋" w:cs="仿宋"/>
                <w:bCs/>
                <w:color w:val="auto"/>
                <w:szCs w:val="21"/>
                <w:highlight w:val="none"/>
                <w:shd w:val="clear" w:color="auto" w:fill="FFFFFF" w:themeFill="background1"/>
                <w:lang w:val="en-US" w:eastAsia="zh-CN"/>
              </w:rPr>
            </w:pPr>
          </w:p>
        </w:tc>
        <w:tc>
          <w:tcPr>
            <w:tcW w:w="661" w:type="pct"/>
            <w:vAlign w:val="center"/>
          </w:tcPr>
          <w:p w14:paraId="5F70FC54">
            <w:pPr>
              <w:spacing w:line="360" w:lineRule="auto"/>
              <w:jc w:val="center"/>
              <w:rPr>
                <w:rFonts w:hint="eastAsia" w:ascii="仿宋" w:hAnsi="仿宋" w:eastAsia="仿宋" w:cs="仿宋"/>
                <w:bCs/>
                <w:color w:val="auto"/>
                <w:szCs w:val="21"/>
                <w:highlight w:val="none"/>
                <w:shd w:val="clear" w:color="auto" w:fill="FFFFFF" w:themeFill="background1"/>
                <w:lang w:val="en-US" w:eastAsia="zh-CN"/>
              </w:rPr>
            </w:pPr>
          </w:p>
        </w:tc>
        <w:tc>
          <w:tcPr>
            <w:tcW w:w="792" w:type="pct"/>
            <w:vAlign w:val="center"/>
          </w:tcPr>
          <w:p w14:paraId="288A5A03">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749" w:type="pct"/>
            <w:vAlign w:val="center"/>
          </w:tcPr>
          <w:p w14:paraId="75E08847">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07F84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473" w:type="pct"/>
            <w:vAlign w:val="center"/>
          </w:tcPr>
          <w:p w14:paraId="143AA76C">
            <w:pPr>
              <w:spacing w:line="360" w:lineRule="auto"/>
              <w:jc w:val="center"/>
              <w:rPr>
                <w:rFonts w:hint="eastAsia" w:ascii="仿宋" w:hAnsi="仿宋" w:eastAsia="仿宋" w:cs="仿宋"/>
                <w:bCs/>
                <w:color w:val="auto"/>
                <w:szCs w:val="21"/>
                <w:highlight w:val="none"/>
                <w:shd w:val="clear" w:color="auto" w:fill="FFFFFF" w:themeFill="background1"/>
                <w:lang w:val="en-US" w:eastAsia="zh-CN"/>
              </w:rPr>
            </w:pPr>
            <w:r>
              <w:rPr>
                <w:rFonts w:hint="eastAsia" w:ascii="仿宋" w:hAnsi="仿宋" w:eastAsia="仿宋" w:cs="仿宋"/>
                <w:bCs/>
                <w:color w:val="auto"/>
                <w:szCs w:val="21"/>
                <w:highlight w:val="none"/>
                <w:shd w:val="clear" w:color="auto" w:fill="FFFFFF" w:themeFill="background1"/>
                <w:lang w:val="en-US" w:eastAsia="zh-CN"/>
              </w:rPr>
              <w:t>2</w:t>
            </w:r>
          </w:p>
        </w:tc>
        <w:tc>
          <w:tcPr>
            <w:tcW w:w="1725" w:type="pct"/>
            <w:vAlign w:val="center"/>
          </w:tcPr>
          <w:p w14:paraId="1CB2F8E3">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eastAsia" w:ascii="仿宋" w:hAnsi="仿宋" w:eastAsia="仿宋" w:cs="仿宋"/>
                <w:i w:val="0"/>
                <w:iCs w:val="0"/>
                <w:color w:val="auto"/>
                <w:kern w:val="0"/>
                <w:sz w:val="21"/>
                <w:szCs w:val="21"/>
                <w:highlight w:val="none"/>
                <w:u w:val="none"/>
                <w:lang w:val="en-US" w:eastAsia="zh-CN" w:bidi="ar"/>
              </w:rPr>
            </w:pPr>
          </w:p>
        </w:tc>
        <w:tc>
          <w:tcPr>
            <w:tcW w:w="597" w:type="pct"/>
            <w:vAlign w:val="center"/>
          </w:tcPr>
          <w:p w14:paraId="3B9EDD5F">
            <w:pPr>
              <w:spacing w:line="360" w:lineRule="auto"/>
              <w:jc w:val="center"/>
              <w:rPr>
                <w:rFonts w:hint="eastAsia" w:ascii="仿宋" w:hAnsi="仿宋" w:eastAsia="仿宋" w:cs="仿宋"/>
                <w:bCs/>
                <w:color w:val="auto"/>
                <w:szCs w:val="21"/>
                <w:highlight w:val="none"/>
                <w:shd w:val="clear" w:color="auto" w:fill="FFFFFF" w:themeFill="background1"/>
                <w:lang w:val="en-US" w:eastAsia="zh-CN"/>
              </w:rPr>
            </w:pPr>
          </w:p>
        </w:tc>
        <w:tc>
          <w:tcPr>
            <w:tcW w:w="661" w:type="pct"/>
            <w:vAlign w:val="center"/>
          </w:tcPr>
          <w:p w14:paraId="1D855FBA">
            <w:pPr>
              <w:spacing w:line="360" w:lineRule="auto"/>
              <w:jc w:val="center"/>
              <w:rPr>
                <w:rFonts w:hint="eastAsia" w:ascii="仿宋" w:hAnsi="仿宋" w:eastAsia="仿宋" w:cs="仿宋"/>
                <w:bCs/>
                <w:color w:val="auto"/>
                <w:szCs w:val="21"/>
                <w:highlight w:val="none"/>
                <w:shd w:val="clear" w:color="auto" w:fill="FFFFFF" w:themeFill="background1"/>
                <w:lang w:val="en-US" w:eastAsia="zh-CN"/>
              </w:rPr>
            </w:pPr>
          </w:p>
        </w:tc>
        <w:tc>
          <w:tcPr>
            <w:tcW w:w="792" w:type="pct"/>
            <w:vAlign w:val="center"/>
          </w:tcPr>
          <w:p w14:paraId="5EBA585E">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749" w:type="pct"/>
            <w:vAlign w:val="center"/>
          </w:tcPr>
          <w:p w14:paraId="1B40821F">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5241A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473" w:type="pct"/>
            <w:vAlign w:val="center"/>
          </w:tcPr>
          <w:p w14:paraId="5415EB4C">
            <w:pPr>
              <w:spacing w:line="360" w:lineRule="auto"/>
              <w:jc w:val="center"/>
              <w:rPr>
                <w:rFonts w:hint="eastAsia" w:ascii="仿宋" w:hAnsi="仿宋" w:eastAsia="仿宋" w:cs="仿宋"/>
                <w:bCs/>
                <w:color w:val="auto"/>
                <w:szCs w:val="21"/>
                <w:highlight w:val="none"/>
                <w:shd w:val="clear" w:color="auto" w:fill="FFFFFF" w:themeFill="background1"/>
                <w:lang w:val="en-US" w:eastAsia="zh-CN"/>
              </w:rPr>
            </w:pPr>
            <w:r>
              <w:rPr>
                <w:rFonts w:hint="eastAsia" w:ascii="仿宋" w:hAnsi="仿宋" w:eastAsia="仿宋" w:cs="仿宋"/>
                <w:bCs/>
                <w:color w:val="auto"/>
                <w:szCs w:val="21"/>
                <w:highlight w:val="none"/>
                <w:shd w:val="clear" w:color="auto" w:fill="FFFFFF" w:themeFill="background1"/>
                <w:lang w:val="en-US" w:eastAsia="zh-CN"/>
              </w:rPr>
              <w:t>3</w:t>
            </w:r>
          </w:p>
        </w:tc>
        <w:tc>
          <w:tcPr>
            <w:tcW w:w="1725" w:type="pct"/>
            <w:vAlign w:val="center"/>
          </w:tcPr>
          <w:p w14:paraId="118F87F0">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eastAsia" w:ascii="仿宋" w:hAnsi="仿宋" w:eastAsia="仿宋" w:cs="仿宋"/>
                <w:i w:val="0"/>
                <w:iCs w:val="0"/>
                <w:color w:val="auto"/>
                <w:kern w:val="0"/>
                <w:sz w:val="21"/>
                <w:szCs w:val="21"/>
                <w:highlight w:val="none"/>
                <w:u w:val="none"/>
                <w:lang w:val="en-US" w:eastAsia="zh-CN" w:bidi="ar"/>
              </w:rPr>
            </w:pPr>
          </w:p>
        </w:tc>
        <w:tc>
          <w:tcPr>
            <w:tcW w:w="597" w:type="pct"/>
            <w:vAlign w:val="center"/>
          </w:tcPr>
          <w:p w14:paraId="0E7EF282">
            <w:pPr>
              <w:spacing w:line="360" w:lineRule="auto"/>
              <w:jc w:val="center"/>
              <w:rPr>
                <w:rFonts w:hint="eastAsia" w:ascii="仿宋" w:hAnsi="仿宋" w:eastAsia="仿宋" w:cs="仿宋"/>
                <w:bCs/>
                <w:color w:val="auto"/>
                <w:szCs w:val="21"/>
                <w:highlight w:val="none"/>
                <w:shd w:val="clear" w:color="auto" w:fill="FFFFFF" w:themeFill="background1"/>
                <w:lang w:val="en-US" w:eastAsia="zh-CN"/>
              </w:rPr>
            </w:pPr>
          </w:p>
        </w:tc>
        <w:tc>
          <w:tcPr>
            <w:tcW w:w="661" w:type="pct"/>
            <w:vAlign w:val="center"/>
          </w:tcPr>
          <w:p w14:paraId="4A4484C2">
            <w:pPr>
              <w:spacing w:line="360" w:lineRule="auto"/>
              <w:jc w:val="center"/>
              <w:rPr>
                <w:rFonts w:hint="eastAsia" w:ascii="仿宋" w:hAnsi="仿宋" w:eastAsia="仿宋" w:cs="仿宋"/>
                <w:bCs/>
                <w:color w:val="auto"/>
                <w:szCs w:val="21"/>
                <w:highlight w:val="none"/>
                <w:shd w:val="clear" w:color="auto" w:fill="FFFFFF" w:themeFill="background1"/>
                <w:lang w:val="en-US" w:eastAsia="zh-CN"/>
              </w:rPr>
            </w:pPr>
          </w:p>
        </w:tc>
        <w:tc>
          <w:tcPr>
            <w:tcW w:w="792" w:type="pct"/>
            <w:vAlign w:val="center"/>
          </w:tcPr>
          <w:p w14:paraId="16DC4BC9">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749" w:type="pct"/>
            <w:vAlign w:val="center"/>
          </w:tcPr>
          <w:p w14:paraId="10B13BD0">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46058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473" w:type="pct"/>
            <w:vAlign w:val="center"/>
          </w:tcPr>
          <w:p w14:paraId="497E8C86">
            <w:pPr>
              <w:spacing w:line="360" w:lineRule="auto"/>
              <w:jc w:val="center"/>
              <w:rPr>
                <w:rFonts w:hint="eastAsia" w:ascii="仿宋" w:hAnsi="仿宋" w:eastAsia="仿宋" w:cs="仿宋"/>
                <w:bCs/>
                <w:color w:val="auto"/>
                <w:szCs w:val="21"/>
                <w:highlight w:val="none"/>
                <w:shd w:val="clear" w:color="auto" w:fill="FFFFFF" w:themeFill="background1"/>
                <w:lang w:val="en-US" w:eastAsia="zh-CN"/>
              </w:rPr>
            </w:pPr>
            <w:r>
              <w:rPr>
                <w:rFonts w:hint="eastAsia" w:ascii="仿宋" w:hAnsi="仿宋" w:eastAsia="仿宋" w:cs="仿宋"/>
                <w:bCs/>
                <w:color w:val="auto"/>
                <w:szCs w:val="21"/>
                <w:highlight w:val="none"/>
                <w:shd w:val="clear" w:color="auto" w:fill="FFFFFF" w:themeFill="background1"/>
                <w:lang w:val="en-US" w:eastAsia="zh-CN"/>
              </w:rPr>
              <w:t>……</w:t>
            </w:r>
          </w:p>
        </w:tc>
        <w:tc>
          <w:tcPr>
            <w:tcW w:w="1725" w:type="pct"/>
            <w:vAlign w:val="center"/>
          </w:tcPr>
          <w:p w14:paraId="6E94453B">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eastAsia" w:ascii="仿宋" w:hAnsi="仿宋" w:eastAsia="仿宋" w:cs="仿宋"/>
                <w:i w:val="0"/>
                <w:iCs w:val="0"/>
                <w:color w:val="auto"/>
                <w:kern w:val="0"/>
                <w:sz w:val="21"/>
                <w:szCs w:val="21"/>
                <w:highlight w:val="none"/>
                <w:u w:val="none"/>
                <w:lang w:val="en-US" w:eastAsia="zh-CN" w:bidi="ar"/>
              </w:rPr>
            </w:pPr>
          </w:p>
        </w:tc>
        <w:tc>
          <w:tcPr>
            <w:tcW w:w="597" w:type="pct"/>
            <w:vAlign w:val="center"/>
          </w:tcPr>
          <w:p w14:paraId="25A8687B">
            <w:pPr>
              <w:spacing w:line="360" w:lineRule="auto"/>
              <w:jc w:val="center"/>
              <w:rPr>
                <w:rFonts w:hint="eastAsia" w:ascii="仿宋" w:hAnsi="仿宋" w:eastAsia="仿宋" w:cs="仿宋"/>
                <w:bCs/>
                <w:color w:val="auto"/>
                <w:szCs w:val="21"/>
                <w:highlight w:val="none"/>
                <w:shd w:val="clear" w:color="auto" w:fill="FFFFFF" w:themeFill="background1"/>
                <w:lang w:val="en-US" w:eastAsia="zh-CN"/>
              </w:rPr>
            </w:pPr>
          </w:p>
        </w:tc>
        <w:tc>
          <w:tcPr>
            <w:tcW w:w="661" w:type="pct"/>
            <w:vAlign w:val="center"/>
          </w:tcPr>
          <w:p w14:paraId="1E02A034">
            <w:pPr>
              <w:spacing w:line="360" w:lineRule="auto"/>
              <w:jc w:val="center"/>
              <w:rPr>
                <w:rFonts w:hint="eastAsia" w:ascii="仿宋" w:hAnsi="仿宋" w:eastAsia="仿宋" w:cs="仿宋"/>
                <w:bCs/>
                <w:color w:val="auto"/>
                <w:szCs w:val="21"/>
                <w:highlight w:val="none"/>
                <w:shd w:val="clear" w:color="auto" w:fill="FFFFFF" w:themeFill="background1"/>
                <w:lang w:val="en-US" w:eastAsia="zh-CN"/>
              </w:rPr>
            </w:pPr>
          </w:p>
        </w:tc>
        <w:tc>
          <w:tcPr>
            <w:tcW w:w="792" w:type="pct"/>
            <w:vAlign w:val="center"/>
          </w:tcPr>
          <w:p w14:paraId="4DC4F281">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749" w:type="pct"/>
            <w:vAlign w:val="center"/>
          </w:tcPr>
          <w:p w14:paraId="770E419B">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722F5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3458" w:type="pct"/>
            <w:gridSpan w:val="4"/>
            <w:shd w:val="clear" w:color="auto" w:fill="auto"/>
            <w:vAlign w:val="center"/>
          </w:tcPr>
          <w:p w14:paraId="299C34B4">
            <w:pPr>
              <w:spacing w:line="360" w:lineRule="auto"/>
              <w:jc w:val="center"/>
              <w:rPr>
                <w:rFonts w:hint="eastAsia" w:ascii="仿宋" w:hAnsi="仿宋" w:eastAsia="仿宋" w:cs="仿宋"/>
                <w:bCs/>
                <w:color w:val="auto"/>
                <w:kern w:val="2"/>
                <w:sz w:val="21"/>
                <w:szCs w:val="21"/>
                <w:highlight w:val="none"/>
                <w:shd w:val="clear" w:color="auto" w:fill="FFFFFF" w:themeFill="background1"/>
                <w:lang w:val="en-US" w:eastAsia="zh-CN" w:bidi="ar-SA"/>
              </w:rPr>
            </w:pPr>
            <w:r>
              <w:rPr>
                <w:rFonts w:hint="eastAsia" w:ascii="仿宋" w:hAnsi="仿宋" w:eastAsia="仿宋" w:cs="仿宋"/>
                <w:bCs/>
                <w:color w:val="auto"/>
                <w:kern w:val="2"/>
                <w:sz w:val="21"/>
                <w:szCs w:val="21"/>
                <w:highlight w:val="none"/>
                <w:shd w:val="clear" w:color="auto" w:fill="FFFFFF" w:themeFill="background1"/>
                <w:lang w:val="en-US" w:eastAsia="zh-CN" w:bidi="ar-SA"/>
              </w:rPr>
              <w:t>合计</w:t>
            </w:r>
            <w:r>
              <w:rPr>
                <w:rFonts w:hint="eastAsia" w:ascii="仿宋" w:hAnsi="仿宋" w:eastAsia="仿宋" w:cs="仿宋"/>
                <w:color w:val="auto"/>
                <w:szCs w:val="21"/>
                <w:highlight w:val="none"/>
                <w:shd w:val="clear" w:color="auto" w:fill="FFFFFF" w:themeFill="background1"/>
              </w:rPr>
              <w:t>（元）</w:t>
            </w:r>
          </w:p>
        </w:tc>
        <w:tc>
          <w:tcPr>
            <w:tcW w:w="792" w:type="pct"/>
            <w:vAlign w:val="center"/>
          </w:tcPr>
          <w:p w14:paraId="0BC8CD0E">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749" w:type="pct"/>
            <w:vAlign w:val="center"/>
          </w:tcPr>
          <w:p w14:paraId="78514F02">
            <w:pPr>
              <w:spacing w:line="360" w:lineRule="auto"/>
              <w:jc w:val="center"/>
              <w:rPr>
                <w:rFonts w:hint="eastAsia" w:ascii="仿宋" w:hAnsi="仿宋" w:eastAsia="仿宋" w:cs="仿宋"/>
                <w:b/>
                <w:bCs/>
                <w:color w:val="auto"/>
                <w:szCs w:val="21"/>
                <w:highlight w:val="none"/>
                <w:shd w:val="clear" w:color="auto" w:fill="FFFFFF" w:themeFill="background1"/>
              </w:rPr>
            </w:pPr>
          </w:p>
        </w:tc>
      </w:tr>
    </w:tbl>
    <w:p w14:paraId="25BCD7FC">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en-US" w:eastAsia="zh-CN"/>
        </w:rPr>
        <w:t>注：</w:t>
      </w:r>
      <w:r>
        <w:rPr>
          <w:rFonts w:hint="eastAsia" w:ascii="仿宋" w:hAnsi="仿宋" w:eastAsia="仿宋" w:cs="仿宋"/>
          <w:color w:val="auto"/>
          <w:kern w:val="0"/>
          <w:sz w:val="24"/>
          <w:szCs w:val="24"/>
          <w:highlight w:val="none"/>
        </w:rPr>
        <w:t>投标价格应包括投标人履行本项目合同（如果中标）所必须的所有成本费用和中标人应承担的一切税费；未列和没有填写的项目费用，采购人将视为已包括在投标价格中。</w:t>
      </w:r>
    </w:p>
    <w:p w14:paraId="5784A144">
      <w:pPr>
        <w:spacing w:line="360" w:lineRule="auto"/>
        <w:ind w:firstLine="480" w:firstLineChars="200"/>
        <w:jc w:val="left"/>
        <w:rPr>
          <w:rFonts w:hint="eastAsia" w:ascii="仿宋" w:hAnsi="仿宋" w:eastAsia="仿宋" w:cs="仿宋"/>
          <w:color w:val="auto"/>
          <w:kern w:val="0"/>
          <w:sz w:val="24"/>
          <w:szCs w:val="24"/>
          <w:highlight w:val="none"/>
        </w:rPr>
      </w:pPr>
    </w:p>
    <w:p w14:paraId="15810BE5">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1D0319D4">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5348AB4C">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rPr>
        <w:t>）</w:t>
      </w:r>
    </w:p>
    <w:p w14:paraId="7014EC4B">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1F3C989D">
      <w:pPr>
        <w:pStyle w:val="38"/>
        <w:rPr>
          <w:rFonts w:hint="eastAsia" w:ascii="仿宋" w:hAnsi="仿宋" w:eastAsia="仿宋" w:cs="仿宋"/>
          <w:color w:val="auto"/>
          <w:highlight w:val="none"/>
        </w:rPr>
      </w:pPr>
    </w:p>
    <w:p w14:paraId="6D911D9D">
      <w:pPr>
        <w:tabs>
          <w:tab w:val="center" w:pos="4832"/>
          <w:tab w:val="left" w:pos="7140"/>
        </w:tabs>
        <w:jc w:val="center"/>
        <w:outlineLvl w:val="1"/>
        <w:rPr>
          <w:rFonts w:hint="eastAsia" w:ascii="仿宋" w:hAnsi="仿宋" w:eastAsia="仿宋" w:cs="仿宋"/>
          <w:b/>
          <w:color w:val="auto"/>
          <w:sz w:val="24"/>
          <w:szCs w:val="24"/>
          <w:highlight w:val="none"/>
        </w:rPr>
      </w:pPr>
      <w:r>
        <w:rPr>
          <w:rFonts w:hint="eastAsia" w:ascii="仿宋" w:hAnsi="仿宋" w:eastAsia="仿宋" w:cs="仿宋"/>
          <w:color w:val="auto"/>
          <w:kern w:val="0"/>
          <w:sz w:val="24"/>
          <w:szCs w:val="24"/>
          <w:highlight w:val="none"/>
        </w:rPr>
        <w:br w:type="page"/>
      </w:r>
      <w:bookmarkStart w:id="122" w:name="_Toc17089"/>
      <w:bookmarkStart w:id="123" w:name="_Toc109941768"/>
      <w:bookmarkStart w:id="124" w:name="_Toc110707968"/>
      <w:bookmarkStart w:id="125" w:name="_Toc130252618"/>
      <w:bookmarkStart w:id="126" w:name="_Toc30967"/>
      <w:bookmarkStart w:id="127" w:name="_Toc30686"/>
      <w:bookmarkStart w:id="128" w:name="_Toc3062"/>
      <w:bookmarkStart w:id="129" w:name="_Toc109921161"/>
      <w:r>
        <w:rPr>
          <w:rFonts w:hint="eastAsia" w:ascii="仿宋" w:hAnsi="仿宋" w:eastAsia="仿宋" w:cs="仿宋"/>
          <w:b/>
          <w:color w:val="auto"/>
          <w:sz w:val="24"/>
          <w:szCs w:val="24"/>
          <w:highlight w:val="none"/>
          <w:lang w:val="en-US" w:eastAsia="zh-CN"/>
        </w:rPr>
        <w:t>四</w:t>
      </w:r>
      <w:r>
        <w:rPr>
          <w:rFonts w:hint="eastAsia" w:ascii="仿宋" w:hAnsi="仿宋" w:eastAsia="仿宋" w:cs="仿宋"/>
          <w:b/>
          <w:color w:val="auto"/>
          <w:sz w:val="24"/>
          <w:szCs w:val="24"/>
          <w:highlight w:val="none"/>
        </w:rPr>
        <w:t>、商务条款偏离表</w:t>
      </w:r>
      <w:bookmarkEnd w:id="122"/>
      <w:bookmarkEnd w:id="123"/>
      <w:bookmarkEnd w:id="124"/>
      <w:bookmarkEnd w:id="125"/>
      <w:bookmarkEnd w:id="126"/>
      <w:bookmarkEnd w:id="127"/>
      <w:bookmarkEnd w:id="128"/>
      <w:bookmarkEnd w:id="129"/>
    </w:p>
    <w:p w14:paraId="595A2A45">
      <w:pPr>
        <w:rPr>
          <w:rFonts w:hint="eastAsia" w:ascii="仿宋" w:hAnsi="仿宋" w:eastAsia="仿宋" w:cs="仿宋"/>
          <w:color w:val="auto"/>
          <w:highlight w:val="none"/>
        </w:rPr>
      </w:pPr>
    </w:p>
    <w:tbl>
      <w:tblPr>
        <w:tblStyle w:val="39"/>
        <w:tblW w:w="90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6"/>
        <w:gridCol w:w="2070"/>
        <w:gridCol w:w="2052"/>
        <w:gridCol w:w="2126"/>
        <w:gridCol w:w="1985"/>
      </w:tblGrid>
      <w:tr w14:paraId="5E778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06" w:type="dxa"/>
            <w:vAlign w:val="center"/>
          </w:tcPr>
          <w:p w14:paraId="0EDC297E">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2070" w:type="dxa"/>
            <w:vAlign w:val="center"/>
          </w:tcPr>
          <w:p w14:paraId="2119BC9D">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招标文件条目号</w:t>
            </w:r>
          </w:p>
        </w:tc>
        <w:tc>
          <w:tcPr>
            <w:tcW w:w="2052" w:type="dxa"/>
            <w:vAlign w:val="center"/>
          </w:tcPr>
          <w:p w14:paraId="76CD7085">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招标文件的商务条款</w:t>
            </w:r>
          </w:p>
        </w:tc>
        <w:tc>
          <w:tcPr>
            <w:tcW w:w="2126" w:type="dxa"/>
            <w:vAlign w:val="center"/>
          </w:tcPr>
          <w:p w14:paraId="23EDA3E6">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投标文件的商务条款</w:t>
            </w:r>
          </w:p>
        </w:tc>
        <w:tc>
          <w:tcPr>
            <w:tcW w:w="1985" w:type="dxa"/>
            <w:vAlign w:val="center"/>
          </w:tcPr>
          <w:p w14:paraId="4D1857E2">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说明</w:t>
            </w:r>
          </w:p>
        </w:tc>
      </w:tr>
      <w:tr w14:paraId="4F74E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611A3562">
            <w:pPr>
              <w:jc w:val="center"/>
              <w:rPr>
                <w:rFonts w:hint="eastAsia" w:ascii="仿宋" w:hAnsi="仿宋" w:eastAsia="仿宋" w:cs="仿宋"/>
                <w:b/>
                <w:bCs/>
                <w:color w:val="auto"/>
                <w:sz w:val="24"/>
                <w:szCs w:val="24"/>
                <w:highlight w:val="none"/>
              </w:rPr>
            </w:pPr>
          </w:p>
        </w:tc>
        <w:tc>
          <w:tcPr>
            <w:tcW w:w="2070" w:type="dxa"/>
          </w:tcPr>
          <w:p w14:paraId="06973D6E">
            <w:pPr>
              <w:jc w:val="center"/>
              <w:rPr>
                <w:rFonts w:hint="eastAsia" w:ascii="仿宋" w:hAnsi="仿宋" w:eastAsia="仿宋" w:cs="仿宋"/>
                <w:b/>
                <w:bCs/>
                <w:color w:val="auto"/>
                <w:sz w:val="24"/>
                <w:szCs w:val="24"/>
                <w:highlight w:val="none"/>
              </w:rPr>
            </w:pPr>
          </w:p>
        </w:tc>
        <w:tc>
          <w:tcPr>
            <w:tcW w:w="2052" w:type="dxa"/>
          </w:tcPr>
          <w:p w14:paraId="4FC4980A">
            <w:pPr>
              <w:jc w:val="center"/>
              <w:rPr>
                <w:rFonts w:hint="eastAsia" w:ascii="仿宋" w:hAnsi="仿宋" w:eastAsia="仿宋" w:cs="仿宋"/>
                <w:b/>
                <w:bCs/>
                <w:color w:val="auto"/>
                <w:sz w:val="24"/>
                <w:szCs w:val="24"/>
                <w:highlight w:val="none"/>
              </w:rPr>
            </w:pPr>
          </w:p>
        </w:tc>
        <w:tc>
          <w:tcPr>
            <w:tcW w:w="2126" w:type="dxa"/>
          </w:tcPr>
          <w:p w14:paraId="5D036468">
            <w:pPr>
              <w:jc w:val="center"/>
              <w:rPr>
                <w:rFonts w:hint="eastAsia" w:ascii="仿宋" w:hAnsi="仿宋" w:eastAsia="仿宋" w:cs="仿宋"/>
                <w:b/>
                <w:bCs/>
                <w:color w:val="auto"/>
                <w:sz w:val="24"/>
                <w:szCs w:val="24"/>
                <w:highlight w:val="none"/>
              </w:rPr>
            </w:pPr>
          </w:p>
        </w:tc>
        <w:tc>
          <w:tcPr>
            <w:tcW w:w="1985" w:type="dxa"/>
          </w:tcPr>
          <w:p w14:paraId="0C3A4791">
            <w:pPr>
              <w:jc w:val="center"/>
              <w:rPr>
                <w:rFonts w:hint="eastAsia" w:ascii="仿宋" w:hAnsi="仿宋" w:eastAsia="仿宋" w:cs="仿宋"/>
                <w:b/>
                <w:bCs/>
                <w:color w:val="auto"/>
                <w:sz w:val="24"/>
                <w:szCs w:val="24"/>
                <w:highlight w:val="none"/>
              </w:rPr>
            </w:pPr>
          </w:p>
        </w:tc>
      </w:tr>
      <w:tr w14:paraId="7C00F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35BAD888">
            <w:pPr>
              <w:jc w:val="center"/>
              <w:rPr>
                <w:rFonts w:hint="eastAsia" w:ascii="仿宋" w:hAnsi="仿宋" w:eastAsia="仿宋" w:cs="仿宋"/>
                <w:b/>
                <w:bCs/>
                <w:color w:val="auto"/>
                <w:sz w:val="24"/>
                <w:szCs w:val="24"/>
                <w:highlight w:val="none"/>
              </w:rPr>
            </w:pPr>
          </w:p>
        </w:tc>
        <w:tc>
          <w:tcPr>
            <w:tcW w:w="2070" w:type="dxa"/>
          </w:tcPr>
          <w:p w14:paraId="7FDE6B71">
            <w:pPr>
              <w:jc w:val="center"/>
              <w:rPr>
                <w:rFonts w:hint="eastAsia" w:ascii="仿宋" w:hAnsi="仿宋" w:eastAsia="仿宋" w:cs="仿宋"/>
                <w:b/>
                <w:bCs/>
                <w:color w:val="auto"/>
                <w:sz w:val="24"/>
                <w:szCs w:val="24"/>
                <w:highlight w:val="none"/>
              </w:rPr>
            </w:pPr>
          </w:p>
        </w:tc>
        <w:tc>
          <w:tcPr>
            <w:tcW w:w="2052" w:type="dxa"/>
          </w:tcPr>
          <w:p w14:paraId="54B37094">
            <w:pPr>
              <w:jc w:val="center"/>
              <w:rPr>
                <w:rFonts w:hint="eastAsia" w:ascii="仿宋" w:hAnsi="仿宋" w:eastAsia="仿宋" w:cs="仿宋"/>
                <w:b/>
                <w:bCs/>
                <w:color w:val="auto"/>
                <w:sz w:val="24"/>
                <w:szCs w:val="24"/>
                <w:highlight w:val="none"/>
              </w:rPr>
            </w:pPr>
          </w:p>
        </w:tc>
        <w:tc>
          <w:tcPr>
            <w:tcW w:w="2126" w:type="dxa"/>
          </w:tcPr>
          <w:p w14:paraId="309881D9">
            <w:pPr>
              <w:jc w:val="center"/>
              <w:rPr>
                <w:rFonts w:hint="eastAsia" w:ascii="仿宋" w:hAnsi="仿宋" w:eastAsia="仿宋" w:cs="仿宋"/>
                <w:b/>
                <w:bCs/>
                <w:color w:val="auto"/>
                <w:sz w:val="24"/>
                <w:szCs w:val="24"/>
                <w:highlight w:val="none"/>
              </w:rPr>
            </w:pPr>
          </w:p>
        </w:tc>
        <w:tc>
          <w:tcPr>
            <w:tcW w:w="1985" w:type="dxa"/>
          </w:tcPr>
          <w:p w14:paraId="1683516C">
            <w:pPr>
              <w:jc w:val="center"/>
              <w:rPr>
                <w:rFonts w:hint="eastAsia" w:ascii="仿宋" w:hAnsi="仿宋" w:eastAsia="仿宋" w:cs="仿宋"/>
                <w:b/>
                <w:bCs/>
                <w:color w:val="auto"/>
                <w:sz w:val="24"/>
                <w:szCs w:val="24"/>
                <w:highlight w:val="none"/>
              </w:rPr>
            </w:pPr>
          </w:p>
        </w:tc>
      </w:tr>
      <w:tr w14:paraId="61836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75C76840">
            <w:pPr>
              <w:jc w:val="center"/>
              <w:rPr>
                <w:rFonts w:hint="eastAsia" w:ascii="仿宋" w:hAnsi="仿宋" w:eastAsia="仿宋" w:cs="仿宋"/>
                <w:b/>
                <w:bCs/>
                <w:color w:val="auto"/>
                <w:sz w:val="24"/>
                <w:szCs w:val="24"/>
                <w:highlight w:val="none"/>
              </w:rPr>
            </w:pPr>
          </w:p>
        </w:tc>
        <w:tc>
          <w:tcPr>
            <w:tcW w:w="2070" w:type="dxa"/>
          </w:tcPr>
          <w:p w14:paraId="0C085E03">
            <w:pPr>
              <w:jc w:val="center"/>
              <w:rPr>
                <w:rFonts w:hint="eastAsia" w:ascii="仿宋" w:hAnsi="仿宋" w:eastAsia="仿宋" w:cs="仿宋"/>
                <w:b/>
                <w:bCs/>
                <w:color w:val="auto"/>
                <w:sz w:val="24"/>
                <w:szCs w:val="24"/>
                <w:highlight w:val="none"/>
              </w:rPr>
            </w:pPr>
          </w:p>
        </w:tc>
        <w:tc>
          <w:tcPr>
            <w:tcW w:w="2052" w:type="dxa"/>
          </w:tcPr>
          <w:p w14:paraId="44481189">
            <w:pPr>
              <w:jc w:val="center"/>
              <w:rPr>
                <w:rFonts w:hint="eastAsia" w:ascii="仿宋" w:hAnsi="仿宋" w:eastAsia="仿宋" w:cs="仿宋"/>
                <w:b/>
                <w:bCs/>
                <w:color w:val="auto"/>
                <w:sz w:val="24"/>
                <w:szCs w:val="24"/>
                <w:highlight w:val="none"/>
              </w:rPr>
            </w:pPr>
          </w:p>
        </w:tc>
        <w:tc>
          <w:tcPr>
            <w:tcW w:w="2126" w:type="dxa"/>
          </w:tcPr>
          <w:p w14:paraId="20E19874">
            <w:pPr>
              <w:jc w:val="center"/>
              <w:rPr>
                <w:rFonts w:hint="eastAsia" w:ascii="仿宋" w:hAnsi="仿宋" w:eastAsia="仿宋" w:cs="仿宋"/>
                <w:b/>
                <w:bCs/>
                <w:color w:val="auto"/>
                <w:sz w:val="24"/>
                <w:szCs w:val="24"/>
                <w:highlight w:val="none"/>
              </w:rPr>
            </w:pPr>
          </w:p>
        </w:tc>
        <w:tc>
          <w:tcPr>
            <w:tcW w:w="1985" w:type="dxa"/>
          </w:tcPr>
          <w:p w14:paraId="2F1C6066">
            <w:pPr>
              <w:jc w:val="center"/>
              <w:rPr>
                <w:rFonts w:hint="eastAsia" w:ascii="仿宋" w:hAnsi="仿宋" w:eastAsia="仿宋" w:cs="仿宋"/>
                <w:b/>
                <w:bCs/>
                <w:color w:val="auto"/>
                <w:sz w:val="24"/>
                <w:szCs w:val="24"/>
                <w:highlight w:val="none"/>
              </w:rPr>
            </w:pPr>
          </w:p>
        </w:tc>
      </w:tr>
      <w:tr w14:paraId="4D3C6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2BC0526C">
            <w:pPr>
              <w:jc w:val="center"/>
              <w:rPr>
                <w:rFonts w:hint="eastAsia" w:ascii="仿宋" w:hAnsi="仿宋" w:eastAsia="仿宋" w:cs="仿宋"/>
                <w:b/>
                <w:bCs/>
                <w:color w:val="auto"/>
                <w:sz w:val="24"/>
                <w:szCs w:val="24"/>
                <w:highlight w:val="none"/>
              </w:rPr>
            </w:pPr>
          </w:p>
        </w:tc>
        <w:tc>
          <w:tcPr>
            <w:tcW w:w="2070" w:type="dxa"/>
          </w:tcPr>
          <w:p w14:paraId="79E73FA0">
            <w:pPr>
              <w:jc w:val="center"/>
              <w:rPr>
                <w:rFonts w:hint="eastAsia" w:ascii="仿宋" w:hAnsi="仿宋" w:eastAsia="仿宋" w:cs="仿宋"/>
                <w:b/>
                <w:bCs/>
                <w:color w:val="auto"/>
                <w:sz w:val="24"/>
                <w:szCs w:val="24"/>
                <w:highlight w:val="none"/>
              </w:rPr>
            </w:pPr>
          </w:p>
        </w:tc>
        <w:tc>
          <w:tcPr>
            <w:tcW w:w="2052" w:type="dxa"/>
          </w:tcPr>
          <w:p w14:paraId="3C76FEF8">
            <w:pPr>
              <w:jc w:val="center"/>
              <w:rPr>
                <w:rFonts w:hint="eastAsia" w:ascii="仿宋" w:hAnsi="仿宋" w:eastAsia="仿宋" w:cs="仿宋"/>
                <w:b/>
                <w:bCs/>
                <w:color w:val="auto"/>
                <w:sz w:val="24"/>
                <w:szCs w:val="24"/>
                <w:highlight w:val="none"/>
              </w:rPr>
            </w:pPr>
          </w:p>
        </w:tc>
        <w:tc>
          <w:tcPr>
            <w:tcW w:w="2126" w:type="dxa"/>
          </w:tcPr>
          <w:p w14:paraId="31B0366B">
            <w:pPr>
              <w:jc w:val="center"/>
              <w:rPr>
                <w:rFonts w:hint="eastAsia" w:ascii="仿宋" w:hAnsi="仿宋" w:eastAsia="仿宋" w:cs="仿宋"/>
                <w:b/>
                <w:bCs/>
                <w:color w:val="auto"/>
                <w:sz w:val="24"/>
                <w:szCs w:val="24"/>
                <w:highlight w:val="none"/>
              </w:rPr>
            </w:pPr>
          </w:p>
        </w:tc>
        <w:tc>
          <w:tcPr>
            <w:tcW w:w="1985" w:type="dxa"/>
          </w:tcPr>
          <w:p w14:paraId="6DC8FB88">
            <w:pPr>
              <w:jc w:val="center"/>
              <w:rPr>
                <w:rFonts w:hint="eastAsia" w:ascii="仿宋" w:hAnsi="仿宋" w:eastAsia="仿宋" w:cs="仿宋"/>
                <w:b/>
                <w:bCs/>
                <w:color w:val="auto"/>
                <w:sz w:val="24"/>
                <w:szCs w:val="24"/>
                <w:highlight w:val="none"/>
              </w:rPr>
            </w:pPr>
          </w:p>
        </w:tc>
      </w:tr>
      <w:tr w14:paraId="328DD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410F1A90">
            <w:pPr>
              <w:jc w:val="center"/>
              <w:rPr>
                <w:rFonts w:hint="eastAsia" w:ascii="仿宋" w:hAnsi="仿宋" w:eastAsia="仿宋" w:cs="仿宋"/>
                <w:b/>
                <w:bCs/>
                <w:color w:val="auto"/>
                <w:sz w:val="24"/>
                <w:szCs w:val="24"/>
                <w:highlight w:val="none"/>
              </w:rPr>
            </w:pPr>
          </w:p>
        </w:tc>
        <w:tc>
          <w:tcPr>
            <w:tcW w:w="2070" w:type="dxa"/>
          </w:tcPr>
          <w:p w14:paraId="26941949">
            <w:pPr>
              <w:jc w:val="center"/>
              <w:rPr>
                <w:rFonts w:hint="eastAsia" w:ascii="仿宋" w:hAnsi="仿宋" w:eastAsia="仿宋" w:cs="仿宋"/>
                <w:b/>
                <w:bCs/>
                <w:color w:val="auto"/>
                <w:sz w:val="24"/>
                <w:szCs w:val="24"/>
                <w:highlight w:val="none"/>
              </w:rPr>
            </w:pPr>
          </w:p>
        </w:tc>
        <w:tc>
          <w:tcPr>
            <w:tcW w:w="2052" w:type="dxa"/>
          </w:tcPr>
          <w:p w14:paraId="5FF4CBEE">
            <w:pPr>
              <w:jc w:val="center"/>
              <w:rPr>
                <w:rFonts w:hint="eastAsia" w:ascii="仿宋" w:hAnsi="仿宋" w:eastAsia="仿宋" w:cs="仿宋"/>
                <w:b/>
                <w:bCs/>
                <w:color w:val="auto"/>
                <w:sz w:val="24"/>
                <w:szCs w:val="24"/>
                <w:highlight w:val="none"/>
              </w:rPr>
            </w:pPr>
          </w:p>
        </w:tc>
        <w:tc>
          <w:tcPr>
            <w:tcW w:w="2126" w:type="dxa"/>
          </w:tcPr>
          <w:p w14:paraId="1FD73120">
            <w:pPr>
              <w:jc w:val="center"/>
              <w:rPr>
                <w:rFonts w:hint="eastAsia" w:ascii="仿宋" w:hAnsi="仿宋" w:eastAsia="仿宋" w:cs="仿宋"/>
                <w:b/>
                <w:bCs/>
                <w:color w:val="auto"/>
                <w:sz w:val="24"/>
                <w:szCs w:val="24"/>
                <w:highlight w:val="none"/>
              </w:rPr>
            </w:pPr>
          </w:p>
        </w:tc>
        <w:tc>
          <w:tcPr>
            <w:tcW w:w="1985" w:type="dxa"/>
          </w:tcPr>
          <w:p w14:paraId="446D75D1">
            <w:pPr>
              <w:jc w:val="center"/>
              <w:rPr>
                <w:rFonts w:hint="eastAsia" w:ascii="仿宋" w:hAnsi="仿宋" w:eastAsia="仿宋" w:cs="仿宋"/>
                <w:b/>
                <w:bCs/>
                <w:color w:val="auto"/>
                <w:sz w:val="24"/>
                <w:szCs w:val="24"/>
                <w:highlight w:val="none"/>
              </w:rPr>
            </w:pPr>
          </w:p>
        </w:tc>
      </w:tr>
    </w:tbl>
    <w:p w14:paraId="570F3457">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注：投标人商务条款有差异的，则在此表中列明实际响应的内容提要并加以说明，以便查对。无差异说明表示完全响应。</w:t>
      </w:r>
    </w:p>
    <w:p w14:paraId="126F489F">
      <w:pPr>
        <w:spacing w:line="360" w:lineRule="auto"/>
        <w:jc w:val="left"/>
        <w:rPr>
          <w:rFonts w:hint="eastAsia" w:ascii="仿宋" w:hAnsi="仿宋" w:eastAsia="仿宋" w:cs="仿宋"/>
          <w:color w:val="auto"/>
          <w:sz w:val="24"/>
          <w:szCs w:val="24"/>
          <w:highlight w:val="none"/>
        </w:rPr>
      </w:pPr>
    </w:p>
    <w:p w14:paraId="1A4A7B78">
      <w:pPr>
        <w:spacing w:line="360" w:lineRule="auto"/>
        <w:jc w:val="left"/>
        <w:rPr>
          <w:rFonts w:hint="eastAsia" w:ascii="仿宋" w:hAnsi="仿宋" w:eastAsia="仿宋" w:cs="仿宋"/>
          <w:color w:val="auto"/>
          <w:sz w:val="24"/>
          <w:szCs w:val="24"/>
          <w:highlight w:val="none"/>
        </w:rPr>
      </w:pPr>
    </w:p>
    <w:p w14:paraId="155A48A4">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6D9B28F0">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5CB2C0C3">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rPr>
        <w:t>）</w:t>
      </w:r>
    </w:p>
    <w:p w14:paraId="03D70E3D">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2FEF5FFA">
      <w:pPr>
        <w:rPr>
          <w:rFonts w:hint="eastAsia" w:ascii="仿宋" w:hAnsi="仿宋" w:eastAsia="仿宋" w:cs="仿宋"/>
          <w:color w:val="auto"/>
          <w:sz w:val="24"/>
          <w:szCs w:val="24"/>
          <w:highlight w:val="none"/>
        </w:rPr>
      </w:pPr>
      <w:r>
        <w:rPr>
          <w:rFonts w:hint="eastAsia" w:ascii="仿宋" w:hAnsi="仿宋" w:eastAsia="仿宋" w:cs="仿宋"/>
          <w:b/>
          <w:bCs/>
          <w:color w:val="auto"/>
          <w:kern w:val="36"/>
          <w:sz w:val="24"/>
          <w:szCs w:val="24"/>
          <w:highlight w:val="none"/>
        </w:rPr>
        <w:br w:type="page"/>
      </w:r>
    </w:p>
    <w:p w14:paraId="3075B71F">
      <w:pPr>
        <w:widowControl/>
        <w:jc w:val="left"/>
        <w:rPr>
          <w:rFonts w:hint="eastAsia" w:ascii="仿宋" w:hAnsi="仿宋" w:eastAsia="仿宋" w:cs="仿宋"/>
          <w:color w:val="auto"/>
          <w:sz w:val="24"/>
          <w:szCs w:val="24"/>
          <w:highlight w:val="none"/>
        </w:rPr>
      </w:pPr>
    </w:p>
    <w:p w14:paraId="0EF4A20F">
      <w:pPr>
        <w:tabs>
          <w:tab w:val="center" w:pos="4832"/>
          <w:tab w:val="left" w:pos="7140"/>
        </w:tabs>
        <w:jc w:val="center"/>
        <w:outlineLvl w:val="1"/>
        <w:rPr>
          <w:rFonts w:hint="eastAsia" w:ascii="仿宋" w:hAnsi="仿宋" w:eastAsia="仿宋" w:cs="仿宋"/>
          <w:b/>
          <w:color w:val="auto"/>
          <w:sz w:val="24"/>
          <w:szCs w:val="24"/>
          <w:highlight w:val="none"/>
        </w:rPr>
      </w:pPr>
      <w:bookmarkStart w:id="130" w:name="_Toc27420"/>
      <w:bookmarkStart w:id="131" w:name="_Toc6958"/>
      <w:bookmarkStart w:id="132" w:name="_Toc109921160"/>
      <w:bookmarkStart w:id="133" w:name="_Toc109941767"/>
      <w:bookmarkStart w:id="134" w:name="_Toc9974"/>
      <w:bookmarkStart w:id="135" w:name="_Toc130252617"/>
      <w:bookmarkStart w:id="136" w:name="_Toc110707967"/>
      <w:bookmarkStart w:id="137" w:name="_Toc24794"/>
      <w:r>
        <w:rPr>
          <w:rFonts w:hint="eastAsia" w:ascii="仿宋" w:hAnsi="仿宋" w:eastAsia="仿宋" w:cs="仿宋"/>
          <w:b/>
          <w:color w:val="auto"/>
          <w:sz w:val="24"/>
          <w:szCs w:val="24"/>
          <w:highlight w:val="none"/>
          <w:lang w:val="en-US" w:eastAsia="zh-CN"/>
        </w:rPr>
        <w:t>五</w:t>
      </w:r>
      <w:r>
        <w:rPr>
          <w:rFonts w:hint="eastAsia" w:ascii="仿宋" w:hAnsi="仿宋" w:eastAsia="仿宋" w:cs="仿宋"/>
          <w:b/>
          <w:color w:val="auto"/>
          <w:sz w:val="24"/>
          <w:szCs w:val="24"/>
          <w:highlight w:val="none"/>
        </w:rPr>
        <w:t>、技术条款偏离表</w:t>
      </w:r>
      <w:bookmarkEnd w:id="130"/>
      <w:bookmarkEnd w:id="131"/>
      <w:bookmarkEnd w:id="132"/>
      <w:bookmarkEnd w:id="133"/>
      <w:bookmarkEnd w:id="134"/>
      <w:bookmarkEnd w:id="135"/>
      <w:bookmarkEnd w:id="136"/>
      <w:bookmarkEnd w:id="137"/>
    </w:p>
    <w:tbl>
      <w:tblPr>
        <w:tblStyle w:val="39"/>
        <w:tblW w:w="90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6"/>
        <w:gridCol w:w="2070"/>
        <w:gridCol w:w="2052"/>
        <w:gridCol w:w="2126"/>
        <w:gridCol w:w="1985"/>
      </w:tblGrid>
      <w:tr w14:paraId="34980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06" w:type="dxa"/>
            <w:vAlign w:val="center"/>
          </w:tcPr>
          <w:p w14:paraId="7E56F690">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2070" w:type="dxa"/>
            <w:vAlign w:val="center"/>
          </w:tcPr>
          <w:p w14:paraId="6BCD1CA3">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招标文件条目号</w:t>
            </w:r>
          </w:p>
        </w:tc>
        <w:tc>
          <w:tcPr>
            <w:tcW w:w="2052" w:type="dxa"/>
            <w:vAlign w:val="center"/>
          </w:tcPr>
          <w:p w14:paraId="2F17BDF1">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招标文件的技术条款</w:t>
            </w:r>
          </w:p>
        </w:tc>
        <w:tc>
          <w:tcPr>
            <w:tcW w:w="2126" w:type="dxa"/>
            <w:vAlign w:val="center"/>
          </w:tcPr>
          <w:p w14:paraId="0CEFC1A7">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投标文件的技术条款</w:t>
            </w:r>
          </w:p>
        </w:tc>
        <w:tc>
          <w:tcPr>
            <w:tcW w:w="1985" w:type="dxa"/>
            <w:vAlign w:val="center"/>
          </w:tcPr>
          <w:p w14:paraId="3ED08897">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说明</w:t>
            </w:r>
          </w:p>
        </w:tc>
      </w:tr>
      <w:tr w14:paraId="5993C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63578A28">
            <w:pPr>
              <w:jc w:val="center"/>
              <w:rPr>
                <w:rFonts w:hint="eastAsia" w:ascii="仿宋" w:hAnsi="仿宋" w:eastAsia="仿宋" w:cs="仿宋"/>
                <w:b/>
                <w:bCs/>
                <w:color w:val="auto"/>
                <w:sz w:val="24"/>
                <w:szCs w:val="24"/>
                <w:highlight w:val="none"/>
              </w:rPr>
            </w:pPr>
          </w:p>
        </w:tc>
        <w:tc>
          <w:tcPr>
            <w:tcW w:w="2070" w:type="dxa"/>
          </w:tcPr>
          <w:p w14:paraId="49EC4FF9">
            <w:pPr>
              <w:jc w:val="center"/>
              <w:rPr>
                <w:rFonts w:hint="eastAsia" w:ascii="仿宋" w:hAnsi="仿宋" w:eastAsia="仿宋" w:cs="仿宋"/>
                <w:b/>
                <w:bCs/>
                <w:color w:val="auto"/>
                <w:sz w:val="24"/>
                <w:szCs w:val="24"/>
                <w:highlight w:val="none"/>
              </w:rPr>
            </w:pPr>
          </w:p>
        </w:tc>
        <w:tc>
          <w:tcPr>
            <w:tcW w:w="2052" w:type="dxa"/>
          </w:tcPr>
          <w:p w14:paraId="4B8A8718">
            <w:pPr>
              <w:jc w:val="center"/>
              <w:rPr>
                <w:rFonts w:hint="eastAsia" w:ascii="仿宋" w:hAnsi="仿宋" w:eastAsia="仿宋" w:cs="仿宋"/>
                <w:b/>
                <w:bCs/>
                <w:color w:val="auto"/>
                <w:sz w:val="24"/>
                <w:szCs w:val="24"/>
                <w:highlight w:val="none"/>
              </w:rPr>
            </w:pPr>
          </w:p>
        </w:tc>
        <w:tc>
          <w:tcPr>
            <w:tcW w:w="2126" w:type="dxa"/>
          </w:tcPr>
          <w:p w14:paraId="40064EBF">
            <w:pPr>
              <w:jc w:val="center"/>
              <w:rPr>
                <w:rFonts w:hint="eastAsia" w:ascii="仿宋" w:hAnsi="仿宋" w:eastAsia="仿宋" w:cs="仿宋"/>
                <w:b/>
                <w:bCs/>
                <w:color w:val="auto"/>
                <w:sz w:val="24"/>
                <w:szCs w:val="24"/>
                <w:highlight w:val="none"/>
              </w:rPr>
            </w:pPr>
          </w:p>
        </w:tc>
        <w:tc>
          <w:tcPr>
            <w:tcW w:w="1985" w:type="dxa"/>
          </w:tcPr>
          <w:p w14:paraId="4134F56A">
            <w:pPr>
              <w:jc w:val="center"/>
              <w:rPr>
                <w:rFonts w:hint="eastAsia" w:ascii="仿宋" w:hAnsi="仿宋" w:eastAsia="仿宋" w:cs="仿宋"/>
                <w:b/>
                <w:bCs/>
                <w:color w:val="auto"/>
                <w:sz w:val="24"/>
                <w:szCs w:val="24"/>
                <w:highlight w:val="none"/>
              </w:rPr>
            </w:pPr>
          </w:p>
        </w:tc>
      </w:tr>
      <w:tr w14:paraId="4AB85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2C9FEB56">
            <w:pPr>
              <w:jc w:val="center"/>
              <w:rPr>
                <w:rFonts w:hint="eastAsia" w:ascii="仿宋" w:hAnsi="仿宋" w:eastAsia="仿宋" w:cs="仿宋"/>
                <w:b/>
                <w:bCs/>
                <w:color w:val="auto"/>
                <w:sz w:val="24"/>
                <w:szCs w:val="24"/>
                <w:highlight w:val="none"/>
              </w:rPr>
            </w:pPr>
          </w:p>
        </w:tc>
        <w:tc>
          <w:tcPr>
            <w:tcW w:w="2070" w:type="dxa"/>
          </w:tcPr>
          <w:p w14:paraId="172775B6">
            <w:pPr>
              <w:jc w:val="center"/>
              <w:rPr>
                <w:rFonts w:hint="eastAsia" w:ascii="仿宋" w:hAnsi="仿宋" w:eastAsia="仿宋" w:cs="仿宋"/>
                <w:b/>
                <w:bCs/>
                <w:color w:val="auto"/>
                <w:sz w:val="24"/>
                <w:szCs w:val="24"/>
                <w:highlight w:val="none"/>
              </w:rPr>
            </w:pPr>
          </w:p>
        </w:tc>
        <w:tc>
          <w:tcPr>
            <w:tcW w:w="2052" w:type="dxa"/>
          </w:tcPr>
          <w:p w14:paraId="35D5F743">
            <w:pPr>
              <w:jc w:val="center"/>
              <w:rPr>
                <w:rFonts w:hint="eastAsia" w:ascii="仿宋" w:hAnsi="仿宋" w:eastAsia="仿宋" w:cs="仿宋"/>
                <w:b/>
                <w:bCs/>
                <w:color w:val="auto"/>
                <w:sz w:val="24"/>
                <w:szCs w:val="24"/>
                <w:highlight w:val="none"/>
              </w:rPr>
            </w:pPr>
          </w:p>
        </w:tc>
        <w:tc>
          <w:tcPr>
            <w:tcW w:w="2126" w:type="dxa"/>
          </w:tcPr>
          <w:p w14:paraId="4DC02C7B">
            <w:pPr>
              <w:jc w:val="center"/>
              <w:rPr>
                <w:rFonts w:hint="eastAsia" w:ascii="仿宋" w:hAnsi="仿宋" w:eastAsia="仿宋" w:cs="仿宋"/>
                <w:b/>
                <w:bCs/>
                <w:color w:val="auto"/>
                <w:sz w:val="24"/>
                <w:szCs w:val="24"/>
                <w:highlight w:val="none"/>
              </w:rPr>
            </w:pPr>
          </w:p>
        </w:tc>
        <w:tc>
          <w:tcPr>
            <w:tcW w:w="1985" w:type="dxa"/>
          </w:tcPr>
          <w:p w14:paraId="22B78485">
            <w:pPr>
              <w:jc w:val="center"/>
              <w:rPr>
                <w:rFonts w:hint="eastAsia" w:ascii="仿宋" w:hAnsi="仿宋" w:eastAsia="仿宋" w:cs="仿宋"/>
                <w:b/>
                <w:bCs/>
                <w:color w:val="auto"/>
                <w:sz w:val="24"/>
                <w:szCs w:val="24"/>
                <w:highlight w:val="none"/>
              </w:rPr>
            </w:pPr>
          </w:p>
        </w:tc>
      </w:tr>
      <w:tr w14:paraId="254BB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2B6D5CD7">
            <w:pPr>
              <w:jc w:val="center"/>
              <w:rPr>
                <w:rFonts w:hint="eastAsia" w:ascii="仿宋" w:hAnsi="仿宋" w:eastAsia="仿宋" w:cs="仿宋"/>
                <w:b/>
                <w:bCs/>
                <w:color w:val="auto"/>
                <w:sz w:val="24"/>
                <w:szCs w:val="24"/>
                <w:highlight w:val="none"/>
              </w:rPr>
            </w:pPr>
          </w:p>
        </w:tc>
        <w:tc>
          <w:tcPr>
            <w:tcW w:w="2070" w:type="dxa"/>
          </w:tcPr>
          <w:p w14:paraId="449E79BE">
            <w:pPr>
              <w:jc w:val="center"/>
              <w:rPr>
                <w:rFonts w:hint="eastAsia" w:ascii="仿宋" w:hAnsi="仿宋" w:eastAsia="仿宋" w:cs="仿宋"/>
                <w:b/>
                <w:bCs/>
                <w:color w:val="auto"/>
                <w:sz w:val="24"/>
                <w:szCs w:val="24"/>
                <w:highlight w:val="none"/>
              </w:rPr>
            </w:pPr>
          </w:p>
        </w:tc>
        <w:tc>
          <w:tcPr>
            <w:tcW w:w="2052" w:type="dxa"/>
          </w:tcPr>
          <w:p w14:paraId="22A58360">
            <w:pPr>
              <w:jc w:val="center"/>
              <w:rPr>
                <w:rFonts w:hint="eastAsia" w:ascii="仿宋" w:hAnsi="仿宋" w:eastAsia="仿宋" w:cs="仿宋"/>
                <w:b/>
                <w:bCs/>
                <w:color w:val="auto"/>
                <w:sz w:val="24"/>
                <w:szCs w:val="24"/>
                <w:highlight w:val="none"/>
              </w:rPr>
            </w:pPr>
          </w:p>
        </w:tc>
        <w:tc>
          <w:tcPr>
            <w:tcW w:w="2126" w:type="dxa"/>
          </w:tcPr>
          <w:p w14:paraId="3F69E719">
            <w:pPr>
              <w:jc w:val="center"/>
              <w:rPr>
                <w:rFonts w:hint="eastAsia" w:ascii="仿宋" w:hAnsi="仿宋" w:eastAsia="仿宋" w:cs="仿宋"/>
                <w:b/>
                <w:bCs/>
                <w:color w:val="auto"/>
                <w:sz w:val="24"/>
                <w:szCs w:val="24"/>
                <w:highlight w:val="none"/>
              </w:rPr>
            </w:pPr>
          </w:p>
        </w:tc>
        <w:tc>
          <w:tcPr>
            <w:tcW w:w="1985" w:type="dxa"/>
          </w:tcPr>
          <w:p w14:paraId="78EC5A2D">
            <w:pPr>
              <w:jc w:val="center"/>
              <w:rPr>
                <w:rFonts w:hint="eastAsia" w:ascii="仿宋" w:hAnsi="仿宋" w:eastAsia="仿宋" w:cs="仿宋"/>
                <w:b/>
                <w:bCs/>
                <w:color w:val="auto"/>
                <w:sz w:val="24"/>
                <w:szCs w:val="24"/>
                <w:highlight w:val="none"/>
              </w:rPr>
            </w:pPr>
          </w:p>
        </w:tc>
      </w:tr>
      <w:tr w14:paraId="428EC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7DC11596">
            <w:pPr>
              <w:jc w:val="center"/>
              <w:rPr>
                <w:rFonts w:hint="eastAsia" w:ascii="仿宋" w:hAnsi="仿宋" w:eastAsia="仿宋" w:cs="仿宋"/>
                <w:b/>
                <w:bCs/>
                <w:color w:val="auto"/>
                <w:sz w:val="24"/>
                <w:szCs w:val="24"/>
                <w:highlight w:val="none"/>
              </w:rPr>
            </w:pPr>
          </w:p>
        </w:tc>
        <w:tc>
          <w:tcPr>
            <w:tcW w:w="2070" w:type="dxa"/>
          </w:tcPr>
          <w:p w14:paraId="42B51AB4">
            <w:pPr>
              <w:jc w:val="center"/>
              <w:rPr>
                <w:rFonts w:hint="eastAsia" w:ascii="仿宋" w:hAnsi="仿宋" w:eastAsia="仿宋" w:cs="仿宋"/>
                <w:b/>
                <w:bCs/>
                <w:color w:val="auto"/>
                <w:sz w:val="24"/>
                <w:szCs w:val="24"/>
                <w:highlight w:val="none"/>
              </w:rPr>
            </w:pPr>
          </w:p>
        </w:tc>
        <w:tc>
          <w:tcPr>
            <w:tcW w:w="2052" w:type="dxa"/>
          </w:tcPr>
          <w:p w14:paraId="580C1305">
            <w:pPr>
              <w:jc w:val="center"/>
              <w:rPr>
                <w:rFonts w:hint="eastAsia" w:ascii="仿宋" w:hAnsi="仿宋" w:eastAsia="仿宋" w:cs="仿宋"/>
                <w:b/>
                <w:bCs/>
                <w:color w:val="auto"/>
                <w:sz w:val="24"/>
                <w:szCs w:val="24"/>
                <w:highlight w:val="none"/>
              </w:rPr>
            </w:pPr>
          </w:p>
        </w:tc>
        <w:tc>
          <w:tcPr>
            <w:tcW w:w="2126" w:type="dxa"/>
          </w:tcPr>
          <w:p w14:paraId="1597E152">
            <w:pPr>
              <w:jc w:val="center"/>
              <w:rPr>
                <w:rFonts w:hint="eastAsia" w:ascii="仿宋" w:hAnsi="仿宋" w:eastAsia="仿宋" w:cs="仿宋"/>
                <w:b/>
                <w:bCs/>
                <w:color w:val="auto"/>
                <w:sz w:val="24"/>
                <w:szCs w:val="24"/>
                <w:highlight w:val="none"/>
              </w:rPr>
            </w:pPr>
          </w:p>
        </w:tc>
        <w:tc>
          <w:tcPr>
            <w:tcW w:w="1985" w:type="dxa"/>
          </w:tcPr>
          <w:p w14:paraId="0E317426">
            <w:pPr>
              <w:jc w:val="center"/>
              <w:rPr>
                <w:rFonts w:hint="eastAsia" w:ascii="仿宋" w:hAnsi="仿宋" w:eastAsia="仿宋" w:cs="仿宋"/>
                <w:b/>
                <w:bCs/>
                <w:color w:val="auto"/>
                <w:sz w:val="24"/>
                <w:szCs w:val="24"/>
                <w:highlight w:val="none"/>
              </w:rPr>
            </w:pPr>
          </w:p>
        </w:tc>
      </w:tr>
      <w:tr w14:paraId="619F5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750CDB4E">
            <w:pPr>
              <w:jc w:val="center"/>
              <w:rPr>
                <w:rFonts w:hint="eastAsia" w:ascii="仿宋" w:hAnsi="仿宋" w:eastAsia="仿宋" w:cs="仿宋"/>
                <w:b/>
                <w:bCs/>
                <w:color w:val="auto"/>
                <w:sz w:val="24"/>
                <w:szCs w:val="24"/>
                <w:highlight w:val="none"/>
              </w:rPr>
            </w:pPr>
          </w:p>
        </w:tc>
        <w:tc>
          <w:tcPr>
            <w:tcW w:w="2070" w:type="dxa"/>
          </w:tcPr>
          <w:p w14:paraId="5EC9EFF7">
            <w:pPr>
              <w:jc w:val="center"/>
              <w:rPr>
                <w:rFonts w:hint="eastAsia" w:ascii="仿宋" w:hAnsi="仿宋" w:eastAsia="仿宋" w:cs="仿宋"/>
                <w:b/>
                <w:bCs/>
                <w:color w:val="auto"/>
                <w:sz w:val="24"/>
                <w:szCs w:val="24"/>
                <w:highlight w:val="none"/>
              </w:rPr>
            </w:pPr>
          </w:p>
        </w:tc>
        <w:tc>
          <w:tcPr>
            <w:tcW w:w="2052" w:type="dxa"/>
          </w:tcPr>
          <w:p w14:paraId="44022049">
            <w:pPr>
              <w:jc w:val="center"/>
              <w:rPr>
                <w:rFonts w:hint="eastAsia" w:ascii="仿宋" w:hAnsi="仿宋" w:eastAsia="仿宋" w:cs="仿宋"/>
                <w:b/>
                <w:bCs/>
                <w:color w:val="auto"/>
                <w:sz w:val="24"/>
                <w:szCs w:val="24"/>
                <w:highlight w:val="none"/>
              </w:rPr>
            </w:pPr>
          </w:p>
        </w:tc>
        <w:tc>
          <w:tcPr>
            <w:tcW w:w="2126" w:type="dxa"/>
          </w:tcPr>
          <w:p w14:paraId="1C00F4E5">
            <w:pPr>
              <w:jc w:val="center"/>
              <w:rPr>
                <w:rFonts w:hint="eastAsia" w:ascii="仿宋" w:hAnsi="仿宋" w:eastAsia="仿宋" w:cs="仿宋"/>
                <w:b/>
                <w:bCs/>
                <w:color w:val="auto"/>
                <w:sz w:val="24"/>
                <w:szCs w:val="24"/>
                <w:highlight w:val="none"/>
              </w:rPr>
            </w:pPr>
          </w:p>
        </w:tc>
        <w:tc>
          <w:tcPr>
            <w:tcW w:w="1985" w:type="dxa"/>
          </w:tcPr>
          <w:p w14:paraId="5AF9B554">
            <w:pPr>
              <w:jc w:val="center"/>
              <w:rPr>
                <w:rFonts w:hint="eastAsia" w:ascii="仿宋" w:hAnsi="仿宋" w:eastAsia="仿宋" w:cs="仿宋"/>
                <w:b/>
                <w:bCs/>
                <w:color w:val="auto"/>
                <w:sz w:val="24"/>
                <w:szCs w:val="24"/>
                <w:highlight w:val="none"/>
              </w:rPr>
            </w:pPr>
          </w:p>
        </w:tc>
      </w:tr>
    </w:tbl>
    <w:p w14:paraId="0924DDC5">
      <w:pPr>
        <w:rPr>
          <w:rFonts w:hint="eastAsia" w:ascii="仿宋" w:hAnsi="仿宋" w:eastAsia="仿宋" w:cs="仿宋"/>
          <w:color w:val="auto"/>
          <w:highlight w:val="none"/>
        </w:rPr>
      </w:pPr>
    </w:p>
    <w:p w14:paraId="5BF2C2BE">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注：投标人技术条款有差异的，则在此表中列明实际响应的内容提要并加以说明，以便查对。无差异说明表示完全响应。</w:t>
      </w:r>
    </w:p>
    <w:p w14:paraId="6F010D52">
      <w:pPr>
        <w:spacing w:line="360" w:lineRule="auto"/>
        <w:ind w:firstLine="475" w:firstLineChars="198"/>
        <w:jc w:val="left"/>
        <w:rPr>
          <w:rFonts w:hint="eastAsia" w:ascii="仿宋" w:hAnsi="仿宋" w:eastAsia="仿宋" w:cs="仿宋"/>
          <w:color w:val="auto"/>
          <w:sz w:val="24"/>
          <w:szCs w:val="24"/>
          <w:highlight w:val="none"/>
        </w:rPr>
      </w:pPr>
    </w:p>
    <w:p w14:paraId="0A906F14">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0E6DBF66">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57556DD9">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1F7E3FCC">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4F565556">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rPr>
        <w:t>）</w:t>
      </w:r>
    </w:p>
    <w:p w14:paraId="3A3E499A">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7D2D0079">
      <w:pPr>
        <w:tabs>
          <w:tab w:val="center" w:pos="4832"/>
          <w:tab w:val="left" w:pos="7140"/>
        </w:tabs>
        <w:jc w:val="center"/>
        <w:outlineLvl w:val="1"/>
        <w:rPr>
          <w:rFonts w:hint="eastAsia" w:ascii="仿宋" w:hAnsi="仿宋" w:eastAsia="仿宋" w:cs="仿宋"/>
          <w:b/>
          <w:color w:val="auto"/>
          <w:sz w:val="24"/>
          <w:szCs w:val="24"/>
          <w:highlight w:val="none"/>
        </w:rPr>
      </w:pPr>
      <w:r>
        <w:rPr>
          <w:rFonts w:hint="eastAsia" w:ascii="仿宋" w:hAnsi="仿宋" w:eastAsia="仿宋" w:cs="仿宋"/>
          <w:b/>
          <w:bCs/>
          <w:color w:val="auto"/>
          <w:kern w:val="36"/>
          <w:sz w:val="24"/>
          <w:szCs w:val="24"/>
          <w:highlight w:val="none"/>
        </w:rPr>
        <w:br w:type="page"/>
      </w:r>
      <w:bookmarkStart w:id="138" w:name="_Toc2527"/>
      <w:bookmarkStart w:id="139" w:name="_Toc130252619"/>
      <w:bookmarkStart w:id="140" w:name="_Toc110707969"/>
      <w:bookmarkStart w:id="141" w:name="_Toc5075"/>
      <w:bookmarkStart w:id="142" w:name="_Toc29249"/>
      <w:bookmarkStart w:id="143" w:name="_Toc109921162"/>
      <w:bookmarkStart w:id="144" w:name="_Toc109941769"/>
      <w:bookmarkStart w:id="145" w:name="_Toc6334"/>
      <w:r>
        <w:rPr>
          <w:rFonts w:hint="eastAsia" w:ascii="仿宋" w:hAnsi="仿宋" w:eastAsia="仿宋" w:cs="仿宋"/>
          <w:b/>
          <w:color w:val="auto"/>
          <w:sz w:val="24"/>
          <w:szCs w:val="24"/>
          <w:highlight w:val="none"/>
          <w:lang w:val="en-US" w:eastAsia="zh-CN"/>
        </w:rPr>
        <w:t>六</w:t>
      </w:r>
      <w:r>
        <w:rPr>
          <w:rFonts w:hint="eastAsia" w:ascii="仿宋" w:hAnsi="仿宋" w:eastAsia="仿宋" w:cs="仿宋"/>
          <w:b/>
          <w:color w:val="auto"/>
          <w:sz w:val="24"/>
          <w:szCs w:val="24"/>
          <w:highlight w:val="none"/>
        </w:rPr>
        <w:t>、法定代表人身份证明书</w:t>
      </w:r>
      <w:bookmarkEnd w:id="138"/>
      <w:bookmarkEnd w:id="139"/>
      <w:bookmarkEnd w:id="140"/>
      <w:bookmarkEnd w:id="141"/>
      <w:bookmarkEnd w:id="142"/>
      <w:bookmarkEnd w:id="143"/>
      <w:bookmarkEnd w:id="144"/>
      <w:bookmarkEnd w:id="145"/>
    </w:p>
    <w:p w14:paraId="77997B22">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82CEF14">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 标 人：</w:t>
      </w:r>
      <w:r>
        <w:rPr>
          <w:rFonts w:hint="eastAsia" w:ascii="仿宋" w:hAnsi="仿宋" w:eastAsia="仿宋" w:cs="仿宋"/>
          <w:color w:val="auto"/>
          <w:kern w:val="0"/>
          <w:sz w:val="24"/>
          <w:szCs w:val="24"/>
          <w:highlight w:val="none"/>
          <w:u w:val="single"/>
        </w:rPr>
        <w:t xml:space="preserve">                              </w:t>
      </w:r>
    </w:p>
    <w:p w14:paraId="50D5E5BF">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单位性质：</w:t>
      </w:r>
      <w:r>
        <w:rPr>
          <w:rFonts w:hint="eastAsia" w:ascii="仿宋" w:hAnsi="仿宋" w:eastAsia="仿宋" w:cs="仿宋"/>
          <w:color w:val="auto"/>
          <w:kern w:val="0"/>
          <w:sz w:val="24"/>
          <w:szCs w:val="24"/>
          <w:highlight w:val="none"/>
          <w:u w:val="single"/>
        </w:rPr>
        <w:t xml:space="preserve">                              </w:t>
      </w:r>
    </w:p>
    <w:p w14:paraId="50AC1BA3">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地    址：</w:t>
      </w:r>
      <w:r>
        <w:rPr>
          <w:rFonts w:hint="eastAsia" w:ascii="仿宋" w:hAnsi="仿宋" w:eastAsia="仿宋" w:cs="仿宋"/>
          <w:color w:val="auto"/>
          <w:kern w:val="0"/>
          <w:sz w:val="24"/>
          <w:szCs w:val="24"/>
          <w:highlight w:val="none"/>
          <w:u w:val="single"/>
        </w:rPr>
        <w:t xml:space="preserve">                              </w:t>
      </w:r>
    </w:p>
    <w:p w14:paraId="7F326B31">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成立时间：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日</w:t>
      </w:r>
    </w:p>
    <w:p w14:paraId="37EF7644">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经营期限：</w:t>
      </w:r>
      <w:r>
        <w:rPr>
          <w:rFonts w:hint="eastAsia" w:ascii="仿宋" w:hAnsi="仿宋" w:eastAsia="仿宋" w:cs="仿宋"/>
          <w:color w:val="auto"/>
          <w:kern w:val="0"/>
          <w:sz w:val="24"/>
          <w:szCs w:val="24"/>
          <w:highlight w:val="none"/>
          <w:u w:val="single"/>
        </w:rPr>
        <w:t xml:space="preserve">                              </w:t>
      </w:r>
    </w:p>
    <w:p w14:paraId="656721BB">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43C0EEF3">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姓名：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性别：</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年龄：</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职务：</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系</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（投标人名称）的法定代表人。</w:t>
      </w:r>
    </w:p>
    <w:p w14:paraId="73173556">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特此证明。</w:t>
      </w:r>
    </w:p>
    <w:p w14:paraId="5ADC350F">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012A5BA3">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附：法定代表人身份证明</w:t>
      </w:r>
    </w:p>
    <w:p w14:paraId="354FF5D7">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tbl>
      <w:tblPr>
        <w:tblStyle w:val="39"/>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5A55D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4B1C6C5F">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法定代表人身份证复印件（正面）</w:t>
            </w:r>
          </w:p>
        </w:tc>
      </w:tr>
    </w:tbl>
    <w:p w14:paraId="636115CD">
      <w:pPr>
        <w:rPr>
          <w:rFonts w:hint="eastAsia" w:ascii="仿宋" w:hAnsi="仿宋" w:eastAsia="仿宋" w:cs="仿宋"/>
          <w:vanish/>
          <w:color w:val="auto"/>
          <w:highlight w:val="none"/>
        </w:rPr>
      </w:pPr>
    </w:p>
    <w:tbl>
      <w:tblPr>
        <w:tblStyle w:val="39"/>
        <w:tblpPr w:leftFromText="180" w:rightFromText="180" w:vertAnchor="text" w:horzAnchor="page" w:tblpX="571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37503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07F08D05">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法定代表人身份证复印件（反面）</w:t>
            </w:r>
          </w:p>
        </w:tc>
      </w:tr>
    </w:tbl>
    <w:p w14:paraId="10E79B01">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885620A">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64AD16F0">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55C70F16">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378A6CFA">
      <w:pPr>
        <w:widowControl/>
        <w:shd w:val="clear" w:color="auto" w:fill="FFFFFF"/>
        <w:wordWrap w:val="0"/>
        <w:snapToGrid w:val="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日 </w:t>
      </w:r>
    </w:p>
    <w:p w14:paraId="76619CCC">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7CE9BD1F">
      <w:pPr>
        <w:tabs>
          <w:tab w:val="center" w:pos="4832"/>
          <w:tab w:val="left" w:pos="7140"/>
        </w:tabs>
        <w:jc w:val="center"/>
        <w:outlineLvl w:val="1"/>
        <w:rPr>
          <w:rFonts w:hint="eastAsia" w:ascii="仿宋" w:hAnsi="仿宋" w:eastAsia="仿宋" w:cs="仿宋"/>
          <w:b/>
          <w:color w:val="auto"/>
          <w:sz w:val="24"/>
          <w:szCs w:val="24"/>
          <w:highlight w:val="none"/>
        </w:rPr>
      </w:pPr>
      <w:bookmarkStart w:id="146" w:name="_Toc19364"/>
      <w:bookmarkStart w:id="147" w:name="_Toc29077"/>
      <w:bookmarkStart w:id="148" w:name="_Toc109941770"/>
      <w:bookmarkStart w:id="149" w:name="_Toc110707970"/>
      <w:bookmarkStart w:id="150" w:name="_Toc130252620"/>
      <w:bookmarkStart w:id="151" w:name="_Toc109921163"/>
      <w:bookmarkStart w:id="152" w:name="_Toc11931"/>
      <w:bookmarkStart w:id="153" w:name="_Toc3738"/>
      <w:r>
        <w:rPr>
          <w:rFonts w:hint="eastAsia" w:ascii="仿宋" w:hAnsi="仿宋" w:eastAsia="仿宋" w:cs="仿宋"/>
          <w:b/>
          <w:color w:val="auto"/>
          <w:sz w:val="24"/>
          <w:szCs w:val="24"/>
          <w:highlight w:val="none"/>
          <w:lang w:val="en-US" w:eastAsia="zh-CN"/>
        </w:rPr>
        <w:t>七</w:t>
      </w:r>
      <w:r>
        <w:rPr>
          <w:rFonts w:hint="eastAsia" w:ascii="仿宋" w:hAnsi="仿宋" w:eastAsia="仿宋" w:cs="仿宋"/>
          <w:b/>
          <w:color w:val="auto"/>
          <w:sz w:val="24"/>
          <w:szCs w:val="24"/>
          <w:highlight w:val="none"/>
        </w:rPr>
        <w:t>、法定代表人授权委托书</w:t>
      </w:r>
      <w:bookmarkEnd w:id="146"/>
      <w:bookmarkEnd w:id="147"/>
      <w:bookmarkEnd w:id="148"/>
      <w:bookmarkEnd w:id="149"/>
      <w:bookmarkEnd w:id="150"/>
      <w:bookmarkEnd w:id="151"/>
      <w:bookmarkEnd w:id="152"/>
      <w:bookmarkEnd w:id="153"/>
    </w:p>
    <w:p w14:paraId="13976173">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487EA264">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（姓名）系</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（投标人名称）的法定代表人，现拟派我单位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（姓名）为我方委托代理人。委托代理人根据授权，就</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（项目名称）的投标，以本公司名义处理一切与之有关的事务，其法律后果由我方承担。</w:t>
      </w:r>
    </w:p>
    <w:p w14:paraId="484EBA53">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代理人：</w:t>
      </w:r>
      <w:r>
        <w:rPr>
          <w:rFonts w:hint="eastAsia" w:ascii="仿宋" w:hAnsi="仿宋" w:eastAsia="仿宋" w:cs="仿宋"/>
          <w:i/>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性别：</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年龄：</w:t>
      </w:r>
      <w:r>
        <w:rPr>
          <w:rFonts w:hint="eastAsia" w:ascii="仿宋" w:hAnsi="仿宋" w:eastAsia="仿宋" w:cs="仿宋"/>
          <w:color w:val="auto"/>
          <w:kern w:val="0"/>
          <w:sz w:val="24"/>
          <w:szCs w:val="24"/>
          <w:highlight w:val="none"/>
          <w:u w:val="single"/>
        </w:rPr>
        <w:t xml:space="preserve">                    </w:t>
      </w:r>
    </w:p>
    <w:p w14:paraId="795894CF">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单  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部门：</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职务：</w:t>
      </w:r>
      <w:r>
        <w:rPr>
          <w:rFonts w:hint="eastAsia" w:ascii="仿宋" w:hAnsi="仿宋" w:eastAsia="仿宋" w:cs="仿宋"/>
          <w:color w:val="auto"/>
          <w:kern w:val="0"/>
          <w:sz w:val="24"/>
          <w:szCs w:val="24"/>
          <w:highlight w:val="none"/>
          <w:u w:val="single"/>
        </w:rPr>
        <w:t xml:space="preserve">                    </w:t>
      </w:r>
    </w:p>
    <w:p w14:paraId="1A53CCEE">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代理人无转委权，特此申明。</w:t>
      </w:r>
    </w:p>
    <w:p w14:paraId="048398E5">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p>
    <w:p w14:paraId="00282345">
      <w:pPr>
        <w:widowControl/>
        <w:shd w:val="clear" w:color="auto" w:fill="FFFFFF"/>
        <w:snapToGrid w:val="0"/>
        <w:spacing w:line="384"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附：委托代理人身份证明。</w:t>
      </w:r>
    </w:p>
    <w:tbl>
      <w:tblPr>
        <w:tblStyle w:val="39"/>
        <w:tblW w:w="3969" w:type="dxa"/>
        <w:tblInd w:w="5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9"/>
      </w:tblGrid>
      <w:tr w14:paraId="14A76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exact"/>
        </w:trPr>
        <w:tc>
          <w:tcPr>
            <w:tcW w:w="3969" w:type="dxa"/>
            <w:vAlign w:val="center"/>
          </w:tcPr>
          <w:p w14:paraId="3BD3E5F6">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委托代理人身份证复印件（正面）</w:t>
            </w:r>
          </w:p>
        </w:tc>
      </w:tr>
    </w:tbl>
    <w:p w14:paraId="071EFA3E">
      <w:pPr>
        <w:rPr>
          <w:rFonts w:hint="eastAsia" w:ascii="仿宋" w:hAnsi="仿宋" w:eastAsia="仿宋" w:cs="仿宋"/>
          <w:vanish/>
          <w:color w:val="auto"/>
          <w:highlight w:val="none"/>
        </w:rPr>
      </w:pPr>
    </w:p>
    <w:tbl>
      <w:tblPr>
        <w:tblStyle w:val="39"/>
        <w:tblpPr w:leftFromText="180" w:rightFromText="180" w:vertAnchor="text" w:horzAnchor="margin" w:tblpXSpec="right" w:tblpY="-2446"/>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09B66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7F46DFEE">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委托代理人身份证复印件（反面）</w:t>
            </w:r>
          </w:p>
        </w:tc>
      </w:tr>
    </w:tbl>
    <w:p w14:paraId="37916A71">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5F758663">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4390E744">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4C9284C5">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04ECE77B">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3486D901">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rPr>
        <w:t>）</w:t>
      </w:r>
    </w:p>
    <w:p w14:paraId="3F2B56A3">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6A6E44E3">
      <w:pPr>
        <w:rPr>
          <w:rFonts w:hint="eastAsia" w:ascii="仿宋" w:hAnsi="仿宋" w:eastAsia="仿宋" w:cs="仿宋"/>
          <w:b/>
          <w:color w:val="auto"/>
          <w:sz w:val="24"/>
          <w:szCs w:val="24"/>
          <w:highlight w:val="none"/>
        </w:rPr>
      </w:pPr>
      <w:bookmarkStart w:id="154" w:name="_Toc110707971"/>
      <w:bookmarkStart w:id="155" w:name="_Toc109941771"/>
      <w:bookmarkStart w:id="156" w:name="_Toc109921164"/>
      <w:bookmarkStart w:id="157" w:name="_Toc130252621"/>
      <w:bookmarkStart w:id="158" w:name="_Toc25783"/>
      <w:bookmarkStart w:id="159" w:name="_Toc29422"/>
      <w:bookmarkStart w:id="160" w:name="_Toc358451723"/>
      <w:r>
        <w:rPr>
          <w:rFonts w:hint="eastAsia" w:ascii="仿宋" w:hAnsi="仿宋" w:eastAsia="仿宋" w:cs="仿宋"/>
          <w:b/>
          <w:color w:val="auto"/>
          <w:sz w:val="24"/>
          <w:szCs w:val="24"/>
          <w:highlight w:val="none"/>
        </w:rPr>
        <w:br w:type="page"/>
      </w:r>
    </w:p>
    <w:p w14:paraId="41B81048">
      <w:pPr>
        <w:tabs>
          <w:tab w:val="center" w:pos="4832"/>
          <w:tab w:val="left" w:pos="7140"/>
        </w:tabs>
        <w:jc w:val="center"/>
        <w:outlineLvl w:val="1"/>
        <w:rPr>
          <w:rFonts w:hint="eastAsia" w:ascii="仿宋" w:hAnsi="仿宋" w:eastAsia="仿宋" w:cs="仿宋"/>
          <w:b/>
          <w:color w:val="auto"/>
          <w:sz w:val="24"/>
          <w:szCs w:val="24"/>
          <w:highlight w:val="none"/>
        </w:rPr>
      </w:pPr>
      <w:bookmarkStart w:id="161" w:name="_Toc23668"/>
      <w:bookmarkStart w:id="162" w:name="_Toc20447"/>
      <w:r>
        <w:rPr>
          <w:rFonts w:hint="eastAsia" w:ascii="仿宋" w:hAnsi="仿宋" w:eastAsia="仿宋" w:cs="仿宋"/>
          <w:b/>
          <w:color w:val="auto"/>
          <w:sz w:val="24"/>
          <w:szCs w:val="24"/>
          <w:highlight w:val="none"/>
          <w:lang w:val="en-US" w:eastAsia="zh-CN"/>
        </w:rPr>
        <w:t>八</w:t>
      </w:r>
      <w:r>
        <w:rPr>
          <w:rFonts w:hint="eastAsia" w:ascii="仿宋" w:hAnsi="仿宋" w:eastAsia="仿宋" w:cs="仿宋"/>
          <w:b/>
          <w:color w:val="auto"/>
          <w:sz w:val="24"/>
          <w:szCs w:val="24"/>
          <w:highlight w:val="none"/>
        </w:rPr>
        <w:t>、</w:t>
      </w:r>
      <w:bookmarkEnd w:id="154"/>
      <w:bookmarkEnd w:id="155"/>
      <w:bookmarkEnd w:id="156"/>
      <w:r>
        <w:rPr>
          <w:rFonts w:hint="eastAsia" w:ascii="仿宋" w:hAnsi="仿宋" w:eastAsia="仿宋" w:cs="仿宋"/>
          <w:b/>
          <w:bCs/>
          <w:color w:val="auto"/>
          <w:sz w:val="24"/>
          <w:szCs w:val="24"/>
          <w:highlight w:val="none"/>
        </w:rPr>
        <w:t>投标人资格条件证明材料</w:t>
      </w:r>
      <w:bookmarkEnd w:id="157"/>
      <w:bookmarkEnd w:id="158"/>
      <w:bookmarkEnd w:id="159"/>
      <w:bookmarkEnd w:id="161"/>
      <w:bookmarkEnd w:id="162"/>
    </w:p>
    <w:p w14:paraId="4CB84F2D">
      <w:pPr>
        <w:rPr>
          <w:rFonts w:hint="eastAsia" w:ascii="仿宋" w:hAnsi="仿宋" w:eastAsia="仿宋" w:cs="仿宋"/>
          <w:color w:val="auto"/>
          <w:highlight w:val="none"/>
        </w:rPr>
      </w:pPr>
    </w:p>
    <w:tbl>
      <w:tblPr>
        <w:tblStyle w:val="39"/>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3165"/>
        <w:gridCol w:w="1995"/>
        <w:gridCol w:w="2140"/>
      </w:tblGrid>
      <w:tr w14:paraId="66FAA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4C717ED">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投标人名称</w:t>
            </w:r>
          </w:p>
        </w:tc>
        <w:tc>
          <w:tcPr>
            <w:tcW w:w="7300" w:type="dxa"/>
            <w:gridSpan w:val="3"/>
            <w:vAlign w:val="center"/>
          </w:tcPr>
          <w:p w14:paraId="7878A110">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r>
      <w:tr w14:paraId="47A31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6BC00D3C">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注册地址</w:t>
            </w:r>
          </w:p>
        </w:tc>
        <w:tc>
          <w:tcPr>
            <w:tcW w:w="3165" w:type="dxa"/>
            <w:vAlign w:val="center"/>
          </w:tcPr>
          <w:p w14:paraId="40E4D318">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2F7360B2">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邮政编码</w:t>
            </w:r>
          </w:p>
        </w:tc>
        <w:tc>
          <w:tcPr>
            <w:tcW w:w="2140" w:type="dxa"/>
            <w:vAlign w:val="center"/>
          </w:tcPr>
          <w:p w14:paraId="688C9E40">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6A021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57C8AB07">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成立时间</w:t>
            </w:r>
          </w:p>
        </w:tc>
        <w:tc>
          <w:tcPr>
            <w:tcW w:w="3165" w:type="dxa"/>
            <w:vAlign w:val="center"/>
          </w:tcPr>
          <w:p w14:paraId="24D39E39">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08A1B289">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企业性质</w:t>
            </w:r>
          </w:p>
        </w:tc>
        <w:tc>
          <w:tcPr>
            <w:tcW w:w="2140" w:type="dxa"/>
            <w:vAlign w:val="center"/>
          </w:tcPr>
          <w:p w14:paraId="057D0BC3">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1F94F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031952DC">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营业执照号</w:t>
            </w:r>
          </w:p>
        </w:tc>
        <w:tc>
          <w:tcPr>
            <w:tcW w:w="3165" w:type="dxa"/>
            <w:vAlign w:val="center"/>
          </w:tcPr>
          <w:p w14:paraId="30118A69">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7F579087">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注册资金</w:t>
            </w:r>
          </w:p>
        </w:tc>
        <w:tc>
          <w:tcPr>
            <w:tcW w:w="2140" w:type="dxa"/>
            <w:vAlign w:val="center"/>
          </w:tcPr>
          <w:p w14:paraId="09D643DC">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423F5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3822BDC2">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法定代表人</w:t>
            </w:r>
          </w:p>
        </w:tc>
        <w:tc>
          <w:tcPr>
            <w:tcW w:w="3165" w:type="dxa"/>
            <w:vAlign w:val="center"/>
          </w:tcPr>
          <w:p w14:paraId="512ED9A7">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5BCA526C">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电话</w:t>
            </w:r>
          </w:p>
        </w:tc>
        <w:tc>
          <w:tcPr>
            <w:tcW w:w="2140" w:type="dxa"/>
            <w:vAlign w:val="center"/>
          </w:tcPr>
          <w:p w14:paraId="62054EED">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3355B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528BDF12">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联系人</w:t>
            </w:r>
          </w:p>
        </w:tc>
        <w:tc>
          <w:tcPr>
            <w:tcW w:w="3165" w:type="dxa"/>
            <w:vAlign w:val="center"/>
          </w:tcPr>
          <w:p w14:paraId="4DCEB0DC">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51C4D614">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电话</w:t>
            </w:r>
          </w:p>
        </w:tc>
        <w:tc>
          <w:tcPr>
            <w:tcW w:w="2140" w:type="dxa"/>
            <w:vAlign w:val="center"/>
          </w:tcPr>
          <w:p w14:paraId="2C56146E">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79196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07D692B0">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传真</w:t>
            </w:r>
          </w:p>
        </w:tc>
        <w:tc>
          <w:tcPr>
            <w:tcW w:w="3165" w:type="dxa"/>
            <w:vAlign w:val="center"/>
          </w:tcPr>
          <w:p w14:paraId="6AFAB0DC">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172131F6">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网址</w:t>
            </w:r>
          </w:p>
        </w:tc>
        <w:tc>
          <w:tcPr>
            <w:tcW w:w="2140" w:type="dxa"/>
            <w:vAlign w:val="center"/>
          </w:tcPr>
          <w:p w14:paraId="1439BD9F">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0D419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141BCAB3">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开户银行</w:t>
            </w:r>
          </w:p>
        </w:tc>
        <w:tc>
          <w:tcPr>
            <w:tcW w:w="3165" w:type="dxa"/>
            <w:vAlign w:val="center"/>
          </w:tcPr>
          <w:p w14:paraId="7B0270AE">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3D1386A2">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银行帐号</w:t>
            </w:r>
          </w:p>
        </w:tc>
        <w:tc>
          <w:tcPr>
            <w:tcW w:w="2140" w:type="dxa"/>
            <w:vAlign w:val="center"/>
          </w:tcPr>
          <w:p w14:paraId="529C7DE8">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6E622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3DE3F340">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职工概况</w:t>
            </w:r>
          </w:p>
        </w:tc>
        <w:tc>
          <w:tcPr>
            <w:tcW w:w="7300" w:type="dxa"/>
            <w:gridSpan w:val="3"/>
            <w:vAlign w:val="center"/>
          </w:tcPr>
          <w:p w14:paraId="6A50FD45">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2CF21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14F6762B">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经营范围</w:t>
            </w:r>
          </w:p>
        </w:tc>
        <w:tc>
          <w:tcPr>
            <w:tcW w:w="7300" w:type="dxa"/>
            <w:gridSpan w:val="3"/>
            <w:vAlign w:val="center"/>
          </w:tcPr>
          <w:p w14:paraId="7C583023">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26792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4BE031A9">
            <w:pPr>
              <w:autoSpaceDE w:val="0"/>
              <w:autoSpaceDN w:val="0"/>
              <w:adjustRightInd w:val="0"/>
              <w:snapToGrid w:val="0"/>
              <w:spacing w:line="5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关联单位</w:t>
            </w:r>
          </w:p>
          <w:p w14:paraId="2CEF238E">
            <w:pPr>
              <w:autoSpaceDE w:val="0"/>
              <w:autoSpaceDN w:val="0"/>
              <w:adjustRightInd w:val="0"/>
              <w:snapToGrid w:val="0"/>
              <w:spacing w:line="520" w:lineRule="exact"/>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 w:val="24"/>
                <w:szCs w:val="24"/>
                <w:highlight w:val="none"/>
              </w:rPr>
              <w:t>（如有）</w:t>
            </w:r>
          </w:p>
        </w:tc>
        <w:tc>
          <w:tcPr>
            <w:tcW w:w="7300" w:type="dxa"/>
            <w:gridSpan w:val="3"/>
            <w:vAlign w:val="center"/>
          </w:tcPr>
          <w:p w14:paraId="6367F187">
            <w:pPr>
              <w:autoSpaceDE w:val="0"/>
              <w:autoSpaceDN w:val="0"/>
              <w:adjustRightInd w:val="0"/>
              <w:snapToGrid w:val="0"/>
              <w:spacing w:line="520" w:lineRule="exact"/>
              <w:rPr>
                <w:rFonts w:hint="eastAsia" w:ascii="仿宋" w:hAnsi="仿宋" w:eastAsia="仿宋" w:cs="仿宋"/>
                <w:color w:val="auto"/>
                <w:kern w:val="0"/>
                <w:sz w:val="24"/>
                <w:szCs w:val="24"/>
                <w:highlight w:val="none"/>
              </w:rPr>
            </w:pPr>
          </w:p>
          <w:p w14:paraId="53DDA701">
            <w:pPr>
              <w:autoSpaceDE w:val="0"/>
              <w:autoSpaceDN w:val="0"/>
              <w:adjustRightInd w:val="0"/>
              <w:snapToGrid w:val="0"/>
              <w:spacing w:line="520" w:lineRule="exact"/>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Cs w:val="21"/>
                <w:highlight w:val="none"/>
              </w:rPr>
              <w:t>注：此处关联单位指单位负责人为同一人或者存在直接控股、管理关系的不同单位。</w:t>
            </w:r>
          </w:p>
        </w:tc>
      </w:tr>
    </w:tbl>
    <w:p w14:paraId="3F258A83">
      <w:pPr>
        <w:spacing w:line="360" w:lineRule="auto"/>
        <w:jc w:val="left"/>
        <w:rPr>
          <w:rFonts w:hint="eastAsia" w:ascii="仿宋" w:hAnsi="仿宋" w:eastAsia="仿宋" w:cs="仿宋"/>
          <w:color w:val="auto"/>
          <w:sz w:val="24"/>
          <w:szCs w:val="24"/>
          <w:highlight w:val="none"/>
        </w:rPr>
      </w:pPr>
    </w:p>
    <w:p w14:paraId="4FC2D271">
      <w:pPr>
        <w:spacing w:line="360" w:lineRule="auto"/>
        <w:jc w:val="center"/>
        <w:outlineLvl w:val="1"/>
        <w:rPr>
          <w:rFonts w:hint="eastAsia" w:ascii="仿宋" w:hAnsi="仿宋" w:eastAsia="仿宋" w:cs="仿宋"/>
          <w:b/>
          <w:color w:val="auto"/>
          <w:sz w:val="24"/>
          <w:szCs w:val="24"/>
          <w:highlight w:val="none"/>
        </w:rPr>
      </w:pPr>
      <w:bookmarkStart w:id="163" w:name="_Toc28034"/>
      <w:bookmarkStart w:id="164" w:name="_Toc19961"/>
      <w:bookmarkStart w:id="165" w:name="_Toc4679"/>
      <w:bookmarkStart w:id="166" w:name="_Toc7702"/>
      <w:bookmarkStart w:id="167" w:name="_Toc113901850"/>
      <w:bookmarkStart w:id="168" w:name="_Toc23897"/>
      <w:bookmarkStart w:id="169" w:name="_Toc11980"/>
      <w:bookmarkStart w:id="170" w:name="_Toc18158"/>
      <w:bookmarkStart w:id="171" w:name="_Toc24317"/>
      <w:bookmarkStart w:id="172" w:name="_Toc5144"/>
      <w:bookmarkStart w:id="173" w:name="_Toc13140"/>
      <w:bookmarkStart w:id="174" w:name="_Toc31943"/>
      <w:bookmarkStart w:id="175" w:name="_Toc643"/>
      <w:bookmarkStart w:id="176" w:name="_Toc141050516"/>
      <w:bookmarkStart w:id="177" w:name="_Toc130252623"/>
      <w:bookmarkStart w:id="178" w:name="_Toc128476879"/>
      <w:bookmarkStart w:id="179" w:name="_Toc30664"/>
      <w:bookmarkStart w:id="180" w:name="_Toc14695"/>
      <w:bookmarkStart w:id="181" w:name="_Toc13628"/>
      <w:bookmarkStart w:id="182" w:name="_Toc29380"/>
      <w:r>
        <w:rPr>
          <w:rFonts w:hint="eastAsia" w:ascii="仿宋" w:hAnsi="仿宋" w:eastAsia="仿宋" w:cs="仿宋"/>
          <w:color w:val="auto"/>
          <w:sz w:val="24"/>
          <w:szCs w:val="24"/>
          <w:highlight w:val="none"/>
        </w:rPr>
        <w:br w:type="page"/>
      </w:r>
      <w:bookmarkStart w:id="183" w:name="_Toc14499"/>
      <w:bookmarkStart w:id="184" w:name="_Toc7329"/>
      <w:bookmarkStart w:id="185" w:name="_Toc141050515"/>
      <w:bookmarkStart w:id="186" w:name="_Toc5059"/>
      <w:bookmarkStart w:id="187" w:name="_Toc128476878"/>
      <w:bookmarkStart w:id="188" w:name="_Toc5906"/>
      <w:bookmarkStart w:id="189" w:name="_Toc26222"/>
      <w:bookmarkStart w:id="190" w:name="_Toc31890"/>
      <w:bookmarkStart w:id="191" w:name="_Toc113901849"/>
      <w:bookmarkStart w:id="192" w:name="_Toc14445"/>
      <w:bookmarkStart w:id="193" w:name="_Toc27784"/>
      <w:bookmarkStart w:id="194" w:name="_Toc5497"/>
      <w:bookmarkStart w:id="195" w:name="_Toc56"/>
      <w:bookmarkStart w:id="196" w:name="_Toc29597"/>
      <w:bookmarkStart w:id="197" w:name="_Toc12625"/>
      <w:bookmarkStart w:id="198" w:name="_Toc12657"/>
      <w:bookmarkStart w:id="199" w:name="_Toc8286"/>
      <w:bookmarkStart w:id="200" w:name="_Toc7909"/>
      <w:bookmarkStart w:id="201" w:name="_Toc28985"/>
      <w:bookmarkStart w:id="202" w:name="_Toc29449"/>
      <w:bookmarkStart w:id="203" w:name="_Toc2553"/>
      <w:bookmarkStart w:id="204" w:name="_Toc5302"/>
      <w:bookmarkStart w:id="205" w:name="_Toc13267"/>
      <w:bookmarkStart w:id="206" w:name="_Toc22107"/>
      <w:bookmarkStart w:id="207" w:name="_Toc29907"/>
      <w:bookmarkStart w:id="208" w:name="_Toc130252622"/>
      <w:r>
        <w:rPr>
          <w:rFonts w:hint="eastAsia" w:ascii="仿宋" w:hAnsi="仿宋" w:eastAsia="仿宋" w:cs="仿宋"/>
          <w:b/>
          <w:color w:val="auto"/>
          <w:sz w:val="24"/>
          <w:szCs w:val="24"/>
          <w:highlight w:val="none"/>
          <w:lang w:val="en-US" w:eastAsia="zh-CN"/>
        </w:rPr>
        <w:t>8</w:t>
      </w:r>
      <w:r>
        <w:rPr>
          <w:rFonts w:hint="eastAsia" w:ascii="仿宋" w:hAnsi="仿宋" w:eastAsia="仿宋" w:cs="仿宋"/>
          <w:b/>
          <w:color w:val="auto"/>
          <w:sz w:val="24"/>
          <w:szCs w:val="24"/>
          <w:highlight w:val="none"/>
        </w:rPr>
        <w:t>.1 法人或者其他组织的营业执照等证明文件，自然人的身份证明</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009E53C1">
      <w:pPr>
        <w:spacing w:line="360" w:lineRule="auto"/>
        <w:rPr>
          <w:rFonts w:hint="eastAsia" w:ascii="仿宋" w:hAnsi="仿宋" w:eastAsia="仿宋" w:cs="仿宋"/>
          <w:color w:val="auto"/>
          <w:sz w:val="24"/>
          <w:szCs w:val="24"/>
          <w:highlight w:val="none"/>
        </w:rPr>
      </w:pPr>
    </w:p>
    <w:p w14:paraId="70801213">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一、如</w:t>
      </w:r>
      <w:r>
        <w:rPr>
          <w:rFonts w:hint="eastAsia" w:ascii="仿宋" w:hAnsi="仿宋" w:eastAsia="仿宋" w:cs="仿宋"/>
          <w:color w:val="auto"/>
          <w:sz w:val="24"/>
          <w:szCs w:val="24"/>
          <w:highlight w:val="none"/>
          <w:shd w:val="clear" w:color="auto" w:fill="FFFFFF" w:themeFill="background1"/>
          <w:lang w:eastAsia="zh-CN"/>
        </w:rPr>
        <w:t>投标人</w:t>
      </w:r>
      <w:r>
        <w:rPr>
          <w:rFonts w:hint="eastAsia" w:ascii="仿宋" w:hAnsi="仿宋" w:eastAsia="仿宋" w:cs="仿宋"/>
          <w:color w:val="auto"/>
          <w:sz w:val="24"/>
          <w:szCs w:val="24"/>
          <w:highlight w:val="none"/>
          <w:shd w:val="clear" w:color="auto" w:fill="FFFFFF" w:themeFill="background1"/>
        </w:rPr>
        <w:t>是企业（包括合伙企业)，应提供在工商部门注册的有效“企业法人营业执照”或“营业执照”;</w:t>
      </w:r>
    </w:p>
    <w:p w14:paraId="57DF2545">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二、如</w:t>
      </w:r>
      <w:r>
        <w:rPr>
          <w:rFonts w:hint="eastAsia" w:ascii="仿宋" w:hAnsi="仿宋" w:eastAsia="仿宋" w:cs="仿宋"/>
          <w:color w:val="auto"/>
          <w:sz w:val="24"/>
          <w:szCs w:val="24"/>
          <w:highlight w:val="none"/>
          <w:shd w:val="clear" w:color="auto" w:fill="FFFFFF" w:themeFill="background1"/>
          <w:lang w:eastAsia="zh-CN"/>
        </w:rPr>
        <w:t>投标人</w:t>
      </w:r>
      <w:r>
        <w:rPr>
          <w:rFonts w:hint="eastAsia" w:ascii="仿宋" w:hAnsi="仿宋" w:eastAsia="仿宋" w:cs="仿宋"/>
          <w:color w:val="auto"/>
          <w:sz w:val="24"/>
          <w:szCs w:val="24"/>
          <w:highlight w:val="none"/>
          <w:shd w:val="clear" w:color="auto" w:fill="FFFFFF" w:themeFill="background1"/>
        </w:rPr>
        <w:t>是事业单位，应提供有效的“事业单位法人证书”;</w:t>
      </w:r>
    </w:p>
    <w:p w14:paraId="7A013F6B">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三、如</w:t>
      </w:r>
      <w:r>
        <w:rPr>
          <w:rFonts w:hint="eastAsia" w:ascii="仿宋" w:hAnsi="仿宋" w:eastAsia="仿宋" w:cs="仿宋"/>
          <w:color w:val="auto"/>
          <w:sz w:val="24"/>
          <w:szCs w:val="24"/>
          <w:highlight w:val="none"/>
          <w:shd w:val="clear" w:color="auto" w:fill="FFFFFF" w:themeFill="background1"/>
          <w:lang w:eastAsia="zh-CN"/>
        </w:rPr>
        <w:t>投标人</w:t>
      </w:r>
      <w:r>
        <w:rPr>
          <w:rFonts w:hint="eastAsia" w:ascii="仿宋" w:hAnsi="仿宋" w:eastAsia="仿宋" w:cs="仿宋"/>
          <w:color w:val="auto"/>
          <w:sz w:val="24"/>
          <w:szCs w:val="24"/>
          <w:highlight w:val="none"/>
          <w:shd w:val="clear" w:color="auto" w:fill="FFFFFF" w:themeFill="background1"/>
        </w:rPr>
        <w:t>是非企业专业服务机构的，应提供执业许可证等证明文件;</w:t>
      </w:r>
    </w:p>
    <w:p w14:paraId="4325CFC7">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四、如</w:t>
      </w:r>
      <w:r>
        <w:rPr>
          <w:rFonts w:hint="eastAsia" w:ascii="仿宋" w:hAnsi="仿宋" w:eastAsia="仿宋" w:cs="仿宋"/>
          <w:color w:val="auto"/>
          <w:sz w:val="24"/>
          <w:szCs w:val="24"/>
          <w:highlight w:val="none"/>
          <w:shd w:val="clear" w:color="auto" w:fill="FFFFFF" w:themeFill="background1"/>
          <w:lang w:eastAsia="zh-CN"/>
        </w:rPr>
        <w:t>投标人</w:t>
      </w:r>
      <w:r>
        <w:rPr>
          <w:rFonts w:hint="eastAsia" w:ascii="仿宋" w:hAnsi="仿宋" w:eastAsia="仿宋" w:cs="仿宋"/>
          <w:color w:val="auto"/>
          <w:sz w:val="24"/>
          <w:szCs w:val="24"/>
          <w:highlight w:val="none"/>
          <w:shd w:val="clear" w:color="auto" w:fill="FFFFFF" w:themeFill="background1"/>
        </w:rPr>
        <w:t>是个体工商户，应提供有效的“个体工商户营业执照”;</w:t>
      </w:r>
    </w:p>
    <w:p w14:paraId="205288C1">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五、如</w:t>
      </w:r>
      <w:r>
        <w:rPr>
          <w:rFonts w:hint="eastAsia" w:ascii="仿宋" w:hAnsi="仿宋" w:eastAsia="仿宋" w:cs="仿宋"/>
          <w:color w:val="auto"/>
          <w:sz w:val="24"/>
          <w:szCs w:val="24"/>
          <w:highlight w:val="none"/>
          <w:shd w:val="clear" w:color="auto" w:fill="FFFFFF" w:themeFill="background1"/>
          <w:lang w:eastAsia="zh-CN"/>
        </w:rPr>
        <w:t>投标人</w:t>
      </w:r>
      <w:r>
        <w:rPr>
          <w:rFonts w:hint="eastAsia" w:ascii="仿宋" w:hAnsi="仿宋" w:eastAsia="仿宋" w:cs="仿宋"/>
          <w:color w:val="auto"/>
          <w:sz w:val="24"/>
          <w:szCs w:val="24"/>
          <w:highlight w:val="none"/>
          <w:shd w:val="clear" w:color="auto" w:fill="FFFFFF" w:themeFill="background1"/>
        </w:rPr>
        <w:t>是自然人，应提供有效的自然人身份证明。</w:t>
      </w:r>
    </w:p>
    <w:p w14:paraId="57C30A71">
      <w:pPr>
        <w:spacing w:line="360" w:lineRule="auto"/>
        <w:rPr>
          <w:rFonts w:hint="eastAsia" w:ascii="仿宋" w:hAnsi="仿宋" w:eastAsia="仿宋" w:cs="仿宋"/>
          <w:color w:val="auto"/>
          <w:sz w:val="24"/>
          <w:szCs w:val="24"/>
          <w:highlight w:val="none"/>
        </w:rPr>
      </w:pPr>
    </w:p>
    <w:p w14:paraId="02D30634">
      <w:pPr>
        <w:spacing w:line="360" w:lineRule="auto"/>
        <w:rPr>
          <w:rFonts w:hint="eastAsia" w:ascii="仿宋" w:hAnsi="仿宋" w:eastAsia="仿宋" w:cs="仿宋"/>
          <w:color w:val="auto"/>
          <w:sz w:val="24"/>
          <w:szCs w:val="24"/>
          <w:highlight w:val="none"/>
        </w:rPr>
      </w:pPr>
    </w:p>
    <w:p w14:paraId="61EB11F2">
      <w:pPr>
        <w:widowControl/>
        <w:spacing w:line="360" w:lineRule="auto"/>
        <w:jc w:val="left"/>
        <w:rPr>
          <w:rFonts w:hint="eastAsia" w:ascii="仿宋" w:hAnsi="仿宋" w:eastAsia="仿宋" w:cs="仿宋"/>
          <w:color w:val="auto"/>
          <w:highlight w:val="none"/>
        </w:rPr>
      </w:pPr>
      <w:r>
        <w:rPr>
          <w:rFonts w:hint="eastAsia" w:ascii="仿宋" w:hAnsi="仿宋" w:eastAsia="仿宋" w:cs="仿宋"/>
          <w:b/>
          <w:color w:val="auto"/>
          <w:sz w:val="24"/>
          <w:szCs w:val="24"/>
          <w:highlight w:val="none"/>
        </w:rPr>
        <w:br w:type="page"/>
      </w:r>
    </w:p>
    <w:p w14:paraId="60172FA5">
      <w:pPr>
        <w:spacing w:line="360" w:lineRule="auto"/>
        <w:jc w:val="center"/>
        <w:outlineLvl w:val="1"/>
        <w:rPr>
          <w:rFonts w:hint="eastAsia" w:ascii="仿宋" w:hAnsi="仿宋" w:eastAsia="仿宋" w:cs="仿宋"/>
          <w:b/>
          <w:color w:val="auto"/>
          <w:sz w:val="24"/>
          <w:szCs w:val="24"/>
          <w:highlight w:val="none"/>
        </w:rPr>
      </w:pPr>
      <w:bookmarkStart w:id="209" w:name="_Toc13471"/>
      <w:bookmarkStart w:id="210" w:name="_Toc6735"/>
      <w:bookmarkStart w:id="211" w:name="_Toc16077"/>
      <w:bookmarkStart w:id="212" w:name="_Toc17549"/>
      <w:bookmarkStart w:id="213" w:name="_Toc13139"/>
      <w:bookmarkStart w:id="214" w:name="_Toc21575"/>
      <w:r>
        <w:rPr>
          <w:rFonts w:hint="eastAsia" w:ascii="仿宋" w:hAnsi="仿宋" w:eastAsia="仿宋" w:cs="仿宋"/>
          <w:b/>
          <w:color w:val="auto"/>
          <w:sz w:val="24"/>
          <w:szCs w:val="24"/>
          <w:highlight w:val="none"/>
          <w:lang w:val="en-US" w:eastAsia="zh-CN"/>
        </w:rPr>
        <w:t>8</w:t>
      </w:r>
      <w:r>
        <w:rPr>
          <w:rFonts w:hint="eastAsia" w:ascii="仿宋" w:hAnsi="仿宋" w:eastAsia="仿宋" w:cs="仿宋"/>
          <w:b/>
          <w:color w:val="auto"/>
          <w:sz w:val="24"/>
          <w:szCs w:val="24"/>
          <w:highlight w:val="none"/>
        </w:rPr>
        <w:t>.2 财务状况报告，依法缴纳税收和社会保障资金的相关材料</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209"/>
      <w:bookmarkEnd w:id="210"/>
      <w:bookmarkEnd w:id="211"/>
      <w:bookmarkEnd w:id="212"/>
      <w:bookmarkEnd w:id="213"/>
      <w:bookmarkEnd w:id="214"/>
    </w:p>
    <w:p w14:paraId="74BEA911">
      <w:pPr>
        <w:spacing w:after="120" w:line="360" w:lineRule="auto"/>
        <w:rPr>
          <w:rFonts w:hint="eastAsia" w:ascii="仿宋" w:hAnsi="仿宋" w:eastAsia="仿宋" w:cs="仿宋"/>
          <w:color w:val="auto"/>
          <w:spacing w:val="10"/>
          <w:kern w:val="0"/>
          <w:sz w:val="24"/>
          <w:szCs w:val="24"/>
          <w:highlight w:val="none"/>
        </w:rPr>
      </w:pPr>
    </w:p>
    <w:p w14:paraId="31040F44">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一、财务状况报告（满足下述一条要求即可）：</w:t>
      </w:r>
    </w:p>
    <w:p w14:paraId="133F4A4A">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要求1、经审计的财务报告（</w:t>
      </w:r>
      <w:r>
        <w:rPr>
          <w:rFonts w:hint="eastAsia" w:ascii="仿宋" w:hAnsi="仿宋" w:eastAsia="仿宋" w:cs="仿宋"/>
          <w:color w:val="auto"/>
          <w:spacing w:val="10"/>
          <w:szCs w:val="24"/>
          <w:highlight w:val="none"/>
          <w:shd w:val="clear" w:color="auto" w:fill="FFFFFF" w:themeFill="background1"/>
          <w:lang w:eastAsia="zh-CN"/>
        </w:rPr>
        <w:t>2024年度或2025年度</w:t>
      </w:r>
      <w:r>
        <w:rPr>
          <w:rFonts w:hint="eastAsia" w:ascii="仿宋" w:hAnsi="仿宋" w:eastAsia="仿宋" w:cs="仿宋"/>
          <w:color w:val="auto"/>
          <w:spacing w:val="10"/>
          <w:szCs w:val="24"/>
          <w:highlight w:val="none"/>
          <w:shd w:val="clear" w:color="auto" w:fill="FFFFFF" w:themeFill="background1"/>
        </w:rPr>
        <w:t>，包括“四表-注”，即资产负债表、利润表、现金流量表、所有者权益变动表及其附注）或银行出具的资信证明（投标文件递交截止之日前六个月内任意一个月</w:t>
      </w:r>
      <w:r>
        <w:rPr>
          <w:rFonts w:hint="eastAsia" w:ascii="仿宋" w:hAnsi="仿宋" w:eastAsia="仿宋" w:cs="仿宋"/>
          <w:color w:val="auto"/>
          <w:spacing w:val="10"/>
          <w:szCs w:val="24"/>
          <w:highlight w:val="none"/>
          <w:shd w:val="clear" w:color="auto" w:fill="FFFFFF" w:themeFill="background1"/>
          <w:lang w:eastAsia="zh-CN"/>
        </w:rPr>
        <w:t>，</w:t>
      </w:r>
      <w:r>
        <w:rPr>
          <w:rFonts w:hint="eastAsia" w:ascii="仿宋" w:hAnsi="仿宋" w:eastAsia="仿宋" w:cs="仿宋"/>
          <w:color w:val="auto"/>
          <w:spacing w:val="10"/>
          <w:szCs w:val="24"/>
          <w:highlight w:val="none"/>
          <w:shd w:val="clear" w:color="auto" w:fill="FFFFFF" w:themeFill="background1"/>
          <w:lang w:val="en-US" w:eastAsia="zh-CN"/>
        </w:rPr>
        <w:t>不限制采购人主体</w:t>
      </w:r>
      <w:r>
        <w:rPr>
          <w:rFonts w:hint="eastAsia" w:ascii="仿宋" w:hAnsi="仿宋" w:eastAsia="仿宋" w:cs="仿宋"/>
          <w:color w:val="auto"/>
          <w:spacing w:val="10"/>
          <w:szCs w:val="24"/>
          <w:highlight w:val="none"/>
          <w:shd w:val="clear" w:color="auto" w:fill="FFFFFF" w:themeFill="background1"/>
        </w:rPr>
        <w:t>）。</w:t>
      </w:r>
    </w:p>
    <w:p w14:paraId="7F075DB3">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要求2、成立不足</w:t>
      </w:r>
      <w:r>
        <w:rPr>
          <w:rFonts w:hint="eastAsia" w:ascii="仿宋" w:hAnsi="仿宋" w:eastAsia="仿宋" w:cs="仿宋"/>
          <w:color w:val="auto"/>
          <w:spacing w:val="10"/>
          <w:szCs w:val="24"/>
          <w:highlight w:val="none"/>
          <w:shd w:val="clear" w:color="auto" w:fill="FFFFFF" w:themeFill="background1"/>
          <w:lang w:val="en-US" w:eastAsia="zh-CN"/>
        </w:rPr>
        <w:t>六</w:t>
      </w:r>
      <w:r>
        <w:rPr>
          <w:rFonts w:hint="eastAsia" w:ascii="仿宋" w:hAnsi="仿宋" w:eastAsia="仿宋" w:cs="仿宋"/>
          <w:color w:val="auto"/>
          <w:spacing w:val="10"/>
          <w:szCs w:val="24"/>
          <w:highlight w:val="none"/>
          <w:shd w:val="clear" w:color="auto" w:fill="FFFFFF" w:themeFill="background1"/>
        </w:rPr>
        <w:t>个月（以投标文件递交截止之日为期限）的投标人无需提供。</w:t>
      </w:r>
    </w:p>
    <w:p w14:paraId="47D5EF50">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二、依法缴纳税收和社会保障资金的相关材料</w:t>
      </w:r>
    </w:p>
    <w:p w14:paraId="6A617243">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2.1、依法缴纳税收的证明材料：</w:t>
      </w:r>
    </w:p>
    <w:p w14:paraId="5BFEC4A1">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投标人参加政府采购活动前一段时间（投标文件递交截止之日前六个月内任一个月）内缴纳税收的完税凭证（指各种完税证、缴款书、印花税票、扣（收）税凭证以及其他完税证明</w:t>
      </w:r>
      <w:r>
        <w:rPr>
          <w:rFonts w:hint="eastAsia" w:ascii="仿宋" w:hAnsi="仿宋" w:eastAsia="仿宋" w:cs="仿宋"/>
          <w:color w:val="auto"/>
          <w:szCs w:val="21"/>
          <w:highlight w:val="none"/>
          <w:shd w:val="clear" w:color="auto" w:fill="FFFFFF" w:themeFill="background1"/>
        </w:rPr>
        <w:t>，提供上述任意一种即可</w:t>
      </w:r>
      <w:r>
        <w:rPr>
          <w:rFonts w:hint="eastAsia" w:ascii="仿宋" w:hAnsi="仿宋" w:eastAsia="仿宋" w:cs="仿宋"/>
          <w:color w:val="auto"/>
          <w:spacing w:val="10"/>
          <w:szCs w:val="24"/>
          <w:highlight w:val="none"/>
          <w:shd w:val="clear" w:color="auto" w:fill="FFFFFF" w:themeFill="background1"/>
        </w:rPr>
        <w:t>）。</w:t>
      </w:r>
    </w:p>
    <w:p w14:paraId="26B2EC41">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2.2、依法缴纳社会保障资金的证明材料：</w:t>
      </w:r>
    </w:p>
    <w:p w14:paraId="6C9EBB07">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投标人参加政府采购活动前一段时间（投标文件递交截止之日前六个月内任一个月）内缴纳社会保险的凭据，其他组织和自然人也需要提供缴纳税收的凭据和缴纳社会保险的凭据。</w:t>
      </w:r>
    </w:p>
    <w:p w14:paraId="5C108C13">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2.3、依法免税或不需要缴纳社会保障资金的</w:t>
      </w:r>
      <w:r>
        <w:rPr>
          <w:rFonts w:hint="eastAsia" w:ascii="仿宋" w:hAnsi="仿宋" w:eastAsia="仿宋" w:cs="仿宋"/>
          <w:color w:val="auto"/>
          <w:spacing w:val="10"/>
          <w:szCs w:val="24"/>
          <w:highlight w:val="none"/>
          <w:shd w:val="clear" w:color="auto" w:fill="FFFFFF" w:themeFill="background1"/>
          <w:lang w:eastAsia="zh-CN"/>
        </w:rPr>
        <w:t>投标人</w:t>
      </w:r>
      <w:r>
        <w:rPr>
          <w:rFonts w:hint="eastAsia" w:ascii="仿宋" w:hAnsi="仿宋" w:eastAsia="仿宋" w:cs="仿宋"/>
          <w:color w:val="auto"/>
          <w:spacing w:val="10"/>
          <w:szCs w:val="24"/>
          <w:highlight w:val="none"/>
          <w:shd w:val="clear" w:color="auto" w:fill="FFFFFF" w:themeFill="background1"/>
        </w:rPr>
        <w:t>，应提供相应文件证明其依法免税或不需要缴纳社会保障资金。</w:t>
      </w:r>
    </w:p>
    <w:p w14:paraId="312F14D3">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三、注：</w:t>
      </w:r>
    </w:p>
    <w:p w14:paraId="65CE47A8">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3.1、如因有关主管部门政策调整，部分证明材料有所增减，以最新政策要求为准；</w:t>
      </w:r>
    </w:p>
    <w:p w14:paraId="68550847">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3.2、如</w:t>
      </w:r>
      <w:r>
        <w:rPr>
          <w:rFonts w:hint="eastAsia" w:ascii="仿宋" w:hAnsi="仿宋" w:eastAsia="仿宋" w:cs="仿宋"/>
          <w:color w:val="auto"/>
          <w:spacing w:val="10"/>
          <w:szCs w:val="24"/>
          <w:highlight w:val="none"/>
          <w:shd w:val="clear" w:color="auto" w:fill="FFFFFF" w:themeFill="background1"/>
          <w:lang w:eastAsia="zh-CN"/>
        </w:rPr>
        <w:t>投标人</w:t>
      </w:r>
      <w:r>
        <w:rPr>
          <w:rFonts w:hint="eastAsia" w:ascii="仿宋" w:hAnsi="仿宋" w:eastAsia="仿宋" w:cs="仿宋"/>
          <w:color w:val="auto"/>
          <w:spacing w:val="10"/>
          <w:szCs w:val="24"/>
          <w:highlight w:val="none"/>
          <w:shd w:val="clear" w:color="auto" w:fill="FFFFFF" w:themeFill="background1"/>
        </w:rPr>
        <w:t>所在地有关主管部门反馈的证明材料与本文中要求不一致时，以当地要求为准，但须</w:t>
      </w:r>
      <w:r>
        <w:rPr>
          <w:rFonts w:hint="eastAsia" w:ascii="仿宋" w:hAnsi="仿宋" w:eastAsia="仿宋" w:cs="仿宋"/>
          <w:color w:val="auto"/>
          <w:spacing w:val="10"/>
          <w:szCs w:val="24"/>
          <w:highlight w:val="none"/>
          <w:shd w:val="clear" w:color="auto" w:fill="FFFFFF" w:themeFill="background1"/>
          <w:lang w:eastAsia="zh-CN"/>
        </w:rPr>
        <w:t>投标人</w:t>
      </w:r>
      <w:r>
        <w:rPr>
          <w:rFonts w:hint="eastAsia" w:ascii="仿宋" w:hAnsi="仿宋" w:eastAsia="仿宋" w:cs="仿宋"/>
          <w:color w:val="auto"/>
          <w:spacing w:val="10"/>
          <w:szCs w:val="24"/>
          <w:highlight w:val="none"/>
          <w:shd w:val="clear" w:color="auto" w:fill="FFFFFF" w:themeFill="background1"/>
        </w:rPr>
        <w:t>提供文字说明。</w:t>
      </w:r>
    </w:p>
    <w:p w14:paraId="1A353648">
      <w:pPr>
        <w:spacing w:after="120" w:line="360" w:lineRule="auto"/>
        <w:ind w:firstLine="460" w:firstLineChars="200"/>
        <w:rPr>
          <w:rFonts w:hint="eastAsia" w:ascii="仿宋" w:hAnsi="仿宋" w:eastAsia="仿宋" w:cs="仿宋"/>
          <w:color w:val="auto"/>
          <w:spacing w:val="10"/>
          <w:szCs w:val="24"/>
          <w:highlight w:val="none"/>
          <w:shd w:val="clear" w:color="auto" w:fill="FFFFFF" w:themeFill="background1"/>
        </w:rPr>
      </w:pPr>
    </w:p>
    <w:p w14:paraId="3399B1A2">
      <w:pPr>
        <w:rPr>
          <w:rFonts w:hint="eastAsia" w:ascii="仿宋" w:hAnsi="仿宋" w:eastAsia="仿宋" w:cs="仿宋"/>
          <w:b/>
          <w:color w:val="auto"/>
          <w:sz w:val="24"/>
          <w:szCs w:val="24"/>
          <w:highlight w:val="none"/>
        </w:rPr>
      </w:pPr>
      <w:bookmarkStart w:id="215" w:name="_Toc141050517"/>
      <w:bookmarkStart w:id="216" w:name="_Toc130252624"/>
      <w:bookmarkStart w:id="217" w:name="_Toc28937"/>
      <w:bookmarkStart w:id="218" w:name="_Toc6527"/>
      <w:bookmarkStart w:id="219" w:name="_Toc22195"/>
      <w:bookmarkStart w:id="220" w:name="_Toc28756"/>
      <w:bookmarkStart w:id="221" w:name="_Toc24817"/>
      <w:bookmarkStart w:id="222" w:name="_Toc20521"/>
      <w:bookmarkStart w:id="223" w:name="_Toc128476880"/>
      <w:bookmarkStart w:id="224" w:name="_Toc29582"/>
      <w:bookmarkStart w:id="225" w:name="_Toc15267"/>
      <w:bookmarkStart w:id="226" w:name="_Toc8262"/>
      <w:bookmarkStart w:id="227" w:name="_Toc28397"/>
      <w:bookmarkStart w:id="228" w:name="_Toc113901851"/>
      <w:bookmarkStart w:id="229" w:name="_Toc3038"/>
      <w:bookmarkStart w:id="230" w:name="_Toc24943"/>
      <w:bookmarkStart w:id="231" w:name="_Toc6490"/>
      <w:bookmarkStart w:id="232" w:name="_Toc111556488"/>
      <w:r>
        <w:rPr>
          <w:rFonts w:hint="eastAsia" w:ascii="仿宋" w:hAnsi="仿宋" w:eastAsia="仿宋" w:cs="仿宋"/>
          <w:b/>
          <w:color w:val="auto"/>
          <w:sz w:val="24"/>
          <w:szCs w:val="24"/>
          <w:highlight w:val="none"/>
        </w:rPr>
        <w:br w:type="page"/>
      </w:r>
    </w:p>
    <w:p w14:paraId="35AA075A">
      <w:pPr>
        <w:tabs>
          <w:tab w:val="center" w:pos="4832"/>
          <w:tab w:val="left" w:pos="7140"/>
        </w:tabs>
        <w:spacing w:line="360" w:lineRule="auto"/>
        <w:jc w:val="center"/>
        <w:outlineLvl w:val="1"/>
        <w:rPr>
          <w:rFonts w:hint="eastAsia" w:ascii="仿宋" w:hAnsi="仿宋" w:eastAsia="仿宋" w:cs="仿宋"/>
          <w:b/>
          <w:color w:val="auto"/>
          <w:sz w:val="24"/>
          <w:szCs w:val="24"/>
          <w:highlight w:val="none"/>
        </w:rPr>
      </w:pPr>
      <w:bookmarkStart w:id="233" w:name="_Toc6917"/>
      <w:bookmarkStart w:id="234" w:name="_Toc16634"/>
      <w:bookmarkStart w:id="235" w:name="_Toc12094"/>
      <w:bookmarkStart w:id="236" w:name="_Toc14829"/>
      <w:bookmarkStart w:id="237" w:name="_Toc31926"/>
      <w:bookmarkStart w:id="238" w:name="_Toc22128"/>
      <w:bookmarkStart w:id="239" w:name="_Toc30845"/>
      <w:bookmarkStart w:id="240" w:name="_Toc22548"/>
      <w:bookmarkStart w:id="241" w:name="_Toc13146"/>
      <w:r>
        <w:rPr>
          <w:rFonts w:hint="eastAsia" w:ascii="仿宋" w:hAnsi="仿宋" w:eastAsia="仿宋" w:cs="仿宋"/>
          <w:b/>
          <w:color w:val="auto"/>
          <w:sz w:val="24"/>
          <w:szCs w:val="24"/>
          <w:highlight w:val="none"/>
          <w:lang w:val="en-US" w:eastAsia="zh-CN"/>
        </w:rPr>
        <w:t>8</w:t>
      </w:r>
      <w:r>
        <w:rPr>
          <w:rFonts w:hint="eastAsia" w:ascii="仿宋" w:hAnsi="仿宋" w:eastAsia="仿宋" w:cs="仿宋"/>
          <w:b/>
          <w:color w:val="auto"/>
          <w:sz w:val="24"/>
          <w:szCs w:val="24"/>
          <w:highlight w:val="none"/>
        </w:rPr>
        <w:t>.3 具备履行合同所必需的设备和专业技术能力的证明材料</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3"/>
      <w:bookmarkEnd w:id="234"/>
      <w:bookmarkEnd w:id="235"/>
      <w:bookmarkEnd w:id="236"/>
      <w:bookmarkEnd w:id="237"/>
      <w:bookmarkEnd w:id="238"/>
      <w:bookmarkEnd w:id="239"/>
      <w:bookmarkEnd w:id="240"/>
      <w:bookmarkEnd w:id="241"/>
    </w:p>
    <w:p w14:paraId="4E1418A4">
      <w:pPr>
        <w:spacing w:line="360" w:lineRule="auto"/>
        <w:jc w:val="center"/>
        <w:rPr>
          <w:rFonts w:hint="eastAsia" w:ascii="仿宋" w:hAnsi="仿宋" w:eastAsia="仿宋" w:cs="仿宋"/>
          <w:b/>
          <w:color w:val="auto"/>
          <w:sz w:val="24"/>
          <w:szCs w:val="24"/>
          <w:highlight w:val="none"/>
        </w:rPr>
      </w:pPr>
    </w:p>
    <w:p w14:paraId="51AEEEF0">
      <w:pPr>
        <w:spacing w:line="360" w:lineRule="auto"/>
        <w:jc w:val="center"/>
        <w:rPr>
          <w:rFonts w:hint="eastAsia" w:ascii="仿宋" w:hAnsi="仿宋" w:eastAsia="仿宋" w:cs="仿宋"/>
          <w:b/>
          <w:color w:val="auto"/>
          <w:sz w:val="24"/>
          <w:szCs w:val="24"/>
          <w:highlight w:val="none"/>
        </w:rPr>
      </w:pPr>
    </w:p>
    <w:p w14:paraId="526F3CD1">
      <w:pPr>
        <w:spacing w:line="360" w:lineRule="auto"/>
        <w:jc w:val="center"/>
        <w:rPr>
          <w:rFonts w:hint="eastAsia" w:ascii="仿宋" w:hAnsi="仿宋" w:eastAsia="仿宋" w:cs="仿宋"/>
          <w:b/>
          <w:color w:val="auto"/>
          <w:sz w:val="24"/>
          <w:szCs w:val="24"/>
          <w:highlight w:val="none"/>
        </w:rPr>
      </w:pPr>
    </w:p>
    <w:p w14:paraId="1D9089E7">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具有履行合同所必需的设备和专业技术能力的承诺</w:t>
      </w:r>
      <w:bookmarkEnd w:id="232"/>
      <w:r>
        <w:rPr>
          <w:rFonts w:hint="eastAsia" w:ascii="仿宋" w:hAnsi="仿宋" w:eastAsia="仿宋" w:cs="仿宋"/>
          <w:b/>
          <w:color w:val="auto"/>
          <w:sz w:val="24"/>
          <w:szCs w:val="24"/>
          <w:highlight w:val="none"/>
        </w:rPr>
        <w:t>函</w:t>
      </w:r>
    </w:p>
    <w:p w14:paraId="1AFB4AF6">
      <w:pPr>
        <w:adjustRightInd w:val="0"/>
        <w:snapToGrid w:val="0"/>
        <w:spacing w:line="360" w:lineRule="auto"/>
        <w:ind w:firstLine="480" w:firstLineChars="200"/>
        <w:jc w:val="center"/>
        <w:rPr>
          <w:rFonts w:hint="eastAsia" w:ascii="仿宋" w:hAnsi="仿宋" w:eastAsia="仿宋" w:cs="仿宋"/>
          <w:color w:val="auto"/>
          <w:sz w:val="24"/>
          <w:szCs w:val="24"/>
          <w:highlight w:val="none"/>
        </w:rPr>
      </w:pPr>
    </w:p>
    <w:p w14:paraId="404E18E8">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（采购人名称）</w:t>
      </w:r>
    </w:p>
    <w:p w14:paraId="13DB202C">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p>
    <w:p w14:paraId="4BB89F5F">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我单位郑重承诺： </w:t>
      </w:r>
    </w:p>
    <w:p w14:paraId="2B14B290">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我单位具备履行</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项目名称</w:t>
      </w:r>
      <w:r>
        <w:rPr>
          <w:rFonts w:hint="eastAsia" w:ascii="仿宋" w:hAnsi="仿宋" w:eastAsia="仿宋" w:cs="仿宋"/>
          <w:color w:val="auto"/>
          <w:kern w:val="0"/>
          <w:sz w:val="24"/>
          <w:szCs w:val="24"/>
          <w:highlight w:val="none"/>
        </w:rPr>
        <w:t>）合同所必需的设备和专业技术能力；</w:t>
      </w:r>
    </w:p>
    <w:p w14:paraId="0918A2CA">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特此承诺。 </w:t>
      </w:r>
    </w:p>
    <w:p w14:paraId="607ABC8A">
      <w:pPr>
        <w:autoSpaceDE w:val="0"/>
        <w:autoSpaceDN w:val="0"/>
        <w:adjustRightInd w:val="0"/>
        <w:spacing w:line="360" w:lineRule="auto"/>
        <w:jc w:val="left"/>
        <w:rPr>
          <w:rFonts w:hint="eastAsia" w:ascii="仿宋" w:hAnsi="仿宋" w:eastAsia="仿宋" w:cs="仿宋"/>
          <w:color w:val="auto"/>
          <w:kern w:val="0"/>
          <w:sz w:val="24"/>
          <w:szCs w:val="24"/>
          <w:highlight w:val="none"/>
        </w:rPr>
      </w:pPr>
    </w:p>
    <w:p w14:paraId="395B094F">
      <w:pPr>
        <w:autoSpaceDE w:val="0"/>
        <w:autoSpaceDN w:val="0"/>
        <w:adjustRightInd w:val="0"/>
        <w:spacing w:line="360" w:lineRule="auto"/>
        <w:jc w:val="left"/>
        <w:rPr>
          <w:rFonts w:hint="eastAsia" w:ascii="仿宋" w:hAnsi="仿宋" w:eastAsia="仿宋" w:cs="仿宋"/>
          <w:color w:val="auto"/>
          <w:kern w:val="0"/>
          <w:sz w:val="24"/>
          <w:szCs w:val="24"/>
          <w:highlight w:val="none"/>
        </w:rPr>
      </w:pPr>
    </w:p>
    <w:p w14:paraId="1B703FFD">
      <w:pPr>
        <w:autoSpaceDE w:val="0"/>
        <w:autoSpaceDN w:val="0"/>
        <w:adjustRightInd w:val="0"/>
        <w:spacing w:line="360" w:lineRule="auto"/>
        <w:jc w:val="left"/>
        <w:rPr>
          <w:rFonts w:hint="eastAsia" w:ascii="仿宋" w:hAnsi="仿宋" w:eastAsia="仿宋" w:cs="仿宋"/>
          <w:color w:val="auto"/>
          <w:kern w:val="0"/>
          <w:sz w:val="24"/>
          <w:szCs w:val="24"/>
          <w:highlight w:val="none"/>
        </w:rPr>
      </w:pPr>
    </w:p>
    <w:p w14:paraId="249B7F58">
      <w:pPr>
        <w:autoSpaceDE w:val="0"/>
        <w:autoSpaceDN w:val="0"/>
        <w:adjustRightInd w:val="0"/>
        <w:spacing w:line="360" w:lineRule="auto"/>
        <w:jc w:val="left"/>
        <w:rPr>
          <w:rFonts w:hint="eastAsia" w:ascii="仿宋" w:hAnsi="仿宋" w:eastAsia="仿宋" w:cs="仿宋"/>
          <w:color w:val="auto"/>
          <w:kern w:val="0"/>
          <w:sz w:val="24"/>
          <w:szCs w:val="24"/>
          <w:highlight w:val="none"/>
        </w:rPr>
      </w:pPr>
    </w:p>
    <w:p w14:paraId="32DE6FDD">
      <w:pPr>
        <w:widowControl/>
        <w:shd w:val="clear" w:color="auto" w:fill="FFFFFF"/>
        <w:snapToGri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4F6A2A2C">
      <w:pPr>
        <w:widowControl/>
        <w:shd w:val="clear" w:color="auto" w:fill="FFFFFF"/>
        <w:snapToGrid w:val="0"/>
        <w:spacing w:line="360" w:lineRule="auto"/>
        <w:jc w:val="left"/>
        <w:rPr>
          <w:rFonts w:hint="eastAsia" w:ascii="仿宋" w:hAnsi="仿宋" w:eastAsia="仿宋" w:cs="仿宋"/>
          <w:color w:val="auto"/>
          <w:kern w:val="0"/>
          <w:sz w:val="24"/>
          <w:szCs w:val="24"/>
          <w:highlight w:val="none"/>
        </w:rPr>
      </w:pPr>
    </w:p>
    <w:p w14:paraId="496CF567">
      <w:pPr>
        <w:widowControl/>
        <w:shd w:val="clear" w:color="auto" w:fill="FFFFFF"/>
        <w:snapToGrid w:val="0"/>
        <w:spacing w:line="360" w:lineRule="auto"/>
        <w:jc w:val="left"/>
        <w:rPr>
          <w:rFonts w:hint="eastAsia" w:ascii="仿宋" w:hAnsi="仿宋" w:eastAsia="仿宋" w:cs="仿宋"/>
          <w:color w:val="auto"/>
          <w:kern w:val="0"/>
          <w:sz w:val="24"/>
          <w:szCs w:val="24"/>
          <w:highlight w:val="none"/>
        </w:rPr>
      </w:pPr>
    </w:p>
    <w:p w14:paraId="4F914E2A">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日期： 年  月  日</w:t>
      </w:r>
    </w:p>
    <w:p w14:paraId="5840E5F1">
      <w:pPr>
        <w:adjustRightInd w:val="0"/>
        <w:snapToGrid w:val="0"/>
        <w:spacing w:line="360" w:lineRule="auto"/>
        <w:rPr>
          <w:rFonts w:hint="eastAsia" w:ascii="仿宋" w:hAnsi="仿宋" w:eastAsia="仿宋" w:cs="仿宋"/>
          <w:bCs/>
          <w:color w:val="auto"/>
          <w:sz w:val="24"/>
          <w:szCs w:val="24"/>
          <w:highlight w:val="none"/>
        </w:rPr>
      </w:pPr>
    </w:p>
    <w:p w14:paraId="60AAE4A8">
      <w:pPr>
        <w:spacing w:line="360" w:lineRule="auto"/>
        <w:rPr>
          <w:rFonts w:hint="eastAsia" w:ascii="仿宋" w:hAnsi="仿宋" w:eastAsia="仿宋" w:cs="仿宋"/>
          <w:color w:val="auto"/>
          <w:sz w:val="24"/>
          <w:szCs w:val="24"/>
          <w:highlight w:val="none"/>
        </w:rPr>
      </w:pPr>
    </w:p>
    <w:p w14:paraId="3A97193D">
      <w:pPr>
        <w:spacing w:line="360" w:lineRule="auto"/>
        <w:rPr>
          <w:rFonts w:hint="eastAsia" w:ascii="仿宋" w:hAnsi="仿宋" w:eastAsia="仿宋" w:cs="仿宋"/>
          <w:color w:val="auto"/>
          <w:sz w:val="24"/>
          <w:szCs w:val="24"/>
          <w:highlight w:val="none"/>
        </w:rPr>
      </w:pPr>
    </w:p>
    <w:p w14:paraId="576FDC27">
      <w:pPr>
        <w:spacing w:line="360" w:lineRule="auto"/>
        <w:rPr>
          <w:rFonts w:hint="eastAsia" w:ascii="仿宋" w:hAnsi="仿宋" w:eastAsia="仿宋" w:cs="仿宋"/>
          <w:color w:val="auto"/>
          <w:sz w:val="24"/>
          <w:szCs w:val="24"/>
          <w:highlight w:val="none"/>
        </w:rPr>
      </w:pPr>
    </w:p>
    <w:p w14:paraId="3026A1F9">
      <w:pPr>
        <w:spacing w:line="360" w:lineRule="auto"/>
        <w:rPr>
          <w:rFonts w:hint="eastAsia" w:ascii="仿宋" w:hAnsi="仿宋" w:eastAsia="仿宋" w:cs="仿宋"/>
          <w:color w:val="auto"/>
          <w:sz w:val="24"/>
          <w:szCs w:val="24"/>
          <w:highlight w:val="none"/>
        </w:rPr>
      </w:pPr>
    </w:p>
    <w:p w14:paraId="65DAD9FE">
      <w:pPr>
        <w:spacing w:line="360" w:lineRule="auto"/>
        <w:rPr>
          <w:rFonts w:hint="eastAsia" w:ascii="仿宋" w:hAnsi="仿宋" w:eastAsia="仿宋" w:cs="仿宋"/>
          <w:color w:val="auto"/>
          <w:sz w:val="24"/>
          <w:szCs w:val="24"/>
          <w:highlight w:val="none"/>
        </w:rPr>
      </w:pPr>
    </w:p>
    <w:p w14:paraId="45B10340">
      <w:pPr>
        <w:spacing w:line="360" w:lineRule="auto"/>
        <w:rPr>
          <w:rFonts w:hint="eastAsia" w:ascii="仿宋" w:hAnsi="仿宋" w:eastAsia="仿宋" w:cs="仿宋"/>
          <w:color w:val="auto"/>
          <w:sz w:val="24"/>
          <w:szCs w:val="24"/>
          <w:highlight w:val="none"/>
        </w:rPr>
      </w:pPr>
    </w:p>
    <w:p w14:paraId="0A335200">
      <w:pPr>
        <w:tabs>
          <w:tab w:val="center" w:pos="4832"/>
          <w:tab w:val="left" w:pos="7140"/>
        </w:tabs>
        <w:spacing w:line="360" w:lineRule="auto"/>
        <w:jc w:val="center"/>
        <w:outlineLvl w:val="1"/>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br w:type="page"/>
      </w:r>
      <w:bookmarkStart w:id="242" w:name="_Toc130252625"/>
      <w:bookmarkStart w:id="243" w:name="_Toc1561"/>
      <w:bookmarkStart w:id="244" w:name="_Toc11392"/>
      <w:bookmarkStart w:id="245" w:name="_Toc141050518"/>
      <w:bookmarkStart w:id="246" w:name="_Toc29127"/>
      <w:bookmarkStart w:id="247" w:name="_Toc5472"/>
      <w:bookmarkStart w:id="248" w:name="_Toc9960"/>
      <w:bookmarkStart w:id="249" w:name="_Toc1350"/>
      <w:bookmarkStart w:id="250" w:name="_Toc18019"/>
      <w:bookmarkStart w:id="251" w:name="_Toc19260"/>
      <w:bookmarkStart w:id="252" w:name="_Toc12824"/>
      <w:bookmarkStart w:id="253" w:name="_Toc18553"/>
      <w:bookmarkStart w:id="254" w:name="_Toc12742"/>
      <w:bookmarkStart w:id="255" w:name="_Toc154"/>
      <w:bookmarkStart w:id="256" w:name="_Toc16035"/>
      <w:bookmarkStart w:id="257" w:name="_Toc31613"/>
      <w:bookmarkStart w:id="258" w:name="_Toc17656"/>
      <w:bookmarkStart w:id="259" w:name="_Toc113901852"/>
      <w:bookmarkStart w:id="260" w:name="_Toc12060"/>
      <w:bookmarkStart w:id="261" w:name="_Toc14597"/>
      <w:bookmarkStart w:id="262" w:name="_Toc32606"/>
      <w:bookmarkStart w:id="263" w:name="_Toc27933"/>
      <w:bookmarkStart w:id="264" w:name="_Toc128476881"/>
      <w:bookmarkStart w:id="265" w:name="_Toc24529"/>
      <w:bookmarkStart w:id="266" w:name="_Toc9901"/>
      <w:bookmarkStart w:id="267" w:name="_Toc26981"/>
      <w:bookmarkStart w:id="268" w:name="_Toc111556490"/>
      <w:r>
        <w:rPr>
          <w:rFonts w:hint="eastAsia" w:ascii="仿宋" w:hAnsi="仿宋" w:eastAsia="仿宋" w:cs="仿宋"/>
          <w:b/>
          <w:color w:val="auto"/>
          <w:sz w:val="24"/>
          <w:szCs w:val="24"/>
          <w:highlight w:val="none"/>
          <w:lang w:val="en-US" w:eastAsia="zh-CN"/>
        </w:rPr>
        <w:t>8</w:t>
      </w:r>
      <w:r>
        <w:rPr>
          <w:rFonts w:hint="eastAsia" w:ascii="仿宋" w:hAnsi="仿宋" w:eastAsia="仿宋" w:cs="仿宋"/>
          <w:b/>
          <w:color w:val="auto"/>
          <w:sz w:val="24"/>
          <w:szCs w:val="24"/>
          <w:highlight w:val="none"/>
        </w:rPr>
        <w:t>.4 参加政府采购活动前3年内在经营活动中没有重大违法记录的书面声明</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bookmarkEnd w:id="268"/>
    <w:p w14:paraId="7B26FBFE">
      <w:pPr>
        <w:widowControl/>
        <w:adjustRightInd w:val="0"/>
        <w:snapToGrid w:val="0"/>
        <w:spacing w:line="360" w:lineRule="auto"/>
        <w:rPr>
          <w:rFonts w:hint="eastAsia" w:ascii="仿宋" w:hAnsi="仿宋" w:eastAsia="仿宋" w:cs="仿宋"/>
          <w:color w:val="auto"/>
          <w:sz w:val="24"/>
          <w:szCs w:val="24"/>
          <w:highlight w:val="none"/>
        </w:rPr>
      </w:pPr>
    </w:p>
    <w:p w14:paraId="65630E1C">
      <w:pPr>
        <w:widowControl/>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参加政府采购活动前3年内在经营活动中没有重大违法记录的书面声明</w:t>
      </w:r>
    </w:p>
    <w:p w14:paraId="0B39696B">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p>
    <w:p w14:paraId="4E6D1B5E">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（采购人名称）</w:t>
      </w:r>
    </w:p>
    <w:p w14:paraId="7FE09689">
      <w:pPr>
        <w:adjustRightInd w:val="0"/>
        <w:snapToGrid w:val="0"/>
        <w:spacing w:line="360" w:lineRule="auto"/>
        <w:ind w:firstLine="480" w:firstLineChars="200"/>
        <w:rPr>
          <w:rFonts w:hint="eastAsia" w:ascii="仿宋" w:hAnsi="仿宋" w:eastAsia="仿宋" w:cs="仿宋"/>
          <w:color w:val="auto"/>
          <w:sz w:val="24"/>
          <w:szCs w:val="24"/>
          <w:highlight w:val="none"/>
        </w:rPr>
      </w:pPr>
    </w:p>
    <w:p w14:paraId="54DA2034">
      <w:pPr>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我单位在参与</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lang w:eastAsia="zh-CN"/>
        </w:rPr>
        <w:t>项目名称</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rPr>
        <w:t>前三年内（以</w:t>
      </w:r>
      <w:r>
        <w:rPr>
          <w:rFonts w:hint="eastAsia" w:ascii="仿宋" w:hAnsi="仿宋" w:eastAsia="仿宋" w:cs="仿宋"/>
          <w:color w:val="auto"/>
          <w:sz w:val="24"/>
          <w:szCs w:val="24"/>
          <w:highlight w:val="none"/>
        </w:rPr>
        <w:t>投标文件递交截止之日为期限</w:t>
      </w:r>
      <w:r>
        <w:rPr>
          <w:rFonts w:hint="eastAsia" w:ascii="仿宋" w:hAnsi="仿宋" w:eastAsia="仿宋" w:cs="仿宋"/>
          <w:color w:val="auto"/>
          <w:kern w:val="0"/>
          <w:sz w:val="24"/>
          <w:szCs w:val="24"/>
          <w:highlight w:val="none"/>
        </w:rPr>
        <w:t>）在经营活动中没有重大违法记录。</w:t>
      </w:r>
    </w:p>
    <w:p w14:paraId="6A8914B7">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若贵方在本项目采购过程中发现我方参加政府采购活动前三年内有重大违法记录；</w:t>
      </w:r>
      <w:r>
        <w:rPr>
          <w:rFonts w:hint="eastAsia" w:ascii="仿宋" w:hAnsi="仿宋" w:eastAsia="仿宋" w:cs="仿宋"/>
          <w:color w:val="auto"/>
          <w:kern w:val="0"/>
          <w:sz w:val="24"/>
          <w:szCs w:val="24"/>
          <w:highlight w:val="none"/>
        </w:rPr>
        <w:t>我单位</w:t>
      </w:r>
      <w:r>
        <w:rPr>
          <w:rFonts w:hint="eastAsia" w:ascii="仿宋" w:hAnsi="仿宋" w:eastAsia="仿宋" w:cs="仿宋"/>
          <w:color w:val="auto"/>
          <w:sz w:val="24"/>
          <w:szCs w:val="24"/>
          <w:highlight w:val="none"/>
        </w:rPr>
        <w:t>将无条件退出本项目的投标，并承担因此引起的一切后果。我方对此声明负全部法律责任。</w:t>
      </w:r>
    </w:p>
    <w:p w14:paraId="00C6CD1A">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特此声明！</w:t>
      </w:r>
    </w:p>
    <w:p w14:paraId="1C00DEBF">
      <w:pPr>
        <w:adjustRightInd w:val="0"/>
        <w:snapToGrid w:val="0"/>
        <w:spacing w:line="360" w:lineRule="auto"/>
        <w:ind w:firstLine="480" w:firstLineChars="200"/>
        <w:rPr>
          <w:rFonts w:hint="eastAsia" w:ascii="仿宋" w:hAnsi="仿宋" w:eastAsia="仿宋" w:cs="仿宋"/>
          <w:color w:val="auto"/>
          <w:sz w:val="24"/>
          <w:szCs w:val="24"/>
          <w:highlight w:val="none"/>
        </w:rPr>
      </w:pPr>
    </w:p>
    <w:p w14:paraId="261F0BE6">
      <w:pPr>
        <w:adjustRightInd w:val="0"/>
        <w:snapToGrid w:val="0"/>
        <w:spacing w:line="360" w:lineRule="auto"/>
        <w:ind w:firstLine="480" w:firstLineChars="200"/>
        <w:rPr>
          <w:rFonts w:hint="eastAsia" w:ascii="仿宋" w:hAnsi="仿宋" w:eastAsia="仿宋" w:cs="仿宋"/>
          <w:color w:val="auto"/>
          <w:sz w:val="24"/>
          <w:szCs w:val="24"/>
          <w:highlight w:val="none"/>
        </w:rPr>
      </w:pPr>
    </w:p>
    <w:p w14:paraId="423C376B">
      <w:pPr>
        <w:adjustRightInd w:val="0"/>
        <w:snapToGrid w:val="0"/>
        <w:spacing w:line="360" w:lineRule="auto"/>
        <w:ind w:firstLine="42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备注：</w:t>
      </w:r>
    </w:p>
    <w:p w14:paraId="5B1CC9CC">
      <w:pPr>
        <w:adjustRightInd w:val="0"/>
        <w:snapToGrid w:val="0"/>
        <w:spacing w:line="360" w:lineRule="auto"/>
        <w:ind w:firstLine="420" w:firstLineChars="200"/>
        <w:rPr>
          <w:rFonts w:hint="eastAsia" w:ascii="仿宋" w:hAnsi="仿宋" w:eastAsia="仿宋" w:cs="仿宋"/>
          <w:color w:val="auto"/>
          <w:sz w:val="24"/>
          <w:szCs w:val="24"/>
          <w:highlight w:val="none"/>
        </w:rPr>
      </w:pPr>
      <w:r>
        <w:rPr>
          <w:rFonts w:hint="eastAsia" w:ascii="仿宋" w:hAnsi="仿宋" w:eastAsia="仿宋" w:cs="仿宋"/>
          <w:color w:val="auto"/>
          <w:szCs w:val="24"/>
          <w:highlight w:val="none"/>
        </w:rPr>
        <w:t>若投标人在投标文件递交截止之日成立时间不足三年，以自成立以来的时间计取。</w:t>
      </w:r>
    </w:p>
    <w:p w14:paraId="4B3DADCD">
      <w:pPr>
        <w:adjustRightInd w:val="0"/>
        <w:snapToGrid w:val="0"/>
        <w:spacing w:line="360" w:lineRule="auto"/>
        <w:ind w:firstLine="480" w:firstLineChars="200"/>
        <w:rPr>
          <w:rFonts w:hint="eastAsia" w:ascii="仿宋" w:hAnsi="仿宋" w:eastAsia="仿宋" w:cs="仿宋"/>
          <w:color w:val="auto"/>
          <w:kern w:val="0"/>
          <w:sz w:val="24"/>
          <w:szCs w:val="24"/>
          <w:highlight w:val="none"/>
        </w:rPr>
      </w:pPr>
    </w:p>
    <w:p w14:paraId="0D0C24EC">
      <w:pPr>
        <w:adjustRightInd w:val="0"/>
        <w:snapToGrid w:val="0"/>
        <w:spacing w:line="360" w:lineRule="auto"/>
        <w:ind w:firstLine="3112" w:firstLineChars="1297"/>
        <w:rPr>
          <w:rFonts w:hint="eastAsia" w:ascii="仿宋" w:hAnsi="仿宋" w:eastAsia="仿宋" w:cs="仿宋"/>
          <w:color w:val="auto"/>
          <w:sz w:val="24"/>
          <w:szCs w:val="24"/>
          <w:highlight w:val="none"/>
        </w:rPr>
      </w:pPr>
    </w:p>
    <w:p w14:paraId="261B3E9D">
      <w:pPr>
        <w:widowControl/>
        <w:shd w:val="clear" w:color="auto" w:fill="FFFFFF"/>
        <w:snapToGri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53253738">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rPr>
      </w:pPr>
    </w:p>
    <w:p w14:paraId="12067059">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rPr>
      </w:pPr>
    </w:p>
    <w:p w14:paraId="4D0F9561">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日期： 年  月  日</w:t>
      </w:r>
    </w:p>
    <w:p w14:paraId="2F6AD998">
      <w:pPr>
        <w:widowControl/>
        <w:shd w:val="clear" w:color="auto" w:fill="FFFFFF"/>
        <w:snapToGrid w:val="0"/>
        <w:spacing w:line="360" w:lineRule="auto"/>
        <w:ind w:firstLine="420"/>
        <w:rPr>
          <w:rFonts w:hint="eastAsia" w:ascii="仿宋" w:hAnsi="仿宋" w:eastAsia="仿宋" w:cs="仿宋"/>
          <w:color w:val="auto"/>
          <w:kern w:val="0"/>
          <w:sz w:val="24"/>
          <w:szCs w:val="24"/>
          <w:highlight w:val="none"/>
        </w:rPr>
      </w:pPr>
    </w:p>
    <w:p w14:paraId="53863443">
      <w:pPr>
        <w:tabs>
          <w:tab w:val="center" w:pos="4832"/>
          <w:tab w:val="left" w:pos="7140"/>
        </w:tabs>
        <w:spacing w:line="360" w:lineRule="auto"/>
        <w:jc w:val="center"/>
        <w:outlineLvl w:val="1"/>
        <w:rPr>
          <w:rFonts w:hint="eastAsia" w:ascii="仿宋" w:hAnsi="仿宋" w:eastAsia="仿宋" w:cs="仿宋"/>
          <w:b/>
          <w:color w:val="auto"/>
          <w:sz w:val="24"/>
          <w:szCs w:val="24"/>
          <w:highlight w:val="none"/>
        </w:rPr>
      </w:pPr>
      <w:r>
        <w:rPr>
          <w:rFonts w:hint="eastAsia" w:ascii="仿宋" w:hAnsi="仿宋" w:eastAsia="仿宋" w:cs="仿宋"/>
          <w:color w:val="auto"/>
          <w:kern w:val="0"/>
          <w:sz w:val="24"/>
          <w:szCs w:val="24"/>
          <w:highlight w:val="none"/>
        </w:rPr>
        <w:br w:type="page"/>
      </w:r>
      <w:bookmarkStart w:id="269" w:name="_Toc6424"/>
      <w:bookmarkStart w:id="270" w:name="_Toc8192"/>
      <w:bookmarkStart w:id="271" w:name="_Toc12590"/>
      <w:bookmarkStart w:id="272" w:name="_Toc9134"/>
      <w:bookmarkStart w:id="273" w:name="_Toc9385"/>
      <w:bookmarkStart w:id="274" w:name="_Toc13030"/>
      <w:bookmarkStart w:id="275" w:name="_Toc3183"/>
      <w:bookmarkStart w:id="276" w:name="_Toc8673"/>
      <w:bookmarkStart w:id="277" w:name="_Toc13701"/>
      <w:bookmarkStart w:id="278" w:name="_Toc130252626"/>
      <w:bookmarkStart w:id="279" w:name="_Toc14380"/>
      <w:bookmarkStart w:id="280" w:name="_Toc31144"/>
      <w:bookmarkStart w:id="281" w:name="_Toc25108"/>
      <w:bookmarkStart w:id="282" w:name="_Toc113901853"/>
      <w:bookmarkStart w:id="283" w:name="_Toc313"/>
      <w:bookmarkStart w:id="284" w:name="_Toc30447"/>
      <w:bookmarkStart w:id="285" w:name="_Toc128476882"/>
      <w:bookmarkStart w:id="286" w:name="_Toc4675"/>
      <w:bookmarkStart w:id="287" w:name="_Toc141050519"/>
      <w:bookmarkStart w:id="288" w:name="_Toc24660"/>
      <w:bookmarkStart w:id="289" w:name="_Toc11552"/>
      <w:bookmarkStart w:id="290" w:name="_Toc23676"/>
      <w:bookmarkStart w:id="291" w:name="_Toc25526"/>
      <w:bookmarkStart w:id="292" w:name="_Toc30930"/>
      <w:bookmarkStart w:id="293" w:name="_Toc17488"/>
      <w:bookmarkStart w:id="294" w:name="_Toc26082"/>
      <w:r>
        <w:rPr>
          <w:rFonts w:hint="eastAsia" w:ascii="仿宋" w:hAnsi="仿宋" w:eastAsia="仿宋" w:cs="仿宋"/>
          <w:b/>
          <w:color w:val="auto"/>
          <w:sz w:val="24"/>
          <w:szCs w:val="24"/>
          <w:highlight w:val="none"/>
          <w:lang w:val="en-US" w:eastAsia="zh-CN"/>
        </w:rPr>
        <w:t>8</w:t>
      </w:r>
      <w:r>
        <w:rPr>
          <w:rFonts w:hint="eastAsia" w:ascii="仿宋" w:hAnsi="仿宋" w:eastAsia="仿宋" w:cs="仿宋"/>
          <w:b/>
          <w:color w:val="auto"/>
          <w:sz w:val="24"/>
          <w:szCs w:val="24"/>
          <w:highlight w:val="none"/>
        </w:rPr>
        <w:t>.5 具备法律、行政法规规定的其他条件的证明材料</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3FD0712E">
      <w:pPr>
        <w:widowControl/>
        <w:adjustRightInd w:val="0"/>
        <w:snapToGrid w:val="0"/>
        <w:spacing w:line="360" w:lineRule="auto"/>
        <w:rPr>
          <w:rFonts w:hint="eastAsia" w:ascii="仿宋" w:hAnsi="仿宋" w:eastAsia="仿宋" w:cs="仿宋"/>
          <w:color w:val="auto"/>
          <w:sz w:val="24"/>
          <w:szCs w:val="24"/>
          <w:highlight w:val="none"/>
        </w:rPr>
      </w:pPr>
    </w:p>
    <w:p w14:paraId="1EB0026C">
      <w:pPr>
        <w:widowControl/>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一、国家有关主管部门的行政许可（如有时）。</w:t>
      </w:r>
    </w:p>
    <w:p w14:paraId="1D623404">
      <w:pPr>
        <w:widowControl/>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二、中小企业声明函/残疾人福利性单位声明函/监狱企业证明文件（如有时）。</w:t>
      </w:r>
    </w:p>
    <w:p w14:paraId="0BC6500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6886E2C4">
      <w:pPr>
        <w:widowControl/>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 xml:space="preserve">附件一、                  </w:t>
      </w:r>
    </w:p>
    <w:p w14:paraId="129F010E">
      <w:pPr>
        <w:spacing w:line="588" w:lineRule="exact"/>
        <w:jc w:val="center"/>
        <w:rPr>
          <w:rFonts w:hint="eastAsia" w:ascii="仿宋" w:hAnsi="仿宋" w:eastAsia="仿宋" w:cs="仿宋"/>
          <w:b/>
          <w:color w:val="auto"/>
          <w:spacing w:val="6"/>
          <w:sz w:val="24"/>
          <w:szCs w:val="24"/>
          <w:highlight w:val="none"/>
        </w:rPr>
      </w:pPr>
    </w:p>
    <w:p w14:paraId="4083A5A4">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color w:val="auto"/>
          <w:spacing w:val="6"/>
          <w:sz w:val="24"/>
          <w:szCs w:val="24"/>
          <w:highlight w:val="none"/>
          <w:shd w:val="clear" w:color="auto" w:fill="FFFFFF" w:themeFill="background1"/>
        </w:rPr>
      </w:pPr>
    </w:p>
    <w:p w14:paraId="4A2D8125">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color w:val="auto"/>
          <w:spacing w:val="6"/>
          <w:sz w:val="24"/>
          <w:szCs w:val="24"/>
          <w:highlight w:val="none"/>
          <w:shd w:val="clear" w:color="auto" w:fill="FFFFFF" w:themeFill="background1"/>
        </w:rPr>
      </w:pPr>
      <w:r>
        <w:rPr>
          <w:rFonts w:hint="eastAsia" w:ascii="仿宋" w:hAnsi="仿宋" w:eastAsia="仿宋" w:cs="仿宋"/>
          <w:b/>
          <w:color w:val="auto"/>
          <w:spacing w:val="6"/>
          <w:sz w:val="24"/>
          <w:szCs w:val="24"/>
          <w:highlight w:val="none"/>
          <w:shd w:val="clear" w:color="auto" w:fill="FFFFFF" w:themeFill="background1"/>
        </w:rPr>
        <w:t>中小企业声明函（工程、服务）</w:t>
      </w:r>
    </w:p>
    <w:p w14:paraId="04FF7632">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color w:val="auto"/>
          <w:spacing w:val="6"/>
          <w:sz w:val="24"/>
          <w:szCs w:val="24"/>
          <w:highlight w:val="none"/>
          <w:shd w:val="clear" w:color="auto" w:fill="FFFFFF" w:themeFill="background1"/>
        </w:rPr>
      </w:pPr>
    </w:p>
    <w:p w14:paraId="1B827860">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本公司（联合体）郑重声明，根据《政府采购促进中小企业发展管理办法》（财库﹝2020﹞46 号）的规定，本公司</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（联合体）</w:t>
      </w:r>
      <w:r>
        <w:rPr>
          <w:rFonts w:hint="eastAsia" w:ascii="仿宋" w:hAnsi="仿宋" w:eastAsia="仿宋" w:cs="仿宋"/>
          <w:color w:val="auto"/>
          <w:kern w:val="0"/>
          <w:sz w:val="24"/>
          <w:szCs w:val="24"/>
          <w:highlight w:val="none"/>
          <w:shd w:val="clear" w:color="auto" w:fill="FFFFFF" w:themeFill="background1"/>
        </w:rPr>
        <w:t>参加</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（单位名称）</w:t>
      </w:r>
      <w:r>
        <w:rPr>
          <w:rFonts w:hint="eastAsia" w:ascii="仿宋" w:hAnsi="仿宋" w:eastAsia="仿宋" w:cs="仿宋"/>
          <w:color w:val="auto"/>
          <w:kern w:val="0"/>
          <w:sz w:val="24"/>
          <w:szCs w:val="24"/>
          <w:highlight w:val="none"/>
          <w:shd w:val="clear" w:color="auto" w:fill="FFFFFF" w:themeFill="background1"/>
        </w:rPr>
        <w:t>的</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（项目名称）</w:t>
      </w:r>
      <w:r>
        <w:rPr>
          <w:rFonts w:hint="eastAsia" w:ascii="仿宋" w:hAnsi="仿宋" w:eastAsia="仿宋" w:cs="仿宋"/>
          <w:color w:val="auto"/>
          <w:kern w:val="0"/>
          <w:sz w:val="24"/>
          <w:szCs w:val="24"/>
          <w:highlight w:val="none"/>
          <w:shd w:val="clear" w:color="auto" w:fill="FFFFFF" w:themeFill="background1"/>
        </w:rPr>
        <w:t>采购活动，工程的施工单位全部为符合政策要求的中小企业（或者：服务全部由符合政策要求的中小企业承接）。相关企业（含联合体中的中小企业、签订分包意向协议的中小企业）的具体情况如下：</w:t>
      </w:r>
    </w:p>
    <w:p w14:paraId="2931FAB9">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1. </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（标的名称）</w:t>
      </w:r>
      <w:r>
        <w:rPr>
          <w:rFonts w:hint="eastAsia" w:ascii="仿宋" w:hAnsi="仿宋" w:eastAsia="仿宋" w:cs="仿宋"/>
          <w:color w:val="auto"/>
          <w:kern w:val="0"/>
          <w:sz w:val="24"/>
          <w:szCs w:val="24"/>
          <w:highlight w:val="none"/>
          <w:shd w:val="clear" w:color="auto" w:fill="FFFFFF" w:themeFill="background1"/>
        </w:rPr>
        <w:t xml:space="preserve"> ，属于</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（采购文件中明确的所属行业）</w:t>
      </w:r>
      <w:r>
        <w:rPr>
          <w:rFonts w:hint="eastAsia" w:ascii="仿宋" w:hAnsi="仿宋" w:eastAsia="仿宋" w:cs="仿宋"/>
          <w:color w:val="auto"/>
          <w:kern w:val="0"/>
          <w:sz w:val="24"/>
          <w:szCs w:val="24"/>
          <w:highlight w:val="none"/>
          <w:shd w:val="clear" w:color="auto" w:fill="FFFFFF" w:themeFill="background1"/>
        </w:rPr>
        <w:t>；承建（承接）企业为</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（企业名称）</w:t>
      </w:r>
      <w:r>
        <w:rPr>
          <w:rFonts w:hint="eastAsia" w:ascii="仿宋" w:hAnsi="仿宋" w:eastAsia="仿宋" w:cs="仿宋"/>
          <w:color w:val="auto"/>
          <w:kern w:val="0"/>
          <w:sz w:val="24"/>
          <w:szCs w:val="24"/>
          <w:highlight w:val="none"/>
          <w:shd w:val="clear" w:color="auto" w:fill="FFFFFF" w:themeFill="background1"/>
        </w:rPr>
        <w:t>，从业人员</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shd w:val="clear" w:color="auto" w:fill="FFFFFF" w:themeFill="background1"/>
        </w:rPr>
        <w:t>人，营业收入为</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shd w:val="clear" w:color="auto" w:fill="FFFFFF" w:themeFill="background1"/>
        </w:rPr>
        <w:t>万元，资产总额为</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shd w:val="clear" w:color="auto" w:fill="FFFFFF" w:themeFill="background1"/>
        </w:rPr>
        <w:t>万元，属于</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（中型企业、小型企业、微型企业</w:t>
      </w:r>
      <w:r>
        <w:rPr>
          <w:rFonts w:hint="eastAsia" w:ascii="仿宋" w:hAnsi="仿宋" w:eastAsia="仿宋" w:cs="仿宋"/>
          <w:color w:val="auto"/>
          <w:kern w:val="0"/>
          <w:sz w:val="24"/>
          <w:szCs w:val="24"/>
          <w:highlight w:val="none"/>
          <w:shd w:val="clear" w:color="auto" w:fill="FFFFFF" w:themeFill="background1"/>
        </w:rPr>
        <w:t>）；</w:t>
      </w:r>
    </w:p>
    <w:p w14:paraId="78FA3730">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2.  </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（标的名称）</w:t>
      </w:r>
      <w:r>
        <w:rPr>
          <w:rFonts w:hint="eastAsia" w:ascii="仿宋" w:hAnsi="仿宋" w:eastAsia="仿宋" w:cs="仿宋"/>
          <w:color w:val="auto"/>
          <w:kern w:val="0"/>
          <w:sz w:val="24"/>
          <w:szCs w:val="24"/>
          <w:highlight w:val="none"/>
          <w:shd w:val="clear" w:color="auto" w:fill="FFFFFF" w:themeFill="background1"/>
        </w:rPr>
        <w:t xml:space="preserve"> ，属于</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（采购文件中明确的所属行业）</w:t>
      </w:r>
      <w:r>
        <w:rPr>
          <w:rFonts w:hint="eastAsia" w:ascii="仿宋" w:hAnsi="仿宋" w:eastAsia="仿宋" w:cs="仿宋"/>
          <w:color w:val="auto"/>
          <w:kern w:val="0"/>
          <w:sz w:val="24"/>
          <w:szCs w:val="24"/>
          <w:highlight w:val="none"/>
          <w:shd w:val="clear" w:color="auto" w:fill="FFFFFF" w:themeFill="background1"/>
        </w:rPr>
        <w:t>；承建（承接）企业为</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（企业名称）</w:t>
      </w:r>
      <w:r>
        <w:rPr>
          <w:rFonts w:hint="eastAsia" w:ascii="仿宋" w:hAnsi="仿宋" w:eastAsia="仿宋" w:cs="仿宋"/>
          <w:color w:val="auto"/>
          <w:kern w:val="0"/>
          <w:sz w:val="24"/>
          <w:szCs w:val="24"/>
          <w:highlight w:val="none"/>
          <w:shd w:val="clear" w:color="auto" w:fill="FFFFFF" w:themeFill="background1"/>
        </w:rPr>
        <w:t>，从业人员</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shd w:val="clear" w:color="auto" w:fill="FFFFFF" w:themeFill="background1"/>
        </w:rPr>
        <w:t>人，营业收入为</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shd w:val="clear" w:color="auto" w:fill="FFFFFF" w:themeFill="background1"/>
        </w:rPr>
        <w:t>万元，资产总额为</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shd w:val="clear" w:color="auto" w:fill="FFFFFF" w:themeFill="background1"/>
        </w:rPr>
        <w:t>万元，属于</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（中型企业、小型企业、微型企业</w:t>
      </w:r>
      <w:r>
        <w:rPr>
          <w:rFonts w:hint="eastAsia" w:ascii="仿宋" w:hAnsi="仿宋" w:eastAsia="仿宋" w:cs="仿宋"/>
          <w:color w:val="auto"/>
          <w:kern w:val="0"/>
          <w:sz w:val="24"/>
          <w:szCs w:val="24"/>
          <w:highlight w:val="none"/>
          <w:shd w:val="clear" w:color="auto" w:fill="FFFFFF" w:themeFill="background1"/>
        </w:rPr>
        <w:t>）；</w:t>
      </w:r>
    </w:p>
    <w:p w14:paraId="32354ABD">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w:t>
      </w:r>
    </w:p>
    <w:p w14:paraId="3F3CDEBD">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以上企业，不属于大企业的分支机构，不存在控股股东为大企业的情形，也不存在与大企业的负责人为同一人的情形。</w:t>
      </w:r>
    </w:p>
    <w:p w14:paraId="0D20FDB8">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本企业对上述声明内容的真实性负责。如有虚假，将依法承担相应责任。</w:t>
      </w:r>
    </w:p>
    <w:p w14:paraId="330832B3">
      <w:pPr>
        <w:keepLines w:val="0"/>
        <w:pageBreakBefore w:val="0"/>
        <w:kinsoku/>
        <w:overflowPunct/>
        <w:topLinePunct w:val="0"/>
        <w:bidi w:val="0"/>
        <w:spacing w:beforeAutospacing="0" w:afterAutospacing="0" w:line="360" w:lineRule="auto"/>
        <w:ind w:firstLine="480" w:firstLineChars="200"/>
        <w:jc w:val="right"/>
        <w:textAlignment w:val="auto"/>
        <w:rPr>
          <w:rFonts w:hint="eastAsia" w:ascii="仿宋" w:hAnsi="仿宋" w:eastAsia="仿宋" w:cs="仿宋"/>
          <w:color w:val="auto"/>
          <w:kern w:val="0"/>
          <w:sz w:val="24"/>
          <w:szCs w:val="24"/>
          <w:highlight w:val="none"/>
          <w:shd w:val="clear" w:color="auto" w:fill="FFFFFF" w:themeFill="background1"/>
        </w:rPr>
      </w:pPr>
    </w:p>
    <w:p w14:paraId="3CEB9419">
      <w:pPr>
        <w:keepLines w:val="0"/>
        <w:pageBreakBefore w:val="0"/>
        <w:kinsoku/>
        <w:overflowPunct/>
        <w:topLinePunct w:val="0"/>
        <w:bidi w:val="0"/>
        <w:spacing w:beforeAutospacing="0" w:afterAutospacing="0" w:line="360" w:lineRule="auto"/>
        <w:ind w:firstLine="480" w:firstLineChars="200"/>
        <w:jc w:val="center"/>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val="en-US" w:eastAsia="zh-CN"/>
        </w:rPr>
        <w:t xml:space="preserve">                      </w:t>
      </w:r>
      <w:r>
        <w:rPr>
          <w:rFonts w:hint="eastAsia" w:ascii="仿宋" w:hAnsi="仿宋" w:eastAsia="仿宋" w:cs="仿宋"/>
          <w:color w:val="auto"/>
          <w:kern w:val="0"/>
          <w:sz w:val="24"/>
          <w:szCs w:val="24"/>
          <w:highlight w:val="none"/>
          <w:shd w:val="clear" w:color="auto" w:fill="FFFFFF" w:themeFill="background1"/>
        </w:rPr>
        <w:t>企业名称（盖章）：</w:t>
      </w:r>
    </w:p>
    <w:p w14:paraId="0572A425">
      <w:pPr>
        <w:keepLines w:val="0"/>
        <w:pageBreakBefore w:val="0"/>
        <w:kinsoku/>
        <w:overflowPunct/>
        <w:topLinePunct w:val="0"/>
        <w:bidi w:val="0"/>
        <w:spacing w:beforeAutospacing="0" w:afterAutospacing="0" w:line="360" w:lineRule="auto"/>
        <w:ind w:right="480" w:firstLine="480" w:firstLineChars="200"/>
        <w:jc w:val="center"/>
        <w:textAlignment w:val="auto"/>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val="en-US" w:eastAsia="zh-CN"/>
        </w:rPr>
        <w:t xml:space="preserve">             </w:t>
      </w:r>
      <w:r>
        <w:rPr>
          <w:rFonts w:hint="eastAsia" w:ascii="仿宋" w:hAnsi="仿宋" w:eastAsia="仿宋" w:cs="仿宋"/>
          <w:color w:val="auto"/>
          <w:kern w:val="0"/>
          <w:sz w:val="24"/>
          <w:szCs w:val="24"/>
          <w:highlight w:val="none"/>
          <w:shd w:val="clear" w:color="auto" w:fill="FFFFFF" w:themeFill="background1"/>
        </w:rPr>
        <w:t>日期：</w:t>
      </w:r>
    </w:p>
    <w:p w14:paraId="004503E5">
      <w:pPr>
        <w:keepLines w:val="0"/>
        <w:pageBreakBefore w:val="0"/>
        <w:kinsoku/>
        <w:overflowPunct/>
        <w:topLinePunct w:val="0"/>
        <w:bidi w:val="0"/>
        <w:spacing w:beforeAutospacing="0" w:afterAutospacing="0" w:line="360" w:lineRule="auto"/>
        <w:textAlignment w:val="auto"/>
        <w:rPr>
          <w:rFonts w:hint="eastAsia" w:ascii="仿宋" w:hAnsi="仿宋" w:eastAsia="仿宋" w:cs="仿宋"/>
          <w:color w:val="auto"/>
          <w:kern w:val="0"/>
          <w:sz w:val="24"/>
          <w:szCs w:val="24"/>
          <w:highlight w:val="none"/>
          <w:shd w:val="clear" w:color="auto" w:fill="FFFFFF" w:themeFill="background1"/>
        </w:rPr>
      </w:pPr>
    </w:p>
    <w:p w14:paraId="5DEF44BA">
      <w:pPr>
        <w:keepLines w:val="0"/>
        <w:pageBreakBefore w:val="0"/>
        <w:kinsoku/>
        <w:overflowPunct/>
        <w:topLinePunct w:val="0"/>
        <w:bidi w:val="0"/>
        <w:spacing w:beforeAutospacing="0" w:afterAutospacing="0" w:line="36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4"/>
          <w:szCs w:val="24"/>
          <w:highlight w:val="none"/>
          <w:shd w:val="clear" w:color="auto" w:fill="FFFFFF" w:themeFill="background1"/>
        </w:rPr>
        <w:t>注：人员、营业收入、资产总额填报上一年度数据，无上一年度数据的新成立企业可不填报。</w:t>
      </w:r>
      <w:r>
        <w:rPr>
          <w:rFonts w:hint="eastAsia" w:ascii="仿宋" w:hAnsi="仿宋" w:eastAsia="仿宋" w:cs="仿宋"/>
          <w:color w:val="auto"/>
          <w:highlight w:val="none"/>
        </w:rPr>
        <w:br w:type="page"/>
      </w:r>
    </w:p>
    <w:p w14:paraId="3DCC91F3">
      <w:pPr>
        <w:spacing w:line="588" w:lineRule="exact"/>
        <w:rPr>
          <w:rFonts w:hint="eastAsia" w:ascii="仿宋" w:hAnsi="仿宋" w:eastAsia="仿宋" w:cs="仿宋"/>
          <w:color w:val="auto"/>
          <w:spacing w:val="6"/>
          <w:sz w:val="24"/>
          <w:szCs w:val="24"/>
          <w:highlight w:val="none"/>
        </w:rPr>
      </w:pPr>
      <w:r>
        <w:rPr>
          <w:rFonts w:hint="eastAsia" w:ascii="仿宋" w:hAnsi="仿宋" w:eastAsia="仿宋" w:cs="仿宋"/>
          <w:color w:val="auto"/>
          <w:kern w:val="0"/>
          <w:sz w:val="24"/>
          <w:szCs w:val="24"/>
          <w:highlight w:val="none"/>
        </w:rPr>
        <w:t xml:space="preserve"> </w:t>
      </w:r>
      <w:r>
        <w:rPr>
          <w:rFonts w:hint="eastAsia" w:ascii="仿宋" w:hAnsi="仿宋" w:eastAsia="仿宋" w:cs="仿宋"/>
          <w:b/>
          <w:color w:val="auto"/>
          <w:kern w:val="0"/>
          <w:sz w:val="24"/>
          <w:szCs w:val="24"/>
          <w:highlight w:val="none"/>
        </w:rPr>
        <w:t>附件二、</w:t>
      </w:r>
    </w:p>
    <w:p w14:paraId="3768BD99">
      <w:pPr>
        <w:spacing w:line="360" w:lineRule="auto"/>
        <w:jc w:val="center"/>
        <w:rPr>
          <w:rFonts w:hint="eastAsia" w:ascii="仿宋" w:hAnsi="仿宋" w:eastAsia="仿宋" w:cs="仿宋"/>
          <w:b/>
          <w:color w:val="auto"/>
          <w:spacing w:val="6"/>
          <w:sz w:val="24"/>
          <w:szCs w:val="24"/>
          <w:highlight w:val="none"/>
        </w:rPr>
      </w:pPr>
      <w:r>
        <w:rPr>
          <w:rFonts w:hint="eastAsia" w:ascii="仿宋" w:hAnsi="仿宋" w:eastAsia="仿宋" w:cs="仿宋"/>
          <w:b/>
          <w:color w:val="auto"/>
          <w:spacing w:val="6"/>
          <w:sz w:val="24"/>
          <w:szCs w:val="24"/>
          <w:highlight w:val="none"/>
        </w:rPr>
        <w:t>残疾人福利性单位声明函</w:t>
      </w:r>
    </w:p>
    <w:p w14:paraId="055EDA06">
      <w:pPr>
        <w:spacing w:line="360" w:lineRule="auto"/>
        <w:rPr>
          <w:rFonts w:hint="eastAsia" w:ascii="仿宋" w:hAnsi="仿宋" w:eastAsia="仿宋" w:cs="仿宋"/>
          <w:b/>
          <w:color w:val="auto"/>
          <w:spacing w:val="6"/>
          <w:sz w:val="24"/>
          <w:szCs w:val="24"/>
          <w:highlight w:val="none"/>
        </w:rPr>
      </w:pPr>
    </w:p>
    <w:p w14:paraId="38289FEC">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本单位郑重声明，根据《财政部 民政部 中国残疾人联合会关于促进残疾人就业政府采购政策的通知》（财库</w:t>
      </w:r>
      <w:r>
        <w:rPr>
          <w:rFonts w:hint="eastAsia" w:ascii="仿宋" w:hAnsi="仿宋" w:eastAsia="仿宋" w:cs="仿宋"/>
          <w:color w:val="auto"/>
          <w:sz w:val="24"/>
          <w:szCs w:val="24"/>
          <w:highlight w:val="none"/>
        </w:rPr>
        <w:t>〔2017〕 141</w:t>
      </w:r>
      <w:r>
        <w:rPr>
          <w:rFonts w:hint="eastAsia" w:ascii="仿宋" w:hAnsi="仿宋" w:eastAsia="仿宋" w:cs="仿宋"/>
          <w:color w:val="auto"/>
          <w:spacing w:val="6"/>
          <w:sz w:val="24"/>
          <w:szCs w:val="24"/>
          <w:highlight w:val="none"/>
        </w:rPr>
        <w:t>号）的规定，本单位为符合条件的残疾人福利性单位，且本单位参加</w:t>
      </w:r>
      <w:r>
        <w:rPr>
          <w:rFonts w:hint="eastAsia" w:ascii="仿宋" w:hAnsi="仿宋" w:eastAsia="仿宋" w:cs="仿宋"/>
          <w:color w:val="auto"/>
          <w:spacing w:val="6"/>
          <w:sz w:val="24"/>
          <w:szCs w:val="24"/>
          <w:highlight w:val="none"/>
          <w:u w:val="single"/>
          <w:shd w:val="clear" w:color="auto" w:fill="FFFFFF" w:themeFill="background1"/>
        </w:rPr>
        <w:t xml:space="preserve">   </w:t>
      </w:r>
      <w:r>
        <w:rPr>
          <w:rFonts w:hint="eastAsia" w:ascii="仿宋" w:hAnsi="仿宋" w:eastAsia="仿宋" w:cs="仿宋"/>
          <w:color w:val="auto"/>
          <w:spacing w:val="6"/>
          <w:sz w:val="24"/>
          <w:szCs w:val="24"/>
          <w:highlight w:val="none"/>
        </w:rPr>
        <w:t>单位的</w:t>
      </w:r>
      <w:r>
        <w:rPr>
          <w:rFonts w:hint="eastAsia" w:ascii="仿宋" w:hAnsi="仿宋" w:eastAsia="仿宋" w:cs="仿宋"/>
          <w:color w:val="auto"/>
          <w:spacing w:val="6"/>
          <w:sz w:val="24"/>
          <w:szCs w:val="24"/>
          <w:highlight w:val="none"/>
          <w:u w:val="single"/>
          <w:shd w:val="clear" w:color="auto" w:fill="FFFFFF" w:themeFill="background1"/>
        </w:rPr>
        <w:t xml:space="preserve">   </w:t>
      </w:r>
      <w:r>
        <w:rPr>
          <w:rFonts w:hint="eastAsia" w:ascii="仿宋" w:hAnsi="仿宋" w:eastAsia="仿宋" w:cs="仿宋"/>
          <w:color w:val="auto"/>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0DD15BF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本单位对上述声明的真实性负责。如有虚假，将依法承担相应责任。</w:t>
      </w:r>
    </w:p>
    <w:p w14:paraId="17AF22B0">
      <w:pPr>
        <w:spacing w:line="360" w:lineRule="auto"/>
        <w:ind w:firstLine="504" w:firstLineChars="200"/>
        <w:rPr>
          <w:rFonts w:hint="eastAsia" w:ascii="仿宋" w:hAnsi="仿宋" w:eastAsia="仿宋" w:cs="仿宋"/>
          <w:color w:val="auto"/>
          <w:spacing w:val="6"/>
          <w:sz w:val="24"/>
          <w:szCs w:val="24"/>
          <w:highlight w:val="none"/>
        </w:rPr>
      </w:pPr>
    </w:p>
    <w:p w14:paraId="68C252A6">
      <w:pPr>
        <w:spacing w:line="360" w:lineRule="auto"/>
        <w:ind w:firstLine="504" w:firstLineChars="200"/>
        <w:rPr>
          <w:rFonts w:hint="eastAsia" w:ascii="仿宋" w:hAnsi="仿宋" w:eastAsia="仿宋" w:cs="仿宋"/>
          <w:color w:val="auto"/>
          <w:spacing w:val="6"/>
          <w:sz w:val="24"/>
          <w:szCs w:val="24"/>
          <w:highlight w:val="none"/>
        </w:rPr>
      </w:pPr>
    </w:p>
    <w:p w14:paraId="56692212">
      <w:pPr>
        <w:tabs>
          <w:tab w:val="left" w:pos="4860"/>
        </w:tabs>
        <w:spacing w:line="360" w:lineRule="auto"/>
        <w:ind w:right="1560"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单位名称（盖章）：</w:t>
      </w:r>
    </w:p>
    <w:p w14:paraId="7C0357D1">
      <w:pPr>
        <w:tabs>
          <w:tab w:val="left" w:pos="4860"/>
        </w:tabs>
        <w:spacing w:line="360" w:lineRule="auto"/>
        <w:ind w:right="1560" w:firstLine="504" w:firstLineChars="200"/>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 xml:space="preserve">                                           日  期：</w:t>
      </w:r>
    </w:p>
    <w:p w14:paraId="1DE3A8E0">
      <w:pPr>
        <w:spacing w:line="360" w:lineRule="auto"/>
        <w:rPr>
          <w:rFonts w:hint="eastAsia" w:ascii="仿宋" w:hAnsi="仿宋" w:eastAsia="仿宋" w:cs="仿宋"/>
          <w:color w:val="auto"/>
          <w:sz w:val="24"/>
          <w:szCs w:val="24"/>
          <w:highlight w:val="none"/>
        </w:rPr>
      </w:pPr>
    </w:p>
    <w:p w14:paraId="37A252F7">
      <w:pPr>
        <w:spacing w:line="360" w:lineRule="auto"/>
        <w:rPr>
          <w:rFonts w:hint="eastAsia" w:ascii="仿宋" w:hAnsi="仿宋" w:eastAsia="仿宋" w:cs="仿宋"/>
          <w:color w:val="auto"/>
          <w:sz w:val="24"/>
          <w:szCs w:val="24"/>
          <w:highlight w:val="none"/>
        </w:rPr>
      </w:pPr>
    </w:p>
    <w:p w14:paraId="3E1659EA">
      <w:pPr>
        <w:spacing w:line="360" w:lineRule="auto"/>
        <w:rPr>
          <w:rFonts w:hint="eastAsia" w:ascii="仿宋" w:hAnsi="仿宋" w:eastAsia="仿宋" w:cs="仿宋"/>
          <w:color w:val="auto"/>
          <w:sz w:val="24"/>
          <w:szCs w:val="24"/>
          <w:highlight w:val="none"/>
        </w:rPr>
      </w:pPr>
    </w:p>
    <w:p w14:paraId="5C43ABEF">
      <w:pPr>
        <w:widowControl/>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 xml:space="preserve"> </w:t>
      </w:r>
      <w:r>
        <w:rPr>
          <w:rFonts w:hint="eastAsia" w:ascii="仿宋" w:hAnsi="仿宋" w:eastAsia="仿宋" w:cs="仿宋"/>
          <w:b/>
          <w:color w:val="auto"/>
          <w:kern w:val="0"/>
          <w:sz w:val="24"/>
          <w:szCs w:val="24"/>
          <w:highlight w:val="none"/>
        </w:rPr>
        <w:t>附件三、</w:t>
      </w:r>
    </w:p>
    <w:p w14:paraId="02593EC9">
      <w:pPr>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b/>
          <w:color w:val="auto"/>
          <w:kern w:val="0"/>
          <w:sz w:val="24"/>
          <w:szCs w:val="24"/>
          <w:highlight w:val="none"/>
        </w:rPr>
        <w:t>监狱企业证明文件</w:t>
      </w:r>
    </w:p>
    <w:p w14:paraId="43CA880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监狱企业参加政府采购活动时，应当提供由省级以上监狱管理局、戒毒管理局（含新疆生产建设兵团）出具的属于监狱企业的证明文件。</w:t>
      </w:r>
    </w:p>
    <w:p w14:paraId="04C44AF9">
      <w:pPr>
        <w:widowControl/>
        <w:adjustRightInd w:val="0"/>
        <w:snapToGrid w:val="0"/>
        <w:spacing w:line="360" w:lineRule="auto"/>
        <w:rPr>
          <w:rFonts w:hint="eastAsia" w:ascii="仿宋" w:hAnsi="仿宋" w:eastAsia="仿宋" w:cs="仿宋"/>
          <w:color w:val="auto"/>
          <w:sz w:val="24"/>
          <w:szCs w:val="24"/>
          <w:highlight w:val="none"/>
        </w:rPr>
      </w:pPr>
    </w:p>
    <w:p w14:paraId="47D55BF7">
      <w:pPr>
        <w:tabs>
          <w:tab w:val="center" w:pos="4832"/>
          <w:tab w:val="left" w:pos="7140"/>
        </w:tabs>
        <w:jc w:val="center"/>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bookmarkStart w:id="295" w:name="_Toc25402"/>
      <w:bookmarkStart w:id="296" w:name="_Toc14967"/>
      <w:bookmarkStart w:id="297" w:name="_Toc109921165"/>
      <w:bookmarkStart w:id="298" w:name="_Toc109941772"/>
      <w:bookmarkStart w:id="299" w:name="_Toc27167"/>
      <w:bookmarkStart w:id="300" w:name="_Toc130252627"/>
      <w:bookmarkStart w:id="301" w:name="_Toc20402"/>
      <w:bookmarkStart w:id="302" w:name="_Toc18236"/>
      <w:bookmarkStart w:id="303" w:name="_Toc110707972"/>
      <w:r>
        <w:rPr>
          <w:rFonts w:hint="eastAsia" w:ascii="仿宋" w:hAnsi="仿宋" w:eastAsia="仿宋" w:cs="仿宋"/>
          <w:b/>
          <w:color w:val="auto"/>
          <w:sz w:val="24"/>
          <w:szCs w:val="24"/>
          <w:highlight w:val="none"/>
          <w:lang w:val="en-US" w:eastAsia="zh-CN"/>
        </w:rPr>
        <w:t>九</w:t>
      </w:r>
      <w:r>
        <w:rPr>
          <w:rFonts w:hint="eastAsia" w:ascii="仿宋" w:hAnsi="仿宋" w:eastAsia="仿宋" w:cs="仿宋"/>
          <w:b/>
          <w:color w:val="auto"/>
          <w:sz w:val="24"/>
          <w:szCs w:val="24"/>
          <w:highlight w:val="none"/>
        </w:rPr>
        <w:t>、投标人近年类似项目情况表</w:t>
      </w:r>
      <w:bookmarkEnd w:id="295"/>
      <w:bookmarkEnd w:id="296"/>
      <w:bookmarkEnd w:id="297"/>
      <w:bookmarkEnd w:id="298"/>
      <w:bookmarkEnd w:id="299"/>
      <w:bookmarkEnd w:id="300"/>
      <w:bookmarkEnd w:id="301"/>
      <w:bookmarkEnd w:id="302"/>
      <w:bookmarkEnd w:id="303"/>
    </w:p>
    <w:p w14:paraId="08378AFD">
      <w:pPr>
        <w:spacing w:line="360" w:lineRule="auto"/>
        <w:jc w:val="left"/>
        <w:rPr>
          <w:rFonts w:hint="eastAsia" w:ascii="仿宋" w:hAnsi="仿宋" w:eastAsia="仿宋" w:cs="仿宋"/>
          <w:color w:val="auto"/>
          <w:sz w:val="24"/>
          <w:szCs w:val="24"/>
          <w:highlight w:val="none"/>
        </w:rPr>
      </w:pPr>
    </w:p>
    <w:tbl>
      <w:tblPr>
        <w:tblStyle w:val="39"/>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7"/>
        <w:gridCol w:w="1233"/>
        <w:gridCol w:w="963"/>
        <w:gridCol w:w="1922"/>
        <w:gridCol w:w="1212"/>
        <w:gridCol w:w="1232"/>
        <w:gridCol w:w="1232"/>
        <w:gridCol w:w="795"/>
      </w:tblGrid>
      <w:tr w14:paraId="2C267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401CCBE9">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序号</w:t>
            </w:r>
          </w:p>
        </w:tc>
        <w:tc>
          <w:tcPr>
            <w:tcW w:w="1233" w:type="dxa"/>
            <w:shd w:val="clear" w:color="auto" w:fill="auto"/>
          </w:tcPr>
          <w:p w14:paraId="7F61E8C3">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项目名称</w:t>
            </w:r>
          </w:p>
        </w:tc>
        <w:tc>
          <w:tcPr>
            <w:tcW w:w="963" w:type="dxa"/>
            <w:shd w:val="clear" w:color="auto" w:fill="auto"/>
          </w:tcPr>
          <w:p w14:paraId="5E4D52A4">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w:t>
            </w:r>
          </w:p>
        </w:tc>
        <w:tc>
          <w:tcPr>
            <w:tcW w:w="1922" w:type="dxa"/>
            <w:shd w:val="clear" w:color="auto" w:fill="auto"/>
          </w:tcPr>
          <w:p w14:paraId="417C2762">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采购人联系方式</w:t>
            </w:r>
          </w:p>
        </w:tc>
        <w:tc>
          <w:tcPr>
            <w:tcW w:w="1212" w:type="dxa"/>
            <w:shd w:val="clear" w:color="auto" w:fill="auto"/>
          </w:tcPr>
          <w:p w14:paraId="0F3D6F23">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合同内容</w:t>
            </w:r>
          </w:p>
        </w:tc>
        <w:tc>
          <w:tcPr>
            <w:tcW w:w="1232" w:type="dxa"/>
            <w:shd w:val="clear" w:color="auto" w:fill="auto"/>
          </w:tcPr>
          <w:p w14:paraId="03C8A4B3">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合同价格</w:t>
            </w:r>
          </w:p>
        </w:tc>
        <w:tc>
          <w:tcPr>
            <w:tcW w:w="1232" w:type="dxa"/>
            <w:shd w:val="clear" w:color="auto" w:fill="auto"/>
          </w:tcPr>
          <w:p w14:paraId="3C3BA919">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签约日期</w:t>
            </w:r>
          </w:p>
        </w:tc>
        <w:tc>
          <w:tcPr>
            <w:tcW w:w="795" w:type="dxa"/>
            <w:shd w:val="clear" w:color="auto" w:fill="auto"/>
          </w:tcPr>
          <w:p w14:paraId="516D8891">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备注</w:t>
            </w:r>
          </w:p>
        </w:tc>
      </w:tr>
      <w:tr w14:paraId="611EF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310D659B">
            <w:pPr>
              <w:rPr>
                <w:rFonts w:hint="eastAsia" w:ascii="仿宋" w:hAnsi="仿宋" w:eastAsia="仿宋" w:cs="仿宋"/>
                <w:color w:val="auto"/>
                <w:kern w:val="0"/>
                <w:sz w:val="24"/>
                <w:szCs w:val="24"/>
                <w:highlight w:val="none"/>
              </w:rPr>
            </w:pPr>
          </w:p>
        </w:tc>
        <w:tc>
          <w:tcPr>
            <w:tcW w:w="1233" w:type="dxa"/>
            <w:shd w:val="clear" w:color="auto" w:fill="auto"/>
          </w:tcPr>
          <w:p w14:paraId="342CCFEC">
            <w:pPr>
              <w:rPr>
                <w:rFonts w:hint="eastAsia" w:ascii="仿宋" w:hAnsi="仿宋" w:eastAsia="仿宋" w:cs="仿宋"/>
                <w:color w:val="auto"/>
                <w:kern w:val="0"/>
                <w:sz w:val="24"/>
                <w:szCs w:val="24"/>
                <w:highlight w:val="none"/>
              </w:rPr>
            </w:pPr>
          </w:p>
        </w:tc>
        <w:tc>
          <w:tcPr>
            <w:tcW w:w="963" w:type="dxa"/>
            <w:shd w:val="clear" w:color="auto" w:fill="auto"/>
          </w:tcPr>
          <w:p w14:paraId="5C392A9F">
            <w:pPr>
              <w:rPr>
                <w:rFonts w:hint="eastAsia" w:ascii="仿宋" w:hAnsi="仿宋" w:eastAsia="仿宋" w:cs="仿宋"/>
                <w:color w:val="auto"/>
                <w:kern w:val="0"/>
                <w:sz w:val="24"/>
                <w:szCs w:val="24"/>
                <w:highlight w:val="none"/>
              </w:rPr>
            </w:pPr>
          </w:p>
        </w:tc>
        <w:tc>
          <w:tcPr>
            <w:tcW w:w="1922" w:type="dxa"/>
            <w:shd w:val="clear" w:color="auto" w:fill="auto"/>
          </w:tcPr>
          <w:p w14:paraId="674FD75E">
            <w:pPr>
              <w:rPr>
                <w:rFonts w:hint="eastAsia" w:ascii="仿宋" w:hAnsi="仿宋" w:eastAsia="仿宋" w:cs="仿宋"/>
                <w:color w:val="auto"/>
                <w:kern w:val="0"/>
                <w:sz w:val="24"/>
                <w:szCs w:val="24"/>
                <w:highlight w:val="none"/>
              </w:rPr>
            </w:pPr>
          </w:p>
        </w:tc>
        <w:tc>
          <w:tcPr>
            <w:tcW w:w="1212" w:type="dxa"/>
            <w:shd w:val="clear" w:color="auto" w:fill="auto"/>
          </w:tcPr>
          <w:p w14:paraId="0B8790B3">
            <w:pPr>
              <w:rPr>
                <w:rFonts w:hint="eastAsia" w:ascii="仿宋" w:hAnsi="仿宋" w:eastAsia="仿宋" w:cs="仿宋"/>
                <w:color w:val="auto"/>
                <w:kern w:val="0"/>
                <w:sz w:val="24"/>
                <w:szCs w:val="24"/>
                <w:highlight w:val="none"/>
              </w:rPr>
            </w:pPr>
          </w:p>
        </w:tc>
        <w:tc>
          <w:tcPr>
            <w:tcW w:w="1232" w:type="dxa"/>
            <w:shd w:val="clear" w:color="auto" w:fill="auto"/>
          </w:tcPr>
          <w:p w14:paraId="5DCE6D54">
            <w:pPr>
              <w:rPr>
                <w:rFonts w:hint="eastAsia" w:ascii="仿宋" w:hAnsi="仿宋" w:eastAsia="仿宋" w:cs="仿宋"/>
                <w:color w:val="auto"/>
                <w:kern w:val="0"/>
                <w:sz w:val="24"/>
                <w:szCs w:val="24"/>
                <w:highlight w:val="none"/>
              </w:rPr>
            </w:pPr>
          </w:p>
        </w:tc>
        <w:tc>
          <w:tcPr>
            <w:tcW w:w="1232" w:type="dxa"/>
            <w:shd w:val="clear" w:color="auto" w:fill="auto"/>
          </w:tcPr>
          <w:p w14:paraId="079F7D16">
            <w:pPr>
              <w:rPr>
                <w:rFonts w:hint="eastAsia" w:ascii="仿宋" w:hAnsi="仿宋" w:eastAsia="仿宋" w:cs="仿宋"/>
                <w:color w:val="auto"/>
                <w:kern w:val="0"/>
                <w:sz w:val="24"/>
                <w:szCs w:val="24"/>
                <w:highlight w:val="none"/>
              </w:rPr>
            </w:pPr>
          </w:p>
        </w:tc>
        <w:tc>
          <w:tcPr>
            <w:tcW w:w="795" w:type="dxa"/>
            <w:shd w:val="clear" w:color="auto" w:fill="auto"/>
          </w:tcPr>
          <w:p w14:paraId="4983E1C4">
            <w:pPr>
              <w:rPr>
                <w:rFonts w:hint="eastAsia" w:ascii="仿宋" w:hAnsi="仿宋" w:eastAsia="仿宋" w:cs="仿宋"/>
                <w:color w:val="auto"/>
                <w:kern w:val="0"/>
                <w:sz w:val="24"/>
                <w:szCs w:val="24"/>
                <w:highlight w:val="none"/>
              </w:rPr>
            </w:pPr>
          </w:p>
        </w:tc>
      </w:tr>
      <w:tr w14:paraId="79F18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5453BFBC">
            <w:pPr>
              <w:rPr>
                <w:rFonts w:hint="eastAsia" w:ascii="仿宋" w:hAnsi="仿宋" w:eastAsia="仿宋" w:cs="仿宋"/>
                <w:color w:val="auto"/>
                <w:kern w:val="0"/>
                <w:sz w:val="24"/>
                <w:szCs w:val="24"/>
                <w:highlight w:val="none"/>
              </w:rPr>
            </w:pPr>
          </w:p>
        </w:tc>
        <w:tc>
          <w:tcPr>
            <w:tcW w:w="1233" w:type="dxa"/>
            <w:shd w:val="clear" w:color="auto" w:fill="auto"/>
          </w:tcPr>
          <w:p w14:paraId="4E33563A">
            <w:pPr>
              <w:rPr>
                <w:rFonts w:hint="eastAsia" w:ascii="仿宋" w:hAnsi="仿宋" w:eastAsia="仿宋" w:cs="仿宋"/>
                <w:color w:val="auto"/>
                <w:kern w:val="0"/>
                <w:sz w:val="24"/>
                <w:szCs w:val="24"/>
                <w:highlight w:val="none"/>
              </w:rPr>
            </w:pPr>
          </w:p>
        </w:tc>
        <w:tc>
          <w:tcPr>
            <w:tcW w:w="963" w:type="dxa"/>
            <w:shd w:val="clear" w:color="auto" w:fill="auto"/>
          </w:tcPr>
          <w:p w14:paraId="1CF0160D">
            <w:pPr>
              <w:rPr>
                <w:rFonts w:hint="eastAsia" w:ascii="仿宋" w:hAnsi="仿宋" w:eastAsia="仿宋" w:cs="仿宋"/>
                <w:color w:val="auto"/>
                <w:kern w:val="0"/>
                <w:sz w:val="24"/>
                <w:szCs w:val="24"/>
                <w:highlight w:val="none"/>
              </w:rPr>
            </w:pPr>
          </w:p>
        </w:tc>
        <w:tc>
          <w:tcPr>
            <w:tcW w:w="1922" w:type="dxa"/>
            <w:shd w:val="clear" w:color="auto" w:fill="auto"/>
          </w:tcPr>
          <w:p w14:paraId="41C3E90D">
            <w:pPr>
              <w:rPr>
                <w:rFonts w:hint="eastAsia" w:ascii="仿宋" w:hAnsi="仿宋" w:eastAsia="仿宋" w:cs="仿宋"/>
                <w:color w:val="auto"/>
                <w:kern w:val="0"/>
                <w:sz w:val="24"/>
                <w:szCs w:val="24"/>
                <w:highlight w:val="none"/>
              </w:rPr>
            </w:pPr>
          </w:p>
        </w:tc>
        <w:tc>
          <w:tcPr>
            <w:tcW w:w="1212" w:type="dxa"/>
            <w:shd w:val="clear" w:color="auto" w:fill="auto"/>
          </w:tcPr>
          <w:p w14:paraId="4DAC3381">
            <w:pPr>
              <w:rPr>
                <w:rFonts w:hint="eastAsia" w:ascii="仿宋" w:hAnsi="仿宋" w:eastAsia="仿宋" w:cs="仿宋"/>
                <w:color w:val="auto"/>
                <w:kern w:val="0"/>
                <w:sz w:val="24"/>
                <w:szCs w:val="24"/>
                <w:highlight w:val="none"/>
              </w:rPr>
            </w:pPr>
          </w:p>
        </w:tc>
        <w:tc>
          <w:tcPr>
            <w:tcW w:w="1232" w:type="dxa"/>
            <w:shd w:val="clear" w:color="auto" w:fill="auto"/>
          </w:tcPr>
          <w:p w14:paraId="57B1C89D">
            <w:pPr>
              <w:rPr>
                <w:rFonts w:hint="eastAsia" w:ascii="仿宋" w:hAnsi="仿宋" w:eastAsia="仿宋" w:cs="仿宋"/>
                <w:color w:val="auto"/>
                <w:kern w:val="0"/>
                <w:sz w:val="24"/>
                <w:szCs w:val="24"/>
                <w:highlight w:val="none"/>
              </w:rPr>
            </w:pPr>
          </w:p>
        </w:tc>
        <w:tc>
          <w:tcPr>
            <w:tcW w:w="1232" w:type="dxa"/>
            <w:shd w:val="clear" w:color="auto" w:fill="auto"/>
          </w:tcPr>
          <w:p w14:paraId="4342D2F6">
            <w:pPr>
              <w:rPr>
                <w:rFonts w:hint="eastAsia" w:ascii="仿宋" w:hAnsi="仿宋" w:eastAsia="仿宋" w:cs="仿宋"/>
                <w:color w:val="auto"/>
                <w:kern w:val="0"/>
                <w:sz w:val="24"/>
                <w:szCs w:val="24"/>
                <w:highlight w:val="none"/>
              </w:rPr>
            </w:pPr>
          </w:p>
        </w:tc>
        <w:tc>
          <w:tcPr>
            <w:tcW w:w="795" w:type="dxa"/>
            <w:shd w:val="clear" w:color="auto" w:fill="auto"/>
          </w:tcPr>
          <w:p w14:paraId="0D751C5E">
            <w:pPr>
              <w:rPr>
                <w:rFonts w:hint="eastAsia" w:ascii="仿宋" w:hAnsi="仿宋" w:eastAsia="仿宋" w:cs="仿宋"/>
                <w:color w:val="auto"/>
                <w:kern w:val="0"/>
                <w:sz w:val="24"/>
                <w:szCs w:val="24"/>
                <w:highlight w:val="none"/>
              </w:rPr>
            </w:pPr>
          </w:p>
        </w:tc>
      </w:tr>
      <w:tr w14:paraId="5FA63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30FF5923">
            <w:pPr>
              <w:rPr>
                <w:rFonts w:hint="eastAsia" w:ascii="仿宋" w:hAnsi="仿宋" w:eastAsia="仿宋" w:cs="仿宋"/>
                <w:color w:val="auto"/>
                <w:kern w:val="0"/>
                <w:sz w:val="24"/>
                <w:szCs w:val="24"/>
                <w:highlight w:val="none"/>
              </w:rPr>
            </w:pPr>
          </w:p>
        </w:tc>
        <w:tc>
          <w:tcPr>
            <w:tcW w:w="1233" w:type="dxa"/>
            <w:shd w:val="clear" w:color="auto" w:fill="auto"/>
          </w:tcPr>
          <w:p w14:paraId="7B7939BB">
            <w:pPr>
              <w:rPr>
                <w:rFonts w:hint="eastAsia" w:ascii="仿宋" w:hAnsi="仿宋" w:eastAsia="仿宋" w:cs="仿宋"/>
                <w:color w:val="auto"/>
                <w:kern w:val="0"/>
                <w:sz w:val="24"/>
                <w:szCs w:val="24"/>
                <w:highlight w:val="none"/>
              </w:rPr>
            </w:pPr>
          </w:p>
        </w:tc>
        <w:tc>
          <w:tcPr>
            <w:tcW w:w="963" w:type="dxa"/>
            <w:shd w:val="clear" w:color="auto" w:fill="auto"/>
          </w:tcPr>
          <w:p w14:paraId="23E4D911">
            <w:pPr>
              <w:rPr>
                <w:rFonts w:hint="eastAsia" w:ascii="仿宋" w:hAnsi="仿宋" w:eastAsia="仿宋" w:cs="仿宋"/>
                <w:color w:val="auto"/>
                <w:kern w:val="0"/>
                <w:sz w:val="24"/>
                <w:szCs w:val="24"/>
                <w:highlight w:val="none"/>
              </w:rPr>
            </w:pPr>
          </w:p>
        </w:tc>
        <w:tc>
          <w:tcPr>
            <w:tcW w:w="1922" w:type="dxa"/>
            <w:shd w:val="clear" w:color="auto" w:fill="auto"/>
          </w:tcPr>
          <w:p w14:paraId="49A0A195">
            <w:pPr>
              <w:rPr>
                <w:rFonts w:hint="eastAsia" w:ascii="仿宋" w:hAnsi="仿宋" w:eastAsia="仿宋" w:cs="仿宋"/>
                <w:color w:val="auto"/>
                <w:kern w:val="0"/>
                <w:sz w:val="24"/>
                <w:szCs w:val="24"/>
                <w:highlight w:val="none"/>
              </w:rPr>
            </w:pPr>
          </w:p>
        </w:tc>
        <w:tc>
          <w:tcPr>
            <w:tcW w:w="1212" w:type="dxa"/>
            <w:shd w:val="clear" w:color="auto" w:fill="auto"/>
          </w:tcPr>
          <w:p w14:paraId="1CA62F28">
            <w:pPr>
              <w:rPr>
                <w:rFonts w:hint="eastAsia" w:ascii="仿宋" w:hAnsi="仿宋" w:eastAsia="仿宋" w:cs="仿宋"/>
                <w:color w:val="auto"/>
                <w:kern w:val="0"/>
                <w:sz w:val="24"/>
                <w:szCs w:val="24"/>
                <w:highlight w:val="none"/>
              </w:rPr>
            </w:pPr>
          </w:p>
        </w:tc>
        <w:tc>
          <w:tcPr>
            <w:tcW w:w="1232" w:type="dxa"/>
            <w:shd w:val="clear" w:color="auto" w:fill="auto"/>
          </w:tcPr>
          <w:p w14:paraId="420AF605">
            <w:pPr>
              <w:rPr>
                <w:rFonts w:hint="eastAsia" w:ascii="仿宋" w:hAnsi="仿宋" w:eastAsia="仿宋" w:cs="仿宋"/>
                <w:color w:val="auto"/>
                <w:kern w:val="0"/>
                <w:sz w:val="24"/>
                <w:szCs w:val="24"/>
                <w:highlight w:val="none"/>
              </w:rPr>
            </w:pPr>
          </w:p>
        </w:tc>
        <w:tc>
          <w:tcPr>
            <w:tcW w:w="1232" w:type="dxa"/>
            <w:shd w:val="clear" w:color="auto" w:fill="auto"/>
          </w:tcPr>
          <w:p w14:paraId="2677D9D6">
            <w:pPr>
              <w:rPr>
                <w:rFonts w:hint="eastAsia" w:ascii="仿宋" w:hAnsi="仿宋" w:eastAsia="仿宋" w:cs="仿宋"/>
                <w:color w:val="auto"/>
                <w:kern w:val="0"/>
                <w:sz w:val="24"/>
                <w:szCs w:val="24"/>
                <w:highlight w:val="none"/>
              </w:rPr>
            </w:pPr>
          </w:p>
        </w:tc>
        <w:tc>
          <w:tcPr>
            <w:tcW w:w="795" w:type="dxa"/>
            <w:shd w:val="clear" w:color="auto" w:fill="auto"/>
          </w:tcPr>
          <w:p w14:paraId="5F4327A0">
            <w:pPr>
              <w:rPr>
                <w:rFonts w:hint="eastAsia" w:ascii="仿宋" w:hAnsi="仿宋" w:eastAsia="仿宋" w:cs="仿宋"/>
                <w:color w:val="auto"/>
                <w:kern w:val="0"/>
                <w:sz w:val="24"/>
                <w:szCs w:val="24"/>
                <w:highlight w:val="none"/>
              </w:rPr>
            </w:pPr>
          </w:p>
        </w:tc>
      </w:tr>
      <w:tr w14:paraId="789AB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39BC4774">
            <w:pPr>
              <w:rPr>
                <w:rFonts w:hint="eastAsia" w:ascii="仿宋" w:hAnsi="仿宋" w:eastAsia="仿宋" w:cs="仿宋"/>
                <w:color w:val="auto"/>
                <w:kern w:val="0"/>
                <w:sz w:val="24"/>
                <w:szCs w:val="24"/>
                <w:highlight w:val="none"/>
              </w:rPr>
            </w:pPr>
          </w:p>
        </w:tc>
        <w:tc>
          <w:tcPr>
            <w:tcW w:w="1233" w:type="dxa"/>
            <w:shd w:val="clear" w:color="auto" w:fill="auto"/>
          </w:tcPr>
          <w:p w14:paraId="0D84DB1C">
            <w:pPr>
              <w:rPr>
                <w:rFonts w:hint="eastAsia" w:ascii="仿宋" w:hAnsi="仿宋" w:eastAsia="仿宋" w:cs="仿宋"/>
                <w:color w:val="auto"/>
                <w:kern w:val="0"/>
                <w:sz w:val="24"/>
                <w:szCs w:val="24"/>
                <w:highlight w:val="none"/>
              </w:rPr>
            </w:pPr>
          </w:p>
        </w:tc>
        <w:tc>
          <w:tcPr>
            <w:tcW w:w="963" w:type="dxa"/>
            <w:shd w:val="clear" w:color="auto" w:fill="auto"/>
          </w:tcPr>
          <w:p w14:paraId="143810E4">
            <w:pPr>
              <w:rPr>
                <w:rFonts w:hint="eastAsia" w:ascii="仿宋" w:hAnsi="仿宋" w:eastAsia="仿宋" w:cs="仿宋"/>
                <w:color w:val="auto"/>
                <w:kern w:val="0"/>
                <w:sz w:val="24"/>
                <w:szCs w:val="24"/>
                <w:highlight w:val="none"/>
              </w:rPr>
            </w:pPr>
          </w:p>
        </w:tc>
        <w:tc>
          <w:tcPr>
            <w:tcW w:w="1922" w:type="dxa"/>
            <w:shd w:val="clear" w:color="auto" w:fill="auto"/>
          </w:tcPr>
          <w:p w14:paraId="40D48CA5">
            <w:pPr>
              <w:rPr>
                <w:rFonts w:hint="eastAsia" w:ascii="仿宋" w:hAnsi="仿宋" w:eastAsia="仿宋" w:cs="仿宋"/>
                <w:color w:val="auto"/>
                <w:kern w:val="0"/>
                <w:sz w:val="24"/>
                <w:szCs w:val="24"/>
                <w:highlight w:val="none"/>
              </w:rPr>
            </w:pPr>
          </w:p>
        </w:tc>
        <w:tc>
          <w:tcPr>
            <w:tcW w:w="1212" w:type="dxa"/>
            <w:shd w:val="clear" w:color="auto" w:fill="auto"/>
          </w:tcPr>
          <w:p w14:paraId="65AFD767">
            <w:pPr>
              <w:rPr>
                <w:rFonts w:hint="eastAsia" w:ascii="仿宋" w:hAnsi="仿宋" w:eastAsia="仿宋" w:cs="仿宋"/>
                <w:color w:val="auto"/>
                <w:kern w:val="0"/>
                <w:sz w:val="24"/>
                <w:szCs w:val="24"/>
                <w:highlight w:val="none"/>
              </w:rPr>
            </w:pPr>
          </w:p>
        </w:tc>
        <w:tc>
          <w:tcPr>
            <w:tcW w:w="1232" w:type="dxa"/>
            <w:shd w:val="clear" w:color="auto" w:fill="auto"/>
          </w:tcPr>
          <w:p w14:paraId="252632E0">
            <w:pPr>
              <w:rPr>
                <w:rFonts w:hint="eastAsia" w:ascii="仿宋" w:hAnsi="仿宋" w:eastAsia="仿宋" w:cs="仿宋"/>
                <w:color w:val="auto"/>
                <w:kern w:val="0"/>
                <w:sz w:val="24"/>
                <w:szCs w:val="24"/>
                <w:highlight w:val="none"/>
              </w:rPr>
            </w:pPr>
          </w:p>
        </w:tc>
        <w:tc>
          <w:tcPr>
            <w:tcW w:w="1232" w:type="dxa"/>
            <w:shd w:val="clear" w:color="auto" w:fill="auto"/>
          </w:tcPr>
          <w:p w14:paraId="7AB0E314">
            <w:pPr>
              <w:rPr>
                <w:rFonts w:hint="eastAsia" w:ascii="仿宋" w:hAnsi="仿宋" w:eastAsia="仿宋" w:cs="仿宋"/>
                <w:color w:val="auto"/>
                <w:kern w:val="0"/>
                <w:sz w:val="24"/>
                <w:szCs w:val="24"/>
                <w:highlight w:val="none"/>
              </w:rPr>
            </w:pPr>
          </w:p>
        </w:tc>
        <w:tc>
          <w:tcPr>
            <w:tcW w:w="795" w:type="dxa"/>
            <w:shd w:val="clear" w:color="auto" w:fill="auto"/>
          </w:tcPr>
          <w:p w14:paraId="6CEC3F1A">
            <w:pPr>
              <w:rPr>
                <w:rFonts w:hint="eastAsia" w:ascii="仿宋" w:hAnsi="仿宋" w:eastAsia="仿宋" w:cs="仿宋"/>
                <w:color w:val="auto"/>
                <w:kern w:val="0"/>
                <w:sz w:val="24"/>
                <w:szCs w:val="24"/>
                <w:highlight w:val="none"/>
              </w:rPr>
            </w:pPr>
          </w:p>
        </w:tc>
      </w:tr>
      <w:tr w14:paraId="43553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3C7B3995">
            <w:pPr>
              <w:rPr>
                <w:rFonts w:hint="eastAsia" w:ascii="仿宋" w:hAnsi="仿宋" w:eastAsia="仿宋" w:cs="仿宋"/>
                <w:color w:val="auto"/>
                <w:kern w:val="0"/>
                <w:sz w:val="24"/>
                <w:szCs w:val="24"/>
                <w:highlight w:val="none"/>
              </w:rPr>
            </w:pPr>
          </w:p>
        </w:tc>
        <w:tc>
          <w:tcPr>
            <w:tcW w:w="1233" w:type="dxa"/>
            <w:shd w:val="clear" w:color="auto" w:fill="auto"/>
          </w:tcPr>
          <w:p w14:paraId="2B7EE348">
            <w:pPr>
              <w:rPr>
                <w:rFonts w:hint="eastAsia" w:ascii="仿宋" w:hAnsi="仿宋" w:eastAsia="仿宋" w:cs="仿宋"/>
                <w:color w:val="auto"/>
                <w:kern w:val="0"/>
                <w:sz w:val="24"/>
                <w:szCs w:val="24"/>
                <w:highlight w:val="none"/>
              </w:rPr>
            </w:pPr>
          </w:p>
        </w:tc>
        <w:tc>
          <w:tcPr>
            <w:tcW w:w="963" w:type="dxa"/>
            <w:shd w:val="clear" w:color="auto" w:fill="auto"/>
          </w:tcPr>
          <w:p w14:paraId="55E26062">
            <w:pPr>
              <w:rPr>
                <w:rFonts w:hint="eastAsia" w:ascii="仿宋" w:hAnsi="仿宋" w:eastAsia="仿宋" w:cs="仿宋"/>
                <w:color w:val="auto"/>
                <w:kern w:val="0"/>
                <w:sz w:val="24"/>
                <w:szCs w:val="24"/>
                <w:highlight w:val="none"/>
              </w:rPr>
            </w:pPr>
          </w:p>
        </w:tc>
        <w:tc>
          <w:tcPr>
            <w:tcW w:w="1922" w:type="dxa"/>
            <w:shd w:val="clear" w:color="auto" w:fill="auto"/>
          </w:tcPr>
          <w:p w14:paraId="0C153CB0">
            <w:pPr>
              <w:rPr>
                <w:rFonts w:hint="eastAsia" w:ascii="仿宋" w:hAnsi="仿宋" w:eastAsia="仿宋" w:cs="仿宋"/>
                <w:color w:val="auto"/>
                <w:kern w:val="0"/>
                <w:sz w:val="24"/>
                <w:szCs w:val="24"/>
                <w:highlight w:val="none"/>
              </w:rPr>
            </w:pPr>
          </w:p>
        </w:tc>
        <w:tc>
          <w:tcPr>
            <w:tcW w:w="1212" w:type="dxa"/>
            <w:shd w:val="clear" w:color="auto" w:fill="auto"/>
          </w:tcPr>
          <w:p w14:paraId="62C63B92">
            <w:pPr>
              <w:rPr>
                <w:rFonts w:hint="eastAsia" w:ascii="仿宋" w:hAnsi="仿宋" w:eastAsia="仿宋" w:cs="仿宋"/>
                <w:color w:val="auto"/>
                <w:kern w:val="0"/>
                <w:sz w:val="24"/>
                <w:szCs w:val="24"/>
                <w:highlight w:val="none"/>
              </w:rPr>
            </w:pPr>
          </w:p>
        </w:tc>
        <w:tc>
          <w:tcPr>
            <w:tcW w:w="1232" w:type="dxa"/>
            <w:shd w:val="clear" w:color="auto" w:fill="auto"/>
          </w:tcPr>
          <w:p w14:paraId="13F7EEA6">
            <w:pPr>
              <w:rPr>
                <w:rFonts w:hint="eastAsia" w:ascii="仿宋" w:hAnsi="仿宋" w:eastAsia="仿宋" w:cs="仿宋"/>
                <w:color w:val="auto"/>
                <w:kern w:val="0"/>
                <w:sz w:val="24"/>
                <w:szCs w:val="24"/>
                <w:highlight w:val="none"/>
              </w:rPr>
            </w:pPr>
          </w:p>
        </w:tc>
        <w:tc>
          <w:tcPr>
            <w:tcW w:w="1232" w:type="dxa"/>
            <w:shd w:val="clear" w:color="auto" w:fill="auto"/>
          </w:tcPr>
          <w:p w14:paraId="12FF96CF">
            <w:pPr>
              <w:rPr>
                <w:rFonts w:hint="eastAsia" w:ascii="仿宋" w:hAnsi="仿宋" w:eastAsia="仿宋" w:cs="仿宋"/>
                <w:color w:val="auto"/>
                <w:kern w:val="0"/>
                <w:sz w:val="24"/>
                <w:szCs w:val="24"/>
                <w:highlight w:val="none"/>
              </w:rPr>
            </w:pPr>
          </w:p>
        </w:tc>
        <w:tc>
          <w:tcPr>
            <w:tcW w:w="795" w:type="dxa"/>
            <w:shd w:val="clear" w:color="auto" w:fill="auto"/>
          </w:tcPr>
          <w:p w14:paraId="03047574">
            <w:pPr>
              <w:rPr>
                <w:rFonts w:hint="eastAsia" w:ascii="仿宋" w:hAnsi="仿宋" w:eastAsia="仿宋" w:cs="仿宋"/>
                <w:color w:val="auto"/>
                <w:kern w:val="0"/>
                <w:sz w:val="24"/>
                <w:szCs w:val="24"/>
                <w:highlight w:val="none"/>
              </w:rPr>
            </w:pPr>
          </w:p>
        </w:tc>
      </w:tr>
    </w:tbl>
    <w:p w14:paraId="282B1FAA">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bookmarkEnd w:id="160"/>
    <w:p w14:paraId="0F23CC90">
      <w:pPr>
        <w:keepLines w:val="0"/>
        <w:pageBreakBefore w:val="0"/>
        <w:tabs>
          <w:tab w:val="center" w:pos="4832"/>
          <w:tab w:val="left" w:pos="7140"/>
        </w:tabs>
        <w:kinsoku/>
        <w:overflowPunct/>
        <w:topLinePunct w:val="0"/>
        <w:bidi w:val="0"/>
        <w:spacing w:beforeAutospacing="0" w:afterAutospacing="0" w:line="360" w:lineRule="auto"/>
        <w:jc w:val="center"/>
        <w:textAlignment w:val="auto"/>
        <w:outlineLvl w:val="1"/>
        <w:rPr>
          <w:rFonts w:hint="eastAsia" w:ascii="仿宋" w:hAnsi="仿宋" w:eastAsia="仿宋" w:cs="仿宋"/>
          <w:b/>
          <w:bCs/>
          <w:color w:val="auto"/>
          <w:sz w:val="24"/>
          <w:szCs w:val="24"/>
          <w:highlight w:val="none"/>
          <w:shd w:val="clear" w:color="auto" w:fill="FFFFFF" w:themeFill="background1"/>
        </w:rPr>
      </w:pPr>
      <w:bookmarkStart w:id="304" w:name="_Toc38446480"/>
      <w:bookmarkStart w:id="305" w:name="_Toc25865"/>
      <w:bookmarkStart w:id="306" w:name="_Toc27045"/>
      <w:bookmarkStart w:id="307" w:name="_Toc507586175"/>
      <w:bookmarkStart w:id="308" w:name="_Toc533503191"/>
      <w:bookmarkStart w:id="309" w:name="_Toc19714"/>
      <w:bookmarkStart w:id="310" w:name="_Toc18139"/>
      <w:bookmarkStart w:id="311" w:name="_Toc17068"/>
      <w:bookmarkStart w:id="312" w:name="_Toc30206"/>
      <w:bookmarkStart w:id="313" w:name="_Toc60925660"/>
      <w:bookmarkStart w:id="314" w:name="_Toc22688"/>
      <w:bookmarkStart w:id="315" w:name="_Toc130252631"/>
      <w:r>
        <w:rPr>
          <w:rFonts w:hint="eastAsia" w:ascii="仿宋" w:hAnsi="仿宋" w:eastAsia="仿宋" w:cs="仿宋"/>
          <w:b/>
          <w:color w:val="auto"/>
          <w:sz w:val="24"/>
          <w:szCs w:val="24"/>
          <w:highlight w:val="none"/>
          <w:shd w:val="clear" w:color="auto" w:fill="FFFFFF" w:themeFill="background1"/>
          <w:lang w:val="en-US" w:eastAsia="zh-CN"/>
        </w:rPr>
        <w:t>十、</w:t>
      </w:r>
      <w:r>
        <w:rPr>
          <w:rFonts w:hint="eastAsia" w:ascii="仿宋" w:hAnsi="仿宋" w:eastAsia="仿宋" w:cs="仿宋"/>
          <w:b/>
          <w:bCs/>
          <w:color w:val="auto"/>
          <w:sz w:val="24"/>
          <w:szCs w:val="24"/>
          <w:highlight w:val="none"/>
          <w:shd w:val="clear" w:color="auto" w:fill="FFFFFF" w:themeFill="background1"/>
        </w:rPr>
        <w:t>项目负责人简历表</w:t>
      </w:r>
      <w:bookmarkEnd w:id="304"/>
      <w:bookmarkEnd w:id="305"/>
      <w:bookmarkEnd w:id="306"/>
      <w:bookmarkEnd w:id="307"/>
      <w:bookmarkEnd w:id="308"/>
      <w:bookmarkEnd w:id="309"/>
      <w:bookmarkEnd w:id="310"/>
      <w:bookmarkEnd w:id="311"/>
    </w:p>
    <w:p w14:paraId="4CCFB7CE">
      <w:pPr>
        <w:keepLines w:val="0"/>
        <w:pageBreakBefore w:val="0"/>
        <w:kinsoku/>
        <w:overflowPunct/>
        <w:topLinePunct w:val="0"/>
        <w:bidi w:val="0"/>
        <w:spacing w:beforeAutospacing="0" w:afterAutospacing="0" w:line="360" w:lineRule="auto"/>
        <w:jc w:val="left"/>
        <w:textAlignment w:val="auto"/>
        <w:rPr>
          <w:rFonts w:hint="eastAsia" w:ascii="仿宋" w:hAnsi="仿宋" w:eastAsia="仿宋" w:cs="仿宋"/>
          <w:color w:val="auto"/>
          <w:sz w:val="24"/>
          <w:szCs w:val="24"/>
          <w:highlight w:val="none"/>
          <w:shd w:val="clear" w:color="auto" w:fill="FFFFFF" w:themeFill="background1"/>
        </w:rPr>
      </w:pPr>
    </w:p>
    <w:tbl>
      <w:tblPr>
        <w:tblStyle w:val="39"/>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372"/>
        <w:gridCol w:w="1230"/>
        <w:gridCol w:w="233"/>
        <w:gridCol w:w="1702"/>
        <w:gridCol w:w="1275"/>
        <w:gridCol w:w="1364"/>
      </w:tblGrid>
      <w:tr w14:paraId="2C558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0E40CF0A">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姓名</w:t>
            </w:r>
          </w:p>
        </w:tc>
        <w:tc>
          <w:tcPr>
            <w:tcW w:w="2602" w:type="dxa"/>
            <w:gridSpan w:val="2"/>
            <w:vAlign w:val="center"/>
          </w:tcPr>
          <w:p w14:paraId="58B79C24">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935" w:type="dxa"/>
            <w:gridSpan w:val="2"/>
            <w:vAlign w:val="center"/>
          </w:tcPr>
          <w:p w14:paraId="418D37FB">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性别</w:t>
            </w:r>
          </w:p>
        </w:tc>
        <w:tc>
          <w:tcPr>
            <w:tcW w:w="2639" w:type="dxa"/>
            <w:gridSpan w:val="2"/>
            <w:vAlign w:val="center"/>
          </w:tcPr>
          <w:p w14:paraId="3C6B3B7C">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r>
      <w:tr w14:paraId="6B820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76F03297">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身份证号码</w:t>
            </w:r>
          </w:p>
        </w:tc>
        <w:tc>
          <w:tcPr>
            <w:tcW w:w="2602" w:type="dxa"/>
            <w:gridSpan w:val="2"/>
            <w:vAlign w:val="center"/>
          </w:tcPr>
          <w:p w14:paraId="7AFFD61F">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935" w:type="dxa"/>
            <w:gridSpan w:val="2"/>
            <w:vAlign w:val="center"/>
          </w:tcPr>
          <w:p w14:paraId="1458F4E5">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学历</w:t>
            </w:r>
          </w:p>
        </w:tc>
        <w:tc>
          <w:tcPr>
            <w:tcW w:w="2639" w:type="dxa"/>
            <w:gridSpan w:val="2"/>
            <w:vAlign w:val="center"/>
          </w:tcPr>
          <w:p w14:paraId="40876DA2">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r>
      <w:tr w14:paraId="08064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17C2F2CA">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毕业学校</w:t>
            </w:r>
          </w:p>
        </w:tc>
        <w:tc>
          <w:tcPr>
            <w:tcW w:w="2602" w:type="dxa"/>
            <w:gridSpan w:val="2"/>
            <w:vAlign w:val="center"/>
          </w:tcPr>
          <w:p w14:paraId="231A55BB">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935" w:type="dxa"/>
            <w:gridSpan w:val="2"/>
            <w:vAlign w:val="center"/>
          </w:tcPr>
          <w:p w14:paraId="2D8AC0FF">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专业</w:t>
            </w:r>
          </w:p>
        </w:tc>
        <w:tc>
          <w:tcPr>
            <w:tcW w:w="2639" w:type="dxa"/>
            <w:gridSpan w:val="2"/>
            <w:vAlign w:val="center"/>
          </w:tcPr>
          <w:p w14:paraId="222C7CF3">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r>
      <w:tr w14:paraId="7A2B4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19B6DF81">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参加工作时间</w:t>
            </w:r>
          </w:p>
        </w:tc>
        <w:tc>
          <w:tcPr>
            <w:tcW w:w="2602" w:type="dxa"/>
            <w:gridSpan w:val="2"/>
            <w:vAlign w:val="center"/>
          </w:tcPr>
          <w:p w14:paraId="17E25336">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935" w:type="dxa"/>
            <w:gridSpan w:val="2"/>
            <w:vAlign w:val="center"/>
          </w:tcPr>
          <w:p w14:paraId="39331236">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从事</w:t>
            </w:r>
            <w:r>
              <w:rPr>
                <w:rFonts w:hint="eastAsia" w:ascii="仿宋" w:hAnsi="仿宋" w:eastAsia="仿宋" w:cs="仿宋"/>
                <w:color w:val="auto"/>
                <w:szCs w:val="21"/>
                <w:highlight w:val="none"/>
                <w:shd w:val="clear" w:color="auto" w:fill="FFFFFF" w:themeFill="background1"/>
                <w:lang w:val="en-US" w:eastAsia="zh-CN"/>
              </w:rPr>
              <w:t>相关</w:t>
            </w:r>
            <w:r>
              <w:rPr>
                <w:rFonts w:hint="eastAsia" w:ascii="仿宋" w:hAnsi="仿宋" w:eastAsia="仿宋" w:cs="仿宋"/>
                <w:color w:val="auto"/>
                <w:szCs w:val="21"/>
                <w:highlight w:val="none"/>
                <w:shd w:val="clear" w:color="auto" w:fill="FFFFFF" w:themeFill="background1"/>
              </w:rPr>
              <w:t>职业年限</w:t>
            </w:r>
          </w:p>
        </w:tc>
        <w:tc>
          <w:tcPr>
            <w:tcW w:w="2639" w:type="dxa"/>
            <w:gridSpan w:val="2"/>
            <w:vAlign w:val="center"/>
          </w:tcPr>
          <w:p w14:paraId="2D34D2F5">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r>
      <w:tr w14:paraId="68349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5E62EA14">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在公司担任职务</w:t>
            </w:r>
          </w:p>
        </w:tc>
        <w:tc>
          <w:tcPr>
            <w:tcW w:w="2602" w:type="dxa"/>
            <w:gridSpan w:val="2"/>
            <w:vAlign w:val="center"/>
          </w:tcPr>
          <w:p w14:paraId="154C8C42">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935" w:type="dxa"/>
            <w:gridSpan w:val="2"/>
            <w:vAlign w:val="center"/>
          </w:tcPr>
          <w:p w14:paraId="214578C8">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联系方式</w:t>
            </w:r>
          </w:p>
        </w:tc>
        <w:tc>
          <w:tcPr>
            <w:tcW w:w="2639" w:type="dxa"/>
            <w:gridSpan w:val="2"/>
            <w:vAlign w:val="center"/>
          </w:tcPr>
          <w:p w14:paraId="43E883FD">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r>
      <w:tr w14:paraId="72DF1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restart"/>
            <w:vAlign w:val="center"/>
          </w:tcPr>
          <w:p w14:paraId="2DBD577D">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近三年类似业绩</w:t>
            </w:r>
          </w:p>
        </w:tc>
        <w:tc>
          <w:tcPr>
            <w:tcW w:w="1372" w:type="dxa"/>
            <w:vAlign w:val="center"/>
          </w:tcPr>
          <w:p w14:paraId="0EC814AA">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项目名称</w:t>
            </w:r>
          </w:p>
        </w:tc>
        <w:tc>
          <w:tcPr>
            <w:tcW w:w="1463" w:type="dxa"/>
            <w:gridSpan w:val="2"/>
            <w:vAlign w:val="center"/>
          </w:tcPr>
          <w:p w14:paraId="4940D060">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采购人</w:t>
            </w:r>
          </w:p>
        </w:tc>
        <w:tc>
          <w:tcPr>
            <w:tcW w:w="1702" w:type="dxa"/>
            <w:vAlign w:val="center"/>
          </w:tcPr>
          <w:p w14:paraId="404BEF42">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合同内容</w:t>
            </w:r>
          </w:p>
        </w:tc>
        <w:tc>
          <w:tcPr>
            <w:tcW w:w="1275" w:type="dxa"/>
            <w:vAlign w:val="center"/>
          </w:tcPr>
          <w:p w14:paraId="79025696">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合同价格</w:t>
            </w:r>
          </w:p>
        </w:tc>
        <w:tc>
          <w:tcPr>
            <w:tcW w:w="1364" w:type="dxa"/>
            <w:vAlign w:val="center"/>
          </w:tcPr>
          <w:p w14:paraId="75F17513">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签约日期</w:t>
            </w:r>
          </w:p>
        </w:tc>
      </w:tr>
      <w:tr w14:paraId="03A6A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18CB4A86">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372" w:type="dxa"/>
            <w:vAlign w:val="center"/>
          </w:tcPr>
          <w:p w14:paraId="00B31A69">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463" w:type="dxa"/>
            <w:gridSpan w:val="2"/>
            <w:vAlign w:val="center"/>
          </w:tcPr>
          <w:p w14:paraId="2731E114">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702" w:type="dxa"/>
            <w:vAlign w:val="center"/>
          </w:tcPr>
          <w:p w14:paraId="72356B9C">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275" w:type="dxa"/>
            <w:vAlign w:val="center"/>
          </w:tcPr>
          <w:p w14:paraId="439EDD6E">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364" w:type="dxa"/>
            <w:vAlign w:val="center"/>
          </w:tcPr>
          <w:p w14:paraId="63D101A7">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r>
      <w:tr w14:paraId="446C6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0271323E">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372" w:type="dxa"/>
            <w:vAlign w:val="center"/>
          </w:tcPr>
          <w:p w14:paraId="0499D36D">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463" w:type="dxa"/>
            <w:gridSpan w:val="2"/>
            <w:vAlign w:val="center"/>
          </w:tcPr>
          <w:p w14:paraId="146A54FF">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702" w:type="dxa"/>
            <w:vAlign w:val="center"/>
          </w:tcPr>
          <w:p w14:paraId="5EF4984C">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275" w:type="dxa"/>
            <w:vAlign w:val="center"/>
          </w:tcPr>
          <w:p w14:paraId="321965E5">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364" w:type="dxa"/>
            <w:vAlign w:val="center"/>
          </w:tcPr>
          <w:p w14:paraId="2610366D">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r>
      <w:tr w14:paraId="0F148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7142DC46">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372" w:type="dxa"/>
            <w:vAlign w:val="center"/>
          </w:tcPr>
          <w:p w14:paraId="41A1EEFF">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463" w:type="dxa"/>
            <w:gridSpan w:val="2"/>
            <w:vAlign w:val="center"/>
          </w:tcPr>
          <w:p w14:paraId="76111C12">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702" w:type="dxa"/>
            <w:vAlign w:val="center"/>
          </w:tcPr>
          <w:p w14:paraId="5E30119D">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275" w:type="dxa"/>
            <w:vAlign w:val="center"/>
          </w:tcPr>
          <w:p w14:paraId="39756418">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364" w:type="dxa"/>
            <w:vAlign w:val="center"/>
          </w:tcPr>
          <w:p w14:paraId="5425460D">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r>
      <w:tr w14:paraId="11784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2AD29431">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372" w:type="dxa"/>
            <w:vAlign w:val="center"/>
          </w:tcPr>
          <w:p w14:paraId="1415448E">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463" w:type="dxa"/>
            <w:gridSpan w:val="2"/>
            <w:vAlign w:val="center"/>
          </w:tcPr>
          <w:p w14:paraId="50AD7DDB">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702" w:type="dxa"/>
            <w:vAlign w:val="center"/>
          </w:tcPr>
          <w:p w14:paraId="468130F0">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275" w:type="dxa"/>
            <w:vAlign w:val="center"/>
          </w:tcPr>
          <w:p w14:paraId="5B28646F">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364" w:type="dxa"/>
            <w:vAlign w:val="center"/>
          </w:tcPr>
          <w:p w14:paraId="148116DE">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r>
      <w:tr w14:paraId="5C4FB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36687B9E">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372" w:type="dxa"/>
            <w:vAlign w:val="center"/>
          </w:tcPr>
          <w:p w14:paraId="6F9CC11A">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463" w:type="dxa"/>
            <w:gridSpan w:val="2"/>
            <w:vAlign w:val="center"/>
          </w:tcPr>
          <w:p w14:paraId="15FB2614">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702" w:type="dxa"/>
            <w:vAlign w:val="center"/>
          </w:tcPr>
          <w:p w14:paraId="238F8ABB">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275" w:type="dxa"/>
            <w:vAlign w:val="center"/>
          </w:tcPr>
          <w:p w14:paraId="5CD2CBDB">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364" w:type="dxa"/>
            <w:vAlign w:val="center"/>
          </w:tcPr>
          <w:p w14:paraId="3AA97F28">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r>
    </w:tbl>
    <w:p w14:paraId="6FE391A4">
      <w:pPr>
        <w:keepLines w:val="0"/>
        <w:pageBreakBefore w:val="0"/>
        <w:kinsoku/>
        <w:overflowPunct/>
        <w:topLinePunct w:val="0"/>
        <w:bidi w:val="0"/>
        <w:spacing w:beforeAutospacing="0" w:afterAutospacing="0" w:line="360" w:lineRule="auto"/>
        <w:ind w:firstLine="420" w:firstLineChars="200"/>
        <w:textAlignment w:val="auto"/>
        <w:rPr>
          <w:rFonts w:hint="eastAsia" w:ascii="仿宋" w:hAnsi="仿宋" w:eastAsia="仿宋" w:cs="仿宋"/>
          <w:color w:val="auto"/>
          <w:sz w:val="22"/>
          <w:szCs w:val="22"/>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注：附身份证等其它相关材料</w:t>
      </w:r>
      <w:r>
        <w:rPr>
          <w:rFonts w:hint="eastAsia" w:ascii="仿宋" w:hAnsi="仿宋" w:eastAsia="仿宋" w:cs="仿宋"/>
          <w:color w:val="auto"/>
          <w:sz w:val="21"/>
          <w:szCs w:val="21"/>
          <w:highlight w:val="none"/>
          <w:shd w:val="clear" w:color="auto" w:fill="FFFFFF" w:themeFill="background1"/>
          <w:lang w:val="en-US" w:eastAsia="zh-CN"/>
        </w:rPr>
        <w:t>扫描件</w:t>
      </w:r>
      <w:r>
        <w:rPr>
          <w:rFonts w:hint="eastAsia" w:ascii="仿宋" w:hAnsi="仿宋" w:eastAsia="仿宋" w:cs="仿宋"/>
          <w:color w:val="auto"/>
          <w:sz w:val="22"/>
          <w:szCs w:val="22"/>
          <w:highlight w:val="none"/>
          <w:shd w:val="clear" w:color="auto" w:fill="FFFFFF" w:themeFill="background1"/>
        </w:rPr>
        <w:t>。</w:t>
      </w:r>
    </w:p>
    <w:p w14:paraId="70CD0E97">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08EED635">
      <w:pPr>
        <w:keepLines w:val="0"/>
        <w:pageBreakBefore w:val="0"/>
        <w:tabs>
          <w:tab w:val="center" w:pos="4832"/>
          <w:tab w:val="left" w:pos="7140"/>
        </w:tabs>
        <w:kinsoku/>
        <w:overflowPunct/>
        <w:topLinePunct w:val="0"/>
        <w:bidi w:val="0"/>
        <w:spacing w:beforeAutospacing="0" w:afterAutospacing="0" w:line="360" w:lineRule="auto"/>
        <w:jc w:val="center"/>
        <w:textAlignment w:val="auto"/>
        <w:outlineLvl w:val="1"/>
        <w:rPr>
          <w:rFonts w:hint="eastAsia" w:ascii="仿宋" w:hAnsi="仿宋" w:eastAsia="仿宋" w:cs="仿宋"/>
          <w:b/>
          <w:bCs/>
          <w:color w:val="auto"/>
          <w:sz w:val="24"/>
          <w:szCs w:val="24"/>
          <w:highlight w:val="none"/>
          <w:shd w:val="clear" w:color="auto" w:fill="FFFFFF" w:themeFill="background1"/>
        </w:rPr>
      </w:pPr>
      <w:bookmarkStart w:id="316" w:name="_Toc19030"/>
      <w:bookmarkStart w:id="317" w:name="_Toc22814"/>
      <w:bookmarkStart w:id="318" w:name="_Toc27202"/>
      <w:bookmarkStart w:id="319" w:name="_Toc3377"/>
      <w:r>
        <w:rPr>
          <w:rFonts w:hint="eastAsia" w:ascii="仿宋" w:hAnsi="仿宋" w:eastAsia="仿宋" w:cs="仿宋"/>
          <w:b/>
          <w:color w:val="auto"/>
          <w:sz w:val="24"/>
          <w:szCs w:val="24"/>
          <w:highlight w:val="none"/>
          <w:shd w:val="clear" w:color="auto" w:fill="FFFFFF" w:themeFill="background1"/>
          <w:lang w:val="en-US" w:eastAsia="zh-CN"/>
        </w:rPr>
        <w:t>十一</w:t>
      </w:r>
      <w:r>
        <w:rPr>
          <w:rFonts w:hint="eastAsia" w:ascii="仿宋" w:hAnsi="仿宋" w:eastAsia="仿宋" w:cs="仿宋"/>
          <w:b/>
          <w:color w:val="auto"/>
          <w:sz w:val="24"/>
          <w:szCs w:val="24"/>
          <w:highlight w:val="none"/>
          <w:shd w:val="clear" w:color="auto" w:fill="FFFFFF" w:themeFill="background1"/>
        </w:rPr>
        <w:t>、拟派主要</w:t>
      </w:r>
      <w:r>
        <w:rPr>
          <w:rFonts w:hint="eastAsia" w:ascii="仿宋" w:hAnsi="仿宋" w:eastAsia="仿宋" w:cs="仿宋"/>
          <w:b/>
          <w:color w:val="auto"/>
          <w:sz w:val="24"/>
          <w:szCs w:val="24"/>
          <w:highlight w:val="none"/>
          <w:shd w:val="clear" w:color="auto" w:fill="FFFFFF" w:themeFill="background1"/>
          <w:lang w:val="en-US" w:eastAsia="zh-CN"/>
        </w:rPr>
        <w:t>服务</w:t>
      </w:r>
      <w:r>
        <w:rPr>
          <w:rFonts w:hint="eastAsia" w:ascii="仿宋" w:hAnsi="仿宋" w:eastAsia="仿宋" w:cs="仿宋"/>
          <w:b/>
          <w:color w:val="auto"/>
          <w:sz w:val="24"/>
          <w:szCs w:val="24"/>
          <w:highlight w:val="none"/>
          <w:shd w:val="clear" w:color="auto" w:fill="FFFFFF" w:themeFill="background1"/>
        </w:rPr>
        <w:t>人员情况表</w:t>
      </w:r>
      <w:bookmarkEnd w:id="316"/>
      <w:bookmarkEnd w:id="317"/>
      <w:bookmarkEnd w:id="318"/>
      <w:bookmarkEnd w:id="319"/>
    </w:p>
    <w:tbl>
      <w:tblPr>
        <w:tblStyle w:val="39"/>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1167"/>
        <w:gridCol w:w="2283"/>
        <w:gridCol w:w="1388"/>
        <w:gridCol w:w="1012"/>
        <w:gridCol w:w="1141"/>
        <w:gridCol w:w="1406"/>
      </w:tblGrid>
      <w:tr w14:paraId="7267B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 w:type="dxa"/>
            <w:vAlign w:val="center"/>
          </w:tcPr>
          <w:p w14:paraId="494D5690">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1167" w:type="dxa"/>
            <w:vAlign w:val="center"/>
          </w:tcPr>
          <w:p w14:paraId="6B5BF29C">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姓名</w:t>
            </w:r>
          </w:p>
        </w:tc>
        <w:tc>
          <w:tcPr>
            <w:tcW w:w="2283" w:type="dxa"/>
            <w:vAlign w:val="center"/>
          </w:tcPr>
          <w:p w14:paraId="58AF921C">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身份证号码</w:t>
            </w:r>
          </w:p>
        </w:tc>
        <w:tc>
          <w:tcPr>
            <w:tcW w:w="1388" w:type="dxa"/>
            <w:vAlign w:val="center"/>
          </w:tcPr>
          <w:p w14:paraId="55DEC3F0">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性别</w:t>
            </w:r>
          </w:p>
        </w:tc>
        <w:tc>
          <w:tcPr>
            <w:tcW w:w="1012" w:type="dxa"/>
            <w:vAlign w:val="center"/>
          </w:tcPr>
          <w:p w14:paraId="729AFFFA">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拟担任</w:t>
            </w:r>
            <w:r>
              <w:rPr>
                <w:rFonts w:hint="eastAsia" w:ascii="仿宋" w:hAnsi="仿宋" w:eastAsia="仿宋" w:cs="仿宋"/>
                <w:color w:val="auto"/>
                <w:szCs w:val="21"/>
                <w:highlight w:val="none"/>
              </w:rPr>
              <w:t>岗位</w:t>
            </w:r>
          </w:p>
        </w:tc>
        <w:tc>
          <w:tcPr>
            <w:tcW w:w="1141" w:type="dxa"/>
            <w:vAlign w:val="center"/>
          </w:tcPr>
          <w:p w14:paraId="7E1BE782">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从事</w:t>
            </w:r>
            <w:r>
              <w:rPr>
                <w:rFonts w:hint="eastAsia" w:ascii="仿宋" w:hAnsi="仿宋" w:eastAsia="仿宋" w:cs="仿宋"/>
                <w:color w:val="auto"/>
                <w:szCs w:val="21"/>
                <w:highlight w:val="none"/>
                <w:lang w:val="en-US" w:eastAsia="zh-CN"/>
              </w:rPr>
              <w:t>相关</w:t>
            </w:r>
            <w:r>
              <w:rPr>
                <w:rFonts w:hint="eastAsia" w:ascii="仿宋" w:hAnsi="仿宋" w:eastAsia="仿宋" w:cs="仿宋"/>
                <w:color w:val="auto"/>
                <w:szCs w:val="21"/>
                <w:highlight w:val="none"/>
              </w:rPr>
              <w:t>工作年限</w:t>
            </w:r>
          </w:p>
        </w:tc>
        <w:tc>
          <w:tcPr>
            <w:tcW w:w="1406" w:type="dxa"/>
            <w:vAlign w:val="center"/>
          </w:tcPr>
          <w:p w14:paraId="2ED7A7CA">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备注</w:t>
            </w:r>
          </w:p>
        </w:tc>
      </w:tr>
      <w:tr w14:paraId="0312C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 w:type="dxa"/>
            <w:vAlign w:val="center"/>
          </w:tcPr>
          <w:p w14:paraId="64E54779">
            <w:pPr>
              <w:spacing w:line="440" w:lineRule="exact"/>
              <w:jc w:val="center"/>
              <w:rPr>
                <w:rFonts w:hint="eastAsia" w:ascii="仿宋" w:hAnsi="仿宋" w:eastAsia="仿宋" w:cs="仿宋"/>
                <w:color w:val="auto"/>
                <w:szCs w:val="21"/>
                <w:highlight w:val="none"/>
              </w:rPr>
            </w:pPr>
          </w:p>
        </w:tc>
        <w:tc>
          <w:tcPr>
            <w:tcW w:w="1167" w:type="dxa"/>
            <w:vAlign w:val="center"/>
          </w:tcPr>
          <w:p w14:paraId="29EBF84A">
            <w:pPr>
              <w:spacing w:line="360" w:lineRule="auto"/>
              <w:jc w:val="center"/>
              <w:rPr>
                <w:rFonts w:hint="eastAsia" w:ascii="仿宋" w:hAnsi="仿宋" w:eastAsia="仿宋" w:cs="仿宋"/>
                <w:color w:val="auto"/>
                <w:szCs w:val="21"/>
                <w:highlight w:val="none"/>
              </w:rPr>
            </w:pPr>
          </w:p>
        </w:tc>
        <w:tc>
          <w:tcPr>
            <w:tcW w:w="2283" w:type="dxa"/>
            <w:vAlign w:val="center"/>
          </w:tcPr>
          <w:p w14:paraId="377915A8">
            <w:pPr>
              <w:spacing w:line="360" w:lineRule="auto"/>
              <w:jc w:val="center"/>
              <w:rPr>
                <w:rFonts w:hint="eastAsia" w:ascii="仿宋" w:hAnsi="仿宋" w:eastAsia="仿宋" w:cs="仿宋"/>
                <w:color w:val="auto"/>
                <w:szCs w:val="21"/>
                <w:highlight w:val="none"/>
              </w:rPr>
            </w:pPr>
          </w:p>
        </w:tc>
        <w:tc>
          <w:tcPr>
            <w:tcW w:w="1388" w:type="dxa"/>
            <w:vAlign w:val="center"/>
          </w:tcPr>
          <w:p w14:paraId="56A22E02">
            <w:pPr>
              <w:spacing w:line="360" w:lineRule="auto"/>
              <w:jc w:val="center"/>
              <w:rPr>
                <w:rFonts w:hint="eastAsia" w:ascii="仿宋" w:hAnsi="仿宋" w:eastAsia="仿宋" w:cs="仿宋"/>
                <w:color w:val="auto"/>
                <w:szCs w:val="21"/>
                <w:highlight w:val="none"/>
              </w:rPr>
            </w:pPr>
          </w:p>
        </w:tc>
        <w:tc>
          <w:tcPr>
            <w:tcW w:w="1012" w:type="dxa"/>
            <w:vAlign w:val="center"/>
          </w:tcPr>
          <w:p w14:paraId="5EF1C244">
            <w:pPr>
              <w:spacing w:line="360" w:lineRule="auto"/>
              <w:jc w:val="center"/>
              <w:rPr>
                <w:rFonts w:hint="eastAsia" w:ascii="仿宋" w:hAnsi="仿宋" w:eastAsia="仿宋" w:cs="仿宋"/>
                <w:color w:val="auto"/>
                <w:szCs w:val="21"/>
                <w:highlight w:val="none"/>
              </w:rPr>
            </w:pPr>
          </w:p>
        </w:tc>
        <w:tc>
          <w:tcPr>
            <w:tcW w:w="1141" w:type="dxa"/>
            <w:vAlign w:val="center"/>
          </w:tcPr>
          <w:p w14:paraId="55D0A8DC">
            <w:pPr>
              <w:spacing w:line="360" w:lineRule="auto"/>
              <w:jc w:val="center"/>
              <w:rPr>
                <w:rFonts w:hint="eastAsia" w:ascii="仿宋" w:hAnsi="仿宋" w:eastAsia="仿宋" w:cs="仿宋"/>
                <w:color w:val="auto"/>
                <w:szCs w:val="21"/>
                <w:highlight w:val="none"/>
              </w:rPr>
            </w:pPr>
          </w:p>
        </w:tc>
        <w:tc>
          <w:tcPr>
            <w:tcW w:w="1406" w:type="dxa"/>
            <w:vAlign w:val="center"/>
          </w:tcPr>
          <w:p w14:paraId="401E8240">
            <w:pPr>
              <w:spacing w:line="360" w:lineRule="auto"/>
              <w:jc w:val="center"/>
              <w:rPr>
                <w:rFonts w:hint="eastAsia" w:ascii="仿宋" w:hAnsi="仿宋" w:eastAsia="仿宋" w:cs="仿宋"/>
                <w:color w:val="auto"/>
                <w:szCs w:val="21"/>
                <w:highlight w:val="none"/>
              </w:rPr>
            </w:pPr>
          </w:p>
        </w:tc>
      </w:tr>
      <w:tr w14:paraId="2D495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 w:type="dxa"/>
            <w:vAlign w:val="center"/>
          </w:tcPr>
          <w:p w14:paraId="627FDA4E">
            <w:pPr>
              <w:spacing w:line="440" w:lineRule="exact"/>
              <w:jc w:val="center"/>
              <w:rPr>
                <w:rFonts w:hint="eastAsia" w:ascii="仿宋" w:hAnsi="仿宋" w:eastAsia="仿宋" w:cs="仿宋"/>
                <w:color w:val="auto"/>
                <w:szCs w:val="21"/>
                <w:highlight w:val="none"/>
              </w:rPr>
            </w:pPr>
          </w:p>
        </w:tc>
        <w:tc>
          <w:tcPr>
            <w:tcW w:w="1167" w:type="dxa"/>
            <w:vAlign w:val="center"/>
          </w:tcPr>
          <w:p w14:paraId="7D1CF219">
            <w:pPr>
              <w:spacing w:line="360" w:lineRule="auto"/>
              <w:jc w:val="center"/>
              <w:rPr>
                <w:rFonts w:hint="eastAsia" w:ascii="仿宋" w:hAnsi="仿宋" w:eastAsia="仿宋" w:cs="仿宋"/>
                <w:color w:val="auto"/>
                <w:szCs w:val="21"/>
                <w:highlight w:val="none"/>
              </w:rPr>
            </w:pPr>
          </w:p>
        </w:tc>
        <w:tc>
          <w:tcPr>
            <w:tcW w:w="2283" w:type="dxa"/>
            <w:vAlign w:val="center"/>
          </w:tcPr>
          <w:p w14:paraId="4D124028">
            <w:pPr>
              <w:spacing w:line="360" w:lineRule="auto"/>
              <w:jc w:val="center"/>
              <w:rPr>
                <w:rFonts w:hint="eastAsia" w:ascii="仿宋" w:hAnsi="仿宋" w:eastAsia="仿宋" w:cs="仿宋"/>
                <w:color w:val="auto"/>
                <w:szCs w:val="21"/>
                <w:highlight w:val="none"/>
              </w:rPr>
            </w:pPr>
          </w:p>
        </w:tc>
        <w:tc>
          <w:tcPr>
            <w:tcW w:w="1388" w:type="dxa"/>
            <w:vAlign w:val="center"/>
          </w:tcPr>
          <w:p w14:paraId="64C42B61">
            <w:pPr>
              <w:spacing w:line="360" w:lineRule="auto"/>
              <w:jc w:val="center"/>
              <w:rPr>
                <w:rFonts w:hint="eastAsia" w:ascii="仿宋" w:hAnsi="仿宋" w:eastAsia="仿宋" w:cs="仿宋"/>
                <w:color w:val="auto"/>
                <w:szCs w:val="21"/>
                <w:highlight w:val="none"/>
              </w:rPr>
            </w:pPr>
          </w:p>
        </w:tc>
        <w:tc>
          <w:tcPr>
            <w:tcW w:w="1012" w:type="dxa"/>
            <w:vAlign w:val="center"/>
          </w:tcPr>
          <w:p w14:paraId="126673B0">
            <w:pPr>
              <w:spacing w:line="360" w:lineRule="auto"/>
              <w:jc w:val="center"/>
              <w:rPr>
                <w:rFonts w:hint="eastAsia" w:ascii="仿宋" w:hAnsi="仿宋" w:eastAsia="仿宋" w:cs="仿宋"/>
                <w:color w:val="auto"/>
                <w:szCs w:val="21"/>
                <w:highlight w:val="none"/>
              </w:rPr>
            </w:pPr>
          </w:p>
        </w:tc>
        <w:tc>
          <w:tcPr>
            <w:tcW w:w="1141" w:type="dxa"/>
            <w:vAlign w:val="center"/>
          </w:tcPr>
          <w:p w14:paraId="0F24147A">
            <w:pPr>
              <w:spacing w:line="360" w:lineRule="auto"/>
              <w:jc w:val="center"/>
              <w:rPr>
                <w:rFonts w:hint="eastAsia" w:ascii="仿宋" w:hAnsi="仿宋" w:eastAsia="仿宋" w:cs="仿宋"/>
                <w:color w:val="auto"/>
                <w:szCs w:val="21"/>
                <w:highlight w:val="none"/>
              </w:rPr>
            </w:pPr>
          </w:p>
        </w:tc>
        <w:tc>
          <w:tcPr>
            <w:tcW w:w="1406" w:type="dxa"/>
            <w:vAlign w:val="center"/>
          </w:tcPr>
          <w:p w14:paraId="7A9B34FF">
            <w:pPr>
              <w:spacing w:line="360" w:lineRule="auto"/>
              <w:jc w:val="center"/>
              <w:rPr>
                <w:rFonts w:hint="eastAsia" w:ascii="仿宋" w:hAnsi="仿宋" w:eastAsia="仿宋" w:cs="仿宋"/>
                <w:color w:val="auto"/>
                <w:szCs w:val="21"/>
                <w:highlight w:val="none"/>
              </w:rPr>
            </w:pPr>
          </w:p>
        </w:tc>
      </w:tr>
      <w:tr w14:paraId="38DA0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 w:type="dxa"/>
            <w:vAlign w:val="center"/>
          </w:tcPr>
          <w:p w14:paraId="5802E5C3">
            <w:pPr>
              <w:spacing w:line="440" w:lineRule="exact"/>
              <w:jc w:val="center"/>
              <w:rPr>
                <w:rFonts w:hint="eastAsia" w:ascii="仿宋" w:hAnsi="仿宋" w:eastAsia="仿宋" w:cs="仿宋"/>
                <w:color w:val="auto"/>
                <w:szCs w:val="21"/>
                <w:highlight w:val="none"/>
              </w:rPr>
            </w:pPr>
          </w:p>
        </w:tc>
        <w:tc>
          <w:tcPr>
            <w:tcW w:w="1167" w:type="dxa"/>
            <w:vAlign w:val="center"/>
          </w:tcPr>
          <w:p w14:paraId="7D16284D">
            <w:pPr>
              <w:spacing w:line="360" w:lineRule="auto"/>
              <w:jc w:val="center"/>
              <w:rPr>
                <w:rFonts w:hint="eastAsia" w:ascii="仿宋" w:hAnsi="仿宋" w:eastAsia="仿宋" w:cs="仿宋"/>
                <w:color w:val="auto"/>
                <w:szCs w:val="21"/>
                <w:highlight w:val="none"/>
              </w:rPr>
            </w:pPr>
          </w:p>
        </w:tc>
        <w:tc>
          <w:tcPr>
            <w:tcW w:w="2283" w:type="dxa"/>
            <w:vAlign w:val="center"/>
          </w:tcPr>
          <w:p w14:paraId="20DC9FE1">
            <w:pPr>
              <w:spacing w:line="360" w:lineRule="auto"/>
              <w:jc w:val="center"/>
              <w:rPr>
                <w:rFonts w:hint="eastAsia" w:ascii="仿宋" w:hAnsi="仿宋" w:eastAsia="仿宋" w:cs="仿宋"/>
                <w:color w:val="auto"/>
                <w:szCs w:val="21"/>
                <w:highlight w:val="none"/>
              </w:rPr>
            </w:pPr>
          </w:p>
        </w:tc>
        <w:tc>
          <w:tcPr>
            <w:tcW w:w="1388" w:type="dxa"/>
            <w:vAlign w:val="center"/>
          </w:tcPr>
          <w:p w14:paraId="2E7B6B7D">
            <w:pPr>
              <w:spacing w:line="360" w:lineRule="auto"/>
              <w:jc w:val="center"/>
              <w:rPr>
                <w:rFonts w:hint="eastAsia" w:ascii="仿宋" w:hAnsi="仿宋" w:eastAsia="仿宋" w:cs="仿宋"/>
                <w:color w:val="auto"/>
                <w:szCs w:val="21"/>
                <w:highlight w:val="none"/>
              </w:rPr>
            </w:pPr>
          </w:p>
        </w:tc>
        <w:tc>
          <w:tcPr>
            <w:tcW w:w="1012" w:type="dxa"/>
            <w:vAlign w:val="center"/>
          </w:tcPr>
          <w:p w14:paraId="50375FBA">
            <w:pPr>
              <w:spacing w:line="360" w:lineRule="auto"/>
              <w:jc w:val="center"/>
              <w:rPr>
                <w:rFonts w:hint="eastAsia" w:ascii="仿宋" w:hAnsi="仿宋" w:eastAsia="仿宋" w:cs="仿宋"/>
                <w:color w:val="auto"/>
                <w:szCs w:val="21"/>
                <w:highlight w:val="none"/>
              </w:rPr>
            </w:pPr>
          </w:p>
        </w:tc>
        <w:tc>
          <w:tcPr>
            <w:tcW w:w="1141" w:type="dxa"/>
            <w:vAlign w:val="center"/>
          </w:tcPr>
          <w:p w14:paraId="22DFA7F4">
            <w:pPr>
              <w:spacing w:line="360" w:lineRule="auto"/>
              <w:jc w:val="center"/>
              <w:rPr>
                <w:rFonts w:hint="eastAsia" w:ascii="仿宋" w:hAnsi="仿宋" w:eastAsia="仿宋" w:cs="仿宋"/>
                <w:color w:val="auto"/>
                <w:szCs w:val="21"/>
                <w:highlight w:val="none"/>
              </w:rPr>
            </w:pPr>
          </w:p>
        </w:tc>
        <w:tc>
          <w:tcPr>
            <w:tcW w:w="1406" w:type="dxa"/>
            <w:vAlign w:val="center"/>
          </w:tcPr>
          <w:p w14:paraId="5ED0E45A">
            <w:pPr>
              <w:spacing w:line="360" w:lineRule="auto"/>
              <w:jc w:val="center"/>
              <w:rPr>
                <w:rFonts w:hint="eastAsia" w:ascii="仿宋" w:hAnsi="仿宋" w:eastAsia="仿宋" w:cs="仿宋"/>
                <w:color w:val="auto"/>
                <w:szCs w:val="21"/>
                <w:highlight w:val="none"/>
              </w:rPr>
            </w:pPr>
          </w:p>
        </w:tc>
      </w:tr>
      <w:tr w14:paraId="4FE02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 w:type="dxa"/>
            <w:vAlign w:val="center"/>
          </w:tcPr>
          <w:p w14:paraId="11A0D515">
            <w:pPr>
              <w:spacing w:line="440" w:lineRule="exact"/>
              <w:jc w:val="center"/>
              <w:rPr>
                <w:rFonts w:hint="eastAsia" w:ascii="仿宋" w:hAnsi="仿宋" w:eastAsia="仿宋" w:cs="仿宋"/>
                <w:color w:val="auto"/>
                <w:szCs w:val="21"/>
                <w:highlight w:val="none"/>
              </w:rPr>
            </w:pPr>
          </w:p>
        </w:tc>
        <w:tc>
          <w:tcPr>
            <w:tcW w:w="1167" w:type="dxa"/>
            <w:vAlign w:val="center"/>
          </w:tcPr>
          <w:p w14:paraId="6EC8309C">
            <w:pPr>
              <w:spacing w:line="360" w:lineRule="auto"/>
              <w:jc w:val="center"/>
              <w:rPr>
                <w:rFonts w:hint="eastAsia" w:ascii="仿宋" w:hAnsi="仿宋" w:eastAsia="仿宋" w:cs="仿宋"/>
                <w:color w:val="auto"/>
                <w:szCs w:val="21"/>
                <w:highlight w:val="none"/>
              </w:rPr>
            </w:pPr>
          </w:p>
        </w:tc>
        <w:tc>
          <w:tcPr>
            <w:tcW w:w="2283" w:type="dxa"/>
            <w:vAlign w:val="center"/>
          </w:tcPr>
          <w:p w14:paraId="0BB3D5A4">
            <w:pPr>
              <w:spacing w:line="360" w:lineRule="auto"/>
              <w:jc w:val="center"/>
              <w:rPr>
                <w:rFonts w:hint="eastAsia" w:ascii="仿宋" w:hAnsi="仿宋" w:eastAsia="仿宋" w:cs="仿宋"/>
                <w:color w:val="auto"/>
                <w:szCs w:val="21"/>
                <w:highlight w:val="none"/>
              </w:rPr>
            </w:pPr>
          </w:p>
        </w:tc>
        <w:tc>
          <w:tcPr>
            <w:tcW w:w="1388" w:type="dxa"/>
            <w:vAlign w:val="center"/>
          </w:tcPr>
          <w:p w14:paraId="78135FC1">
            <w:pPr>
              <w:spacing w:line="360" w:lineRule="auto"/>
              <w:jc w:val="center"/>
              <w:rPr>
                <w:rFonts w:hint="eastAsia" w:ascii="仿宋" w:hAnsi="仿宋" w:eastAsia="仿宋" w:cs="仿宋"/>
                <w:color w:val="auto"/>
                <w:szCs w:val="21"/>
                <w:highlight w:val="none"/>
              </w:rPr>
            </w:pPr>
          </w:p>
        </w:tc>
        <w:tc>
          <w:tcPr>
            <w:tcW w:w="1012" w:type="dxa"/>
            <w:vAlign w:val="center"/>
          </w:tcPr>
          <w:p w14:paraId="6C06817B">
            <w:pPr>
              <w:spacing w:line="360" w:lineRule="auto"/>
              <w:jc w:val="center"/>
              <w:rPr>
                <w:rFonts w:hint="eastAsia" w:ascii="仿宋" w:hAnsi="仿宋" w:eastAsia="仿宋" w:cs="仿宋"/>
                <w:color w:val="auto"/>
                <w:szCs w:val="21"/>
                <w:highlight w:val="none"/>
              </w:rPr>
            </w:pPr>
          </w:p>
        </w:tc>
        <w:tc>
          <w:tcPr>
            <w:tcW w:w="1141" w:type="dxa"/>
            <w:vAlign w:val="center"/>
          </w:tcPr>
          <w:p w14:paraId="171A0316">
            <w:pPr>
              <w:spacing w:line="360" w:lineRule="auto"/>
              <w:jc w:val="center"/>
              <w:rPr>
                <w:rFonts w:hint="eastAsia" w:ascii="仿宋" w:hAnsi="仿宋" w:eastAsia="仿宋" w:cs="仿宋"/>
                <w:color w:val="auto"/>
                <w:szCs w:val="21"/>
                <w:highlight w:val="none"/>
              </w:rPr>
            </w:pPr>
          </w:p>
        </w:tc>
        <w:tc>
          <w:tcPr>
            <w:tcW w:w="1406" w:type="dxa"/>
            <w:vAlign w:val="center"/>
          </w:tcPr>
          <w:p w14:paraId="6C5BDF43">
            <w:pPr>
              <w:spacing w:line="360" w:lineRule="auto"/>
              <w:jc w:val="center"/>
              <w:rPr>
                <w:rFonts w:hint="eastAsia" w:ascii="仿宋" w:hAnsi="仿宋" w:eastAsia="仿宋" w:cs="仿宋"/>
                <w:color w:val="auto"/>
                <w:szCs w:val="21"/>
                <w:highlight w:val="none"/>
              </w:rPr>
            </w:pPr>
          </w:p>
        </w:tc>
      </w:tr>
      <w:tr w14:paraId="7C190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 w:type="dxa"/>
            <w:vAlign w:val="center"/>
          </w:tcPr>
          <w:p w14:paraId="785DD670">
            <w:pPr>
              <w:spacing w:line="440" w:lineRule="exact"/>
              <w:jc w:val="center"/>
              <w:rPr>
                <w:rFonts w:hint="eastAsia" w:ascii="仿宋" w:hAnsi="仿宋" w:eastAsia="仿宋" w:cs="仿宋"/>
                <w:color w:val="auto"/>
                <w:szCs w:val="21"/>
                <w:highlight w:val="none"/>
              </w:rPr>
            </w:pPr>
          </w:p>
        </w:tc>
        <w:tc>
          <w:tcPr>
            <w:tcW w:w="1167" w:type="dxa"/>
            <w:vAlign w:val="center"/>
          </w:tcPr>
          <w:p w14:paraId="054188CB">
            <w:pPr>
              <w:spacing w:line="360" w:lineRule="auto"/>
              <w:jc w:val="center"/>
              <w:rPr>
                <w:rFonts w:hint="eastAsia" w:ascii="仿宋" w:hAnsi="仿宋" w:eastAsia="仿宋" w:cs="仿宋"/>
                <w:color w:val="auto"/>
                <w:szCs w:val="21"/>
                <w:highlight w:val="none"/>
              </w:rPr>
            </w:pPr>
          </w:p>
        </w:tc>
        <w:tc>
          <w:tcPr>
            <w:tcW w:w="2283" w:type="dxa"/>
            <w:vAlign w:val="center"/>
          </w:tcPr>
          <w:p w14:paraId="1962FAB0">
            <w:pPr>
              <w:spacing w:line="360" w:lineRule="auto"/>
              <w:jc w:val="center"/>
              <w:rPr>
                <w:rFonts w:hint="eastAsia" w:ascii="仿宋" w:hAnsi="仿宋" w:eastAsia="仿宋" w:cs="仿宋"/>
                <w:color w:val="auto"/>
                <w:szCs w:val="21"/>
                <w:highlight w:val="none"/>
              </w:rPr>
            </w:pPr>
          </w:p>
        </w:tc>
        <w:tc>
          <w:tcPr>
            <w:tcW w:w="1388" w:type="dxa"/>
            <w:vAlign w:val="center"/>
          </w:tcPr>
          <w:p w14:paraId="0ADFFF24">
            <w:pPr>
              <w:spacing w:line="360" w:lineRule="auto"/>
              <w:jc w:val="center"/>
              <w:rPr>
                <w:rFonts w:hint="eastAsia" w:ascii="仿宋" w:hAnsi="仿宋" w:eastAsia="仿宋" w:cs="仿宋"/>
                <w:color w:val="auto"/>
                <w:szCs w:val="21"/>
                <w:highlight w:val="none"/>
              </w:rPr>
            </w:pPr>
          </w:p>
        </w:tc>
        <w:tc>
          <w:tcPr>
            <w:tcW w:w="1012" w:type="dxa"/>
            <w:vAlign w:val="center"/>
          </w:tcPr>
          <w:p w14:paraId="7E64FDB5">
            <w:pPr>
              <w:spacing w:line="360" w:lineRule="auto"/>
              <w:jc w:val="center"/>
              <w:rPr>
                <w:rFonts w:hint="eastAsia" w:ascii="仿宋" w:hAnsi="仿宋" w:eastAsia="仿宋" w:cs="仿宋"/>
                <w:color w:val="auto"/>
                <w:szCs w:val="21"/>
                <w:highlight w:val="none"/>
              </w:rPr>
            </w:pPr>
          </w:p>
        </w:tc>
        <w:tc>
          <w:tcPr>
            <w:tcW w:w="1141" w:type="dxa"/>
            <w:vAlign w:val="center"/>
          </w:tcPr>
          <w:p w14:paraId="1ADD7C8E">
            <w:pPr>
              <w:spacing w:line="360" w:lineRule="auto"/>
              <w:jc w:val="center"/>
              <w:rPr>
                <w:rFonts w:hint="eastAsia" w:ascii="仿宋" w:hAnsi="仿宋" w:eastAsia="仿宋" w:cs="仿宋"/>
                <w:color w:val="auto"/>
                <w:szCs w:val="21"/>
                <w:highlight w:val="none"/>
              </w:rPr>
            </w:pPr>
          </w:p>
        </w:tc>
        <w:tc>
          <w:tcPr>
            <w:tcW w:w="1406" w:type="dxa"/>
            <w:vAlign w:val="center"/>
          </w:tcPr>
          <w:p w14:paraId="5E4CF2EE">
            <w:pPr>
              <w:spacing w:line="360" w:lineRule="auto"/>
              <w:jc w:val="center"/>
              <w:rPr>
                <w:rFonts w:hint="eastAsia" w:ascii="仿宋" w:hAnsi="仿宋" w:eastAsia="仿宋" w:cs="仿宋"/>
                <w:color w:val="auto"/>
                <w:szCs w:val="21"/>
                <w:highlight w:val="none"/>
              </w:rPr>
            </w:pPr>
          </w:p>
        </w:tc>
      </w:tr>
    </w:tbl>
    <w:p w14:paraId="5A18178E">
      <w:pPr>
        <w:keepNext w:val="0"/>
        <w:keepLines w:val="0"/>
        <w:widowControl/>
        <w:suppressLineNumbers w:val="0"/>
        <w:jc w:val="left"/>
        <w:rPr>
          <w:rFonts w:hint="eastAsia" w:ascii="仿宋" w:hAnsi="仿宋" w:eastAsia="仿宋" w:cs="仿宋"/>
          <w:color w:val="auto"/>
          <w:highlight w:val="none"/>
        </w:rPr>
      </w:pPr>
    </w:p>
    <w:p w14:paraId="18626B92">
      <w:pPr>
        <w:keepLines w:val="0"/>
        <w:pageBreakBefore w:val="0"/>
        <w:kinsoku/>
        <w:overflowPunct/>
        <w:topLinePunct w:val="0"/>
        <w:bidi w:val="0"/>
        <w:spacing w:beforeAutospacing="0" w:afterAutospacing="0" w:line="360" w:lineRule="auto"/>
        <w:ind w:firstLine="420" w:firstLineChars="200"/>
        <w:textAlignment w:val="auto"/>
        <w:rPr>
          <w:rFonts w:hint="eastAsia" w:ascii="仿宋" w:hAnsi="仿宋" w:eastAsia="仿宋" w:cs="仿宋"/>
          <w:color w:val="auto"/>
          <w:sz w:val="21"/>
          <w:szCs w:val="21"/>
          <w:highlight w:val="none"/>
          <w:shd w:val="clear" w:color="auto" w:fill="FFFFFF" w:themeFill="background1"/>
          <w:lang w:eastAsia="zh-CN"/>
        </w:rPr>
      </w:pPr>
      <w:r>
        <w:rPr>
          <w:rFonts w:hint="eastAsia" w:ascii="仿宋" w:hAnsi="仿宋" w:eastAsia="仿宋" w:cs="仿宋"/>
          <w:color w:val="auto"/>
          <w:sz w:val="21"/>
          <w:szCs w:val="21"/>
          <w:highlight w:val="none"/>
          <w:shd w:val="clear" w:color="auto" w:fill="FFFFFF" w:themeFill="background1"/>
        </w:rPr>
        <w:t>注：拟派主要</w:t>
      </w:r>
      <w:r>
        <w:rPr>
          <w:rFonts w:hint="eastAsia" w:ascii="仿宋" w:hAnsi="仿宋" w:eastAsia="仿宋" w:cs="仿宋"/>
          <w:color w:val="auto"/>
          <w:sz w:val="21"/>
          <w:szCs w:val="21"/>
          <w:highlight w:val="none"/>
          <w:shd w:val="clear" w:color="auto" w:fill="FFFFFF" w:themeFill="background1"/>
          <w:lang w:val="en-US" w:eastAsia="zh-CN"/>
        </w:rPr>
        <w:t>服务</w:t>
      </w:r>
      <w:r>
        <w:rPr>
          <w:rFonts w:hint="eastAsia" w:ascii="仿宋" w:hAnsi="仿宋" w:eastAsia="仿宋" w:cs="仿宋"/>
          <w:color w:val="auto"/>
          <w:sz w:val="21"/>
          <w:szCs w:val="21"/>
          <w:highlight w:val="none"/>
          <w:shd w:val="clear" w:color="auto" w:fill="FFFFFF" w:themeFill="background1"/>
        </w:rPr>
        <w:t>人员由</w:t>
      </w:r>
      <w:r>
        <w:rPr>
          <w:rFonts w:hint="eastAsia" w:ascii="仿宋" w:hAnsi="仿宋" w:eastAsia="仿宋" w:cs="仿宋"/>
          <w:color w:val="auto"/>
          <w:sz w:val="21"/>
          <w:szCs w:val="21"/>
          <w:highlight w:val="none"/>
          <w:shd w:val="clear" w:color="auto" w:fill="FFFFFF" w:themeFill="background1"/>
          <w:lang w:val="en-US" w:eastAsia="zh-CN"/>
        </w:rPr>
        <w:t>投标人</w:t>
      </w:r>
      <w:r>
        <w:rPr>
          <w:rFonts w:hint="eastAsia" w:ascii="仿宋" w:hAnsi="仿宋" w:eastAsia="仿宋" w:cs="仿宋"/>
          <w:color w:val="auto"/>
          <w:sz w:val="21"/>
          <w:szCs w:val="21"/>
          <w:highlight w:val="none"/>
          <w:shd w:val="clear" w:color="auto" w:fill="FFFFFF" w:themeFill="background1"/>
        </w:rPr>
        <w:t>自行确定，但应能够满足本项目的基本需求；</w:t>
      </w:r>
      <w:r>
        <w:rPr>
          <w:rFonts w:hint="eastAsia" w:ascii="仿宋" w:hAnsi="仿宋" w:eastAsia="仿宋" w:cs="仿宋"/>
          <w:color w:val="auto"/>
          <w:sz w:val="21"/>
          <w:szCs w:val="21"/>
          <w:highlight w:val="none"/>
          <w:shd w:val="clear" w:color="auto" w:fill="FFFFFF" w:themeFill="background1"/>
          <w:lang w:val="en-US" w:eastAsia="zh-CN"/>
        </w:rPr>
        <w:t>后</w:t>
      </w:r>
      <w:r>
        <w:rPr>
          <w:rFonts w:hint="eastAsia" w:ascii="仿宋" w:hAnsi="仿宋" w:eastAsia="仿宋" w:cs="仿宋"/>
          <w:color w:val="auto"/>
          <w:sz w:val="21"/>
          <w:szCs w:val="21"/>
          <w:highlight w:val="none"/>
          <w:shd w:val="clear" w:color="auto" w:fill="FFFFFF" w:themeFill="background1"/>
        </w:rPr>
        <w:t>附身份证等其他相关材料</w:t>
      </w:r>
      <w:r>
        <w:rPr>
          <w:rFonts w:hint="eastAsia" w:ascii="仿宋" w:hAnsi="仿宋" w:eastAsia="仿宋" w:cs="仿宋"/>
          <w:color w:val="auto"/>
          <w:sz w:val="21"/>
          <w:szCs w:val="21"/>
          <w:highlight w:val="none"/>
          <w:shd w:val="clear" w:color="auto" w:fill="FFFFFF" w:themeFill="background1"/>
          <w:lang w:eastAsia="zh-CN"/>
        </w:rPr>
        <w:t>。</w:t>
      </w:r>
    </w:p>
    <w:p w14:paraId="30B5DF5B">
      <w:pPr>
        <w:bidi w:val="0"/>
        <w:jc w:val="center"/>
        <w:outlineLvl w:val="1"/>
        <w:rPr>
          <w:rFonts w:hint="eastAsia" w:ascii="仿宋" w:hAnsi="仿宋" w:eastAsia="仿宋" w:cs="仿宋"/>
          <w:b/>
          <w:color w:val="auto"/>
          <w:sz w:val="24"/>
          <w:szCs w:val="24"/>
          <w:highlight w:val="none"/>
          <w:lang w:eastAsia="zh-CN"/>
        </w:rPr>
      </w:pPr>
      <w:r>
        <w:rPr>
          <w:rFonts w:hint="eastAsia" w:ascii="仿宋" w:hAnsi="仿宋" w:eastAsia="仿宋" w:cs="仿宋"/>
          <w:color w:val="auto"/>
          <w:sz w:val="24"/>
          <w:szCs w:val="24"/>
          <w:highlight w:val="none"/>
        </w:rPr>
        <w:br w:type="page"/>
      </w:r>
      <w:bookmarkStart w:id="320" w:name="_Toc109921167"/>
      <w:bookmarkStart w:id="321" w:name="_Toc110707974"/>
      <w:bookmarkStart w:id="322" w:name="_Toc130252629"/>
      <w:bookmarkStart w:id="323" w:name="_Toc109941774"/>
      <w:bookmarkStart w:id="324" w:name="_Toc13060"/>
      <w:bookmarkStart w:id="325" w:name="_Toc18284"/>
      <w:bookmarkStart w:id="326" w:name="_Toc23008"/>
      <w:bookmarkStart w:id="327" w:name="_Toc22395"/>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val="en-US" w:eastAsia="zh-CN"/>
        </w:rPr>
        <w:t>二</w:t>
      </w:r>
      <w:r>
        <w:rPr>
          <w:rFonts w:hint="eastAsia" w:ascii="仿宋" w:hAnsi="仿宋" w:eastAsia="仿宋" w:cs="仿宋"/>
          <w:b/>
          <w:color w:val="auto"/>
          <w:sz w:val="24"/>
          <w:szCs w:val="24"/>
          <w:highlight w:val="none"/>
        </w:rPr>
        <w:t>、</w:t>
      </w:r>
      <w:bookmarkEnd w:id="320"/>
      <w:bookmarkEnd w:id="321"/>
      <w:bookmarkEnd w:id="322"/>
      <w:bookmarkEnd w:id="323"/>
      <w:r>
        <w:rPr>
          <w:rFonts w:hint="eastAsia" w:ascii="仿宋" w:hAnsi="仿宋" w:eastAsia="仿宋" w:cs="仿宋"/>
          <w:b/>
          <w:color w:val="auto"/>
          <w:sz w:val="24"/>
          <w:szCs w:val="24"/>
          <w:highlight w:val="none"/>
          <w:lang w:eastAsia="zh-CN"/>
        </w:rPr>
        <w:t>服务方案</w:t>
      </w:r>
      <w:bookmarkEnd w:id="324"/>
      <w:bookmarkEnd w:id="325"/>
      <w:bookmarkEnd w:id="326"/>
      <w:bookmarkEnd w:id="327"/>
    </w:p>
    <w:p w14:paraId="49C40259">
      <w:pPr>
        <w:spacing w:line="360" w:lineRule="auto"/>
        <w:ind w:firstLine="480" w:firstLineChars="200"/>
        <w:rPr>
          <w:rFonts w:hint="eastAsia" w:ascii="仿宋" w:hAnsi="仿宋" w:eastAsia="仿宋" w:cs="仿宋"/>
          <w:bCs/>
          <w:color w:val="auto"/>
          <w:sz w:val="24"/>
          <w:szCs w:val="24"/>
          <w:highlight w:val="none"/>
        </w:rPr>
      </w:pPr>
      <w:bookmarkStart w:id="328" w:name="_Toc375218897"/>
    </w:p>
    <w:p w14:paraId="501256E6">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格式和内容</w:t>
      </w:r>
      <w:r>
        <w:rPr>
          <w:rFonts w:hint="eastAsia" w:ascii="仿宋" w:hAnsi="仿宋" w:eastAsia="仿宋" w:cs="仿宋"/>
          <w:color w:val="auto"/>
          <w:sz w:val="24"/>
          <w:szCs w:val="24"/>
          <w:highlight w:val="none"/>
        </w:rPr>
        <w:t>自行拟定</w:t>
      </w:r>
      <w:bookmarkStart w:id="329" w:name="_Toc375218899"/>
    </w:p>
    <w:p w14:paraId="76D92526">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707DFDA2">
      <w:pPr>
        <w:tabs>
          <w:tab w:val="center" w:pos="4832"/>
          <w:tab w:val="left" w:pos="7140"/>
        </w:tabs>
        <w:jc w:val="center"/>
        <w:outlineLvl w:val="1"/>
        <w:rPr>
          <w:rFonts w:hint="eastAsia" w:ascii="仿宋" w:hAnsi="仿宋" w:eastAsia="仿宋" w:cs="仿宋"/>
          <w:b/>
          <w:color w:val="auto"/>
          <w:sz w:val="24"/>
          <w:szCs w:val="24"/>
          <w:highlight w:val="none"/>
        </w:rPr>
      </w:pPr>
      <w:bookmarkStart w:id="330" w:name="_Toc25834"/>
      <w:bookmarkStart w:id="331" w:name="_Toc13848"/>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val="en-US" w:eastAsia="zh-CN"/>
        </w:rPr>
        <w:t>三</w:t>
      </w:r>
      <w:r>
        <w:rPr>
          <w:rFonts w:hint="eastAsia" w:ascii="仿宋" w:hAnsi="仿宋" w:eastAsia="仿宋" w:cs="仿宋"/>
          <w:b/>
          <w:color w:val="auto"/>
          <w:sz w:val="24"/>
          <w:szCs w:val="24"/>
          <w:highlight w:val="none"/>
        </w:rPr>
        <w:t>、保证金缴纳证明材料</w:t>
      </w:r>
      <w:bookmarkEnd w:id="330"/>
      <w:bookmarkEnd w:id="331"/>
    </w:p>
    <w:p w14:paraId="1F44EE02">
      <w:pPr>
        <w:spacing w:line="360" w:lineRule="auto"/>
        <w:ind w:firstLine="480" w:firstLineChars="200"/>
        <w:rPr>
          <w:rFonts w:hint="eastAsia" w:ascii="仿宋" w:hAnsi="仿宋" w:eastAsia="仿宋" w:cs="仿宋"/>
          <w:color w:val="auto"/>
          <w:sz w:val="24"/>
          <w:szCs w:val="24"/>
          <w:highlight w:val="none"/>
        </w:rPr>
      </w:pPr>
    </w:p>
    <w:p w14:paraId="70EB6157">
      <w:pPr>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汇款凭证或支票或汇票或保函或保证金收据等的扫描件。</w:t>
      </w:r>
    </w:p>
    <w:p w14:paraId="3CB1B363">
      <w:pPr>
        <w:spacing w:line="360" w:lineRule="auto"/>
        <w:ind w:firstLine="480" w:firstLineChars="200"/>
        <w:rPr>
          <w:rFonts w:hint="eastAsia" w:ascii="仿宋" w:hAnsi="仿宋" w:eastAsia="仿宋" w:cs="仿宋"/>
          <w:color w:val="auto"/>
          <w:sz w:val="24"/>
          <w:szCs w:val="24"/>
          <w:highlight w:val="none"/>
        </w:rPr>
      </w:pPr>
    </w:p>
    <w:bookmarkEnd w:id="328"/>
    <w:bookmarkEnd w:id="329"/>
    <w:p w14:paraId="69DB5E36">
      <w:pPr>
        <w:spacing w:line="360" w:lineRule="auto"/>
        <w:ind w:firstLine="480" w:firstLineChars="200"/>
        <w:rPr>
          <w:rFonts w:hint="eastAsia" w:ascii="仿宋" w:hAnsi="仿宋" w:eastAsia="仿宋" w:cs="仿宋"/>
          <w:color w:val="auto"/>
          <w:sz w:val="24"/>
          <w:szCs w:val="24"/>
          <w:highlight w:val="none"/>
        </w:rPr>
      </w:pPr>
    </w:p>
    <w:p w14:paraId="0CABF8C4">
      <w:pPr>
        <w:spacing w:line="360" w:lineRule="auto"/>
        <w:ind w:firstLine="480" w:firstLineChars="200"/>
        <w:rPr>
          <w:rFonts w:hint="eastAsia" w:ascii="仿宋" w:hAnsi="仿宋" w:eastAsia="仿宋" w:cs="仿宋"/>
          <w:color w:val="auto"/>
          <w:sz w:val="24"/>
          <w:szCs w:val="24"/>
          <w:highlight w:val="none"/>
        </w:rPr>
      </w:pPr>
    </w:p>
    <w:p w14:paraId="6D7E15AF">
      <w:pPr>
        <w:spacing w:line="360" w:lineRule="auto"/>
        <w:ind w:firstLine="480" w:firstLineChars="200"/>
        <w:rPr>
          <w:rFonts w:hint="eastAsia" w:ascii="仿宋" w:hAnsi="仿宋" w:eastAsia="仿宋" w:cs="仿宋"/>
          <w:color w:val="auto"/>
          <w:sz w:val="24"/>
          <w:szCs w:val="24"/>
          <w:highlight w:val="none"/>
        </w:rPr>
      </w:pPr>
    </w:p>
    <w:p w14:paraId="62784970">
      <w:pPr>
        <w:rPr>
          <w:rFonts w:hint="eastAsia" w:ascii="仿宋" w:hAnsi="仿宋" w:eastAsia="仿宋" w:cs="仿宋"/>
          <w:b/>
          <w:color w:val="auto"/>
          <w:sz w:val="24"/>
          <w:szCs w:val="24"/>
          <w:highlight w:val="none"/>
        </w:rPr>
      </w:pPr>
      <w:bookmarkStart w:id="332" w:name="_Toc130252630"/>
      <w:bookmarkStart w:id="333" w:name="_Toc14156"/>
      <w:bookmarkStart w:id="334" w:name="_Toc110707975"/>
      <w:bookmarkStart w:id="335" w:name="_Toc109941775"/>
      <w:bookmarkStart w:id="336" w:name="_Toc109921168"/>
      <w:bookmarkStart w:id="337" w:name="_Toc24108"/>
      <w:r>
        <w:rPr>
          <w:rFonts w:hint="eastAsia" w:ascii="仿宋" w:hAnsi="仿宋" w:eastAsia="仿宋" w:cs="仿宋"/>
          <w:b/>
          <w:color w:val="auto"/>
          <w:sz w:val="24"/>
          <w:szCs w:val="24"/>
          <w:highlight w:val="none"/>
        </w:rPr>
        <w:br w:type="page"/>
      </w:r>
    </w:p>
    <w:p w14:paraId="322199AD">
      <w:pPr>
        <w:tabs>
          <w:tab w:val="center" w:pos="4832"/>
          <w:tab w:val="left" w:pos="7140"/>
        </w:tabs>
        <w:jc w:val="center"/>
        <w:outlineLvl w:val="1"/>
        <w:rPr>
          <w:rFonts w:hint="eastAsia" w:ascii="仿宋" w:hAnsi="仿宋" w:eastAsia="仿宋" w:cs="仿宋"/>
          <w:b/>
          <w:color w:val="auto"/>
          <w:sz w:val="24"/>
          <w:szCs w:val="24"/>
          <w:highlight w:val="none"/>
        </w:rPr>
      </w:pPr>
      <w:bookmarkStart w:id="338" w:name="_Toc8599"/>
      <w:bookmarkStart w:id="339" w:name="_Toc4246"/>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val="en-US" w:eastAsia="zh-CN"/>
        </w:rPr>
        <w:t>四</w:t>
      </w:r>
      <w:r>
        <w:rPr>
          <w:rFonts w:hint="eastAsia" w:ascii="仿宋" w:hAnsi="仿宋" w:eastAsia="仿宋" w:cs="仿宋"/>
          <w:b/>
          <w:color w:val="auto"/>
          <w:sz w:val="24"/>
          <w:szCs w:val="24"/>
          <w:highlight w:val="none"/>
        </w:rPr>
        <w:t>、其它需要提交的资料</w:t>
      </w:r>
      <w:bookmarkEnd w:id="332"/>
      <w:bookmarkEnd w:id="333"/>
      <w:bookmarkEnd w:id="334"/>
      <w:bookmarkEnd w:id="335"/>
      <w:bookmarkEnd w:id="336"/>
      <w:bookmarkEnd w:id="337"/>
      <w:bookmarkEnd w:id="338"/>
      <w:bookmarkEnd w:id="339"/>
    </w:p>
    <w:p w14:paraId="085A5BA8">
      <w:pPr>
        <w:spacing w:line="360" w:lineRule="auto"/>
        <w:ind w:firstLine="480" w:firstLineChars="200"/>
        <w:rPr>
          <w:rFonts w:hint="eastAsia" w:ascii="仿宋" w:hAnsi="仿宋" w:eastAsia="仿宋" w:cs="仿宋"/>
          <w:color w:val="auto"/>
          <w:sz w:val="24"/>
          <w:szCs w:val="24"/>
          <w:highlight w:val="none"/>
        </w:rPr>
      </w:pPr>
    </w:p>
    <w:p w14:paraId="7F0C440B">
      <w:pPr>
        <w:spacing w:line="360" w:lineRule="auto"/>
        <w:ind w:firstLine="480" w:firstLineChars="200"/>
        <w:jc w:val="center"/>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根据招标文件的要求和投标人认为需要提供的资料。</w:t>
      </w:r>
    </w:p>
    <w:p w14:paraId="7EB72C7A">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215DC147">
      <w:pPr>
        <w:spacing w:line="440" w:lineRule="exact"/>
        <w:jc w:val="center"/>
        <w:outlineLvl w:val="0"/>
        <w:rPr>
          <w:rFonts w:hint="eastAsia" w:ascii="仿宋" w:hAnsi="仿宋" w:eastAsia="仿宋" w:cs="仿宋"/>
          <w:b/>
          <w:color w:val="auto"/>
          <w:sz w:val="24"/>
          <w:szCs w:val="24"/>
          <w:highlight w:val="none"/>
        </w:rPr>
      </w:pPr>
      <w:bookmarkStart w:id="340" w:name="_Toc29150"/>
      <w:bookmarkStart w:id="341" w:name="_Toc8842"/>
      <w:r>
        <w:rPr>
          <w:rFonts w:hint="eastAsia" w:ascii="仿宋" w:hAnsi="仿宋" w:eastAsia="仿宋" w:cs="仿宋"/>
          <w:b/>
          <w:color w:val="auto"/>
          <w:sz w:val="24"/>
          <w:szCs w:val="24"/>
          <w:highlight w:val="none"/>
        </w:rPr>
        <w:t>第六章 补充条款</w:t>
      </w:r>
      <w:bookmarkEnd w:id="312"/>
      <w:bookmarkEnd w:id="313"/>
      <w:bookmarkEnd w:id="314"/>
      <w:bookmarkEnd w:id="315"/>
      <w:bookmarkEnd w:id="340"/>
      <w:bookmarkEnd w:id="341"/>
    </w:p>
    <w:p w14:paraId="558C65FF">
      <w:pPr>
        <w:rPr>
          <w:rFonts w:hint="eastAsia" w:ascii="仿宋" w:hAnsi="仿宋" w:eastAsia="仿宋" w:cs="仿宋"/>
          <w:color w:val="auto"/>
          <w:highlight w:val="none"/>
        </w:rPr>
      </w:pPr>
    </w:p>
    <w:p w14:paraId="00E69861">
      <w:pPr>
        <w:rPr>
          <w:rFonts w:hint="eastAsia" w:ascii="仿宋" w:hAnsi="仿宋" w:eastAsia="仿宋" w:cs="仿宋"/>
          <w:color w:val="auto"/>
          <w:highlight w:val="none"/>
        </w:rPr>
      </w:pPr>
    </w:p>
    <w:p w14:paraId="3DCD70F1">
      <w:pPr>
        <w:spacing w:line="360" w:lineRule="auto"/>
        <w:outlineLvl w:val="1"/>
        <w:rPr>
          <w:rFonts w:hint="eastAsia" w:ascii="仿宋" w:hAnsi="仿宋" w:eastAsia="仿宋" w:cs="仿宋"/>
          <w:color w:val="auto"/>
          <w:spacing w:val="6"/>
          <w:sz w:val="24"/>
          <w:szCs w:val="24"/>
          <w:highlight w:val="none"/>
        </w:rPr>
      </w:pPr>
      <w:bookmarkStart w:id="342" w:name="_Toc15128"/>
      <w:bookmarkStart w:id="343" w:name="_Toc13775"/>
      <w:r>
        <w:rPr>
          <w:rFonts w:hint="eastAsia" w:ascii="仿宋" w:hAnsi="仿宋" w:eastAsia="仿宋" w:cs="仿宋"/>
          <w:color w:val="auto"/>
          <w:spacing w:val="6"/>
          <w:sz w:val="24"/>
          <w:szCs w:val="24"/>
          <w:highlight w:val="none"/>
        </w:rPr>
        <w:t>附件</w:t>
      </w:r>
      <w:r>
        <w:rPr>
          <w:rFonts w:hint="eastAsia" w:ascii="仿宋" w:hAnsi="仿宋" w:eastAsia="仿宋" w:cs="仿宋"/>
          <w:color w:val="auto"/>
          <w:spacing w:val="6"/>
          <w:sz w:val="24"/>
          <w:szCs w:val="24"/>
          <w:highlight w:val="none"/>
          <w:lang w:val="en-US" w:eastAsia="zh-CN"/>
        </w:rPr>
        <w:t>1</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val="en-US" w:eastAsia="zh-CN"/>
        </w:rPr>
        <w:t>中小企业扶持政策</w:t>
      </w:r>
      <w:bookmarkEnd w:id="342"/>
      <w:bookmarkEnd w:id="343"/>
    </w:p>
    <w:p w14:paraId="62376727">
      <w:pPr>
        <w:spacing w:line="360" w:lineRule="auto"/>
        <w:jc w:val="center"/>
        <w:rPr>
          <w:rFonts w:hint="eastAsia" w:ascii="仿宋" w:hAnsi="仿宋" w:eastAsia="仿宋" w:cs="仿宋"/>
          <w:color w:val="auto"/>
          <w:spacing w:val="6"/>
          <w:sz w:val="24"/>
          <w:szCs w:val="24"/>
          <w:highlight w:val="none"/>
        </w:rPr>
      </w:pPr>
    </w:p>
    <w:p w14:paraId="46179A82">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关于印发中小企业划型标准规定的通知</w:t>
      </w:r>
    </w:p>
    <w:p w14:paraId="13A437E5">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工信部联企业〔2011〕300号</w:t>
      </w:r>
    </w:p>
    <w:p w14:paraId="4C16C054">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各省、自治区、直辖市人民政府，国务院各部委、各直属机构及有关单位：</w:t>
      </w:r>
    </w:p>
    <w:p w14:paraId="774C6322">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75E273EA">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工业和信息化部</w:t>
      </w:r>
    </w:p>
    <w:p w14:paraId="44CA1809">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国家统计局</w:t>
      </w:r>
    </w:p>
    <w:p w14:paraId="131CD9AF">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国家发展和改革委员会</w:t>
      </w:r>
    </w:p>
    <w:p w14:paraId="4FF01072">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财政部</w:t>
      </w:r>
    </w:p>
    <w:p w14:paraId="1C553D9C">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二○一一年六月十八日</w:t>
      </w:r>
    </w:p>
    <w:p w14:paraId="0F9D9F42">
      <w:pPr>
        <w:spacing w:line="360" w:lineRule="auto"/>
        <w:ind w:firstLine="504" w:firstLineChars="200"/>
        <w:rPr>
          <w:rFonts w:hint="eastAsia" w:ascii="仿宋" w:hAnsi="仿宋" w:eastAsia="仿宋" w:cs="仿宋"/>
          <w:color w:val="auto"/>
          <w:spacing w:val="6"/>
          <w:sz w:val="24"/>
          <w:szCs w:val="24"/>
          <w:highlight w:val="none"/>
        </w:rPr>
      </w:pPr>
    </w:p>
    <w:p w14:paraId="11094B52">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中小企业划型标准规定</w:t>
      </w:r>
    </w:p>
    <w:p w14:paraId="5EB77BCF">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一、根据《中华人民共和国中小企业促进法》和《国务院关于进一步促进中小企业发展的若干意见》(国发〔2009〕36号)，制定本规定。</w:t>
      </w:r>
    </w:p>
    <w:p w14:paraId="0702E61F">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二、中小企业划分为中型、小型、微型三种类型，具体标准根据企业从业人员、营业收入、资产总额等指标，结合行业特点制定。</w:t>
      </w:r>
    </w:p>
    <w:p w14:paraId="0E0FAA2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三、本规定适用的行业包括：农、林、牧、渔业，工业（包括采矿业，制造业，电力、热力、燃气及水生产和供应业），建筑业，批发业，零售业，交通运输业（不含铁路运输业），仓储业，邮政业，住宿业，</w:t>
      </w:r>
      <w:r>
        <w:rPr>
          <w:rFonts w:hint="eastAsia" w:ascii="仿宋" w:hAnsi="仿宋" w:eastAsia="仿宋" w:cs="仿宋"/>
          <w:color w:val="auto"/>
          <w:spacing w:val="6"/>
          <w:sz w:val="24"/>
          <w:szCs w:val="24"/>
          <w:highlight w:val="none"/>
          <w:lang w:eastAsia="zh-CN"/>
        </w:rPr>
        <w:t>信息传输业</w:t>
      </w:r>
      <w:r>
        <w:rPr>
          <w:rFonts w:hint="eastAsia" w:ascii="仿宋" w:hAnsi="仿宋" w:eastAsia="仿宋" w:cs="仿宋"/>
          <w:color w:val="auto"/>
          <w:spacing w:val="6"/>
          <w:sz w:val="24"/>
          <w:szCs w:val="24"/>
          <w:highlight w:val="none"/>
        </w:rPr>
        <w:t>，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40E8D72">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四、各行业划型标准为：</w:t>
      </w:r>
    </w:p>
    <w:p w14:paraId="331C9F30">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（一）农、林、牧、渔业。营业收入20000万元以下的为中小微型企业。其中，营业收入500万元及以上的为中型企业，营业收入50万元及以上的为小型企业，营业收入50万元以下的为微型企业。</w:t>
      </w:r>
    </w:p>
    <w:p w14:paraId="03ABB8D4">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3F9DFE7">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B1DCEF6">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F8B7C2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F83499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500ADC9">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24F1529">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7661437">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7F3FED8">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w:t>
      </w:r>
      <w:r>
        <w:rPr>
          <w:rFonts w:hint="eastAsia" w:ascii="仿宋" w:hAnsi="仿宋" w:eastAsia="仿宋" w:cs="仿宋"/>
          <w:color w:val="auto"/>
          <w:spacing w:val="6"/>
          <w:sz w:val="24"/>
          <w:szCs w:val="24"/>
          <w:highlight w:val="none"/>
          <w:lang w:eastAsia="zh-CN"/>
        </w:rPr>
        <w:t>信息传输业</w:t>
      </w:r>
      <w:r>
        <w:rPr>
          <w:rFonts w:hint="eastAsia" w:ascii="仿宋" w:hAnsi="仿宋" w:eastAsia="仿宋" w:cs="仿宋"/>
          <w:color w:val="auto"/>
          <w:spacing w:val="6"/>
          <w:sz w:val="24"/>
          <w:szCs w:val="24"/>
          <w:highlight w:val="none"/>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27EEA3A">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918A50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4CC3EEC">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DF297C4">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461010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F073C49">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（十六）其他未列明行业。从业人员300人以下的为中小微型企业。其中，从业人员100人及以上的为中型企业；从业人员10人及以上的为小型企业；从业人员10人以下的为微型企业。</w:t>
      </w:r>
    </w:p>
    <w:p w14:paraId="565C3644">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五、企业类型的划分以统计部门的统计数据为依据。</w:t>
      </w:r>
    </w:p>
    <w:p w14:paraId="71F3C5A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六、本规定适用于在中华人民共和国境内依法设立的各类所有制和各种组织形式的企业。个体工商户和本规定以外的行业，参照本规定进行划型。</w:t>
      </w:r>
    </w:p>
    <w:p w14:paraId="402456B8">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2FB55EEF">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八、本规定由工业和信息化部、国家统计局会同有关部门根据《国民经济行业分类》修订情况和企业发展变化情况适时修订。</w:t>
      </w:r>
    </w:p>
    <w:p w14:paraId="6B798C87">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九、本规定由工业和信息化部、国家统计局会同有关部门负责解释。</w:t>
      </w:r>
    </w:p>
    <w:p w14:paraId="65F865B0">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十、本规定自发布之日起执行，原国家经贸委、原国家计委、财政部和国家统计局2003年颁布的《中小企业标准暂行规定》同时废止。</w:t>
      </w:r>
    </w:p>
    <w:p w14:paraId="0C8B24A6">
      <w:pP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br w:type="page"/>
      </w:r>
    </w:p>
    <w:p w14:paraId="72788278">
      <w:pPr>
        <w:spacing w:line="360" w:lineRule="auto"/>
        <w:outlineLvl w:val="1"/>
        <w:rPr>
          <w:rFonts w:hint="eastAsia" w:ascii="仿宋" w:hAnsi="仿宋" w:eastAsia="仿宋" w:cs="仿宋"/>
          <w:color w:val="auto"/>
          <w:spacing w:val="6"/>
          <w:sz w:val="24"/>
          <w:szCs w:val="24"/>
          <w:highlight w:val="none"/>
          <w:lang w:val="en-US" w:eastAsia="zh-CN"/>
        </w:rPr>
      </w:pPr>
      <w:bookmarkStart w:id="344" w:name="_Toc13470"/>
      <w:bookmarkStart w:id="345" w:name="_Toc11810"/>
      <w:r>
        <w:rPr>
          <w:rFonts w:hint="eastAsia" w:ascii="仿宋" w:hAnsi="仿宋" w:eastAsia="仿宋" w:cs="仿宋"/>
          <w:color w:val="auto"/>
          <w:spacing w:val="6"/>
          <w:sz w:val="24"/>
          <w:szCs w:val="24"/>
          <w:highlight w:val="none"/>
        </w:rPr>
        <w:t>附件</w:t>
      </w:r>
      <w:r>
        <w:rPr>
          <w:rFonts w:hint="eastAsia" w:ascii="仿宋" w:hAnsi="仿宋" w:eastAsia="仿宋" w:cs="仿宋"/>
          <w:color w:val="auto"/>
          <w:spacing w:val="6"/>
          <w:sz w:val="24"/>
          <w:szCs w:val="24"/>
          <w:highlight w:val="none"/>
          <w:lang w:val="en-US" w:eastAsia="zh-CN"/>
        </w:rPr>
        <w:t>2</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val="en-US" w:eastAsia="zh-CN"/>
        </w:rPr>
        <w:t>残疾人企业扶持政策</w:t>
      </w:r>
      <w:bookmarkEnd w:id="344"/>
      <w:bookmarkEnd w:id="345"/>
    </w:p>
    <w:p w14:paraId="216970BC">
      <w:pPr>
        <w:spacing w:line="360" w:lineRule="auto"/>
        <w:jc w:val="center"/>
        <w:rPr>
          <w:rFonts w:hint="eastAsia" w:ascii="仿宋" w:hAnsi="仿宋" w:eastAsia="仿宋" w:cs="仿宋"/>
          <w:color w:val="auto"/>
          <w:spacing w:val="6"/>
          <w:sz w:val="24"/>
          <w:szCs w:val="24"/>
          <w:highlight w:val="none"/>
        </w:rPr>
      </w:pPr>
    </w:p>
    <w:p w14:paraId="68518E58">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关于促进残疾人就业政府采购政策的通知</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财库〔2017〕141号</w:t>
      </w:r>
    </w:p>
    <w:p w14:paraId="47BF1D1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7F2CAA7C">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为了发挥政府采购促进残疾人就业的作用，进一步保障残疾人权益，依照《政府采购法》、《残疾人保障法》等法律法规及相关规定，现就促进残疾人就业政府采购政策通知如下：</w:t>
      </w:r>
    </w:p>
    <w:p w14:paraId="6BBAD3E2">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一、享受政府采购支持政策的残疾人福利性单位应当同时满足以下条件：</w:t>
      </w:r>
    </w:p>
    <w:p w14:paraId="4FB87CD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（一）安置的残疾人占本单位在职职工人数的比例不低于25%（含25%），并且安置的残疾人人数不少于10人（含10人）；</w:t>
      </w:r>
    </w:p>
    <w:p w14:paraId="5E907139">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（二）依法与安置的每位残疾人签订了一年以上（含一年）的劳动合同或服务协议；</w:t>
      </w:r>
    </w:p>
    <w:p w14:paraId="00568C60">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（三）为安置的每位残疾人按月足额缴纳了基本养老保险、基本医疗保险、失业保险、工伤保险和生育保险等社会保险费；</w:t>
      </w:r>
    </w:p>
    <w:p w14:paraId="6D4CBC5F">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（四）通过银行等金融机构向安置的每位残疾人，按月支付了不低于单位所在区县适用的经省级人民政府批准的月最低工资标准的工资；</w:t>
      </w:r>
    </w:p>
    <w:p w14:paraId="7A722839">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（五）提供本单位制造的货物、承担的工程或者服务（以下简称产品），或者提供其他残疾人福利性单位制造的货物（不包括使用非残疾人福利性单位注册商标的货物）。</w:t>
      </w:r>
    </w:p>
    <w:p w14:paraId="6912D81C">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9EA7068">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05AD366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中标、成交</w:t>
      </w:r>
      <w:r>
        <w:rPr>
          <w:rFonts w:hint="eastAsia" w:ascii="仿宋" w:hAnsi="仿宋" w:eastAsia="仿宋" w:cs="仿宋"/>
          <w:color w:val="auto"/>
          <w:spacing w:val="6"/>
          <w:sz w:val="24"/>
          <w:szCs w:val="24"/>
          <w:highlight w:val="none"/>
          <w:lang w:eastAsia="zh-CN"/>
        </w:rPr>
        <w:t>投标人</w:t>
      </w:r>
      <w:r>
        <w:rPr>
          <w:rFonts w:hint="eastAsia" w:ascii="仿宋" w:hAnsi="仿宋" w:eastAsia="仿宋" w:cs="仿宋"/>
          <w:color w:val="auto"/>
          <w:spacing w:val="6"/>
          <w:sz w:val="24"/>
          <w:szCs w:val="24"/>
          <w:highlight w:val="none"/>
        </w:rPr>
        <w:t>为残疾人福利性单位的，采购人或者其委托的采购代理机构应当随中标、成交结果同时公告其《残疾人福利性单位声明函》，接受社会监督。</w:t>
      </w:r>
    </w:p>
    <w:p w14:paraId="10CB70E7">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eastAsia="zh-CN"/>
        </w:rPr>
        <w:t>投标人</w:t>
      </w:r>
      <w:r>
        <w:rPr>
          <w:rFonts w:hint="eastAsia" w:ascii="仿宋" w:hAnsi="仿宋" w:eastAsia="仿宋" w:cs="仿宋"/>
          <w:color w:val="auto"/>
          <w:spacing w:val="6"/>
          <w:sz w:val="24"/>
          <w:szCs w:val="24"/>
          <w:highlight w:val="none"/>
        </w:rPr>
        <w:t>提供的《残疾人福利性单位声明函》与事实不符的，依照《政府采购法》第七十七条第一款的规定追究法律责任。</w:t>
      </w:r>
    </w:p>
    <w:p w14:paraId="08D5C8AE">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09DC2F98">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四、采购人采购公开招标数额标准以上的货物或者服务，因落实促进残疾人就业政策的需要，依法履行有关报批程序后，可采用公开招标以外的采购方式。</w:t>
      </w:r>
    </w:p>
    <w:p w14:paraId="77436424">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3C7267E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35620466">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七、本通知自2017年10月1日起执行。</w:t>
      </w:r>
    </w:p>
    <w:p w14:paraId="6A129BC1">
      <w:pPr>
        <w:pStyle w:val="8"/>
        <w:rPr>
          <w:rFonts w:hint="eastAsia" w:ascii="仿宋" w:hAnsi="仿宋" w:eastAsia="仿宋" w:cs="仿宋"/>
          <w:color w:val="auto"/>
          <w:highlight w:val="none"/>
        </w:rPr>
      </w:pPr>
    </w:p>
    <w:p w14:paraId="4837621A">
      <w:pPr>
        <w:spacing w:line="360" w:lineRule="auto"/>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财政部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民政部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中国残疾人联合会</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2017年8月22日</w:t>
      </w:r>
    </w:p>
    <w:p w14:paraId="074D0112">
      <w:pP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br w:type="page"/>
      </w:r>
    </w:p>
    <w:p w14:paraId="5ECC95FE">
      <w:pPr>
        <w:spacing w:line="360" w:lineRule="auto"/>
        <w:outlineLvl w:val="1"/>
        <w:rPr>
          <w:rFonts w:hint="eastAsia" w:ascii="仿宋" w:hAnsi="仿宋" w:eastAsia="仿宋" w:cs="仿宋"/>
          <w:color w:val="auto"/>
          <w:spacing w:val="6"/>
          <w:sz w:val="24"/>
          <w:szCs w:val="24"/>
          <w:highlight w:val="none"/>
        </w:rPr>
      </w:pPr>
      <w:bookmarkStart w:id="346" w:name="_Toc23938"/>
      <w:bookmarkStart w:id="347" w:name="_Toc26391"/>
      <w:r>
        <w:rPr>
          <w:rFonts w:hint="eastAsia" w:ascii="仿宋" w:hAnsi="仿宋" w:eastAsia="仿宋" w:cs="仿宋"/>
          <w:color w:val="auto"/>
          <w:spacing w:val="6"/>
          <w:sz w:val="24"/>
          <w:szCs w:val="24"/>
          <w:highlight w:val="none"/>
        </w:rPr>
        <w:t>附件</w:t>
      </w:r>
      <w:r>
        <w:rPr>
          <w:rFonts w:hint="eastAsia" w:ascii="仿宋" w:hAnsi="仿宋" w:eastAsia="仿宋" w:cs="仿宋"/>
          <w:color w:val="auto"/>
          <w:spacing w:val="6"/>
          <w:sz w:val="24"/>
          <w:szCs w:val="24"/>
          <w:highlight w:val="none"/>
          <w:lang w:val="en-US" w:eastAsia="zh-CN"/>
        </w:rPr>
        <w:t>3</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val="en-US" w:eastAsia="zh-CN"/>
        </w:rPr>
        <w:t>监狱扶持政策</w:t>
      </w:r>
      <w:bookmarkEnd w:id="346"/>
      <w:bookmarkEnd w:id="347"/>
    </w:p>
    <w:p w14:paraId="03ED322B">
      <w:pPr>
        <w:spacing w:line="360" w:lineRule="auto"/>
        <w:jc w:val="center"/>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财政部 司法部关于政府采购支持</w:t>
      </w:r>
    </w:p>
    <w:p w14:paraId="0E961184">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val="en-US" w:eastAsia="zh-CN"/>
        </w:rPr>
        <w:t>监狱企业发展有关问题的通知</w:t>
      </w:r>
    </w:p>
    <w:p w14:paraId="4DAA07AD">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财库〔2014〕68号</w:t>
      </w:r>
    </w:p>
    <w:p w14:paraId="28975F5A">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监狱企业发展的作用，现就有关事项通知如下：</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二、在政府采购活动中，监狱企业视同小型、微型企业，享受预留份额、评审中价格扣除等政府采购促进中小企业发展的政府采购政策。向监狱企业采购的金额，计入面向中小企业采购的统计数据。</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四、各地区可以结合本地区实际，对监狱企业生产的办公用品、家具用具、车辆维修和提供的保养服务、消防设备等，提出预留份额等政府采购支持措施，加大对监狱企业产品的采购力度。</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7AF4706A">
      <w:pPr>
        <w:pStyle w:val="8"/>
        <w:rPr>
          <w:rFonts w:hint="eastAsia" w:ascii="仿宋" w:hAnsi="仿宋" w:eastAsia="仿宋" w:cs="仿宋"/>
          <w:color w:val="auto"/>
          <w:highlight w:val="none"/>
        </w:rPr>
      </w:pPr>
    </w:p>
    <w:p w14:paraId="187A3726">
      <w:pPr>
        <w:spacing w:line="360" w:lineRule="auto"/>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中华人民共和国财政部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中华人民共和国司法部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2014年6月10日</w:t>
      </w:r>
    </w:p>
    <w:p w14:paraId="07015AD9">
      <w:pPr>
        <w:spacing w:line="360" w:lineRule="auto"/>
        <w:jc w:val="both"/>
        <w:rPr>
          <w:rFonts w:hint="eastAsia" w:ascii="仿宋" w:hAnsi="仿宋" w:eastAsia="仿宋" w:cs="仿宋"/>
          <w:color w:val="auto"/>
          <w:sz w:val="24"/>
          <w:szCs w:val="24"/>
          <w:highlight w:val="none"/>
        </w:rPr>
      </w:pPr>
    </w:p>
    <w:sectPr>
      <w:footerReference r:id="rId9"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monospace">
    <w:altName w:val="Courier New"/>
    <w:panose1 w:val="000000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embedRegular r:id="rId1" w:fontKey="{19F7BEB3-8A36-44FD-B652-562CE5E92BF3}"/>
  </w:font>
  <w:font w:name="Trebuchet MS">
    <w:panose1 w:val="020B0603020202020204"/>
    <w:charset w:val="00"/>
    <w:family w:val="swiss"/>
    <w:pitch w:val="default"/>
    <w:sig w:usb0="00000687" w:usb1="00000000" w:usb2="00000000" w:usb3="00000000" w:csb0="2000009F" w:csb1="00000000"/>
  </w:font>
  <w:font w:name="方正仿宋简体">
    <w:altName w:val="宋体"/>
    <w:panose1 w:val="02010601030101010101"/>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76B49">
    <w:pPr>
      <w:pStyle w:val="22"/>
      <w:ind w:right="9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9F92E">
    <w:pPr>
      <w:pStyle w:val="22"/>
      <w:framePr w:wrap="around" w:vAnchor="text" w:hAnchor="margin" w:xAlign="center" w:y="1"/>
      <w:rPr>
        <w:rStyle w:val="43"/>
      </w:rPr>
    </w:pPr>
    <w:r>
      <w:rPr>
        <w:rStyle w:val="43"/>
      </w:rPr>
      <w:fldChar w:fldCharType="begin"/>
    </w:r>
    <w:r>
      <w:rPr>
        <w:rStyle w:val="43"/>
      </w:rPr>
      <w:instrText xml:space="preserve">PAGE  </w:instrText>
    </w:r>
    <w:r>
      <w:rPr>
        <w:rStyle w:val="43"/>
      </w:rPr>
      <w:fldChar w:fldCharType="separate"/>
    </w:r>
    <w:r>
      <w:rPr>
        <w:rStyle w:val="43"/>
      </w:rPr>
      <w:t>68</w:t>
    </w:r>
    <w:r>
      <w:rPr>
        <w:rStyle w:val="43"/>
      </w:rPr>
      <w:fldChar w:fldCharType="end"/>
    </w:r>
  </w:p>
  <w:p w14:paraId="52D5D66D">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A14BE">
    <w:pPr>
      <w:pStyle w:val="22"/>
      <w:ind w:right="90"/>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2A1C41">
                          <w:pPr>
                            <w:pStyle w:val="22"/>
                            <w:rPr>
                              <w:rFonts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ascii="仿宋" w:hAnsi="仿宋" w:eastAsia="仿宋" w:cs="仿宋"/>
                              <w:sz w:val="24"/>
                              <w:szCs w:val="24"/>
                            </w:rPr>
                            <w:t>2</w:t>
                          </w:r>
                          <w:r>
                            <w:rPr>
                              <w:rFonts w:hint="eastAsia" w:ascii="仿宋" w:hAnsi="仿宋" w:eastAsia="仿宋" w:cs="仿宋"/>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42A1C41">
                    <w:pPr>
                      <w:pStyle w:val="22"/>
                      <w:rPr>
                        <w:rFonts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ascii="仿宋" w:hAnsi="仿宋" w:eastAsia="仿宋" w:cs="仿宋"/>
                        <w:sz w:val="24"/>
                        <w:szCs w:val="24"/>
                      </w:rPr>
                      <w:t>2</w:t>
                    </w:r>
                    <w:r>
                      <w:rPr>
                        <w:rFonts w:hint="eastAsia" w:ascii="仿宋" w:hAnsi="仿宋" w:eastAsia="仿宋" w:cs="仿宋"/>
                        <w:sz w:val="24"/>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43A82">
    <w:pPr>
      <w:pStyle w:val="22"/>
      <w:ind w:right="360"/>
      <w:jc w:val="center"/>
      <w:rPr>
        <w:rFonts w:asciiTheme="minorEastAsia" w:hAnsiTheme="minorEastAsia" w:eastAsiaTheme="minorEastAsia"/>
        <w:sz w:val="24"/>
        <w:szCs w:val="24"/>
      </w:rPr>
    </w:pPr>
    <w:r>
      <w:rPr>
        <w:sz w:val="24"/>
        <w:szCs w:val="1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eastAsia" w:ascii="仿宋" w:hAnsi="仿宋" w:eastAsia="仿宋" w:cs="仿宋"/>
                              <w:sz w:val="24"/>
                              <w:szCs w:val="24"/>
                            </w:rPr>
                            <w:id w:val="-367532114"/>
                          </w:sdtPr>
                          <w:sdtEndPr>
                            <w:rPr>
                              <w:rFonts w:hint="eastAsia" w:cs="仿宋" w:asciiTheme="minorEastAsia" w:hAnsiTheme="minorEastAsia" w:eastAsiaTheme="minorEastAsia"/>
                              <w:sz w:val="30"/>
                              <w:szCs w:val="30"/>
                            </w:rPr>
                          </w:sdtEndPr>
                          <w:sdtContent>
                            <w:p w14:paraId="2B4C5EC3">
                              <w:pPr>
                                <w:pStyle w:val="22"/>
                                <w:ind w:right="360"/>
                                <w:jc w:val="center"/>
                                <w:rPr>
                                  <w:rFonts w:asciiTheme="minorEastAsia" w:hAnsiTheme="minorEastAsia" w:eastAsiaTheme="minorEastAsia"/>
                                  <w:sz w:val="30"/>
                                  <w:szCs w:val="30"/>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PAGE   \* MERGEFORMAT</w:instrText>
                              </w:r>
                              <w:r>
                                <w:rPr>
                                  <w:rFonts w:hint="eastAsia" w:ascii="仿宋" w:hAnsi="仿宋" w:eastAsia="仿宋" w:cs="仿宋"/>
                                  <w:sz w:val="24"/>
                                  <w:szCs w:val="24"/>
                                </w:rPr>
                                <w:fldChar w:fldCharType="separate"/>
                              </w:r>
                              <w:r>
                                <w:rPr>
                                  <w:rFonts w:ascii="仿宋" w:hAnsi="仿宋" w:eastAsia="仿宋" w:cs="仿宋"/>
                                  <w:sz w:val="24"/>
                                  <w:szCs w:val="24"/>
                                  <w:lang w:val="zh-CN"/>
                                </w:rPr>
                                <w:t>26</w:t>
                              </w:r>
                              <w:r>
                                <w:rPr>
                                  <w:rFonts w:hint="eastAsia" w:ascii="仿宋" w:hAnsi="仿宋" w:eastAsia="仿宋" w:cs="仿宋"/>
                                  <w:sz w:val="24"/>
                                  <w:szCs w:val="24"/>
                                </w:rPr>
                                <w:fldChar w:fldCharType="end"/>
                              </w:r>
                            </w:p>
                          </w:sdtContent>
                        </w:sdt>
                        <w:p w14:paraId="02121EC1">
                          <w:pPr>
                            <w:rPr>
                              <w:rFonts w:asciiTheme="minorEastAsia" w:hAnsiTheme="minorEastAsia"/>
                              <w:sz w:val="30"/>
                              <w:szCs w:val="30"/>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rPr>
                        <w:rFonts w:hint="eastAsia" w:ascii="仿宋" w:hAnsi="仿宋" w:eastAsia="仿宋" w:cs="仿宋"/>
                        <w:sz w:val="24"/>
                        <w:szCs w:val="24"/>
                      </w:rPr>
                      <w:id w:val="-367532114"/>
                    </w:sdtPr>
                    <w:sdtEndPr>
                      <w:rPr>
                        <w:rFonts w:hint="eastAsia" w:cs="仿宋" w:asciiTheme="minorEastAsia" w:hAnsiTheme="minorEastAsia" w:eastAsiaTheme="minorEastAsia"/>
                        <w:sz w:val="30"/>
                        <w:szCs w:val="30"/>
                      </w:rPr>
                    </w:sdtEndPr>
                    <w:sdtContent>
                      <w:p w14:paraId="2B4C5EC3">
                        <w:pPr>
                          <w:pStyle w:val="22"/>
                          <w:ind w:right="360"/>
                          <w:jc w:val="center"/>
                          <w:rPr>
                            <w:rFonts w:asciiTheme="minorEastAsia" w:hAnsiTheme="minorEastAsia" w:eastAsiaTheme="minorEastAsia"/>
                            <w:sz w:val="30"/>
                            <w:szCs w:val="30"/>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PAGE   \* MERGEFORMAT</w:instrText>
                        </w:r>
                        <w:r>
                          <w:rPr>
                            <w:rFonts w:hint="eastAsia" w:ascii="仿宋" w:hAnsi="仿宋" w:eastAsia="仿宋" w:cs="仿宋"/>
                            <w:sz w:val="24"/>
                            <w:szCs w:val="24"/>
                          </w:rPr>
                          <w:fldChar w:fldCharType="separate"/>
                        </w:r>
                        <w:r>
                          <w:rPr>
                            <w:rFonts w:ascii="仿宋" w:hAnsi="仿宋" w:eastAsia="仿宋" w:cs="仿宋"/>
                            <w:sz w:val="24"/>
                            <w:szCs w:val="24"/>
                            <w:lang w:val="zh-CN"/>
                          </w:rPr>
                          <w:t>26</w:t>
                        </w:r>
                        <w:r>
                          <w:rPr>
                            <w:rFonts w:hint="eastAsia" w:ascii="仿宋" w:hAnsi="仿宋" w:eastAsia="仿宋" w:cs="仿宋"/>
                            <w:sz w:val="24"/>
                            <w:szCs w:val="24"/>
                          </w:rPr>
                          <w:fldChar w:fldCharType="end"/>
                        </w:r>
                      </w:p>
                    </w:sdtContent>
                  </w:sdt>
                  <w:p w14:paraId="02121EC1">
                    <w:pPr>
                      <w:rPr>
                        <w:rFonts w:asciiTheme="minorEastAsia" w:hAnsiTheme="minorEastAsia"/>
                        <w:sz w:val="30"/>
                        <w:szCs w:val="30"/>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5206D">
    <w:pPr>
      <w:pStyle w:val="2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45E28A">
                          <w:pPr>
                            <w:pStyle w:val="22"/>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6D45E28A">
                    <w:pPr>
                      <w:pStyle w:val="22"/>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B3B4F">
    <w:pPr>
      <w:pStyle w:val="23"/>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FD766">
    <w:pPr>
      <w:pStyle w:val="2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F4E36E"/>
    <w:multiLevelType w:val="singleLevel"/>
    <w:tmpl w:val="B0F4E36E"/>
    <w:lvl w:ilvl="0" w:tentative="0">
      <w:start w:val="1"/>
      <w:numFmt w:val="decimal"/>
      <w:suff w:val="nothing"/>
      <w:lvlText w:val="（%1）"/>
      <w:lvlJc w:val="left"/>
    </w:lvl>
  </w:abstractNum>
  <w:abstractNum w:abstractNumId="1">
    <w:nsid w:val="CD1A46ED"/>
    <w:multiLevelType w:val="singleLevel"/>
    <w:tmpl w:val="CD1A46ED"/>
    <w:lvl w:ilvl="0" w:tentative="0">
      <w:start w:val="2"/>
      <w:numFmt w:val="chineseCounting"/>
      <w:suff w:val="nothing"/>
      <w:lvlText w:val="%1、"/>
      <w:lvlJc w:val="left"/>
      <w:rPr>
        <w:rFonts w:hint="eastAsia"/>
      </w:rPr>
    </w:lvl>
  </w:abstractNum>
  <w:abstractNum w:abstractNumId="2">
    <w:nsid w:val="DE837D13"/>
    <w:multiLevelType w:val="singleLevel"/>
    <w:tmpl w:val="DE837D13"/>
    <w:lvl w:ilvl="0" w:tentative="0">
      <w:start w:val="1"/>
      <w:numFmt w:val="decimal"/>
      <w:pStyle w:val="17"/>
      <w:lvlText w:val="%1."/>
      <w:lvlJc w:val="left"/>
      <w:pPr>
        <w:tabs>
          <w:tab w:val="left" w:pos="2040"/>
        </w:tabs>
        <w:ind w:left="2040" w:hanging="360"/>
      </w:pPr>
    </w:lvl>
  </w:abstractNum>
  <w:abstractNum w:abstractNumId="3">
    <w:nsid w:val="EEA58F4B"/>
    <w:multiLevelType w:val="singleLevel"/>
    <w:tmpl w:val="EEA58F4B"/>
    <w:lvl w:ilvl="0" w:tentative="0">
      <w:start w:val="1"/>
      <w:numFmt w:val="decimal"/>
      <w:suff w:val="nothing"/>
      <w:lvlText w:val="%1、"/>
      <w:lvlJc w:val="left"/>
    </w:lvl>
  </w:abstractNum>
  <w:abstractNum w:abstractNumId="4">
    <w:nsid w:val="0973CC52"/>
    <w:multiLevelType w:val="singleLevel"/>
    <w:tmpl w:val="0973CC52"/>
    <w:lvl w:ilvl="0" w:tentative="0">
      <w:start w:val="1"/>
      <w:numFmt w:val="decimal"/>
      <w:suff w:val="nothing"/>
      <w:lvlText w:val="（%1）"/>
      <w:lvlJc w:val="left"/>
    </w:lvl>
  </w:abstractNum>
  <w:abstractNum w:abstractNumId="5">
    <w:nsid w:val="1DE8C67E"/>
    <w:multiLevelType w:val="singleLevel"/>
    <w:tmpl w:val="1DE8C67E"/>
    <w:lvl w:ilvl="0" w:tentative="0">
      <w:start w:val="1"/>
      <w:numFmt w:val="decimal"/>
      <w:suff w:val="nothing"/>
      <w:lvlText w:val="（%1）"/>
      <w:lvlJc w:val="left"/>
    </w:lvl>
  </w:abstractNum>
  <w:abstractNum w:abstractNumId="6">
    <w:nsid w:val="2E599D81"/>
    <w:multiLevelType w:val="singleLevel"/>
    <w:tmpl w:val="2E599D81"/>
    <w:lvl w:ilvl="0" w:tentative="0">
      <w:start w:val="1"/>
      <w:numFmt w:val="decimal"/>
      <w:suff w:val="nothing"/>
      <w:lvlText w:val="（%1）"/>
      <w:lvlJc w:val="left"/>
    </w:lvl>
  </w:abstractNum>
  <w:abstractNum w:abstractNumId="7">
    <w:nsid w:val="58478A5A"/>
    <w:multiLevelType w:val="singleLevel"/>
    <w:tmpl w:val="58478A5A"/>
    <w:lvl w:ilvl="0" w:tentative="0">
      <w:start w:val="1"/>
      <w:numFmt w:val="chineseCounting"/>
      <w:suff w:val="space"/>
      <w:lvlText w:val="第%1条"/>
      <w:lvlJc w:val="left"/>
    </w:lvl>
  </w:abstractNum>
  <w:abstractNum w:abstractNumId="8">
    <w:nsid w:val="58942D79"/>
    <w:multiLevelType w:val="singleLevel"/>
    <w:tmpl w:val="58942D79"/>
    <w:lvl w:ilvl="0" w:tentative="0">
      <w:start w:val="1"/>
      <w:numFmt w:val="decimal"/>
      <w:suff w:val="nothing"/>
      <w:lvlText w:val="（%1）"/>
      <w:lvlJc w:val="left"/>
    </w:lvl>
  </w:abstractNum>
  <w:abstractNum w:abstractNumId="9">
    <w:nsid w:val="59C33834"/>
    <w:multiLevelType w:val="singleLevel"/>
    <w:tmpl w:val="59C33834"/>
    <w:lvl w:ilvl="0" w:tentative="0">
      <w:start w:val="1"/>
      <w:numFmt w:val="decimal"/>
      <w:suff w:val="nothing"/>
      <w:lvlText w:val="%1）"/>
      <w:lvlJc w:val="left"/>
    </w:lvl>
  </w:abstractNum>
  <w:abstractNum w:abstractNumId="10">
    <w:nsid w:val="644E5166"/>
    <w:multiLevelType w:val="multilevel"/>
    <w:tmpl w:val="644E5166"/>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6C686E2D"/>
    <w:multiLevelType w:val="singleLevel"/>
    <w:tmpl w:val="6C686E2D"/>
    <w:lvl w:ilvl="0" w:tentative="0">
      <w:start w:val="1"/>
      <w:numFmt w:val="decimal"/>
      <w:suff w:val="nothing"/>
      <w:lvlText w:val="（%1）"/>
      <w:lvlJc w:val="left"/>
    </w:lvl>
  </w:abstractNum>
  <w:num w:numId="1">
    <w:abstractNumId w:val="2"/>
  </w:num>
  <w:num w:numId="2">
    <w:abstractNumId w:val="3"/>
  </w:num>
  <w:num w:numId="3">
    <w:abstractNumId w:val="10"/>
  </w:num>
  <w:num w:numId="4">
    <w:abstractNumId w:val="7"/>
  </w:num>
  <w:num w:numId="5">
    <w:abstractNumId w:val="8"/>
  </w:num>
  <w:num w:numId="6">
    <w:abstractNumId w:val="9"/>
  </w:num>
  <w:num w:numId="7">
    <w:abstractNumId w:val="1"/>
  </w:num>
  <w:num w:numId="8">
    <w:abstractNumId w:val="4"/>
  </w:num>
  <w:num w:numId="9">
    <w:abstractNumId w:val="0"/>
  </w:num>
  <w:num w:numId="10">
    <w:abstractNumId w:val="6"/>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E5YzQ0MWM2NDg3NzAxNTI3MDYxNmNiYmNjZWVhNTgifQ=="/>
    <w:docVar w:name="KSO_WPS_MARK_KEY" w:val="fdbdf24b-0dbf-482d-9e5c-40b2cee7c8c0"/>
  </w:docVars>
  <w:rsids>
    <w:rsidRoot w:val="00172A27"/>
    <w:rsid w:val="000002B4"/>
    <w:rsid w:val="00001340"/>
    <w:rsid w:val="00002143"/>
    <w:rsid w:val="00004DAA"/>
    <w:rsid w:val="00005C75"/>
    <w:rsid w:val="00006BD9"/>
    <w:rsid w:val="00007BA8"/>
    <w:rsid w:val="000104D6"/>
    <w:rsid w:val="00010CE2"/>
    <w:rsid w:val="00012108"/>
    <w:rsid w:val="00012E01"/>
    <w:rsid w:val="00014F7D"/>
    <w:rsid w:val="000162FE"/>
    <w:rsid w:val="00020411"/>
    <w:rsid w:val="0002386B"/>
    <w:rsid w:val="0002405E"/>
    <w:rsid w:val="000244CA"/>
    <w:rsid w:val="0002545E"/>
    <w:rsid w:val="00027B5D"/>
    <w:rsid w:val="00030171"/>
    <w:rsid w:val="00033566"/>
    <w:rsid w:val="00033852"/>
    <w:rsid w:val="000343A0"/>
    <w:rsid w:val="000347EB"/>
    <w:rsid w:val="00036B12"/>
    <w:rsid w:val="000400E8"/>
    <w:rsid w:val="00044B32"/>
    <w:rsid w:val="00046152"/>
    <w:rsid w:val="0005003E"/>
    <w:rsid w:val="00051397"/>
    <w:rsid w:val="00054F47"/>
    <w:rsid w:val="0005551C"/>
    <w:rsid w:val="000604DE"/>
    <w:rsid w:val="0006199F"/>
    <w:rsid w:val="000641A9"/>
    <w:rsid w:val="000653CD"/>
    <w:rsid w:val="000661C0"/>
    <w:rsid w:val="00070AF5"/>
    <w:rsid w:val="00070BFE"/>
    <w:rsid w:val="0007362D"/>
    <w:rsid w:val="00073846"/>
    <w:rsid w:val="00073D96"/>
    <w:rsid w:val="000762D4"/>
    <w:rsid w:val="00077DB3"/>
    <w:rsid w:val="0008025F"/>
    <w:rsid w:val="00080E16"/>
    <w:rsid w:val="000829F2"/>
    <w:rsid w:val="00082FC4"/>
    <w:rsid w:val="00085ED3"/>
    <w:rsid w:val="000904A3"/>
    <w:rsid w:val="00090F37"/>
    <w:rsid w:val="000916AB"/>
    <w:rsid w:val="000923E8"/>
    <w:rsid w:val="000946D4"/>
    <w:rsid w:val="00094989"/>
    <w:rsid w:val="000A0272"/>
    <w:rsid w:val="000A02F9"/>
    <w:rsid w:val="000A1ECD"/>
    <w:rsid w:val="000A32B9"/>
    <w:rsid w:val="000A3552"/>
    <w:rsid w:val="000A43C4"/>
    <w:rsid w:val="000A452A"/>
    <w:rsid w:val="000B210F"/>
    <w:rsid w:val="000B318F"/>
    <w:rsid w:val="000B331B"/>
    <w:rsid w:val="000B4C6A"/>
    <w:rsid w:val="000B7C76"/>
    <w:rsid w:val="000C364C"/>
    <w:rsid w:val="000C3FDE"/>
    <w:rsid w:val="000D171A"/>
    <w:rsid w:val="000D5DA0"/>
    <w:rsid w:val="000D7CE7"/>
    <w:rsid w:val="000E2D54"/>
    <w:rsid w:val="000E34FC"/>
    <w:rsid w:val="000E40A6"/>
    <w:rsid w:val="000E5B9C"/>
    <w:rsid w:val="000E674D"/>
    <w:rsid w:val="000E7461"/>
    <w:rsid w:val="000F186E"/>
    <w:rsid w:val="000F56EE"/>
    <w:rsid w:val="00100D44"/>
    <w:rsid w:val="00101AA4"/>
    <w:rsid w:val="00102AB6"/>
    <w:rsid w:val="00104F86"/>
    <w:rsid w:val="001063D0"/>
    <w:rsid w:val="0010650C"/>
    <w:rsid w:val="00106BA4"/>
    <w:rsid w:val="00111383"/>
    <w:rsid w:val="001145B2"/>
    <w:rsid w:val="00115901"/>
    <w:rsid w:val="00115A4B"/>
    <w:rsid w:val="0011725D"/>
    <w:rsid w:val="00121DF5"/>
    <w:rsid w:val="001248E7"/>
    <w:rsid w:val="00126044"/>
    <w:rsid w:val="00127B38"/>
    <w:rsid w:val="00127C9A"/>
    <w:rsid w:val="0013312B"/>
    <w:rsid w:val="00134210"/>
    <w:rsid w:val="00134F82"/>
    <w:rsid w:val="001357C8"/>
    <w:rsid w:val="00142BB8"/>
    <w:rsid w:val="00143169"/>
    <w:rsid w:val="0014554F"/>
    <w:rsid w:val="00146E26"/>
    <w:rsid w:val="001543A3"/>
    <w:rsid w:val="001575BE"/>
    <w:rsid w:val="00157673"/>
    <w:rsid w:val="0015794E"/>
    <w:rsid w:val="00160159"/>
    <w:rsid w:val="00160311"/>
    <w:rsid w:val="00161961"/>
    <w:rsid w:val="00162DD4"/>
    <w:rsid w:val="001652C6"/>
    <w:rsid w:val="0016644B"/>
    <w:rsid w:val="00170A17"/>
    <w:rsid w:val="00171110"/>
    <w:rsid w:val="00172AA0"/>
    <w:rsid w:val="001733AF"/>
    <w:rsid w:val="00176FAD"/>
    <w:rsid w:val="0017733A"/>
    <w:rsid w:val="00181200"/>
    <w:rsid w:val="001901CA"/>
    <w:rsid w:val="001930FC"/>
    <w:rsid w:val="00193402"/>
    <w:rsid w:val="00194DD8"/>
    <w:rsid w:val="00197628"/>
    <w:rsid w:val="001A1456"/>
    <w:rsid w:val="001A1D16"/>
    <w:rsid w:val="001A2117"/>
    <w:rsid w:val="001A45DD"/>
    <w:rsid w:val="001A4E5A"/>
    <w:rsid w:val="001A4E90"/>
    <w:rsid w:val="001A71AF"/>
    <w:rsid w:val="001B1372"/>
    <w:rsid w:val="001B1748"/>
    <w:rsid w:val="001B5A4C"/>
    <w:rsid w:val="001C15DD"/>
    <w:rsid w:val="001C4134"/>
    <w:rsid w:val="001D029C"/>
    <w:rsid w:val="001D4B73"/>
    <w:rsid w:val="001D50A5"/>
    <w:rsid w:val="001E288B"/>
    <w:rsid w:val="001E33A7"/>
    <w:rsid w:val="001E3D69"/>
    <w:rsid w:val="001E4755"/>
    <w:rsid w:val="001E6E8F"/>
    <w:rsid w:val="001E794E"/>
    <w:rsid w:val="001F292C"/>
    <w:rsid w:val="001F3A08"/>
    <w:rsid w:val="001F610A"/>
    <w:rsid w:val="001F79E8"/>
    <w:rsid w:val="00200BA8"/>
    <w:rsid w:val="0020240F"/>
    <w:rsid w:val="002055DD"/>
    <w:rsid w:val="00205968"/>
    <w:rsid w:val="00205DF6"/>
    <w:rsid w:val="00205F22"/>
    <w:rsid w:val="0021147C"/>
    <w:rsid w:val="00214257"/>
    <w:rsid w:val="00214392"/>
    <w:rsid w:val="00215BA5"/>
    <w:rsid w:val="00215F58"/>
    <w:rsid w:val="00217E00"/>
    <w:rsid w:val="0022016C"/>
    <w:rsid w:val="0022177D"/>
    <w:rsid w:val="002224AE"/>
    <w:rsid w:val="00223931"/>
    <w:rsid w:val="002246D6"/>
    <w:rsid w:val="00226DEC"/>
    <w:rsid w:val="0022747A"/>
    <w:rsid w:val="0023151C"/>
    <w:rsid w:val="0023323E"/>
    <w:rsid w:val="00236A48"/>
    <w:rsid w:val="00236D43"/>
    <w:rsid w:val="00240D63"/>
    <w:rsid w:val="00243861"/>
    <w:rsid w:val="002472C0"/>
    <w:rsid w:val="002508FA"/>
    <w:rsid w:val="00253DC3"/>
    <w:rsid w:val="002541CE"/>
    <w:rsid w:val="00255C6B"/>
    <w:rsid w:val="0025723D"/>
    <w:rsid w:val="00257F22"/>
    <w:rsid w:val="002604A7"/>
    <w:rsid w:val="00260910"/>
    <w:rsid w:val="00262A6E"/>
    <w:rsid w:val="00263141"/>
    <w:rsid w:val="00266F04"/>
    <w:rsid w:val="00280F38"/>
    <w:rsid w:val="00283C54"/>
    <w:rsid w:val="00285885"/>
    <w:rsid w:val="00285ABC"/>
    <w:rsid w:val="00292BAB"/>
    <w:rsid w:val="002967DA"/>
    <w:rsid w:val="002A6197"/>
    <w:rsid w:val="002A7CE2"/>
    <w:rsid w:val="002B0041"/>
    <w:rsid w:val="002B01D0"/>
    <w:rsid w:val="002B38BE"/>
    <w:rsid w:val="002B3DBF"/>
    <w:rsid w:val="002B77E1"/>
    <w:rsid w:val="002C02A1"/>
    <w:rsid w:val="002C2DD2"/>
    <w:rsid w:val="002C7FCF"/>
    <w:rsid w:val="002D280B"/>
    <w:rsid w:val="002D3439"/>
    <w:rsid w:val="002D635D"/>
    <w:rsid w:val="002D6CF2"/>
    <w:rsid w:val="002E1B79"/>
    <w:rsid w:val="002E25BC"/>
    <w:rsid w:val="002E29B4"/>
    <w:rsid w:val="002E5AAD"/>
    <w:rsid w:val="002F065A"/>
    <w:rsid w:val="002F10F5"/>
    <w:rsid w:val="002F2283"/>
    <w:rsid w:val="002F640F"/>
    <w:rsid w:val="002F7FD1"/>
    <w:rsid w:val="00300C92"/>
    <w:rsid w:val="003017E3"/>
    <w:rsid w:val="00301FBF"/>
    <w:rsid w:val="00304A1A"/>
    <w:rsid w:val="00304D2D"/>
    <w:rsid w:val="00305EE3"/>
    <w:rsid w:val="0030747A"/>
    <w:rsid w:val="003117CE"/>
    <w:rsid w:val="003121AD"/>
    <w:rsid w:val="00313F13"/>
    <w:rsid w:val="00315623"/>
    <w:rsid w:val="00315D4B"/>
    <w:rsid w:val="00315D59"/>
    <w:rsid w:val="003160D4"/>
    <w:rsid w:val="00316DBA"/>
    <w:rsid w:val="00317D34"/>
    <w:rsid w:val="00321036"/>
    <w:rsid w:val="00323AFC"/>
    <w:rsid w:val="0032592F"/>
    <w:rsid w:val="00326152"/>
    <w:rsid w:val="00331C14"/>
    <w:rsid w:val="0033231B"/>
    <w:rsid w:val="00332D2E"/>
    <w:rsid w:val="00333E01"/>
    <w:rsid w:val="00336EED"/>
    <w:rsid w:val="003414CA"/>
    <w:rsid w:val="00344BCD"/>
    <w:rsid w:val="00347E66"/>
    <w:rsid w:val="0035118C"/>
    <w:rsid w:val="003537E4"/>
    <w:rsid w:val="0035581F"/>
    <w:rsid w:val="00357E91"/>
    <w:rsid w:val="00360D30"/>
    <w:rsid w:val="00361C9D"/>
    <w:rsid w:val="00363991"/>
    <w:rsid w:val="00364473"/>
    <w:rsid w:val="003646E5"/>
    <w:rsid w:val="00366F29"/>
    <w:rsid w:val="00367BA8"/>
    <w:rsid w:val="00370F25"/>
    <w:rsid w:val="00373602"/>
    <w:rsid w:val="00373826"/>
    <w:rsid w:val="00373AD1"/>
    <w:rsid w:val="00376E83"/>
    <w:rsid w:val="00384E2D"/>
    <w:rsid w:val="00390A3C"/>
    <w:rsid w:val="00392652"/>
    <w:rsid w:val="003974F8"/>
    <w:rsid w:val="003A28C5"/>
    <w:rsid w:val="003A5B50"/>
    <w:rsid w:val="003A6107"/>
    <w:rsid w:val="003A7427"/>
    <w:rsid w:val="003B0D63"/>
    <w:rsid w:val="003B70AD"/>
    <w:rsid w:val="003B7226"/>
    <w:rsid w:val="003C0B9E"/>
    <w:rsid w:val="003C179F"/>
    <w:rsid w:val="003C21E8"/>
    <w:rsid w:val="003C558B"/>
    <w:rsid w:val="003D01BB"/>
    <w:rsid w:val="003D05EA"/>
    <w:rsid w:val="003D2C56"/>
    <w:rsid w:val="003D3CCB"/>
    <w:rsid w:val="003D4211"/>
    <w:rsid w:val="003E11F4"/>
    <w:rsid w:val="003E4A7A"/>
    <w:rsid w:val="003F08DC"/>
    <w:rsid w:val="003F3849"/>
    <w:rsid w:val="003F4611"/>
    <w:rsid w:val="003F59D7"/>
    <w:rsid w:val="0040310D"/>
    <w:rsid w:val="00404253"/>
    <w:rsid w:val="00407128"/>
    <w:rsid w:val="004079CE"/>
    <w:rsid w:val="004143A5"/>
    <w:rsid w:val="004220B6"/>
    <w:rsid w:val="004238E7"/>
    <w:rsid w:val="00423980"/>
    <w:rsid w:val="0042662D"/>
    <w:rsid w:val="004270EF"/>
    <w:rsid w:val="00427533"/>
    <w:rsid w:val="00432C0C"/>
    <w:rsid w:val="00433EED"/>
    <w:rsid w:val="0044198C"/>
    <w:rsid w:val="0044280B"/>
    <w:rsid w:val="00443888"/>
    <w:rsid w:val="004449F3"/>
    <w:rsid w:val="00444EE1"/>
    <w:rsid w:val="00445872"/>
    <w:rsid w:val="0044799D"/>
    <w:rsid w:val="0045091A"/>
    <w:rsid w:val="00451F71"/>
    <w:rsid w:val="00452BB8"/>
    <w:rsid w:val="00454FA1"/>
    <w:rsid w:val="00455196"/>
    <w:rsid w:val="0045602F"/>
    <w:rsid w:val="00457A37"/>
    <w:rsid w:val="004639BC"/>
    <w:rsid w:val="004640C1"/>
    <w:rsid w:val="00464725"/>
    <w:rsid w:val="00464BAE"/>
    <w:rsid w:val="004660B0"/>
    <w:rsid w:val="004704FB"/>
    <w:rsid w:val="004825A8"/>
    <w:rsid w:val="0048512D"/>
    <w:rsid w:val="004A010F"/>
    <w:rsid w:val="004A01F6"/>
    <w:rsid w:val="004A1F5D"/>
    <w:rsid w:val="004A3D6D"/>
    <w:rsid w:val="004A4981"/>
    <w:rsid w:val="004A5190"/>
    <w:rsid w:val="004A5376"/>
    <w:rsid w:val="004A6517"/>
    <w:rsid w:val="004A67FA"/>
    <w:rsid w:val="004A68AF"/>
    <w:rsid w:val="004A7173"/>
    <w:rsid w:val="004A7D7E"/>
    <w:rsid w:val="004B029E"/>
    <w:rsid w:val="004B0537"/>
    <w:rsid w:val="004B28CA"/>
    <w:rsid w:val="004B7DE5"/>
    <w:rsid w:val="004C1AE6"/>
    <w:rsid w:val="004C6BAD"/>
    <w:rsid w:val="004C7102"/>
    <w:rsid w:val="004C7FD7"/>
    <w:rsid w:val="004D0A4A"/>
    <w:rsid w:val="004D0E18"/>
    <w:rsid w:val="004D11B3"/>
    <w:rsid w:val="004D3C30"/>
    <w:rsid w:val="004D5AE9"/>
    <w:rsid w:val="004D5C23"/>
    <w:rsid w:val="004D5F63"/>
    <w:rsid w:val="004D75D5"/>
    <w:rsid w:val="004E0230"/>
    <w:rsid w:val="004E2088"/>
    <w:rsid w:val="004E419C"/>
    <w:rsid w:val="004E56D8"/>
    <w:rsid w:val="004E5B18"/>
    <w:rsid w:val="004E606C"/>
    <w:rsid w:val="004E6954"/>
    <w:rsid w:val="004E76F6"/>
    <w:rsid w:val="004E7786"/>
    <w:rsid w:val="004F0D23"/>
    <w:rsid w:val="00501303"/>
    <w:rsid w:val="0050507E"/>
    <w:rsid w:val="00507DCF"/>
    <w:rsid w:val="00511664"/>
    <w:rsid w:val="00516A4F"/>
    <w:rsid w:val="005170D9"/>
    <w:rsid w:val="00520FE8"/>
    <w:rsid w:val="0052394D"/>
    <w:rsid w:val="00524F86"/>
    <w:rsid w:val="00526F0E"/>
    <w:rsid w:val="005271EF"/>
    <w:rsid w:val="00527A46"/>
    <w:rsid w:val="005307A5"/>
    <w:rsid w:val="0053132A"/>
    <w:rsid w:val="00536952"/>
    <w:rsid w:val="005369FB"/>
    <w:rsid w:val="00537638"/>
    <w:rsid w:val="0054181E"/>
    <w:rsid w:val="00541AC4"/>
    <w:rsid w:val="00541FB5"/>
    <w:rsid w:val="0055435D"/>
    <w:rsid w:val="005574D7"/>
    <w:rsid w:val="00560740"/>
    <w:rsid w:val="005627EE"/>
    <w:rsid w:val="00562B2E"/>
    <w:rsid w:val="00566F28"/>
    <w:rsid w:val="00570015"/>
    <w:rsid w:val="00573EAA"/>
    <w:rsid w:val="00576ADE"/>
    <w:rsid w:val="00577ECB"/>
    <w:rsid w:val="00577FFA"/>
    <w:rsid w:val="0058012A"/>
    <w:rsid w:val="00582F95"/>
    <w:rsid w:val="00586658"/>
    <w:rsid w:val="00587816"/>
    <w:rsid w:val="005879D1"/>
    <w:rsid w:val="0059145C"/>
    <w:rsid w:val="00594BE3"/>
    <w:rsid w:val="00595F0C"/>
    <w:rsid w:val="00596BA7"/>
    <w:rsid w:val="005A215C"/>
    <w:rsid w:val="005A6326"/>
    <w:rsid w:val="005A69CA"/>
    <w:rsid w:val="005A770A"/>
    <w:rsid w:val="005C53A8"/>
    <w:rsid w:val="005D2A28"/>
    <w:rsid w:val="005D3846"/>
    <w:rsid w:val="005D5695"/>
    <w:rsid w:val="005D651D"/>
    <w:rsid w:val="005D6F56"/>
    <w:rsid w:val="005E22B8"/>
    <w:rsid w:val="005E28BD"/>
    <w:rsid w:val="005E3C18"/>
    <w:rsid w:val="005E617A"/>
    <w:rsid w:val="005F3159"/>
    <w:rsid w:val="005F3701"/>
    <w:rsid w:val="005F437E"/>
    <w:rsid w:val="005F4DCF"/>
    <w:rsid w:val="005F6E37"/>
    <w:rsid w:val="005F7CCF"/>
    <w:rsid w:val="0060072E"/>
    <w:rsid w:val="0060086F"/>
    <w:rsid w:val="00600C9C"/>
    <w:rsid w:val="00601507"/>
    <w:rsid w:val="006053D2"/>
    <w:rsid w:val="00606716"/>
    <w:rsid w:val="00607BD4"/>
    <w:rsid w:val="0061147C"/>
    <w:rsid w:val="00614490"/>
    <w:rsid w:val="0061632F"/>
    <w:rsid w:val="00616341"/>
    <w:rsid w:val="00617E79"/>
    <w:rsid w:val="00617EC4"/>
    <w:rsid w:val="00622699"/>
    <w:rsid w:val="00624E16"/>
    <w:rsid w:val="00630AAC"/>
    <w:rsid w:val="006314C2"/>
    <w:rsid w:val="00631C5A"/>
    <w:rsid w:val="0063569B"/>
    <w:rsid w:val="00635CE4"/>
    <w:rsid w:val="0063610A"/>
    <w:rsid w:val="006367D4"/>
    <w:rsid w:val="00644CAA"/>
    <w:rsid w:val="00646460"/>
    <w:rsid w:val="0064722F"/>
    <w:rsid w:val="00647D58"/>
    <w:rsid w:val="0065082F"/>
    <w:rsid w:val="00650F27"/>
    <w:rsid w:val="00651977"/>
    <w:rsid w:val="006523BD"/>
    <w:rsid w:val="00652A1B"/>
    <w:rsid w:val="00652A7E"/>
    <w:rsid w:val="00652A9D"/>
    <w:rsid w:val="00653B67"/>
    <w:rsid w:val="006546EA"/>
    <w:rsid w:val="00654D73"/>
    <w:rsid w:val="00655FCC"/>
    <w:rsid w:val="006568E0"/>
    <w:rsid w:val="00656C08"/>
    <w:rsid w:val="00657AD0"/>
    <w:rsid w:val="0066102E"/>
    <w:rsid w:val="00661E10"/>
    <w:rsid w:val="00664BD0"/>
    <w:rsid w:val="0066520F"/>
    <w:rsid w:val="006654E8"/>
    <w:rsid w:val="0066681E"/>
    <w:rsid w:val="00666A31"/>
    <w:rsid w:val="00670008"/>
    <w:rsid w:val="00670790"/>
    <w:rsid w:val="0067272A"/>
    <w:rsid w:val="006728AB"/>
    <w:rsid w:val="00672F73"/>
    <w:rsid w:val="00673798"/>
    <w:rsid w:val="00674559"/>
    <w:rsid w:val="00674A1B"/>
    <w:rsid w:val="00674AFD"/>
    <w:rsid w:val="006804BB"/>
    <w:rsid w:val="00691232"/>
    <w:rsid w:val="006932B7"/>
    <w:rsid w:val="00693DA7"/>
    <w:rsid w:val="00694538"/>
    <w:rsid w:val="006956A0"/>
    <w:rsid w:val="0069732C"/>
    <w:rsid w:val="0069791E"/>
    <w:rsid w:val="006A4AC4"/>
    <w:rsid w:val="006A72C3"/>
    <w:rsid w:val="006B014A"/>
    <w:rsid w:val="006B14EC"/>
    <w:rsid w:val="006B2DDD"/>
    <w:rsid w:val="006B6380"/>
    <w:rsid w:val="006B6739"/>
    <w:rsid w:val="006B72B0"/>
    <w:rsid w:val="006B72D9"/>
    <w:rsid w:val="006B7760"/>
    <w:rsid w:val="006C06C9"/>
    <w:rsid w:val="006C08F0"/>
    <w:rsid w:val="006C214D"/>
    <w:rsid w:val="006C2490"/>
    <w:rsid w:val="006C3250"/>
    <w:rsid w:val="006C551A"/>
    <w:rsid w:val="006C5A93"/>
    <w:rsid w:val="006D0395"/>
    <w:rsid w:val="006D21CC"/>
    <w:rsid w:val="006D3A4C"/>
    <w:rsid w:val="006D3A5D"/>
    <w:rsid w:val="006D5419"/>
    <w:rsid w:val="006D541A"/>
    <w:rsid w:val="006D54D4"/>
    <w:rsid w:val="006D72DF"/>
    <w:rsid w:val="006D747B"/>
    <w:rsid w:val="006E249F"/>
    <w:rsid w:val="006E344D"/>
    <w:rsid w:val="006E51CF"/>
    <w:rsid w:val="006F07AB"/>
    <w:rsid w:val="006F2A4E"/>
    <w:rsid w:val="006F3AF3"/>
    <w:rsid w:val="006F5509"/>
    <w:rsid w:val="006F6DB0"/>
    <w:rsid w:val="006F7BBE"/>
    <w:rsid w:val="00700939"/>
    <w:rsid w:val="00703743"/>
    <w:rsid w:val="00704AEC"/>
    <w:rsid w:val="00704C14"/>
    <w:rsid w:val="00705A54"/>
    <w:rsid w:val="00707DD7"/>
    <w:rsid w:val="007104B7"/>
    <w:rsid w:val="00711806"/>
    <w:rsid w:val="00711DFE"/>
    <w:rsid w:val="007127BA"/>
    <w:rsid w:val="00712834"/>
    <w:rsid w:val="007128C2"/>
    <w:rsid w:val="007137F1"/>
    <w:rsid w:val="007138D7"/>
    <w:rsid w:val="007156D2"/>
    <w:rsid w:val="007171D2"/>
    <w:rsid w:val="0072037A"/>
    <w:rsid w:val="00731CAD"/>
    <w:rsid w:val="00737F44"/>
    <w:rsid w:val="00742828"/>
    <w:rsid w:val="00747623"/>
    <w:rsid w:val="007509C9"/>
    <w:rsid w:val="00750F56"/>
    <w:rsid w:val="0075151D"/>
    <w:rsid w:val="0075182A"/>
    <w:rsid w:val="00751E8B"/>
    <w:rsid w:val="00752280"/>
    <w:rsid w:val="00752409"/>
    <w:rsid w:val="007555F9"/>
    <w:rsid w:val="00756E59"/>
    <w:rsid w:val="0075781F"/>
    <w:rsid w:val="0076194F"/>
    <w:rsid w:val="00761F55"/>
    <w:rsid w:val="00767044"/>
    <w:rsid w:val="00767A9C"/>
    <w:rsid w:val="007706A6"/>
    <w:rsid w:val="00775831"/>
    <w:rsid w:val="007758AC"/>
    <w:rsid w:val="00775DEA"/>
    <w:rsid w:val="00775E04"/>
    <w:rsid w:val="00777B6C"/>
    <w:rsid w:val="0078033B"/>
    <w:rsid w:val="00781F52"/>
    <w:rsid w:val="00782548"/>
    <w:rsid w:val="00782584"/>
    <w:rsid w:val="00784173"/>
    <w:rsid w:val="00786AAF"/>
    <w:rsid w:val="00787D19"/>
    <w:rsid w:val="007952C7"/>
    <w:rsid w:val="00796034"/>
    <w:rsid w:val="007A0C42"/>
    <w:rsid w:val="007A0E43"/>
    <w:rsid w:val="007A1947"/>
    <w:rsid w:val="007A237A"/>
    <w:rsid w:val="007A3B2A"/>
    <w:rsid w:val="007A5319"/>
    <w:rsid w:val="007A7C18"/>
    <w:rsid w:val="007A7EF1"/>
    <w:rsid w:val="007B2A84"/>
    <w:rsid w:val="007B32E9"/>
    <w:rsid w:val="007C4912"/>
    <w:rsid w:val="007C66D2"/>
    <w:rsid w:val="007C6BBF"/>
    <w:rsid w:val="007D1C55"/>
    <w:rsid w:val="007D3CF4"/>
    <w:rsid w:val="007D3DC6"/>
    <w:rsid w:val="007D4455"/>
    <w:rsid w:val="007D62D7"/>
    <w:rsid w:val="007D68A5"/>
    <w:rsid w:val="007E7421"/>
    <w:rsid w:val="007F314D"/>
    <w:rsid w:val="007F6C55"/>
    <w:rsid w:val="008012FC"/>
    <w:rsid w:val="00801FFA"/>
    <w:rsid w:val="008036B7"/>
    <w:rsid w:val="0080494D"/>
    <w:rsid w:val="00804D5D"/>
    <w:rsid w:val="0080672E"/>
    <w:rsid w:val="008067AA"/>
    <w:rsid w:val="008068DA"/>
    <w:rsid w:val="008068EC"/>
    <w:rsid w:val="00807795"/>
    <w:rsid w:val="00810459"/>
    <w:rsid w:val="00813D04"/>
    <w:rsid w:val="0081414C"/>
    <w:rsid w:val="00816A53"/>
    <w:rsid w:val="00820914"/>
    <w:rsid w:val="00822EBD"/>
    <w:rsid w:val="008247D9"/>
    <w:rsid w:val="00825A15"/>
    <w:rsid w:val="00825F46"/>
    <w:rsid w:val="00825FAA"/>
    <w:rsid w:val="00826C3A"/>
    <w:rsid w:val="00830296"/>
    <w:rsid w:val="0083223D"/>
    <w:rsid w:val="008330C9"/>
    <w:rsid w:val="00835F52"/>
    <w:rsid w:val="00840117"/>
    <w:rsid w:val="00843C8F"/>
    <w:rsid w:val="00844290"/>
    <w:rsid w:val="008443B1"/>
    <w:rsid w:val="00844507"/>
    <w:rsid w:val="0084490D"/>
    <w:rsid w:val="00844A00"/>
    <w:rsid w:val="00846F1B"/>
    <w:rsid w:val="008526D9"/>
    <w:rsid w:val="00854E30"/>
    <w:rsid w:val="00857654"/>
    <w:rsid w:val="00857B62"/>
    <w:rsid w:val="008618C1"/>
    <w:rsid w:val="00862EBB"/>
    <w:rsid w:val="008631DD"/>
    <w:rsid w:val="00864330"/>
    <w:rsid w:val="008703DB"/>
    <w:rsid w:val="00872CE4"/>
    <w:rsid w:val="0087459C"/>
    <w:rsid w:val="00877E4D"/>
    <w:rsid w:val="00880D74"/>
    <w:rsid w:val="00880ED3"/>
    <w:rsid w:val="00881BAB"/>
    <w:rsid w:val="00881D84"/>
    <w:rsid w:val="00883470"/>
    <w:rsid w:val="00884BA6"/>
    <w:rsid w:val="008858F6"/>
    <w:rsid w:val="00890712"/>
    <w:rsid w:val="00890B69"/>
    <w:rsid w:val="00892BDA"/>
    <w:rsid w:val="00892DE8"/>
    <w:rsid w:val="008A072E"/>
    <w:rsid w:val="008A2656"/>
    <w:rsid w:val="008A3A9E"/>
    <w:rsid w:val="008A4942"/>
    <w:rsid w:val="008A4B8E"/>
    <w:rsid w:val="008A53DE"/>
    <w:rsid w:val="008A561B"/>
    <w:rsid w:val="008A6628"/>
    <w:rsid w:val="008B01C2"/>
    <w:rsid w:val="008B029B"/>
    <w:rsid w:val="008B1D39"/>
    <w:rsid w:val="008B5573"/>
    <w:rsid w:val="008C24AF"/>
    <w:rsid w:val="008C5641"/>
    <w:rsid w:val="008C6135"/>
    <w:rsid w:val="008D0766"/>
    <w:rsid w:val="008D4229"/>
    <w:rsid w:val="008D4521"/>
    <w:rsid w:val="008D4BDD"/>
    <w:rsid w:val="008D5387"/>
    <w:rsid w:val="008D60F8"/>
    <w:rsid w:val="008D7591"/>
    <w:rsid w:val="008E1EA1"/>
    <w:rsid w:val="008E337E"/>
    <w:rsid w:val="008E47C0"/>
    <w:rsid w:val="008E6003"/>
    <w:rsid w:val="008E69FC"/>
    <w:rsid w:val="008E6AAE"/>
    <w:rsid w:val="008F1D6D"/>
    <w:rsid w:val="008F52D0"/>
    <w:rsid w:val="008F6AA2"/>
    <w:rsid w:val="00900116"/>
    <w:rsid w:val="009055EE"/>
    <w:rsid w:val="00905A28"/>
    <w:rsid w:val="00910B36"/>
    <w:rsid w:val="00910FF9"/>
    <w:rsid w:val="00913858"/>
    <w:rsid w:val="00914849"/>
    <w:rsid w:val="009166AD"/>
    <w:rsid w:val="0091776B"/>
    <w:rsid w:val="00917C51"/>
    <w:rsid w:val="009209E8"/>
    <w:rsid w:val="009211B4"/>
    <w:rsid w:val="00922373"/>
    <w:rsid w:val="00922592"/>
    <w:rsid w:val="00923C4A"/>
    <w:rsid w:val="009259D5"/>
    <w:rsid w:val="00925B9C"/>
    <w:rsid w:val="00926CDD"/>
    <w:rsid w:val="00926EE7"/>
    <w:rsid w:val="009278C5"/>
    <w:rsid w:val="00930024"/>
    <w:rsid w:val="0093107D"/>
    <w:rsid w:val="009324FE"/>
    <w:rsid w:val="00933150"/>
    <w:rsid w:val="00933165"/>
    <w:rsid w:val="0093334D"/>
    <w:rsid w:val="00934B57"/>
    <w:rsid w:val="00935307"/>
    <w:rsid w:val="0094041C"/>
    <w:rsid w:val="0094055B"/>
    <w:rsid w:val="00941545"/>
    <w:rsid w:val="009435A6"/>
    <w:rsid w:val="009437A7"/>
    <w:rsid w:val="00946789"/>
    <w:rsid w:val="00950163"/>
    <w:rsid w:val="0095139A"/>
    <w:rsid w:val="009546B7"/>
    <w:rsid w:val="00955047"/>
    <w:rsid w:val="00955238"/>
    <w:rsid w:val="009558DD"/>
    <w:rsid w:val="009613A3"/>
    <w:rsid w:val="0096147D"/>
    <w:rsid w:val="0096479F"/>
    <w:rsid w:val="00965552"/>
    <w:rsid w:val="0096574A"/>
    <w:rsid w:val="0096617A"/>
    <w:rsid w:val="00967429"/>
    <w:rsid w:val="009700E7"/>
    <w:rsid w:val="009701A2"/>
    <w:rsid w:val="00971FF1"/>
    <w:rsid w:val="00975775"/>
    <w:rsid w:val="00977D99"/>
    <w:rsid w:val="0098099B"/>
    <w:rsid w:val="00981749"/>
    <w:rsid w:val="00982857"/>
    <w:rsid w:val="00983E4E"/>
    <w:rsid w:val="009840B0"/>
    <w:rsid w:val="00984531"/>
    <w:rsid w:val="0098659E"/>
    <w:rsid w:val="009869E5"/>
    <w:rsid w:val="00991F92"/>
    <w:rsid w:val="0099239A"/>
    <w:rsid w:val="00992683"/>
    <w:rsid w:val="009930AE"/>
    <w:rsid w:val="00994368"/>
    <w:rsid w:val="009960AD"/>
    <w:rsid w:val="00997017"/>
    <w:rsid w:val="009A089A"/>
    <w:rsid w:val="009A1ABA"/>
    <w:rsid w:val="009A456E"/>
    <w:rsid w:val="009A6799"/>
    <w:rsid w:val="009A693B"/>
    <w:rsid w:val="009A7284"/>
    <w:rsid w:val="009A75CB"/>
    <w:rsid w:val="009B074B"/>
    <w:rsid w:val="009B0A3E"/>
    <w:rsid w:val="009B72EB"/>
    <w:rsid w:val="009B792F"/>
    <w:rsid w:val="009C07B4"/>
    <w:rsid w:val="009C4BB9"/>
    <w:rsid w:val="009C4C50"/>
    <w:rsid w:val="009C7D0A"/>
    <w:rsid w:val="009C7FD8"/>
    <w:rsid w:val="009D05BF"/>
    <w:rsid w:val="009D2432"/>
    <w:rsid w:val="009D245C"/>
    <w:rsid w:val="009D6AFE"/>
    <w:rsid w:val="009E0EA7"/>
    <w:rsid w:val="009E36F0"/>
    <w:rsid w:val="009F064F"/>
    <w:rsid w:val="009F11C8"/>
    <w:rsid w:val="009F15EF"/>
    <w:rsid w:val="009F24D1"/>
    <w:rsid w:val="009F3D47"/>
    <w:rsid w:val="009F4563"/>
    <w:rsid w:val="009F487E"/>
    <w:rsid w:val="009F6C40"/>
    <w:rsid w:val="00A01EFD"/>
    <w:rsid w:val="00A039D2"/>
    <w:rsid w:val="00A04B51"/>
    <w:rsid w:val="00A05781"/>
    <w:rsid w:val="00A068B7"/>
    <w:rsid w:val="00A069FC"/>
    <w:rsid w:val="00A0749F"/>
    <w:rsid w:val="00A12D09"/>
    <w:rsid w:val="00A17158"/>
    <w:rsid w:val="00A2031C"/>
    <w:rsid w:val="00A20856"/>
    <w:rsid w:val="00A2140F"/>
    <w:rsid w:val="00A24145"/>
    <w:rsid w:val="00A24411"/>
    <w:rsid w:val="00A252A2"/>
    <w:rsid w:val="00A25ADF"/>
    <w:rsid w:val="00A319A4"/>
    <w:rsid w:val="00A320D2"/>
    <w:rsid w:val="00A32455"/>
    <w:rsid w:val="00A32D75"/>
    <w:rsid w:val="00A33EC9"/>
    <w:rsid w:val="00A36113"/>
    <w:rsid w:val="00A377F1"/>
    <w:rsid w:val="00A40087"/>
    <w:rsid w:val="00A41CA5"/>
    <w:rsid w:val="00A426D2"/>
    <w:rsid w:val="00A46BC3"/>
    <w:rsid w:val="00A51A47"/>
    <w:rsid w:val="00A5296E"/>
    <w:rsid w:val="00A5323E"/>
    <w:rsid w:val="00A5538A"/>
    <w:rsid w:val="00A5692F"/>
    <w:rsid w:val="00A57C84"/>
    <w:rsid w:val="00A6358C"/>
    <w:rsid w:val="00A63DE3"/>
    <w:rsid w:val="00A648D2"/>
    <w:rsid w:val="00A648FB"/>
    <w:rsid w:val="00A665B8"/>
    <w:rsid w:val="00A67621"/>
    <w:rsid w:val="00A709D1"/>
    <w:rsid w:val="00A70DE0"/>
    <w:rsid w:val="00A81B56"/>
    <w:rsid w:val="00A82E49"/>
    <w:rsid w:val="00A83F70"/>
    <w:rsid w:val="00A841E3"/>
    <w:rsid w:val="00A86E53"/>
    <w:rsid w:val="00A920ED"/>
    <w:rsid w:val="00A92497"/>
    <w:rsid w:val="00A94B95"/>
    <w:rsid w:val="00A95164"/>
    <w:rsid w:val="00A96056"/>
    <w:rsid w:val="00A969C3"/>
    <w:rsid w:val="00A97447"/>
    <w:rsid w:val="00AA0C7F"/>
    <w:rsid w:val="00AA1E25"/>
    <w:rsid w:val="00AA65EF"/>
    <w:rsid w:val="00AA6837"/>
    <w:rsid w:val="00AB07FC"/>
    <w:rsid w:val="00AB0BCB"/>
    <w:rsid w:val="00AB1B7A"/>
    <w:rsid w:val="00AB234F"/>
    <w:rsid w:val="00AB490B"/>
    <w:rsid w:val="00AB50A1"/>
    <w:rsid w:val="00AB63EC"/>
    <w:rsid w:val="00AB706C"/>
    <w:rsid w:val="00AB7635"/>
    <w:rsid w:val="00AB7D40"/>
    <w:rsid w:val="00AC0195"/>
    <w:rsid w:val="00AC169A"/>
    <w:rsid w:val="00AC17BD"/>
    <w:rsid w:val="00AC627A"/>
    <w:rsid w:val="00AC7076"/>
    <w:rsid w:val="00AD0219"/>
    <w:rsid w:val="00AD0858"/>
    <w:rsid w:val="00AD159E"/>
    <w:rsid w:val="00AD25AF"/>
    <w:rsid w:val="00AD3FA3"/>
    <w:rsid w:val="00AD5B00"/>
    <w:rsid w:val="00AE0905"/>
    <w:rsid w:val="00AE2F7F"/>
    <w:rsid w:val="00AF35AE"/>
    <w:rsid w:val="00AF394B"/>
    <w:rsid w:val="00AF6C87"/>
    <w:rsid w:val="00AF7196"/>
    <w:rsid w:val="00B001EA"/>
    <w:rsid w:val="00B006E0"/>
    <w:rsid w:val="00B0365E"/>
    <w:rsid w:val="00B03D5C"/>
    <w:rsid w:val="00B11E1C"/>
    <w:rsid w:val="00B12CAE"/>
    <w:rsid w:val="00B12DA9"/>
    <w:rsid w:val="00B1771E"/>
    <w:rsid w:val="00B20979"/>
    <w:rsid w:val="00B20B9D"/>
    <w:rsid w:val="00B20CA6"/>
    <w:rsid w:val="00B2179E"/>
    <w:rsid w:val="00B21830"/>
    <w:rsid w:val="00B24130"/>
    <w:rsid w:val="00B24BED"/>
    <w:rsid w:val="00B259B3"/>
    <w:rsid w:val="00B3066F"/>
    <w:rsid w:val="00B31572"/>
    <w:rsid w:val="00B32FDE"/>
    <w:rsid w:val="00B3485C"/>
    <w:rsid w:val="00B3551C"/>
    <w:rsid w:val="00B41CC5"/>
    <w:rsid w:val="00B4456E"/>
    <w:rsid w:val="00B455A2"/>
    <w:rsid w:val="00B5121C"/>
    <w:rsid w:val="00B55DD4"/>
    <w:rsid w:val="00B562EE"/>
    <w:rsid w:val="00B601DE"/>
    <w:rsid w:val="00B60D21"/>
    <w:rsid w:val="00B61DB0"/>
    <w:rsid w:val="00B628A3"/>
    <w:rsid w:val="00B635C3"/>
    <w:rsid w:val="00B64059"/>
    <w:rsid w:val="00B64E0D"/>
    <w:rsid w:val="00B65DD7"/>
    <w:rsid w:val="00B66B82"/>
    <w:rsid w:val="00B67C8D"/>
    <w:rsid w:val="00B71A77"/>
    <w:rsid w:val="00B746DE"/>
    <w:rsid w:val="00B761D0"/>
    <w:rsid w:val="00B76B5B"/>
    <w:rsid w:val="00B76E0A"/>
    <w:rsid w:val="00B770A1"/>
    <w:rsid w:val="00B826E5"/>
    <w:rsid w:val="00B836E8"/>
    <w:rsid w:val="00B83FBC"/>
    <w:rsid w:val="00B841A4"/>
    <w:rsid w:val="00B871DD"/>
    <w:rsid w:val="00B87B57"/>
    <w:rsid w:val="00B93135"/>
    <w:rsid w:val="00B9774B"/>
    <w:rsid w:val="00BA1954"/>
    <w:rsid w:val="00BA376F"/>
    <w:rsid w:val="00BA5F64"/>
    <w:rsid w:val="00BA61A9"/>
    <w:rsid w:val="00BB0A71"/>
    <w:rsid w:val="00BB11E2"/>
    <w:rsid w:val="00BB33FD"/>
    <w:rsid w:val="00BB33FE"/>
    <w:rsid w:val="00BB5C5F"/>
    <w:rsid w:val="00BB612A"/>
    <w:rsid w:val="00BB627A"/>
    <w:rsid w:val="00BC193E"/>
    <w:rsid w:val="00BC4F1B"/>
    <w:rsid w:val="00BC6F1B"/>
    <w:rsid w:val="00BC753E"/>
    <w:rsid w:val="00BC7668"/>
    <w:rsid w:val="00BC7E29"/>
    <w:rsid w:val="00BD1D60"/>
    <w:rsid w:val="00BD1FA5"/>
    <w:rsid w:val="00BD2812"/>
    <w:rsid w:val="00BD3A3F"/>
    <w:rsid w:val="00BD6949"/>
    <w:rsid w:val="00BD7B88"/>
    <w:rsid w:val="00BE4B8D"/>
    <w:rsid w:val="00BE5EB9"/>
    <w:rsid w:val="00BE73E9"/>
    <w:rsid w:val="00BF0B2C"/>
    <w:rsid w:val="00BF0C97"/>
    <w:rsid w:val="00BF28EC"/>
    <w:rsid w:val="00BF51F6"/>
    <w:rsid w:val="00BF52C5"/>
    <w:rsid w:val="00BF682C"/>
    <w:rsid w:val="00BF7476"/>
    <w:rsid w:val="00C02D9A"/>
    <w:rsid w:val="00C06808"/>
    <w:rsid w:val="00C10DEC"/>
    <w:rsid w:val="00C10EEC"/>
    <w:rsid w:val="00C12240"/>
    <w:rsid w:val="00C138B2"/>
    <w:rsid w:val="00C13F57"/>
    <w:rsid w:val="00C17074"/>
    <w:rsid w:val="00C1758E"/>
    <w:rsid w:val="00C21672"/>
    <w:rsid w:val="00C21ACC"/>
    <w:rsid w:val="00C22755"/>
    <w:rsid w:val="00C31F14"/>
    <w:rsid w:val="00C34E9B"/>
    <w:rsid w:val="00C34FE2"/>
    <w:rsid w:val="00C36041"/>
    <w:rsid w:val="00C36B8D"/>
    <w:rsid w:val="00C402C9"/>
    <w:rsid w:val="00C406A0"/>
    <w:rsid w:val="00C41C1D"/>
    <w:rsid w:val="00C421A0"/>
    <w:rsid w:val="00C439B2"/>
    <w:rsid w:val="00C44001"/>
    <w:rsid w:val="00C4439D"/>
    <w:rsid w:val="00C45F5C"/>
    <w:rsid w:val="00C466A2"/>
    <w:rsid w:val="00C46AF0"/>
    <w:rsid w:val="00C479FE"/>
    <w:rsid w:val="00C47EB3"/>
    <w:rsid w:val="00C50B1D"/>
    <w:rsid w:val="00C53ADD"/>
    <w:rsid w:val="00C56178"/>
    <w:rsid w:val="00C562B0"/>
    <w:rsid w:val="00C56DD1"/>
    <w:rsid w:val="00C57D52"/>
    <w:rsid w:val="00C603C1"/>
    <w:rsid w:val="00C6061D"/>
    <w:rsid w:val="00C62E07"/>
    <w:rsid w:val="00C63C53"/>
    <w:rsid w:val="00C70B15"/>
    <w:rsid w:val="00C70F4F"/>
    <w:rsid w:val="00C7603F"/>
    <w:rsid w:val="00C80ECD"/>
    <w:rsid w:val="00C8206E"/>
    <w:rsid w:val="00C82962"/>
    <w:rsid w:val="00C83BA2"/>
    <w:rsid w:val="00C840F2"/>
    <w:rsid w:val="00C8538F"/>
    <w:rsid w:val="00C9122B"/>
    <w:rsid w:val="00C91C98"/>
    <w:rsid w:val="00C93D82"/>
    <w:rsid w:val="00C94904"/>
    <w:rsid w:val="00C9683B"/>
    <w:rsid w:val="00CA0EF6"/>
    <w:rsid w:val="00CA31DB"/>
    <w:rsid w:val="00CA4361"/>
    <w:rsid w:val="00CB21A0"/>
    <w:rsid w:val="00CB26B0"/>
    <w:rsid w:val="00CB2ACC"/>
    <w:rsid w:val="00CC0A81"/>
    <w:rsid w:val="00CC2EA3"/>
    <w:rsid w:val="00CC41D4"/>
    <w:rsid w:val="00CD2724"/>
    <w:rsid w:val="00CD33AB"/>
    <w:rsid w:val="00CD4A09"/>
    <w:rsid w:val="00CD5E71"/>
    <w:rsid w:val="00CD6B61"/>
    <w:rsid w:val="00CF08A4"/>
    <w:rsid w:val="00CF0C7B"/>
    <w:rsid w:val="00CF1C70"/>
    <w:rsid w:val="00CF291C"/>
    <w:rsid w:val="00CF4B54"/>
    <w:rsid w:val="00D02613"/>
    <w:rsid w:val="00D060F5"/>
    <w:rsid w:val="00D06613"/>
    <w:rsid w:val="00D114B4"/>
    <w:rsid w:val="00D119E0"/>
    <w:rsid w:val="00D1210A"/>
    <w:rsid w:val="00D12679"/>
    <w:rsid w:val="00D13574"/>
    <w:rsid w:val="00D13FCC"/>
    <w:rsid w:val="00D149B3"/>
    <w:rsid w:val="00D14E0D"/>
    <w:rsid w:val="00D15B9A"/>
    <w:rsid w:val="00D15D80"/>
    <w:rsid w:val="00D1666A"/>
    <w:rsid w:val="00D17D8C"/>
    <w:rsid w:val="00D21BE7"/>
    <w:rsid w:val="00D26793"/>
    <w:rsid w:val="00D27953"/>
    <w:rsid w:val="00D33441"/>
    <w:rsid w:val="00D334C0"/>
    <w:rsid w:val="00D36619"/>
    <w:rsid w:val="00D3707C"/>
    <w:rsid w:val="00D375DC"/>
    <w:rsid w:val="00D450F4"/>
    <w:rsid w:val="00D45431"/>
    <w:rsid w:val="00D505AC"/>
    <w:rsid w:val="00D50730"/>
    <w:rsid w:val="00D50E55"/>
    <w:rsid w:val="00D50E97"/>
    <w:rsid w:val="00D539DF"/>
    <w:rsid w:val="00D53B3B"/>
    <w:rsid w:val="00D542EE"/>
    <w:rsid w:val="00D545D3"/>
    <w:rsid w:val="00D54F3E"/>
    <w:rsid w:val="00D577AF"/>
    <w:rsid w:val="00D57932"/>
    <w:rsid w:val="00D65F39"/>
    <w:rsid w:val="00D664CF"/>
    <w:rsid w:val="00D67757"/>
    <w:rsid w:val="00D72D71"/>
    <w:rsid w:val="00D7654E"/>
    <w:rsid w:val="00D76D8D"/>
    <w:rsid w:val="00D83166"/>
    <w:rsid w:val="00D8329A"/>
    <w:rsid w:val="00D85475"/>
    <w:rsid w:val="00D86304"/>
    <w:rsid w:val="00D87DC8"/>
    <w:rsid w:val="00D9044D"/>
    <w:rsid w:val="00D90F3B"/>
    <w:rsid w:val="00D94EB2"/>
    <w:rsid w:val="00D96521"/>
    <w:rsid w:val="00DA2563"/>
    <w:rsid w:val="00DA318F"/>
    <w:rsid w:val="00DA380B"/>
    <w:rsid w:val="00DA5364"/>
    <w:rsid w:val="00DB160F"/>
    <w:rsid w:val="00DB2F65"/>
    <w:rsid w:val="00DB4270"/>
    <w:rsid w:val="00DB50E6"/>
    <w:rsid w:val="00DB5B28"/>
    <w:rsid w:val="00DB7459"/>
    <w:rsid w:val="00DC2111"/>
    <w:rsid w:val="00DC2BD1"/>
    <w:rsid w:val="00DC32BC"/>
    <w:rsid w:val="00DC3C54"/>
    <w:rsid w:val="00DC499D"/>
    <w:rsid w:val="00DC7034"/>
    <w:rsid w:val="00DC770C"/>
    <w:rsid w:val="00DD3685"/>
    <w:rsid w:val="00DD5A57"/>
    <w:rsid w:val="00DD5B1D"/>
    <w:rsid w:val="00DE664E"/>
    <w:rsid w:val="00DE6FEA"/>
    <w:rsid w:val="00DF29E0"/>
    <w:rsid w:val="00E002E1"/>
    <w:rsid w:val="00E00882"/>
    <w:rsid w:val="00E00DF4"/>
    <w:rsid w:val="00E0178C"/>
    <w:rsid w:val="00E0297A"/>
    <w:rsid w:val="00E0354C"/>
    <w:rsid w:val="00E05CD7"/>
    <w:rsid w:val="00E121FC"/>
    <w:rsid w:val="00E14149"/>
    <w:rsid w:val="00E155EB"/>
    <w:rsid w:val="00E17B8A"/>
    <w:rsid w:val="00E27F9E"/>
    <w:rsid w:val="00E311A1"/>
    <w:rsid w:val="00E34833"/>
    <w:rsid w:val="00E34FF9"/>
    <w:rsid w:val="00E3576F"/>
    <w:rsid w:val="00E36033"/>
    <w:rsid w:val="00E36E35"/>
    <w:rsid w:val="00E40272"/>
    <w:rsid w:val="00E413FB"/>
    <w:rsid w:val="00E41690"/>
    <w:rsid w:val="00E41A56"/>
    <w:rsid w:val="00E41F24"/>
    <w:rsid w:val="00E4229F"/>
    <w:rsid w:val="00E42A20"/>
    <w:rsid w:val="00E4570B"/>
    <w:rsid w:val="00E45AB6"/>
    <w:rsid w:val="00E50150"/>
    <w:rsid w:val="00E501D3"/>
    <w:rsid w:val="00E53766"/>
    <w:rsid w:val="00E53FDA"/>
    <w:rsid w:val="00E56EAE"/>
    <w:rsid w:val="00E62EE1"/>
    <w:rsid w:val="00E656AA"/>
    <w:rsid w:val="00E6785B"/>
    <w:rsid w:val="00E67BB4"/>
    <w:rsid w:val="00E702E4"/>
    <w:rsid w:val="00E705A5"/>
    <w:rsid w:val="00E71356"/>
    <w:rsid w:val="00E713BE"/>
    <w:rsid w:val="00E715AA"/>
    <w:rsid w:val="00E718FA"/>
    <w:rsid w:val="00E73C64"/>
    <w:rsid w:val="00E761CC"/>
    <w:rsid w:val="00E76A25"/>
    <w:rsid w:val="00E82AFE"/>
    <w:rsid w:val="00E8351B"/>
    <w:rsid w:val="00E8434D"/>
    <w:rsid w:val="00E847F7"/>
    <w:rsid w:val="00E84BDF"/>
    <w:rsid w:val="00E86E6A"/>
    <w:rsid w:val="00E87230"/>
    <w:rsid w:val="00E872AD"/>
    <w:rsid w:val="00E87666"/>
    <w:rsid w:val="00E9078D"/>
    <w:rsid w:val="00E90F88"/>
    <w:rsid w:val="00E912E2"/>
    <w:rsid w:val="00E92B97"/>
    <w:rsid w:val="00E92E6C"/>
    <w:rsid w:val="00E94407"/>
    <w:rsid w:val="00E964E5"/>
    <w:rsid w:val="00E96D5C"/>
    <w:rsid w:val="00EA076E"/>
    <w:rsid w:val="00EA75E3"/>
    <w:rsid w:val="00EB19B3"/>
    <w:rsid w:val="00EB312C"/>
    <w:rsid w:val="00EC012F"/>
    <w:rsid w:val="00EC22AB"/>
    <w:rsid w:val="00EC767D"/>
    <w:rsid w:val="00ED1CD5"/>
    <w:rsid w:val="00ED4D77"/>
    <w:rsid w:val="00ED7DB6"/>
    <w:rsid w:val="00EE1040"/>
    <w:rsid w:val="00EE2F7B"/>
    <w:rsid w:val="00EE35B9"/>
    <w:rsid w:val="00EE4888"/>
    <w:rsid w:val="00EE7991"/>
    <w:rsid w:val="00EF0DD2"/>
    <w:rsid w:val="00EF3196"/>
    <w:rsid w:val="00EF3352"/>
    <w:rsid w:val="00EF4BD4"/>
    <w:rsid w:val="00EF6989"/>
    <w:rsid w:val="00F00A1D"/>
    <w:rsid w:val="00F00D73"/>
    <w:rsid w:val="00F011EE"/>
    <w:rsid w:val="00F01EC3"/>
    <w:rsid w:val="00F029A4"/>
    <w:rsid w:val="00F0325A"/>
    <w:rsid w:val="00F04C40"/>
    <w:rsid w:val="00F077F5"/>
    <w:rsid w:val="00F078E8"/>
    <w:rsid w:val="00F101CF"/>
    <w:rsid w:val="00F10359"/>
    <w:rsid w:val="00F11AEB"/>
    <w:rsid w:val="00F141A0"/>
    <w:rsid w:val="00F1438C"/>
    <w:rsid w:val="00F21F0C"/>
    <w:rsid w:val="00F22CC8"/>
    <w:rsid w:val="00F2452B"/>
    <w:rsid w:val="00F26479"/>
    <w:rsid w:val="00F27F0C"/>
    <w:rsid w:val="00F31749"/>
    <w:rsid w:val="00F3403B"/>
    <w:rsid w:val="00F360D6"/>
    <w:rsid w:val="00F37DC2"/>
    <w:rsid w:val="00F41097"/>
    <w:rsid w:val="00F4197F"/>
    <w:rsid w:val="00F42929"/>
    <w:rsid w:val="00F42B8A"/>
    <w:rsid w:val="00F44D8C"/>
    <w:rsid w:val="00F45130"/>
    <w:rsid w:val="00F47920"/>
    <w:rsid w:val="00F518BA"/>
    <w:rsid w:val="00F52661"/>
    <w:rsid w:val="00F5283D"/>
    <w:rsid w:val="00F52D03"/>
    <w:rsid w:val="00F536DA"/>
    <w:rsid w:val="00F555A6"/>
    <w:rsid w:val="00F57796"/>
    <w:rsid w:val="00F61283"/>
    <w:rsid w:val="00F63A6B"/>
    <w:rsid w:val="00F65CFD"/>
    <w:rsid w:val="00F6738F"/>
    <w:rsid w:val="00F72E4D"/>
    <w:rsid w:val="00F73D80"/>
    <w:rsid w:val="00F7596E"/>
    <w:rsid w:val="00F81D99"/>
    <w:rsid w:val="00F83541"/>
    <w:rsid w:val="00F85A84"/>
    <w:rsid w:val="00F94DA0"/>
    <w:rsid w:val="00F95020"/>
    <w:rsid w:val="00F95580"/>
    <w:rsid w:val="00FA6BE0"/>
    <w:rsid w:val="00FA72A6"/>
    <w:rsid w:val="00FB1EB5"/>
    <w:rsid w:val="00FB2B09"/>
    <w:rsid w:val="00FB3DE9"/>
    <w:rsid w:val="00FB5939"/>
    <w:rsid w:val="00FB5C0D"/>
    <w:rsid w:val="00FB5EA4"/>
    <w:rsid w:val="00FC3E48"/>
    <w:rsid w:val="00FC44AA"/>
    <w:rsid w:val="00FC6F7D"/>
    <w:rsid w:val="00FD026D"/>
    <w:rsid w:val="00FD0E95"/>
    <w:rsid w:val="00FD28D5"/>
    <w:rsid w:val="00FD2BC5"/>
    <w:rsid w:val="00FD3D53"/>
    <w:rsid w:val="00FD722D"/>
    <w:rsid w:val="00FE0791"/>
    <w:rsid w:val="00FE2F34"/>
    <w:rsid w:val="00FE3038"/>
    <w:rsid w:val="00FE3D42"/>
    <w:rsid w:val="00FE5094"/>
    <w:rsid w:val="00FF2520"/>
    <w:rsid w:val="00FF2E08"/>
    <w:rsid w:val="00FF4215"/>
    <w:rsid w:val="00FF4B81"/>
    <w:rsid w:val="00FF4C85"/>
    <w:rsid w:val="00FF63F7"/>
    <w:rsid w:val="00FF7BA0"/>
    <w:rsid w:val="01190B56"/>
    <w:rsid w:val="01405180"/>
    <w:rsid w:val="014529B7"/>
    <w:rsid w:val="0149727D"/>
    <w:rsid w:val="01582DED"/>
    <w:rsid w:val="016519C1"/>
    <w:rsid w:val="019239B4"/>
    <w:rsid w:val="0196601E"/>
    <w:rsid w:val="01BD7A4F"/>
    <w:rsid w:val="01C401C9"/>
    <w:rsid w:val="01DD30DE"/>
    <w:rsid w:val="025A1BED"/>
    <w:rsid w:val="02B0310F"/>
    <w:rsid w:val="02D23086"/>
    <w:rsid w:val="02DA63DE"/>
    <w:rsid w:val="02F94BC3"/>
    <w:rsid w:val="02FD6D4D"/>
    <w:rsid w:val="03EC32E0"/>
    <w:rsid w:val="03FB03BA"/>
    <w:rsid w:val="03FD4132"/>
    <w:rsid w:val="049E6084"/>
    <w:rsid w:val="04A3407A"/>
    <w:rsid w:val="04A8452D"/>
    <w:rsid w:val="05602A5A"/>
    <w:rsid w:val="056326BB"/>
    <w:rsid w:val="057C19CF"/>
    <w:rsid w:val="05A218FD"/>
    <w:rsid w:val="05BA5435"/>
    <w:rsid w:val="063F4718"/>
    <w:rsid w:val="06A4021B"/>
    <w:rsid w:val="06C00186"/>
    <w:rsid w:val="06CB3F2E"/>
    <w:rsid w:val="070B4DB8"/>
    <w:rsid w:val="071652BC"/>
    <w:rsid w:val="071719AF"/>
    <w:rsid w:val="071A149F"/>
    <w:rsid w:val="07702E6D"/>
    <w:rsid w:val="07862691"/>
    <w:rsid w:val="07CA3595"/>
    <w:rsid w:val="07CC05D8"/>
    <w:rsid w:val="07D93108"/>
    <w:rsid w:val="07DA3E06"/>
    <w:rsid w:val="080F6B2A"/>
    <w:rsid w:val="082D6FB0"/>
    <w:rsid w:val="083321D8"/>
    <w:rsid w:val="084D31AF"/>
    <w:rsid w:val="085B3B1D"/>
    <w:rsid w:val="086329D2"/>
    <w:rsid w:val="0889118A"/>
    <w:rsid w:val="08A50077"/>
    <w:rsid w:val="08E04D0E"/>
    <w:rsid w:val="09197B3E"/>
    <w:rsid w:val="091A2D4C"/>
    <w:rsid w:val="0935436E"/>
    <w:rsid w:val="094B394B"/>
    <w:rsid w:val="09510A7C"/>
    <w:rsid w:val="09662A3F"/>
    <w:rsid w:val="09802D58"/>
    <w:rsid w:val="09870B6B"/>
    <w:rsid w:val="09A45050"/>
    <w:rsid w:val="09D771D4"/>
    <w:rsid w:val="0A454A85"/>
    <w:rsid w:val="0AF138C8"/>
    <w:rsid w:val="0B1F5A66"/>
    <w:rsid w:val="0B326FF4"/>
    <w:rsid w:val="0B3A5CA3"/>
    <w:rsid w:val="0B531F9E"/>
    <w:rsid w:val="0B5E5DFE"/>
    <w:rsid w:val="0C347213"/>
    <w:rsid w:val="0C870441"/>
    <w:rsid w:val="0CAD06C0"/>
    <w:rsid w:val="0CB8153E"/>
    <w:rsid w:val="0CF3376D"/>
    <w:rsid w:val="0D2332ED"/>
    <w:rsid w:val="0D415C54"/>
    <w:rsid w:val="0D5C45C0"/>
    <w:rsid w:val="0DD028B8"/>
    <w:rsid w:val="0DDA3736"/>
    <w:rsid w:val="0DEA1BCB"/>
    <w:rsid w:val="0E347BBB"/>
    <w:rsid w:val="0E9272B5"/>
    <w:rsid w:val="0F4E7C06"/>
    <w:rsid w:val="0F5576A6"/>
    <w:rsid w:val="0F73174D"/>
    <w:rsid w:val="0F75161B"/>
    <w:rsid w:val="0FD348E1"/>
    <w:rsid w:val="0FE9445C"/>
    <w:rsid w:val="0FF7412C"/>
    <w:rsid w:val="103E5A93"/>
    <w:rsid w:val="10923E54"/>
    <w:rsid w:val="10E87F18"/>
    <w:rsid w:val="111927C8"/>
    <w:rsid w:val="11204879"/>
    <w:rsid w:val="115F06C9"/>
    <w:rsid w:val="11C023CD"/>
    <w:rsid w:val="11C8783A"/>
    <w:rsid w:val="11F70C71"/>
    <w:rsid w:val="1202500A"/>
    <w:rsid w:val="12086AC4"/>
    <w:rsid w:val="121F3E0E"/>
    <w:rsid w:val="128F3808"/>
    <w:rsid w:val="1299596E"/>
    <w:rsid w:val="12BE5A78"/>
    <w:rsid w:val="12DA1AE3"/>
    <w:rsid w:val="12FE7EC7"/>
    <w:rsid w:val="131462C7"/>
    <w:rsid w:val="131E78EB"/>
    <w:rsid w:val="13955291"/>
    <w:rsid w:val="139B3968"/>
    <w:rsid w:val="13BD568C"/>
    <w:rsid w:val="13CB575A"/>
    <w:rsid w:val="13EF712B"/>
    <w:rsid w:val="13FB724D"/>
    <w:rsid w:val="1461239E"/>
    <w:rsid w:val="14642A47"/>
    <w:rsid w:val="14A423A8"/>
    <w:rsid w:val="14AB3CAB"/>
    <w:rsid w:val="14E47444"/>
    <w:rsid w:val="151948F4"/>
    <w:rsid w:val="158E37F0"/>
    <w:rsid w:val="15A07014"/>
    <w:rsid w:val="15FD6214"/>
    <w:rsid w:val="1607785B"/>
    <w:rsid w:val="160A7825"/>
    <w:rsid w:val="16353154"/>
    <w:rsid w:val="16610551"/>
    <w:rsid w:val="168510F5"/>
    <w:rsid w:val="16D72F09"/>
    <w:rsid w:val="170B670F"/>
    <w:rsid w:val="172D148A"/>
    <w:rsid w:val="178D2ADC"/>
    <w:rsid w:val="18047D2E"/>
    <w:rsid w:val="18510A99"/>
    <w:rsid w:val="185537EF"/>
    <w:rsid w:val="188E357D"/>
    <w:rsid w:val="18C372FC"/>
    <w:rsid w:val="18CB25F9"/>
    <w:rsid w:val="19043F59"/>
    <w:rsid w:val="19153875"/>
    <w:rsid w:val="19351120"/>
    <w:rsid w:val="19534003"/>
    <w:rsid w:val="19766A09"/>
    <w:rsid w:val="19A05834"/>
    <w:rsid w:val="19B001BC"/>
    <w:rsid w:val="1A891F2F"/>
    <w:rsid w:val="1A951111"/>
    <w:rsid w:val="1AC75042"/>
    <w:rsid w:val="1AF91FA2"/>
    <w:rsid w:val="1B140288"/>
    <w:rsid w:val="1B574618"/>
    <w:rsid w:val="1B8F0552"/>
    <w:rsid w:val="1B9A62B3"/>
    <w:rsid w:val="1BBB37C2"/>
    <w:rsid w:val="1BD10986"/>
    <w:rsid w:val="1BD664C1"/>
    <w:rsid w:val="1BF72D21"/>
    <w:rsid w:val="1C2D3D71"/>
    <w:rsid w:val="1C312E45"/>
    <w:rsid w:val="1C381D54"/>
    <w:rsid w:val="1C5D17BA"/>
    <w:rsid w:val="1CD47504"/>
    <w:rsid w:val="1D174F3D"/>
    <w:rsid w:val="1D2027D7"/>
    <w:rsid w:val="1D774AFE"/>
    <w:rsid w:val="1D860599"/>
    <w:rsid w:val="1DAA1C58"/>
    <w:rsid w:val="1E2A7DC2"/>
    <w:rsid w:val="1E62130A"/>
    <w:rsid w:val="1E641526"/>
    <w:rsid w:val="1E65704C"/>
    <w:rsid w:val="1E9B2A6E"/>
    <w:rsid w:val="1EBF357F"/>
    <w:rsid w:val="1EE00179"/>
    <w:rsid w:val="1EFF124F"/>
    <w:rsid w:val="1F0813F5"/>
    <w:rsid w:val="1F0C54A8"/>
    <w:rsid w:val="1F2C36C6"/>
    <w:rsid w:val="1F601FA9"/>
    <w:rsid w:val="1FC61D6D"/>
    <w:rsid w:val="1FDC0849"/>
    <w:rsid w:val="1FE12702"/>
    <w:rsid w:val="200308CB"/>
    <w:rsid w:val="20646A1B"/>
    <w:rsid w:val="20DB35F6"/>
    <w:rsid w:val="20EA10BE"/>
    <w:rsid w:val="21140BF4"/>
    <w:rsid w:val="211704C9"/>
    <w:rsid w:val="21690C01"/>
    <w:rsid w:val="21A36FDB"/>
    <w:rsid w:val="21E9221E"/>
    <w:rsid w:val="22993768"/>
    <w:rsid w:val="22C858FF"/>
    <w:rsid w:val="22DC7E78"/>
    <w:rsid w:val="22EB346A"/>
    <w:rsid w:val="231D6147"/>
    <w:rsid w:val="238F6834"/>
    <w:rsid w:val="23D270B7"/>
    <w:rsid w:val="23FC43CB"/>
    <w:rsid w:val="23FF3832"/>
    <w:rsid w:val="24117358"/>
    <w:rsid w:val="245C67FB"/>
    <w:rsid w:val="24612064"/>
    <w:rsid w:val="24833D88"/>
    <w:rsid w:val="249C4E4A"/>
    <w:rsid w:val="252E6649"/>
    <w:rsid w:val="2573095D"/>
    <w:rsid w:val="25847A9B"/>
    <w:rsid w:val="25873D4C"/>
    <w:rsid w:val="25D052BA"/>
    <w:rsid w:val="25F34F3E"/>
    <w:rsid w:val="2608575D"/>
    <w:rsid w:val="26323CB8"/>
    <w:rsid w:val="264D464E"/>
    <w:rsid w:val="268A58A2"/>
    <w:rsid w:val="26F7280B"/>
    <w:rsid w:val="271B474C"/>
    <w:rsid w:val="272B1672"/>
    <w:rsid w:val="27485CF8"/>
    <w:rsid w:val="27535154"/>
    <w:rsid w:val="27541D8F"/>
    <w:rsid w:val="275639D6"/>
    <w:rsid w:val="275D6B12"/>
    <w:rsid w:val="27822A1D"/>
    <w:rsid w:val="27C065A2"/>
    <w:rsid w:val="27C61867"/>
    <w:rsid w:val="28092E82"/>
    <w:rsid w:val="283C7070"/>
    <w:rsid w:val="284B1663"/>
    <w:rsid w:val="284E7B40"/>
    <w:rsid w:val="285831A2"/>
    <w:rsid w:val="287D5314"/>
    <w:rsid w:val="28AB0135"/>
    <w:rsid w:val="28C32245"/>
    <w:rsid w:val="28D771B3"/>
    <w:rsid w:val="28E15521"/>
    <w:rsid w:val="28F22610"/>
    <w:rsid w:val="292673D8"/>
    <w:rsid w:val="294A6240"/>
    <w:rsid w:val="294D1B32"/>
    <w:rsid w:val="297B7831"/>
    <w:rsid w:val="29AE0F00"/>
    <w:rsid w:val="29B3480B"/>
    <w:rsid w:val="29C15A7E"/>
    <w:rsid w:val="2A6B7798"/>
    <w:rsid w:val="2AD4533E"/>
    <w:rsid w:val="2ADF3CE2"/>
    <w:rsid w:val="2AE96ED2"/>
    <w:rsid w:val="2B006133"/>
    <w:rsid w:val="2B183E1B"/>
    <w:rsid w:val="2B19215E"/>
    <w:rsid w:val="2BCC11A7"/>
    <w:rsid w:val="2BDB76C2"/>
    <w:rsid w:val="2BE27F2E"/>
    <w:rsid w:val="2BE87AAD"/>
    <w:rsid w:val="2C37360C"/>
    <w:rsid w:val="2C424529"/>
    <w:rsid w:val="2C5A3DB0"/>
    <w:rsid w:val="2D5B1AF1"/>
    <w:rsid w:val="2D7121BC"/>
    <w:rsid w:val="2D8F7C42"/>
    <w:rsid w:val="2DB61DC2"/>
    <w:rsid w:val="2E542FDB"/>
    <w:rsid w:val="2E61479F"/>
    <w:rsid w:val="2E935510"/>
    <w:rsid w:val="2E9A5E5D"/>
    <w:rsid w:val="2EC21111"/>
    <w:rsid w:val="2ED964C1"/>
    <w:rsid w:val="2F0C2E65"/>
    <w:rsid w:val="2F113395"/>
    <w:rsid w:val="2F3F2FA2"/>
    <w:rsid w:val="2FBD207A"/>
    <w:rsid w:val="2FC46C7B"/>
    <w:rsid w:val="2FE8309F"/>
    <w:rsid w:val="2FF975F4"/>
    <w:rsid w:val="30226E93"/>
    <w:rsid w:val="302A1EA4"/>
    <w:rsid w:val="30847806"/>
    <w:rsid w:val="310D6104"/>
    <w:rsid w:val="31181CFC"/>
    <w:rsid w:val="312C42D2"/>
    <w:rsid w:val="317C73E5"/>
    <w:rsid w:val="319770C5"/>
    <w:rsid w:val="325A31AA"/>
    <w:rsid w:val="32650FD7"/>
    <w:rsid w:val="32916000"/>
    <w:rsid w:val="32957AA8"/>
    <w:rsid w:val="33163A81"/>
    <w:rsid w:val="332561EC"/>
    <w:rsid w:val="33646336"/>
    <w:rsid w:val="339C09C3"/>
    <w:rsid w:val="33AB50A9"/>
    <w:rsid w:val="33DC5BDE"/>
    <w:rsid w:val="3446557F"/>
    <w:rsid w:val="34567FB6"/>
    <w:rsid w:val="347161FA"/>
    <w:rsid w:val="34A30383"/>
    <w:rsid w:val="34C1517C"/>
    <w:rsid w:val="351E0F07"/>
    <w:rsid w:val="352275ED"/>
    <w:rsid w:val="3589141A"/>
    <w:rsid w:val="3599165E"/>
    <w:rsid w:val="35A85D44"/>
    <w:rsid w:val="35D97CAC"/>
    <w:rsid w:val="35E46651"/>
    <w:rsid w:val="35FF348B"/>
    <w:rsid w:val="36063CE6"/>
    <w:rsid w:val="361C5DEB"/>
    <w:rsid w:val="3647031A"/>
    <w:rsid w:val="368528CA"/>
    <w:rsid w:val="36D668E1"/>
    <w:rsid w:val="37984548"/>
    <w:rsid w:val="37C06287"/>
    <w:rsid w:val="37E61FE4"/>
    <w:rsid w:val="380D6333"/>
    <w:rsid w:val="384004B6"/>
    <w:rsid w:val="38400B30"/>
    <w:rsid w:val="386901D1"/>
    <w:rsid w:val="38DB2C38"/>
    <w:rsid w:val="3914724D"/>
    <w:rsid w:val="39206C68"/>
    <w:rsid w:val="394A04AD"/>
    <w:rsid w:val="394B3C70"/>
    <w:rsid w:val="395104A1"/>
    <w:rsid w:val="39E460AF"/>
    <w:rsid w:val="3A085004"/>
    <w:rsid w:val="3A117ED7"/>
    <w:rsid w:val="3A1A1FE4"/>
    <w:rsid w:val="3A4A585F"/>
    <w:rsid w:val="3A4D6F07"/>
    <w:rsid w:val="3A5A5133"/>
    <w:rsid w:val="3A685AA2"/>
    <w:rsid w:val="3A7408FF"/>
    <w:rsid w:val="3A773948"/>
    <w:rsid w:val="3A7E0A06"/>
    <w:rsid w:val="3A942F44"/>
    <w:rsid w:val="3A972710"/>
    <w:rsid w:val="3ACA4067"/>
    <w:rsid w:val="3B3E6803"/>
    <w:rsid w:val="3B806E1C"/>
    <w:rsid w:val="3B945A17"/>
    <w:rsid w:val="3BB80364"/>
    <w:rsid w:val="3BC71277"/>
    <w:rsid w:val="3BC95E9A"/>
    <w:rsid w:val="3C2515D5"/>
    <w:rsid w:val="3CDE6407"/>
    <w:rsid w:val="3CEA49A0"/>
    <w:rsid w:val="3CFB0E50"/>
    <w:rsid w:val="3D136199"/>
    <w:rsid w:val="3D2F6747"/>
    <w:rsid w:val="3D410A49"/>
    <w:rsid w:val="3DF82424"/>
    <w:rsid w:val="3E607FF6"/>
    <w:rsid w:val="3E864749"/>
    <w:rsid w:val="3E9064A4"/>
    <w:rsid w:val="3E9A01F4"/>
    <w:rsid w:val="3EA34825"/>
    <w:rsid w:val="3F0044FB"/>
    <w:rsid w:val="3F22673D"/>
    <w:rsid w:val="3F32042D"/>
    <w:rsid w:val="3F543E53"/>
    <w:rsid w:val="3F7200D4"/>
    <w:rsid w:val="3F984734"/>
    <w:rsid w:val="3FAE422A"/>
    <w:rsid w:val="3FDA7ED4"/>
    <w:rsid w:val="3FDE2F88"/>
    <w:rsid w:val="40224945"/>
    <w:rsid w:val="40742202"/>
    <w:rsid w:val="409C0254"/>
    <w:rsid w:val="40BE01CA"/>
    <w:rsid w:val="40D854C8"/>
    <w:rsid w:val="410708DA"/>
    <w:rsid w:val="410B008F"/>
    <w:rsid w:val="416845DA"/>
    <w:rsid w:val="418331C2"/>
    <w:rsid w:val="42273EA0"/>
    <w:rsid w:val="423F17DF"/>
    <w:rsid w:val="42402E61"/>
    <w:rsid w:val="4276314B"/>
    <w:rsid w:val="42876CE2"/>
    <w:rsid w:val="42F70A75"/>
    <w:rsid w:val="432D5ADB"/>
    <w:rsid w:val="43BC79A0"/>
    <w:rsid w:val="44093E52"/>
    <w:rsid w:val="44123658"/>
    <w:rsid w:val="441B2477"/>
    <w:rsid w:val="44617F98"/>
    <w:rsid w:val="448E4357"/>
    <w:rsid w:val="44A572F1"/>
    <w:rsid w:val="44CC6850"/>
    <w:rsid w:val="44D90D2D"/>
    <w:rsid w:val="44EE4DF6"/>
    <w:rsid w:val="453A7E81"/>
    <w:rsid w:val="454A1600"/>
    <w:rsid w:val="45895E80"/>
    <w:rsid w:val="459F6E66"/>
    <w:rsid w:val="45EC1A9C"/>
    <w:rsid w:val="46136CAF"/>
    <w:rsid w:val="46152F37"/>
    <w:rsid w:val="465377FB"/>
    <w:rsid w:val="4656787E"/>
    <w:rsid w:val="46DF533E"/>
    <w:rsid w:val="472C1B0E"/>
    <w:rsid w:val="4740699E"/>
    <w:rsid w:val="476538B5"/>
    <w:rsid w:val="47752ACA"/>
    <w:rsid w:val="480F1C53"/>
    <w:rsid w:val="480F46F9"/>
    <w:rsid w:val="489108BA"/>
    <w:rsid w:val="48F52BF7"/>
    <w:rsid w:val="490364C8"/>
    <w:rsid w:val="490E3CB9"/>
    <w:rsid w:val="495851E9"/>
    <w:rsid w:val="496747FE"/>
    <w:rsid w:val="4972249A"/>
    <w:rsid w:val="498613E3"/>
    <w:rsid w:val="498F50D9"/>
    <w:rsid w:val="49A07007"/>
    <w:rsid w:val="49C32CF5"/>
    <w:rsid w:val="49D00F6E"/>
    <w:rsid w:val="49EA3D54"/>
    <w:rsid w:val="49EB7B56"/>
    <w:rsid w:val="49FF361D"/>
    <w:rsid w:val="4A3228A6"/>
    <w:rsid w:val="4A3B24EE"/>
    <w:rsid w:val="4A3B6699"/>
    <w:rsid w:val="4A7638C4"/>
    <w:rsid w:val="4A7E7BF1"/>
    <w:rsid w:val="4A83508C"/>
    <w:rsid w:val="4A835FE1"/>
    <w:rsid w:val="4B1D01E3"/>
    <w:rsid w:val="4B1F3C01"/>
    <w:rsid w:val="4B4C405F"/>
    <w:rsid w:val="4B553E21"/>
    <w:rsid w:val="4B5C6F5D"/>
    <w:rsid w:val="4B5F25AA"/>
    <w:rsid w:val="4BE84ADE"/>
    <w:rsid w:val="4BEA35E2"/>
    <w:rsid w:val="4C2D26A8"/>
    <w:rsid w:val="4C9B1D07"/>
    <w:rsid w:val="4C9E46AD"/>
    <w:rsid w:val="4CAD0F58"/>
    <w:rsid w:val="4CEC3221"/>
    <w:rsid w:val="4D245859"/>
    <w:rsid w:val="4D2A2E2A"/>
    <w:rsid w:val="4D5221B8"/>
    <w:rsid w:val="4D680CF3"/>
    <w:rsid w:val="4DE8774A"/>
    <w:rsid w:val="4DF354E4"/>
    <w:rsid w:val="4E121B55"/>
    <w:rsid w:val="4E6F2738"/>
    <w:rsid w:val="4E822DD2"/>
    <w:rsid w:val="4EEF633A"/>
    <w:rsid w:val="4EF574D2"/>
    <w:rsid w:val="4F02606E"/>
    <w:rsid w:val="4F22401A"/>
    <w:rsid w:val="4F3D0E54"/>
    <w:rsid w:val="4F561F16"/>
    <w:rsid w:val="4F806F93"/>
    <w:rsid w:val="4F9D7B44"/>
    <w:rsid w:val="4FA17635"/>
    <w:rsid w:val="4FC43323"/>
    <w:rsid w:val="4FD712A8"/>
    <w:rsid w:val="4FDE2637"/>
    <w:rsid w:val="50615016"/>
    <w:rsid w:val="50783615"/>
    <w:rsid w:val="50A22688"/>
    <w:rsid w:val="50C03AEB"/>
    <w:rsid w:val="510A745C"/>
    <w:rsid w:val="51431169"/>
    <w:rsid w:val="51482C7D"/>
    <w:rsid w:val="515B7031"/>
    <w:rsid w:val="515E78B9"/>
    <w:rsid w:val="51965D71"/>
    <w:rsid w:val="524A3FB4"/>
    <w:rsid w:val="52804A52"/>
    <w:rsid w:val="52B256B5"/>
    <w:rsid w:val="52F263F9"/>
    <w:rsid w:val="531E4716"/>
    <w:rsid w:val="532F4F57"/>
    <w:rsid w:val="53310342"/>
    <w:rsid w:val="53A72D40"/>
    <w:rsid w:val="53B34B12"/>
    <w:rsid w:val="53B355D7"/>
    <w:rsid w:val="53C806C1"/>
    <w:rsid w:val="53F33750"/>
    <w:rsid w:val="541E31C1"/>
    <w:rsid w:val="543C3DD0"/>
    <w:rsid w:val="546368B9"/>
    <w:rsid w:val="54705828"/>
    <w:rsid w:val="54BE5272"/>
    <w:rsid w:val="55580922"/>
    <w:rsid w:val="55621614"/>
    <w:rsid w:val="55774994"/>
    <w:rsid w:val="55DF01EE"/>
    <w:rsid w:val="55E60D40"/>
    <w:rsid w:val="561C4D71"/>
    <w:rsid w:val="565C6063"/>
    <w:rsid w:val="567B189B"/>
    <w:rsid w:val="56BC4D54"/>
    <w:rsid w:val="56F820D5"/>
    <w:rsid w:val="57633CE5"/>
    <w:rsid w:val="577A4DC8"/>
    <w:rsid w:val="57960AF2"/>
    <w:rsid w:val="57C83332"/>
    <w:rsid w:val="58311772"/>
    <w:rsid w:val="589E0EC5"/>
    <w:rsid w:val="58C46142"/>
    <w:rsid w:val="58D26AB1"/>
    <w:rsid w:val="58E107A1"/>
    <w:rsid w:val="58E16CF4"/>
    <w:rsid w:val="59145045"/>
    <w:rsid w:val="591D7F46"/>
    <w:rsid w:val="591F10D5"/>
    <w:rsid w:val="5A364E1D"/>
    <w:rsid w:val="5A443ABB"/>
    <w:rsid w:val="5A957D96"/>
    <w:rsid w:val="5AA77AC9"/>
    <w:rsid w:val="5ABE498D"/>
    <w:rsid w:val="5AD76600"/>
    <w:rsid w:val="5AE34FA5"/>
    <w:rsid w:val="5B5A431C"/>
    <w:rsid w:val="5BA30291"/>
    <w:rsid w:val="5BCA7F13"/>
    <w:rsid w:val="5C001B87"/>
    <w:rsid w:val="5C1A4C32"/>
    <w:rsid w:val="5C443A51"/>
    <w:rsid w:val="5CAB7ACF"/>
    <w:rsid w:val="5CAC586B"/>
    <w:rsid w:val="5CB519F1"/>
    <w:rsid w:val="5CDD5E0B"/>
    <w:rsid w:val="5D2C38E4"/>
    <w:rsid w:val="5D2D2508"/>
    <w:rsid w:val="5D700646"/>
    <w:rsid w:val="5D8B5B79"/>
    <w:rsid w:val="5DCE1157"/>
    <w:rsid w:val="5DDA5894"/>
    <w:rsid w:val="5DE30E18"/>
    <w:rsid w:val="5DF448C0"/>
    <w:rsid w:val="5DFB2D6D"/>
    <w:rsid w:val="5E0B52B6"/>
    <w:rsid w:val="5E4B6174"/>
    <w:rsid w:val="5E4F72F6"/>
    <w:rsid w:val="5E540585"/>
    <w:rsid w:val="5E8262EE"/>
    <w:rsid w:val="5EB0571E"/>
    <w:rsid w:val="5EEB4428"/>
    <w:rsid w:val="5F0279C4"/>
    <w:rsid w:val="5F57386C"/>
    <w:rsid w:val="5F5B2084"/>
    <w:rsid w:val="5F5B4A5D"/>
    <w:rsid w:val="5F9745B0"/>
    <w:rsid w:val="5FB355F1"/>
    <w:rsid w:val="5FC86518"/>
    <w:rsid w:val="5FD255E8"/>
    <w:rsid w:val="5FFD1245"/>
    <w:rsid w:val="602D0A71"/>
    <w:rsid w:val="603277EB"/>
    <w:rsid w:val="60777D0A"/>
    <w:rsid w:val="6098238E"/>
    <w:rsid w:val="609950BF"/>
    <w:rsid w:val="60D47DFC"/>
    <w:rsid w:val="60D659FD"/>
    <w:rsid w:val="60FF7CC5"/>
    <w:rsid w:val="61110E6E"/>
    <w:rsid w:val="61835CB6"/>
    <w:rsid w:val="61845D8D"/>
    <w:rsid w:val="61F611D0"/>
    <w:rsid w:val="61FE0917"/>
    <w:rsid w:val="6223037D"/>
    <w:rsid w:val="62287777"/>
    <w:rsid w:val="62886432"/>
    <w:rsid w:val="628F56D7"/>
    <w:rsid w:val="62A53835"/>
    <w:rsid w:val="62E4606E"/>
    <w:rsid w:val="62EC4C13"/>
    <w:rsid w:val="63332842"/>
    <w:rsid w:val="633E116D"/>
    <w:rsid w:val="63586D06"/>
    <w:rsid w:val="63A97172"/>
    <w:rsid w:val="64383AD1"/>
    <w:rsid w:val="64502F80"/>
    <w:rsid w:val="64590086"/>
    <w:rsid w:val="65735178"/>
    <w:rsid w:val="6577044D"/>
    <w:rsid w:val="658C7FE7"/>
    <w:rsid w:val="659155FE"/>
    <w:rsid w:val="65CD26B4"/>
    <w:rsid w:val="65CE6852"/>
    <w:rsid w:val="65DC4ACB"/>
    <w:rsid w:val="660648E1"/>
    <w:rsid w:val="66154481"/>
    <w:rsid w:val="661A0A16"/>
    <w:rsid w:val="6666562C"/>
    <w:rsid w:val="666F1DE3"/>
    <w:rsid w:val="66794A10"/>
    <w:rsid w:val="66B9305E"/>
    <w:rsid w:val="66F83B86"/>
    <w:rsid w:val="66FD14C3"/>
    <w:rsid w:val="6700465F"/>
    <w:rsid w:val="67236BC5"/>
    <w:rsid w:val="676A6F7B"/>
    <w:rsid w:val="67753429"/>
    <w:rsid w:val="677D30E0"/>
    <w:rsid w:val="678609C8"/>
    <w:rsid w:val="67AF7FBD"/>
    <w:rsid w:val="67BF28F6"/>
    <w:rsid w:val="67F945DA"/>
    <w:rsid w:val="68012F0F"/>
    <w:rsid w:val="68555008"/>
    <w:rsid w:val="686200DD"/>
    <w:rsid w:val="688745D6"/>
    <w:rsid w:val="688D02FE"/>
    <w:rsid w:val="688F22C8"/>
    <w:rsid w:val="68A80966"/>
    <w:rsid w:val="68BC442A"/>
    <w:rsid w:val="68EB20F0"/>
    <w:rsid w:val="68ED3493"/>
    <w:rsid w:val="68F95994"/>
    <w:rsid w:val="6917406C"/>
    <w:rsid w:val="692D01E2"/>
    <w:rsid w:val="694420CC"/>
    <w:rsid w:val="69601EB7"/>
    <w:rsid w:val="69661355"/>
    <w:rsid w:val="696E1C4C"/>
    <w:rsid w:val="698D1F4D"/>
    <w:rsid w:val="69D306AC"/>
    <w:rsid w:val="69D84255"/>
    <w:rsid w:val="6A0A597F"/>
    <w:rsid w:val="6A31115D"/>
    <w:rsid w:val="6A7F7B72"/>
    <w:rsid w:val="6A8E035E"/>
    <w:rsid w:val="6AC0668D"/>
    <w:rsid w:val="6AD27C23"/>
    <w:rsid w:val="6ADF6E0B"/>
    <w:rsid w:val="6AFA27E1"/>
    <w:rsid w:val="6B067791"/>
    <w:rsid w:val="6B0D5850"/>
    <w:rsid w:val="6B7B77ED"/>
    <w:rsid w:val="6B923E7E"/>
    <w:rsid w:val="6BAF4A30"/>
    <w:rsid w:val="6C16685D"/>
    <w:rsid w:val="6D714693"/>
    <w:rsid w:val="6D9034EF"/>
    <w:rsid w:val="6DD01ED5"/>
    <w:rsid w:val="6DD05733"/>
    <w:rsid w:val="6E1D776A"/>
    <w:rsid w:val="6E3336F6"/>
    <w:rsid w:val="6E3E23D3"/>
    <w:rsid w:val="6E58315D"/>
    <w:rsid w:val="6E8B1784"/>
    <w:rsid w:val="6E9137E0"/>
    <w:rsid w:val="6E916298"/>
    <w:rsid w:val="6E9543B1"/>
    <w:rsid w:val="6EA84809"/>
    <w:rsid w:val="6EF041DC"/>
    <w:rsid w:val="6F4831D1"/>
    <w:rsid w:val="6F66625A"/>
    <w:rsid w:val="6F97520F"/>
    <w:rsid w:val="6FAF3250"/>
    <w:rsid w:val="6FCE7B7A"/>
    <w:rsid w:val="6FD607DD"/>
    <w:rsid w:val="6FF75479"/>
    <w:rsid w:val="70613731"/>
    <w:rsid w:val="70812E3F"/>
    <w:rsid w:val="70981F36"/>
    <w:rsid w:val="70997AC2"/>
    <w:rsid w:val="713003C1"/>
    <w:rsid w:val="7138531C"/>
    <w:rsid w:val="713A2FED"/>
    <w:rsid w:val="71706A0F"/>
    <w:rsid w:val="719178EE"/>
    <w:rsid w:val="71AC0F36"/>
    <w:rsid w:val="71BC3A02"/>
    <w:rsid w:val="723839D1"/>
    <w:rsid w:val="72BA11D4"/>
    <w:rsid w:val="72C67D21"/>
    <w:rsid w:val="72C963D7"/>
    <w:rsid w:val="739F6935"/>
    <w:rsid w:val="74200FA1"/>
    <w:rsid w:val="745E5245"/>
    <w:rsid w:val="749173C8"/>
    <w:rsid w:val="74DD43BC"/>
    <w:rsid w:val="74DE2D28"/>
    <w:rsid w:val="75317F36"/>
    <w:rsid w:val="753A7A60"/>
    <w:rsid w:val="754E58F5"/>
    <w:rsid w:val="7575035C"/>
    <w:rsid w:val="759242AE"/>
    <w:rsid w:val="759E6FA6"/>
    <w:rsid w:val="75D4756D"/>
    <w:rsid w:val="75FC4D15"/>
    <w:rsid w:val="760916C5"/>
    <w:rsid w:val="761738FD"/>
    <w:rsid w:val="76431924"/>
    <w:rsid w:val="76447765"/>
    <w:rsid w:val="767E572A"/>
    <w:rsid w:val="76BE1FCB"/>
    <w:rsid w:val="76F0569F"/>
    <w:rsid w:val="76F9201B"/>
    <w:rsid w:val="771E7D75"/>
    <w:rsid w:val="776668EA"/>
    <w:rsid w:val="777C2202"/>
    <w:rsid w:val="77BA09E4"/>
    <w:rsid w:val="77E12415"/>
    <w:rsid w:val="77FA5285"/>
    <w:rsid w:val="781E0F73"/>
    <w:rsid w:val="782725D3"/>
    <w:rsid w:val="78A376CA"/>
    <w:rsid w:val="78B638A1"/>
    <w:rsid w:val="791871BB"/>
    <w:rsid w:val="794A3E9B"/>
    <w:rsid w:val="798968C0"/>
    <w:rsid w:val="79D96301"/>
    <w:rsid w:val="79DC7338"/>
    <w:rsid w:val="7A1A0D3D"/>
    <w:rsid w:val="7A344A7E"/>
    <w:rsid w:val="7A8D32B9"/>
    <w:rsid w:val="7AA664FD"/>
    <w:rsid w:val="7AC51B7A"/>
    <w:rsid w:val="7AF4245F"/>
    <w:rsid w:val="7B0A3A31"/>
    <w:rsid w:val="7B1524BC"/>
    <w:rsid w:val="7B6A340D"/>
    <w:rsid w:val="7BD45F87"/>
    <w:rsid w:val="7BD754B6"/>
    <w:rsid w:val="7BE36163"/>
    <w:rsid w:val="7BE60B10"/>
    <w:rsid w:val="7C00428B"/>
    <w:rsid w:val="7C501E80"/>
    <w:rsid w:val="7C69085F"/>
    <w:rsid w:val="7C9B10B5"/>
    <w:rsid w:val="7D5B1FAF"/>
    <w:rsid w:val="7DC4607A"/>
    <w:rsid w:val="7E2968C4"/>
    <w:rsid w:val="7E4253D3"/>
    <w:rsid w:val="7E6E734E"/>
    <w:rsid w:val="7E985949"/>
    <w:rsid w:val="7EC30AC6"/>
    <w:rsid w:val="7EFB1398"/>
    <w:rsid w:val="7F4A4D43"/>
    <w:rsid w:val="7F995383"/>
  </w:rsids>
  <m:mathPr>
    <m:mathFont m:val="Cambria Math"/>
    <m:brkBin m:val="before"/>
    <m:brkBinSub m:val="--"/>
    <m:smallFrac m:val="1"/>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9"/>
    <w:qFormat/>
    <w:uiPriority w:val="9"/>
    <w:pPr>
      <w:keepNext/>
      <w:widowControl/>
      <w:spacing w:before="340" w:after="330" w:line="576" w:lineRule="auto"/>
      <w:jc w:val="center"/>
      <w:outlineLvl w:val="0"/>
    </w:pPr>
    <w:rPr>
      <w:rFonts w:ascii="???" w:hAnsi="???" w:eastAsia="宋体" w:cs="Arial"/>
      <w:b/>
      <w:bCs/>
      <w:color w:val="020000"/>
      <w:kern w:val="36"/>
      <w:sz w:val="44"/>
      <w:szCs w:val="44"/>
    </w:rPr>
  </w:style>
  <w:style w:type="paragraph" w:styleId="3">
    <w:name w:val="heading 2"/>
    <w:basedOn w:val="1"/>
    <w:next w:val="1"/>
    <w:link w:val="61"/>
    <w:qFormat/>
    <w:uiPriority w:val="0"/>
    <w:pPr>
      <w:keepNext/>
      <w:widowControl/>
      <w:spacing w:before="260" w:after="260" w:line="412" w:lineRule="auto"/>
      <w:outlineLvl w:val="1"/>
    </w:pPr>
    <w:rPr>
      <w:rFonts w:ascii="???" w:hAnsi="???" w:eastAsia="宋体" w:cs="Arial"/>
      <w:b/>
      <w:bCs/>
      <w:color w:val="020000"/>
      <w:kern w:val="0"/>
      <w:sz w:val="32"/>
      <w:szCs w:val="32"/>
    </w:rPr>
  </w:style>
  <w:style w:type="paragraph" w:styleId="4">
    <w:name w:val="heading 3"/>
    <w:basedOn w:val="1"/>
    <w:next w:val="1"/>
    <w:link w:val="220"/>
    <w:qFormat/>
    <w:uiPriority w:val="99"/>
    <w:pPr>
      <w:keepNext/>
      <w:widowControl/>
      <w:spacing w:before="260" w:after="260" w:line="412" w:lineRule="auto"/>
      <w:outlineLvl w:val="2"/>
    </w:pPr>
    <w:rPr>
      <w:rFonts w:ascii="??" w:hAnsi="??" w:eastAsia="宋体" w:cs="Arial"/>
      <w:b/>
      <w:bCs/>
      <w:color w:val="000000"/>
      <w:kern w:val="0"/>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rPr>
      <w:rFonts w:ascii="Times New Roman" w:hAnsi="Times New Roman" w:eastAsia="宋体" w:cs="Times New Roman"/>
      <w:szCs w:val="24"/>
    </w:rPr>
  </w:style>
  <w:style w:type="paragraph" w:styleId="7">
    <w:name w:val="List Number"/>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Normal Indent"/>
    <w:basedOn w:val="1"/>
    <w:link w:val="112"/>
    <w:qFormat/>
    <w:uiPriority w:val="99"/>
    <w:pPr>
      <w:ind w:firstLine="420" w:firstLineChars="200"/>
    </w:pPr>
    <w:rPr>
      <w:rFonts w:ascii="Times New Roman" w:hAnsi="Times New Roman" w:eastAsia="宋体" w:cs="Times New Roman"/>
      <w:kern w:val="0"/>
      <w:sz w:val="24"/>
      <w:szCs w:val="20"/>
    </w:rPr>
  </w:style>
  <w:style w:type="paragraph" w:styleId="9">
    <w:name w:val="Document Map"/>
    <w:basedOn w:val="1"/>
    <w:link w:val="130"/>
    <w:qFormat/>
    <w:uiPriority w:val="0"/>
    <w:rPr>
      <w:rFonts w:ascii="宋体" w:hAnsi="Calibri" w:eastAsia="宋体" w:cs="Times New Roman"/>
      <w:kern w:val="0"/>
      <w:sz w:val="18"/>
      <w:szCs w:val="20"/>
    </w:rPr>
  </w:style>
  <w:style w:type="paragraph" w:styleId="10">
    <w:name w:val="toa heading"/>
    <w:basedOn w:val="1"/>
    <w:next w:val="1"/>
    <w:qFormat/>
    <w:uiPriority w:val="0"/>
    <w:pPr>
      <w:spacing w:before="120"/>
    </w:pPr>
    <w:rPr>
      <w:rFonts w:ascii="Cambria" w:hAnsi="Cambria"/>
      <w:sz w:val="24"/>
      <w:szCs w:val="24"/>
    </w:rPr>
  </w:style>
  <w:style w:type="paragraph" w:styleId="11">
    <w:name w:val="annotation text"/>
    <w:basedOn w:val="1"/>
    <w:link w:val="158"/>
    <w:qFormat/>
    <w:uiPriority w:val="0"/>
    <w:pPr>
      <w:jc w:val="left"/>
    </w:pPr>
  </w:style>
  <w:style w:type="paragraph" w:styleId="12">
    <w:name w:val="Body Text"/>
    <w:basedOn w:val="1"/>
    <w:next w:val="1"/>
    <w:link w:val="133"/>
    <w:qFormat/>
    <w:uiPriority w:val="99"/>
    <w:pPr>
      <w:spacing w:after="120"/>
    </w:pPr>
    <w:rPr>
      <w:rFonts w:ascii="Calibri" w:hAnsi="Calibri" w:eastAsia="宋体" w:cs="Times New Roman"/>
      <w:kern w:val="0"/>
      <w:sz w:val="24"/>
      <w:szCs w:val="20"/>
    </w:rPr>
  </w:style>
  <w:style w:type="paragraph" w:styleId="13">
    <w:name w:val="Body Text Indent"/>
    <w:basedOn w:val="1"/>
    <w:link w:val="64"/>
    <w:qFormat/>
    <w:uiPriority w:val="0"/>
    <w:pPr>
      <w:widowControl/>
      <w:spacing w:after="120"/>
      <w:ind w:left="420"/>
    </w:pPr>
    <w:rPr>
      <w:rFonts w:ascii="??" w:hAnsi="??" w:eastAsia="宋体" w:cs="Arial"/>
      <w:kern w:val="0"/>
      <w:sz w:val="24"/>
      <w:szCs w:val="24"/>
    </w:rPr>
  </w:style>
  <w:style w:type="paragraph" w:styleId="14">
    <w:name w:val="toc 5"/>
    <w:basedOn w:val="1"/>
    <w:next w:val="1"/>
    <w:qFormat/>
    <w:uiPriority w:val="0"/>
    <w:pPr>
      <w:ind w:left="1680" w:leftChars="800"/>
    </w:pPr>
    <w:rPr>
      <w:rFonts w:ascii="Times New Roman" w:hAnsi="Times New Roman" w:eastAsia="宋体" w:cs="Times New Roman"/>
      <w:szCs w:val="24"/>
    </w:rPr>
  </w:style>
  <w:style w:type="paragraph" w:styleId="15">
    <w:name w:val="toc 3"/>
    <w:basedOn w:val="1"/>
    <w:next w:val="1"/>
    <w:qFormat/>
    <w:uiPriority w:val="39"/>
    <w:pPr>
      <w:ind w:left="840" w:leftChars="400"/>
    </w:pPr>
    <w:rPr>
      <w:rFonts w:ascii="Times New Roman" w:hAnsi="Times New Roman" w:eastAsia="宋体" w:cs="Times New Roman"/>
      <w:szCs w:val="24"/>
    </w:rPr>
  </w:style>
  <w:style w:type="paragraph" w:styleId="16">
    <w:name w:val="Plain Text"/>
    <w:basedOn w:val="1"/>
    <w:next w:val="17"/>
    <w:link w:val="193"/>
    <w:qFormat/>
    <w:uiPriority w:val="0"/>
    <w:rPr>
      <w:rFonts w:ascii="宋体" w:hAnsi="Courier New" w:eastAsia="宋体"/>
      <w:szCs w:val="21"/>
    </w:rPr>
  </w:style>
  <w:style w:type="paragraph" w:styleId="17">
    <w:name w:val="List Number 5"/>
    <w:basedOn w:val="1"/>
    <w:semiHidden/>
    <w:unhideWhenUsed/>
    <w:qFormat/>
    <w:uiPriority w:val="99"/>
    <w:pPr>
      <w:numPr>
        <w:ilvl w:val="0"/>
        <w:numId w:val="1"/>
      </w:numPr>
    </w:pPr>
  </w:style>
  <w:style w:type="paragraph" w:styleId="18">
    <w:name w:val="toc 8"/>
    <w:basedOn w:val="1"/>
    <w:next w:val="1"/>
    <w:qFormat/>
    <w:uiPriority w:val="0"/>
    <w:pPr>
      <w:ind w:left="2940" w:leftChars="1400"/>
    </w:pPr>
    <w:rPr>
      <w:rFonts w:ascii="Times New Roman" w:hAnsi="Times New Roman" w:eastAsia="宋体" w:cs="Times New Roman"/>
      <w:szCs w:val="24"/>
    </w:rPr>
  </w:style>
  <w:style w:type="paragraph" w:styleId="19">
    <w:name w:val="Date"/>
    <w:basedOn w:val="1"/>
    <w:next w:val="1"/>
    <w:link w:val="153"/>
    <w:qFormat/>
    <w:uiPriority w:val="0"/>
    <w:rPr>
      <w:szCs w:val="21"/>
    </w:rPr>
  </w:style>
  <w:style w:type="paragraph" w:styleId="20">
    <w:name w:val="Body Text Indent 2"/>
    <w:basedOn w:val="1"/>
    <w:link w:val="126"/>
    <w:qFormat/>
    <w:uiPriority w:val="99"/>
    <w:pPr>
      <w:spacing w:before="100" w:beforeAutospacing="1" w:after="100" w:afterAutospacing="1" w:line="360" w:lineRule="auto"/>
      <w:ind w:firstLine="420"/>
    </w:pPr>
    <w:rPr>
      <w:rFonts w:ascii="宋体" w:hAnsi="Calibri" w:eastAsia="宋体" w:cs="Times New Roman"/>
      <w:kern w:val="0"/>
      <w:sz w:val="24"/>
      <w:szCs w:val="20"/>
    </w:rPr>
  </w:style>
  <w:style w:type="paragraph" w:styleId="21">
    <w:name w:val="Balloon Text"/>
    <w:basedOn w:val="1"/>
    <w:link w:val="76"/>
    <w:qFormat/>
    <w:uiPriority w:val="99"/>
    <w:rPr>
      <w:rFonts w:ascii="Calibri" w:hAnsi="Calibri" w:eastAsia="宋体" w:cs="Times New Roman"/>
      <w:sz w:val="18"/>
      <w:szCs w:val="18"/>
    </w:rPr>
  </w:style>
  <w:style w:type="paragraph" w:styleId="22">
    <w:name w:val="footer"/>
    <w:basedOn w:val="1"/>
    <w:link w:val="63"/>
    <w:qFormat/>
    <w:uiPriority w:val="99"/>
    <w:pPr>
      <w:tabs>
        <w:tab w:val="center" w:pos="4153"/>
        <w:tab w:val="right" w:pos="8306"/>
      </w:tabs>
      <w:snapToGrid w:val="0"/>
      <w:jc w:val="left"/>
    </w:pPr>
    <w:rPr>
      <w:rFonts w:ascii="Calibri" w:hAnsi="Calibri" w:eastAsia="宋体" w:cs="Times New Roman"/>
      <w:sz w:val="18"/>
      <w:szCs w:val="18"/>
    </w:rPr>
  </w:style>
  <w:style w:type="paragraph" w:styleId="23">
    <w:name w:val="header"/>
    <w:basedOn w:val="1"/>
    <w:link w:val="62"/>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4">
    <w:name w:val="toc 1"/>
    <w:basedOn w:val="1"/>
    <w:next w:val="1"/>
    <w:qFormat/>
    <w:uiPriority w:val="39"/>
    <w:rPr>
      <w:rFonts w:ascii="Times New Roman" w:hAnsi="Times New Roman" w:eastAsia="宋体" w:cs="Times New Roman"/>
      <w:szCs w:val="24"/>
    </w:rPr>
  </w:style>
  <w:style w:type="paragraph" w:styleId="25">
    <w:name w:val="toc 4"/>
    <w:basedOn w:val="1"/>
    <w:next w:val="1"/>
    <w:qFormat/>
    <w:uiPriority w:val="0"/>
    <w:pPr>
      <w:ind w:left="1260" w:leftChars="600"/>
    </w:pPr>
    <w:rPr>
      <w:rFonts w:ascii="Times New Roman" w:hAnsi="Times New Roman" w:eastAsia="宋体" w:cs="Times New Roman"/>
      <w:szCs w:val="24"/>
    </w:rPr>
  </w:style>
  <w:style w:type="paragraph" w:styleId="26">
    <w:name w:val="footnote text"/>
    <w:basedOn w:val="1"/>
    <w:link w:val="170"/>
    <w:semiHidden/>
    <w:qFormat/>
    <w:uiPriority w:val="0"/>
    <w:pPr>
      <w:snapToGrid w:val="0"/>
      <w:jc w:val="left"/>
    </w:pPr>
    <w:rPr>
      <w:rFonts w:ascii="Times New Roman" w:hAnsi="Times New Roman" w:eastAsia="宋体" w:cs="Times New Roman"/>
      <w:sz w:val="18"/>
      <w:szCs w:val="18"/>
    </w:rPr>
  </w:style>
  <w:style w:type="paragraph" w:styleId="27">
    <w:name w:val="toc 6"/>
    <w:basedOn w:val="1"/>
    <w:next w:val="1"/>
    <w:qFormat/>
    <w:uiPriority w:val="0"/>
    <w:pPr>
      <w:ind w:left="2100" w:leftChars="1000"/>
    </w:pPr>
    <w:rPr>
      <w:rFonts w:ascii="Times New Roman" w:hAnsi="Times New Roman" w:eastAsia="宋体" w:cs="Times New Roman"/>
      <w:szCs w:val="24"/>
    </w:rPr>
  </w:style>
  <w:style w:type="paragraph" w:styleId="28">
    <w:name w:val="Body Text Indent 3"/>
    <w:basedOn w:val="1"/>
    <w:link w:val="128"/>
    <w:qFormat/>
    <w:uiPriority w:val="99"/>
    <w:pPr>
      <w:spacing w:line="440" w:lineRule="exact"/>
      <w:ind w:firstLine="412" w:firstLineChars="200"/>
    </w:pPr>
    <w:rPr>
      <w:rFonts w:ascii="宋体" w:hAnsi="Calibri" w:eastAsia="宋体" w:cs="Times New Roman"/>
      <w:kern w:val="0"/>
      <w:sz w:val="20"/>
      <w:szCs w:val="20"/>
    </w:rPr>
  </w:style>
  <w:style w:type="paragraph" w:styleId="29">
    <w:name w:val="table of figures"/>
    <w:basedOn w:val="1"/>
    <w:next w:val="1"/>
    <w:qFormat/>
    <w:uiPriority w:val="0"/>
    <w:pPr>
      <w:ind w:left="200" w:leftChars="200" w:hanging="200" w:hangingChars="200"/>
    </w:pPr>
    <w:rPr>
      <w:rFonts w:ascii="Times New Roman" w:hAnsi="Times New Roman" w:eastAsia="宋体" w:cs="Times New Roman"/>
      <w:szCs w:val="20"/>
    </w:rPr>
  </w:style>
  <w:style w:type="paragraph" w:styleId="30">
    <w:name w:val="toc 2"/>
    <w:basedOn w:val="1"/>
    <w:next w:val="1"/>
    <w:qFormat/>
    <w:uiPriority w:val="39"/>
    <w:pPr>
      <w:ind w:left="420" w:leftChars="200"/>
    </w:pPr>
    <w:rPr>
      <w:rFonts w:ascii="Times New Roman" w:hAnsi="Times New Roman" w:eastAsia="宋体" w:cs="Times New Roman"/>
      <w:szCs w:val="24"/>
    </w:rPr>
  </w:style>
  <w:style w:type="paragraph" w:styleId="31">
    <w:name w:val="toc 9"/>
    <w:basedOn w:val="1"/>
    <w:next w:val="1"/>
    <w:qFormat/>
    <w:uiPriority w:val="0"/>
    <w:pPr>
      <w:ind w:left="3360" w:leftChars="1600"/>
    </w:pPr>
    <w:rPr>
      <w:rFonts w:ascii="Times New Roman" w:hAnsi="Times New Roman" w:eastAsia="宋体" w:cs="Times New Roman"/>
      <w:szCs w:val="24"/>
    </w:rPr>
  </w:style>
  <w:style w:type="paragraph" w:styleId="32">
    <w:name w:val="List Continue 2"/>
    <w:basedOn w:val="1"/>
    <w:qFormat/>
    <w:uiPriority w:val="99"/>
    <w:pPr>
      <w:spacing w:after="120"/>
      <w:ind w:left="840" w:leftChars="400"/>
    </w:pPr>
    <w:rPr>
      <w:rFonts w:ascii="Times New Roman" w:hAnsi="Times New Roman" w:eastAsia="宋体" w:cs="Times New Roman"/>
      <w:szCs w:val="24"/>
    </w:rPr>
  </w:style>
  <w:style w:type="paragraph" w:styleId="33">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34">
    <w:name w:val="index 1"/>
    <w:basedOn w:val="1"/>
    <w:next w:val="1"/>
    <w:qFormat/>
    <w:uiPriority w:val="0"/>
    <w:pPr>
      <w:adjustRightInd w:val="0"/>
      <w:snapToGrid w:val="0"/>
      <w:spacing w:line="300" w:lineRule="exact"/>
    </w:pPr>
    <w:rPr>
      <w:rFonts w:ascii="宋体" w:hAnsi="宋体" w:eastAsia="宋体" w:cs="Times New Roman"/>
      <w:bCs/>
      <w:sz w:val="20"/>
      <w:szCs w:val="21"/>
    </w:rPr>
  </w:style>
  <w:style w:type="paragraph" w:styleId="35">
    <w:name w:val="Title"/>
    <w:basedOn w:val="1"/>
    <w:link w:val="156"/>
    <w:qFormat/>
    <w:uiPriority w:val="0"/>
    <w:pPr>
      <w:spacing w:before="240" w:after="60"/>
      <w:jc w:val="center"/>
      <w:outlineLvl w:val="0"/>
    </w:pPr>
    <w:rPr>
      <w:rFonts w:ascii="Cambria" w:hAnsi="Cambria" w:cs="Times New Roman"/>
      <w:b/>
      <w:bCs/>
      <w:sz w:val="32"/>
      <w:szCs w:val="32"/>
    </w:rPr>
  </w:style>
  <w:style w:type="paragraph" w:styleId="36">
    <w:name w:val="annotation subject"/>
    <w:basedOn w:val="11"/>
    <w:next w:val="11"/>
    <w:link w:val="163"/>
    <w:qFormat/>
    <w:uiPriority w:val="0"/>
    <w:rPr>
      <w:b/>
      <w:bCs/>
    </w:rPr>
  </w:style>
  <w:style w:type="paragraph" w:styleId="37">
    <w:name w:val="Body Text First Indent"/>
    <w:basedOn w:val="12"/>
    <w:link w:val="203"/>
    <w:semiHidden/>
    <w:unhideWhenUsed/>
    <w:qFormat/>
    <w:uiPriority w:val="99"/>
    <w:pPr>
      <w:ind w:firstLine="420" w:firstLineChars="100"/>
    </w:pPr>
    <w:rPr>
      <w:rFonts w:asciiTheme="minorHAnsi" w:hAnsiTheme="minorHAnsi" w:eastAsiaTheme="minorEastAsia" w:cstheme="minorBidi"/>
      <w:kern w:val="2"/>
      <w:sz w:val="21"/>
      <w:szCs w:val="22"/>
    </w:rPr>
  </w:style>
  <w:style w:type="paragraph" w:styleId="38">
    <w:name w:val="Body Text First Indent 2"/>
    <w:basedOn w:val="13"/>
    <w:next w:val="1"/>
    <w:unhideWhenUsed/>
    <w:qFormat/>
    <w:uiPriority w:val="99"/>
    <w:pPr>
      <w:widowControl w:val="0"/>
      <w:ind w:left="200" w:leftChars="200" w:firstLine="420" w:firstLineChars="200"/>
    </w:pPr>
    <w:rPr>
      <w:rFonts w:asciiTheme="minorHAnsi" w:hAnsiTheme="minorHAnsi" w:eastAsiaTheme="minorEastAsia" w:cstheme="minorBidi"/>
      <w:kern w:val="2"/>
      <w:sz w:val="21"/>
      <w:szCs w:val="22"/>
    </w:rPr>
  </w:style>
  <w:style w:type="table" w:styleId="40">
    <w:name w:val="Table Grid"/>
    <w:basedOn w:val="39"/>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2">
    <w:name w:val="Strong"/>
    <w:basedOn w:val="41"/>
    <w:qFormat/>
    <w:uiPriority w:val="22"/>
    <w:rPr>
      <w:rFonts w:cs="Times New Roman"/>
      <w:b/>
    </w:rPr>
  </w:style>
  <w:style w:type="character" w:styleId="43">
    <w:name w:val="page number"/>
    <w:basedOn w:val="41"/>
    <w:qFormat/>
    <w:uiPriority w:val="0"/>
    <w:rPr>
      <w:rFonts w:cs="Times New Roman"/>
    </w:rPr>
  </w:style>
  <w:style w:type="character" w:styleId="44">
    <w:name w:val="FollowedHyperlink"/>
    <w:basedOn w:val="41"/>
    <w:qFormat/>
    <w:uiPriority w:val="99"/>
    <w:rPr>
      <w:rFonts w:cs="Times New Roman"/>
      <w:color w:val="555555"/>
      <w:u w:val="none"/>
    </w:rPr>
  </w:style>
  <w:style w:type="character" w:styleId="45">
    <w:name w:val="Emphasis"/>
    <w:basedOn w:val="41"/>
    <w:qFormat/>
    <w:uiPriority w:val="0"/>
    <w:rPr>
      <w:rFonts w:cs="Times New Roman"/>
      <w:i/>
    </w:rPr>
  </w:style>
  <w:style w:type="character" w:styleId="46">
    <w:name w:val="HTML Definition"/>
    <w:basedOn w:val="41"/>
    <w:qFormat/>
    <w:uiPriority w:val="99"/>
    <w:rPr>
      <w:rFonts w:cs="Times New Roman"/>
    </w:rPr>
  </w:style>
  <w:style w:type="character" w:styleId="47">
    <w:name w:val="HTML Acronym"/>
    <w:basedOn w:val="41"/>
    <w:qFormat/>
    <w:uiPriority w:val="99"/>
    <w:rPr>
      <w:rFonts w:cs="Times New Roman"/>
    </w:rPr>
  </w:style>
  <w:style w:type="character" w:styleId="48">
    <w:name w:val="HTML Variable"/>
    <w:basedOn w:val="41"/>
    <w:qFormat/>
    <w:uiPriority w:val="99"/>
    <w:rPr>
      <w:rFonts w:cs="Times New Roman"/>
    </w:rPr>
  </w:style>
  <w:style w:type="character" w:styleId="49">
    <w:name w:val="Hyperlink"/>
    <w:basedOn w:val="41"/>
    <w:qFormat/>
    <w:uiPriority w:val="99"/>
    <w:rPr>
      <w:rFonts w:cs="Times New Roman"/>
      <w:color w:val="555555"/>
      <w:u w:val="none"/>
    </w:rPr>
  </w:style>
  <w:style w:type="character" w:styleId="50">
    <w:name w:val="HTML Code"/>
    <w:basedOn w:val="41"/>
    <w:qFormat/>
    <w:uiPriority w:val="99"/>
    <w:rPr>
      <w:rFonts w:ascii="monospace" w:hAnsi="monospace" w:cs="Times New Roman"/>
      <w:sz w:val="24"/>
    </w:rPr>
  </w:style>
  <w:style w:type="character" w:styleId="51">
    <w:name w:val="annotation reference"/>
    <w:qFormat/>
    <w:uiPriority w:val="0"/>
    <w:rPr>
      <w:sz w:val="21"/>
      <w:szCs w:val="21"/>
    </w:rPr>
  </w:style>
  <w:style w:type="character" w:styleId="52">
    <w:name w:val="HTML Cite"/>
    <w:basedOn w:val="41"/>
    <w:qFormat/>
    <w:uiPriority w:val="99"/>
    <w:rPr>
      <w:rFonts w:cs="Times New Roman"/>
    </w:rPr>
  </w:style>
  <w:style w:type="character" w:styleId="53">
    <w:name w:val="footnote reference"/>
    <w:semiHidden/>
    <w:qFormat/>
    <w:uiPriority w:val="0"/>
    <w:rPr>
      <w:vertAlign w:val="superscript"/>
    </w:rPr>
  </w:style>
  <w:style w:type="character" w:styleId="54">
    <w:name w:val="HTML Keyboard"/>
    <w:basedOn w:val="41"/>
    <w:qFormat/>
    <w:uiPriority w:val="99"/>
    <w:rPr>
      <w:rFonts w:ascii="monospace" w:hAnsi="monospace" w:cs="Times New Roman"/>
      <w:sz w:val="24"/>
    </w:rPr>
  </w:style>
  <w:style w:type="character" w:styleId="55">
    <w:name w:val="HTML Sample"/>
    <w:basedOn w:val="41"/>
    <w:qFormat/>
    <w:uiPriority w:val="99"/>
    <w:rPr>
      <w:rFonts w:ascii="monospace" w:hAnsi="monospace" w:cs="Times New Roman"/>
      <w:sz w:val="24"/>
    </w:rPr>
  </w:style>
  <w:style w:type="paragraph" w:customStyle="1" w:styleId="56">
    <w:name w:val="Default"/>
    <w:qFormat/>
    <w:uiPriority w:val="0"/>
    <w:pPr>
      <w:widowControl w:val="0"/>
      <w:autoSpaceDE w:val="0"/>
      <w:autoSpaceDN w:val="0"/>
      <w:adjustRightInd w:val="0"/>
      <w:jc w:val="both"/>
    </w:pPr>
    <w:rPr>
      <w:rFonts w:ascii="黑体" w:hAnsi="黑体" w:eastAsia="宋体" w:cs="黑体"/>
      <w:color w:val="000000"/>
      <w:sz w:val="24"/>
      <w:szCs w:val="24"/>
      <w:lang w:val="en-US" w:eastAsia="zh-CN" w:bidi="ar-SA"/>
    </w:rPr>
  </w:style>
  <w:style w:type="paragraph" w:customStyle="1" w:styleId="57">
    <w:name w:val="Normal Indent1"/>
    <w:next w:val="1"/>
    <w:qFormat/>
    <w:uiPriority w:val="0"/>
    <w:pPr>
      <w:spacing w:afterLines="50" w:line="360" w:lineRule="auto"/>
      <w:ind w:firstLine="420" w:firstLineChars="200"/>
    </w:pPr>
    <w:rPr>
      <w:rFonts w:ascii="Times New Roman" w:hAnsi="Times New Roman" w:eastAsia="宋体" w:cs="Times New Roman"/>
      <w:lang w:val="en-US" w:eastAsia="zh-CN" w:bidi="ar-SA"/>
    </w:rPr>
  </w:style>
  <w:style w:type="paragraph" w:customStyle="1" w:styleId="58">
    <w:name w:val="方案正文"/>
    <w:basedOn w:val="12"/>
    <w:qFormat/>
    <w:uiPriority w:val="0"/>
    <w:pPr>
      <w:spacing w:after="0"/>
      <w:ind w:firstLine="560" w:firstLineChars="200"/>
      <w:jc w:val="left"/>
    </w:pPr>
    <w:rPr>
      <w:rFonts w:ascii="Arial" w:hAnsi="Arial" w:eastAsia="仿宋" w:cs="宋体"/>
      <w:sz w:val="28"/>
      <w:szCs w:val="21"/>
    </w:rPr>
  </w:style>
  <w:style w:type="character" w:customStyle="1" w:styleId="59">
    <w:name w:val="标题 1 字符"/>
    <w:basedOn w:val="41"/>
    <w:link w:val="2"/>
    <w:qFormat/>
    <w:uiPriority w:val="9"/>
    <w:rPr>
      <w:rFonts w:ascii="???" w:hAnsi="???" w:eastAsia="宋体" w:cs="Arial"/>
      <w:b/>
      <w:bCs/>
      <w:color w:val="020000"/>
      <w:kern w:val="36"/>
      <w:sz w:val="44"/>
      <w:szCs w:val="44"/>
    </w:rPr>
  </w:style>
  <w:style w:type="character" w:customStyle="1" w:styleId="60">
    <w:name w:val="标题 3 字符"/>
    <w:basedOn w:val="41"/>
    <w:link w:val="4"/>
    <w:qFormat/>
    <w:uiPriority w:val="0"/>
    <w:rPr>
      <w:rFonts w:ascii="??" w:hAnsi="??" w:eastAsia="宋体" w:cs="Arial"/>
      <w:b/>
      <w:bCs/>
      <w:color w:val="000000"/>
      <w:kern w:val="0"/>
      <w:sz w:val="32"/>
      <w:szCs w:val="32"/>
    </w:rPr>
  </w:style>
  <w:style w:type="character" w:customStyle="1" w:styleId="61">
    <w:name w:val="标题 2 字符"/>
    <w:basedOn w:val="41"/>
    <w:link w:val="3"/>
    <w:qFormat/>
    <w:uiPriority w:val="99"/>
    <w:rPr>
      <w:rFonts w:ascii="???" w:hAnsi="???" w:eastAsia="宋体" w:cs="Arial"/>
      <w:b/>
      <w:bCs/>
      <w:color w:val="020000"/>
      <w:kern w:val="0"/>
      <w:sz w:val="32"/>
      <w:szCs w:val="32"/>
    </w:rPr>
  </w:style>
  <w:style w:type="character" w:customStyle="1" w:styleId="62">
    <w:name w:val="页眉 字符"/>
    <w:basedOn w:val="41"/>
    <w:link w:val="23"/>
    <w:qFormat/>
    <w:uiPriority w:val="99"/>
    <w:rPr>
      <w:rFonts w:ascii="Calibri" w:hAnsi="Calibri" w:eastAsia="宋体" w:cs="Times New Roman"/>
      <w:sz w:val="18"/>
      <w:szCs w:val="18"/>
    </w:rPr>
  </w:style>
  <w:style w:type="character" w:customStyle="1" w:styleId="63">
    <w:name w:val="页脚 字符"/>
    <w:basedOn w:val="41"/>
    <w:link w:val="22"/>
    <w:qFormat/>
    <w:uiPriority w:val="99"/>
    <w:rPr>
      <w:rFonts w:ascii="Calibri" w:hAnsi="Calibri" w:eastAsia="宋体" w:cs="Times New Roman"/>
      <w:sz w:val="18"/>
      <w:szCs w:val="18"/>
    </w:rPr>
  </w:style>
  <w:style w:type="character" w:customStyle="1" w:styleId="64">
    <w:name w:val="正文文本缩进 字符"/>
    <w:basedOn w:val="41"/>
    <w:link w:val="13"/>
    <w:qFormat/>
    <w:uiPriority w:val="0"/>
    <w:rPr>
      <w:rFonts w:ascii="??" w:hAnsi="??" w:eastAsia="宋体" w:cs="Arial"/>
      <w:kern w:val="0"/>
      <w:sz w:val="24"/>
      <w:szCs w:val="24"/>
    </w:rPr>
  </w:style>
  <w:style w:type="paragraph" w:customStyle="1" w:styleId="65">
    <w:name w:val="列出段落1"/>
    <w:basedOn w:val="1"/>
    <w:qFormat/>
    <w:uiPriority w:val="34"/>
    <w:pPr>
      <w:ind w:firstLine="420" w:firstLineChars="200"/>
    </w:pPr>
    <w:rPr>
      <w:rFonts w:ascii="Calibri" w:hAnsi="Calibri" w:eastAsia="宋体" w:cs="Times New Roman"/>
    </w:rPr>
  </w:style>
  <w:style w:type="character" w:customStyle="1" w:styleId="66">
    <w:name w:val="标题 2 Char Char"/>
    <w:qFormat/>
    <w:uiPriority w:val="99"/>
    <w:rPr>
      <w:rFonts w:ascii="Arial" w:hAnsi="Arial" w:eastAsia="黑体"/>
      <w:b/>
      <w:kern w:val="2"/>
      <w:sz w:val="32"/>
      <w:lang w:val="en-US" w:eastAsia="zh-CN"/>
    </w:rPr>
  </w:style>
  <w:style w:type="character" w:customStyle="1" w:styleId="67">
    <w:name w:val="2charchar"/>
    <w:basedOn w:val="41"/>
    <w:qFormat/>
    <w:uiPriority w:val="99"/>
    <w:rPr>
      <w:rFonts w:cs="Times New Roman"/>
    </w:rPr>
  </w:style>
  <w:style w:type="paragraph" w:customStyle="1" w:styleId="68">
    <w:name w:val="表格文字"/>
    <w:basedOn w:val="1"/>
    <w:qFormat/>
    <w:uiPriority w:val="99"/>
    <w:pPr>
      <w:adjustRightInd w:val="0"/>
      <w:spacing w:line="420" w:lineRule="atLeast"/>
      <w:jc w:val="left"/>
    </w:pPr>
    <w:rPr>
      <w:rFonts w:ascii="Times New Roman" w:hAnsi="Times New Roman" w:eastAsia="宋体" w:cs="Times New Roman"/>
      <w:kern w:val="0"/>
      <w:szCs w:val="20"/>
    </w:rPr>
  </w:style>
  <w:style w:type="paragraph" w:customStyle="1" w:styleId="69">
    <w:name w:val="z-窗体顶端1"/>
    <w:basedOn w:val="1"/>
    <w:next w:val="1"/>
    <w:link w:val="70"/>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70">
    <w:name w:val="z-窗体顶端 Char"/>
    <w:basedOn w:val="41"/>
    <w:link w:val="69"/>
    <w:semiHidden/>
    <w:qFormat/>
    <w:uiPriority w:val="99"/>
    <w:rPr>
      <w:rFonts w:ascii="Arial" w:hAnsi="Arial" w:eastAsia="宋体" w:cs="Arial"/>
      <w:vanish/>
      <w:kern w:val="0"/>
      <w:sz w:val="16"/>
      <w:szCs w:val="16"/>
    </w:rPr>
  </w:style>
  <w:style w:type="paragraph" w:customStyle="1" w:styleId="71">
    <w:name w:val="z-窗体底端1"/>
    <w:basedOn w:val="1"/>
    <w:next w:val="1"/>
    <w:link w:val="72"/>
    <w:semiHidden/>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72">
    <w:name w:val="z-窗体底端 Char"/>
    <w:basedOn w:val="41"/>
    <w:link w:val="71"/>
    <w:semiHidden/>
    <w:qFormat/>
    <w:uiPriority w:val="99"/>
    <w:rPr>
      <w:rFonts w:ascii="Arial" w:hAnsi="Arial" w:eastAsia="宋体" w:cs="Arial"/>
      <w:vanish/>
      <w:kern w:val="0"/>
      <w:sz w:val="16"/>
      <w:szCs w:val="16"/>
    </w:rPr>
  </w:style>
  <w:style w:type="paragraph" w:customStyle="1" w:styleId="73">
    <w:name w:val="hu正文"/>
    <w:basedOn w:val="1"/>
    <w:link w:val="74"/>
    <w:qFormat/>
    <w:uiPriority w:val="99"/>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74">
    <w:name w:val="hu正文 Char"/>
    <w:link w:val="73"/>
    <w:qFormat/>
    <w:locked/>
    <w:uiPriority w:val="99"/>
    <w:rPr>
      <w:rFonts w:ascii="Times New Roman" w:hAnsi="Times New Roman" w:eastAsia="宋体" w:cs="Times New Roman"/>
      <w:kern w:val="0"/>
      <w:sz w:val="24"/>
      <w:szCs w:val="20"/>
    </w:rPr>
  </w:style>
  <w:style w:type="paragraph" w:customStyle="1" w:styleId="75">
    <w:name w:val="无间隔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76">
    <w:name w:val="批注框文本 字符"/>
    <w:basedOn w:val="41"/>
    <w:link w:val="21"/>
    <w:qFormat/>
    <w:uiPriority w:val="99"/>
    <w:rPr>
      <w:rFonts w:ascii="Calibri" w:hAnsi="Calibri" w:eastAsia="宋体" w:cs="Times New Roman"/>
      <w:sz w:val="18"/>
      <w:szCs w:val="18"/>
    </w:rPr>
  </w:style>
  <w:style w:type="character" w:customStyle="1" w:styleId="77">
    <w:name w:val="ui-bz-bg-hover1"/>
    <w:basedOn w:val="41"/>
    <w:qFormat/>
    <w:uiPriority w:val="99"/>
    <w:rPr>
      <w:rFonts w:cs="Times New Roman"/>
    </w:rPr>
  </w:style>
  <w:style w:type="character" w:customStyle="1" w:styleId="78">
    <w:name w:val="批注框文本 Char1"/>
    <w:qFormat/>
    <w:uiPriority w:val="99"/>
    <w:rPr>
      <w:rFonts w:ascii="Times New Roman" w:hAnsi="Times New Roman" w:eastAsia="宋体"/>
      <w:sz w:val="18"/>
    </w:rPr>
  </w:style>
  <w:style w:type="character" w:customStyle="1" w:styleId="79">
    <w:name w:val="bds_nopic"/>
    <w:basedOn w:val="41"/>
    <w:qFormat/>
    <w:uiPriority w:val="99"/>
    <w:rPr>
      <w:rFonts w:cs="Times New Roman"/>
    </w:rPr>
  </w:style>
  <w:style w:type="character" w:customStyle="1" w:styleId="80">
    <w:name w:val="tip12"/>
    <w:qFormat/>
    <w:uiPriority w:val="99"/>
    <w:rPr>
      <w:vanish/>
      <w:color w:val="FF0000"/>
      <w:sz w:val="18"/>
    </w:rPr>
  </w:style>
  <w:style w:type="character" w:customStyle="1" w:styleId="81">
    <w:name w:val="Body Text Indent 3 Char"/>
    <w:qFormat/>
    <w:locked/>
    <w:uiPriority w:val="99"/>
    <w:rPr>
      <w:rFonts w:ascii="宋体" w:eastAsia="宋体"/>
    </w:rPr>
  </w:style>
  <w:style w:type="character" w:customStyle="1" w:styleId="82">
    <w:name w:val="HTML Markup"/>
    <w:qFormat/>
    <w:uiPriority w:val="99"/>
    <w:rPr>
      <w:vanish/>
      <w:color w:val="FF0000"/>
    </w:rPr>
  </w:style>
  <w:style w:type="character" w:customStyle="1" w:styleId="83">
    <w:name w:val="tip7"/>
    <w:qFormat/>
    <w:uiPriority w:val="99"/>
    <w:rPr>
      <w:vanish/>
      <w:color w:val="FF0000"/>
      <w:sz w:val="18"/>
    </w:rPr>
  </w:style>
  <w:style w:type="character" w:customStyle="1" w:styleId="84">
    <w:name w:val="f-star"/>
    <w:qFormat/>
    <w:uiPriority w:val="99"/>
    <w:rPr>
      <w:color w:val="999999"/>
      <w:sz w:val="21"/>
    </w:rPr>
  </w:style>
  <w:style w:type="character" w:customStyle="1" w:styleId="85">
    <w:name w:val="Document Map Char1"/>
    <w:qFormat/>
    <w:uiPriority w:val="99"/>
    <w:rPr>
      <w:rFonts w:ascii="Times New Roman" w:hAnsi="Times New Roman"/>
      <w:kern w:val="2"/>
      <w:sz w:val="2"/>
    </w:rPr>
  </w:style>
  <w:style w:type="character" w:customStyle="1" w:styleId="86">
    <w:name w:val="my-class2"/>
    <w:basedOn w:val="41"/>
    <w:qFormat/>
    <w:uiPriority w:val="99"/>
    <w:rPr>
      <w:rFonts w:cs="Times New Roman"/>
    </w:rPr>
  </w:style>
  <w:style w:type="character" w:customStyle="1" w:styleId="87">
    <w:name w:val="no52"/>
    <w:basedOn w:val="41"/>
    <w:qFormat/>
    <w:uiPriority w:val="99"/>
    <w:rPr>
      <w:rFonts w:cs="Times New Roman"/>
    </w:rPr>
  </w:style>
  <w:style w:type="character" w:customStyle="1" w:styleId="88">
    <w:name w:val="no4"/>
    <w:basedOn w:val="41"/>
    <w:qFormat/>
    <w:uiPriority w:val="99"/>
    <w:rPr>
      <w:rFonts w:cs="Times New Roman"/>
    </w:rPr>
  </w:style>
  <w:style w:type="character" w:customStyle="1" w:styleId="89">
    <w:name w:val="my-notice"/>
    <w:basedOn w:val="41"/>
    <w:qFormat/>
    <w:uiPriority w:val="99"/>
    <w:rPr>
      <w:rFonts w:cs="Times New Roman"/>
    </w:rPr>
  </w:style>
  <w:style w:type="character" w:customStyle="1" w:styleId="90">
    <w:name w:val="ico-jiang"/>
    <w:basedOn w:val="41"/>
    <w:qFormat/>
    <w:uiPriority w:val="99"/>
    <w:rPr>
      <w:rFonts w:cs="Times New Roman"/>
    </w:rPr>
  </w:style>
  <w:style w:type="character" w:customStyle="1" w:styleId="91">
    <w:name w:val="ico-jiang2"/>
    <w:basedOn w:val="41"/>
    <w:qFormat/>
    <w:uiPriority w:val="99"/>
    <w:rPr>
      <w:rFonts w:cs="Times New Roman"/>
    </w:rPr>
  </w:style>
  <w:style w:type="character" w:customStyle="1" w:styleId="92">
    <w:name w:val="bds_more1"/>
    <w:qFormat/>
    <w:uiPriority w:val="99"/>
    <w:rPr>
      <w:rFonts w:ascii="宋体" w:hAnsi="宋体" w:eastAsia="宋体"/>
    </w:rPr>
  </w:style>
  <w:style w:type="character" w:customStyle="1" w:styleId="93">
    <w:name w:val="Body Text Indent 2 Char"/>
    <w:qFormat/>
    <w:locked/>
    <w:uiPriority w:val="99"/>
    <w:rPr>
      <w:rFonts w:ascii="宋体" w:eastAsia="宋体"/>
      <w:sz w:val="24"/>
    </w:rPr>
  </w:style>
  <w:style w:type="character" w:customStyle="1" w:styleId="94">
    <w:name w:val="org_name"/>
    <w:basedOn w:val="41"/>
    <w:qFormat/>
    <w:uiPriority w:val="99"/>
    <w:rPr>
      <w:rFonts w:cs="Times New Roman"/>
    </w:rPr>
  </w:style>
  <w:style w:type="character" w:customStyle="1" w:styleId="95">
    <w:name w:val="org_name2"/>
    <w:basedOn w:val="41"/>
    <w:qFormat/>
    <w:uiPriority w:val="99"/>
    <w:rPr>
      <w:rFonts w:cs="Times New Roman"/>
    </w:rPr>
  </w:style>
  <w:style w:type="character" w:customStyle="1" w:styleId="96">
    <w:name w:val="tip10"/>
    <w:qFormat/>
    <w:uiPriority w:val="99"/>
    <w:rPr>
      <w:vanish/>
      <w:color w:val="FF0000"/>
      <w:sz w:val="18"/>
    </w:rPr>
  </w:style>
  <w:style w:type="character" w:customStyle="1" w:styleId="97">
    <w:name w:val="orange"/>
    <w:qFormat/>
    <w:uiPriority w:val="99"/>
    <w:rPr>
      <w:color w:val="3FB58F"/>
    </w:rPr>
  </w:style>
  <w:style w:type="character" w:customStyle="1" w:styleId="98">
    <w:name w:val="bds_more"/>
    <w:basedOn w:val="41"/>
    <w:qFormat/>
    <w:uiPriority w:val="99"/>
    <w:rPr>
      <w:rFonts w:cs="Times New Roman"/>
    </w:rPr>
  </w:style>
  <w:style w:type="character" w:customStyle="1" w:styleId="99">
    <w:name w:val="t-tag"/>
    <w:qFormat/>
    <w:uiPriority w:val="99"/>
    <w:rPr>
      <w:color w:val="FFFFFF"/>
      <w:sz w:val="18"/>
      <w:shd w:val="clear" w:color="auto" w:fill="FE8833"/>
    </w:rPr>
  </w:style>
  <w:style w:type="character" w:customStyle="1" w:styleId="100">
    <w:name w:val="top-icon"/>
    <w:basedOn w:val="41"/>
    <w:qFormat/>
    <w:uiPriority w:val="99"/>
    <w:rPr>
      <w:rFonts w:cs="Times New Roman"/>
    </w:rPr>
  </w:style>
  <w:style w:type="character" w:customStyle="1" w:styleId="101">
    <w:name w:val="Body Text Char"/>
    <w:qFormat/>
    <w:locked/>
    <w:uiPriority w:val="99"/>
    <w:rPr>
      <w:sz w:val="24"/>
    </w:rPr>
  </w:style>
  <w:style w:type="character" w:customStyle="1" w:styleId="102">
    <w:name w:val="no72"/>
    <w:basedOn w:val="41"/>
    <w:qFormat/>
    <w:uiPriority w:val="99"/>
    <w:rPr>
      <w:rFonts w:cs="Times New Roman"/>
    </w:rPr>
  </w:style>
  <w:style w:type="character" w:customStyle="1" w:styleId="103">
    <w:name w:val="bds_nopic2"/>
    <w:basedOn w:val="41"/>
    <w:qFormat/>
    <w:uiPriority w:val="99"/>
    <w:rPr>
      <w:rFonts w:cs="Times New Roman"/>
    </w:rPr>
  </w:style>
  <w:style w:type="character" w:customStyle="1" w:styleId="104">
    <w:name w:val="Document Map Char"/>
    <w:qFormat/>
    <w:uiPriority w:val="99"/>
    <w:rPr>
      <w:rFonts w:ascii="宋体"/>
      <w:sz w:val="18"/>
    </w:rPr>
  </w:style>
  <w:style w:type="character" w:customStyle="1" w:styleId="105">
    <w:name w:val="no6"/>
    <w:basedOn w:val="41"/>
    <w:qFormat/>
    <w:uiPriority w:val="99"/>
    <w:rPr>
      <w:rFonts w:cs="Times New Roman"/>
    </w:rPr>
  </w:style>
  <w:style w:type="character" w:customStyle="1" w:styleId="106">
    <w:name w:val="tip"/>
    <w:qFormat/>
    <w:uiPriority w:val="99"/>
    <w:rPr>
      <w:vanish/>
      <w:color w:val="FF0000"/>
      <w:sz w:val="18"/>
    </w:rPr>
  </w:style>
  <w:style w:type="character" w:customStyle="1" w:styleId="107">
    <w:name w:val="apple-converted-space"/>
    <w:basedOn w:val="41"/>
    <w:qFormat/>
    <w:uiPriority w:val="99"/>
    <w:rPr>
      <w:rFonts w:cs="Times New Roman"/>
    </w:rPr>
  </w:style>
  <w:style w:type="character" w:customStyle="1" w:styleId="108">
    <w:name w:val="bds_more2"/>
    <w:basedOn w:val="41"/>
    <w:qFormat/>
    <w:uiPriority w:val="99"/>
    <w:rPr>
      <w:rFonts w:cs="Times New Roman"/>
    </w:rPr>
  </w:style>
  <w:style w:type="character" w:customStyle="1" w:styleId="109">
    <w:name w:val="my-class"/>
    <w:basedOn w:val="41"/>
    <w:qFormat/>
    <w:uiPriority w:val="99"/>
    <w:rPr>
      <w:rFonts w:cs="Times New Roman"/>
    </w:rPr>
  </w:style>
  <w:style w:type="character" w:customStyle="1" w:styleId="110">
    <w:name w:val="ui-bz-bg-hover"/>
    <w:qFormat/>
    <w:uiPriority w:val="99"/>
    <w:rPr>
      <w:shd w:val="clear" w:color="auto" w:fill="000000"/>
    </w:rPr>
  </w:style>
  <w:style w:type="character" w:customStyle="1" w:styleId="111">
    <w:name w:val="no7"/>
    <w:basedOn w:val="41"/>
    <w:qFormat/>
    <w:uiPriority w:val="99"/>
    <w:rPr>
      <w:rFonts w:cs="Times New Roman"/>
    </w:rPr>
  </w:style>
  <w:style w:type="character" w:customStyle="1" w:styleId="112">
    <w:name w:val="正文缩进 字符"/>
    <w:link w:val="8"/>
    <w:qFormat/>
    <w:locked/>
    <w:uiPriority w:val="99"/>
    <w:rPr>
      <w:rFonts w:ascii="Times New Roman" w:hAnsi="Times New Roman" w:eastAsia="宋体" w:cs="Times New Roman"/>
      <w:kern w:val="0"/>
      <w:sz w:val="24"/>
      <w:szCs w:val="20"/>
    </w:rPr>
  </w:style>
  <w:style w:type="character" w:customStyle="1" w:styleId="113">
    <w:name w:val="ico-jiang1"/>
    <w:basedOn w:val="41"/>
    <w:qFormat/>
    <w:uiPriority w:val="99"/>
    <w:rPr>
      <w:rFonts w:cs="Times New Roman"/>
    </w:rPr>
  </w:style>
  <w:style w:type="character" w:customStyle="1" w:styleId="114">
    <w:name w:val="no62"/>
    <w:basedOn w:val="41"/>
    <w:qFormat/>
    <w:uiPriority w:val="99"/>
    <w:rPr>
      <w:rFonts w:cs="Times New Roman"/>
    </w:rPr>
  </w:style>
  <w:style w:type="character" w:customStyle="1" w:styleId="115">
    <w:name w:val="orange5"/>
    <w:qFormat/>
    <w:uiPriority w:val="99"/>
    <w:rPr>
      <w:color w:val="3FB58F"/>
    </w:rPr>
  </w:style>
  <w:style w:type="character" w:customStyle="1" w:styleId="116">
    <w:name w:val="bds_more4"/>
    <w:basedOn w:val="41"/>
    <w:qFormat/>
    <w:uiPriority w:val="99"/>
    <w:rPr>
      <w:rFonts w:cs="Times New Roman"/>
    </w:rPr>
  </w:style>
  <w:style w:type="character" w:customStyle="1" w:styleId="117">
    <w:name w:val="no5"/>
    <w:basedOn w:val="41"/>
    <w:qFormat/>
    <w:uiPriority w:val="99"/>
    <w:rPr>
      <w:rFonts w:cs="Times New Roman"/>
    </w:rPr>
  </w:style>
  <w:style w:type="character" w:customStyle="1" w:styleId="118">
    <w:name w:val="bds_more3"/>
    <w:basedOn w:val="41"/>
    <w:qFormat/>
    <w:uiPriority w:val="99"/>
    <w:rPr>
      <w:rFonts w:cs="Times New Roman"/>
    </w:rPr>
  </w:style>
  <w:style w:type="character" w:customStyle="1" w:styleId="119">
    <w:name w:val="no42"/>
    <w:basedOn w:val="41"/>
    <w:qFormat/>
    <w:uiPriority w:val="99"/>
    <w:rPr>
      <w:rFonts w:cs="Times New Roman"/>
    </w:rPr>
  </w:style>
  <w:style w:type="character" w:customStyle="1" w:styleId="120">
    <w:name w:val="bds_nopic1"/>
    <w:basedOn w:val="41"/>
    <w:qFormat/>
    <w:uiPriority w:val="99"/>
    <w:rPr>
      <w:rFonts w:cs="Times New Roman"/>
    </w:rPr>
  </w:style>
  <w:style w:type="character" w:customStyle="1" w:styleId="121">
    <w:name w:val="my-notice1"/>
    <w:basedOn w:val="41"/>
    <w:qFormat/>
    <w:uiPriority w:val="99"/>
    <w:rPr>
      <w:rFonts w:cs="Times New Roman"/>
    </w:rPr>
  </w:style>
  <w:style w:type="character" w:customStyle="1" w:styleId="122">
    <w:name w:val="orange6"/>
    <w:qFormat/>
    <w:uiPriority w:val="99"/>
    <w:rPr>
      <w:color w:val="3FB58F"/>
    </w:rPr>
  </w:style>
  <w:style w:type="character" w:customStyle="1" w:styleId="123">
    <w:name w:val="Document Map Char2"/>
    <w:qFormat/>
    <w:locked/>
    <w:uiPriority w:val="99"/>
    <w:rPr>
      <w:rFonts w:ascii="宋体"/>
      <w:sz w:val="18"/>
    </w:rPr>
  </w:style>
  <w:style w:type="character" w:customStyle="1" w:styleId="124">
    <w:name w:val="ico-jiang3"/>
    <w:basedOn w:val="41"/>
    <w:qFormat/>
    <w:uiPriority w:val="99"/>
    <w:rPr>
      <w:rFonts w:cs="Times New Roman"/>
    </w:rPr>
  </w:style>
  <w:style w:type="character" w:customStyle="1" w:styleId="125">
    <w:name w:val="tip13"/>
    <w:qFormat/>
    <w:uiPriority w:val="99"/>
    <w:rPr>
      <w:vanish/>
      <w:color w:val="FF0000"/>
      <w:sz w:val="18"/>
    </w:rPr>
  </w:style>
  <w:style w:type="character" w:customStyle="1" w:styleId="126">
    <w:name w:val="正文文本缩进 2 字符"/>
    <w:basedOn w:val="41"/>
    <w:link w:val="20"/>
    <w:qFormat/>
    <w:uiPriority w:val="99"/>
    <w:rPr>
      <w:rFonts w:ascii="宋体" w:hAnsi="Calibri" w:eastAsia="宋体" w:cs="Times New Roman"/>
      <w:kern w:val="0"/>
      <w:sz w:val="24"/>
      <w:szCs w:val="20"/>
    </w:rPr>
  </w:style>
  <w:style w:type="character" w:customStyle="1" w:styleId="127">
    <w:name w:val="Body Text Indent 2 Char1"/>
    <w:basedOn w:val="41"/>
    <w:semiHidden/>
    <w:qFormat/>
    <w:locked/>
    <w:uiPriority w:val="99"/>
    <w:rPr>
      <w:rFonts w:cs="Times New Roman"/>
    </w:rPr>
  </w:style>
  <w:style w:type="character" w:customStyle="1" w:styleId="128">
    <w:name w:val="正文文本缩进 3 字符"/>
    <w:basedOn w:val="41"/>
    <w:link w:val="28"/>
    <w:qFormat/>
    <w:uiPriority w:val="99"/>
    <w:rPr>
      <w:rFonts w:ascii="宋体" w:hAnsi="Calibri" w:eastAsia="宋体" w:cs="Times New Roman"/>
      <w:kern w:val="0"/>
      <w:sz w:val="20"/>
      <w:szCs w:val="20"/>
    </w:rPr>
  </w:style>
  <w:style w:type="character" w:customStyle="1" w:styleId="129">
    <w:name w:val="Body Text Indent 3 Char1"/>
    <w:basedOn w:val="41"/>
    <w:semiHidden/>
    <w:qFormat/>
    <w:locked/>
    <w:uiPriority w:val="99"/>
    <w:rPr>
      <w:rFonts w:cs="Times New Roman"/>
      <w:sz w:val="16"/>
      <w:szCs w:val="16"/>
    </w:rPr>
  </w:style>
  <w:style w:type="character" w:customStyle="1" w:styleId="130">
    <w:name w:val="文档结构图 字符"/>
    <w:basedOn w:val="41"/>
    <w:link w:val="9"/>
    <w:qFormat/>
    <w:uiPriority w:val="99"/>
    <w:rPr>
      <w:rFonts w:ascii="宋体" w:hAnsi="Calibri" w:eastAsia="宋体" w:cs="Times New Roman"/>
      <w:kern w:val="0"/>
      <w:sz w:val="18"/>
      <w:szCs w:val="20"/>
    </w:rPr>
  </w:style>
  <w:style w:type="character" w:customStyle="1" w:styleId="131">
    <w:name w:val="Document Map Char3"/>
    <w:basedOn w:val="41"/>
    <w:semiHidden/>
    <w:qFormat/>
    <w:locked/>
    <w:uiPriority w:val="99"/>
    <w:rPr>
      <w:rFonts w:ascii="Times New Roman" w:hAnsi="Times New Roman" w:cs="Times New Roman"/>
      <w:sz w:val="2"/>
    </w:rPr>
  </w:style>
  <w:style w:type="paragraph" w:customStyle="1" w:styleId="132">
    <w:name w:val="_Style 1"/>
    <w:basedOn w:val="1"/>
    <w:qFormat/>
    <w:uiPriority w:val="99"/>
    <w:pPr>
      <w:ind w:firstLine="420" w:firstLineChars="200"/>
    </w:pPr>
    <w:rPr>
      <w:rFonts w:ascii="Times New Roman" w:hAnsi="Times New Roman" w:eastAsia="宋体" w:cs="Times New Roman"/>
      <w:szCs w:val="24"/>
    </w:rPr>
  </w:style>
  <w:style w:type="character" w:customStyle="1" w:styleId="133">
    <w:name w:val="正文文本 字符"/>
    <w:basedOn w:val="41"/>
    <w:link w:val="12"/>
    <w:qFormat/>
    <w:uiPriority w:val="99"/>
    <w:rPr>
      <w:rFonts w:ascii="Calibri" w:hAnsi="Calibri" w:eastAsia="宋体" w:cs="Times New Roman"/>
      <w:kern w:val="0"/>
      <w:sz w:val="24"/>
      <w:szCs w:val="20"/>
    </w:rPr>
  </w:style>
  <w:style w:type="character" w:customStyle="1" w:styleId="134">
    <w:name w:val="Body Text Char1"/>
    <w:basedOn w:val="41"/>
    <w:semiHidden/>
    <w:qFormat/>
    <w:locked/>
    <w:uiPriority w:val="99"/>
    <w:rPr>
      <w:rFonts w:cs="Times New Roman"/>
    </w:rPr>
  </w:style>
  <w:style w:type="paragraph" w:customStyle="1" w:styleId="135">
    <w:name w:val="_Style 21"/>
    <w:basedOn w:val="1"/>
    <w:qFormat/>
    <w:uiPriority w:val="99"/>
    <w:rPr>
      <w:rFonts w:ascii="Times New Roman" w:hAnsi="Times New Roman" w:eastAsia="宋体" w:cs="Times New Roman"/>
      <w:szCs w:val="20"/>
    </w:rPr>
  </w:style>
  <w:style w:type="paragraph" w:customStyle="1" w:styleId="136">
    <w:name w:val="p0"/>
    <w:basedOn w:val="1"/>
    <w:qFormat/>
    <w:uiPriority w:val="99"/>
    <w:pPr>
      <w:widowControl/>
    </w:pPr>
    <w:rPr>
      <w:rFonts w:ascii="Times New Roman" w:hAnsi="Times New Roman" w:eastAsia="宋体" w:cs="Times New Roman"/>
      <w:kern w:val="0"/>
      <w:szCs w:val="21"/>
    </w:rPr>
  </w:style>
  <w:style w:type="paragraph" w:customStyle="1" w:styleId="137">
    <w:name w:val="xl37"/>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38">
    <w:name w:val="xl25"/>
    <w:basedOn w:val="1"/>
    <w:qFormat/>
    <w:uiPriority w:val="99"/>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39">
    <w:name w:val="样式 样式 样式 样式 内容 + 首行缩进:  2 字符18 + 首行缩进:  5.71 厘米 + 首行缩进:  8.04 厘米..."/>
    <w:basedOn w:val="1"/>
    <w:qFormat/>
    <w:uiPriority w:val="99"/>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40">
    <w:name w:val="无间隔11"/>
    <w:qFormat/>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41">
    <w:name w:val="列出段落11"/>
    <w:basedOn w:val="1"/>
    <w:qFormat/>
    <w:uiPriority w:val="99"/>
    <w:pPr>
      <w:ind w:firstLine="420" w:firstLineChars="200"/>
    </w:pPr>
    <w:rPr>
      <w:rFonts w:ascii="Times New Roman" w:hAnsi="Times New Roman" w:eastAsia="宋体" w:cs="Times New Roman"/>
      <w:szCs w:val="24"/>
    </w:rPr>
  </w:style>
  <w:style w:type="paragraph" w:customStyle="1" w:styleId="142">
    <w:name w:val="_Style 2"/>
    <w:basedOn w:val="1"/>
    <w:qFormat/>
    <w:uiPriority w:val="99"/>
    <w:pPr>
      <w:ind w:firstLine="420" w:firstLineChars="200"/>
    </w:pPr>
    <w:rPr>
      <w:rFonts w:ascii="Calibri" w:hAnsi="Calibri" w:eastAsia="宋体" w:cs="Times New Roman"/>
    </w:rPr>
  </w:style>
  <w:style w:type="paragraph" w:customStyle="1" w:styleId="143">
    <w:name w:val="txt14"/>
    <w:basedOn w:val="1"/>
    <w:qFormat/>
    <w:uiPriority w:val="99"/>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44">
    <w:name w:val="_Style 11"/>
    <w:basedOn w:val="1"/>
    <w:qFormat/>
    <w:uiPriority w:val="99"/>
    <w:rPr>
      <w:rFonts w:ascii="Times New Roman" w:hAnsi="Times New Roman" w:eastAsia="宋体" w:cs="Times New Roman"/>
      <w:szCs w:val="24"/>
    </w:rPr>
  </w:style>
  <w:style w:type="paragraph" w:customStyle="1" w:styleId="145">
    <w:name w:val="Char"/>
    <w:basedOn w:val="1"/>
    <w:qFormat/>
    <w:uiPriority w:val="99"/>
    <w:rPr>
      <w:rFonts w:ascii="Times New Roman" w:hAnsi="Times New Roman" w:eastAsia="宋体" w:cs="Times New Roman"/>
      <w:szCs w:val="21"/>
    </w:rPr>
  </w:style>
  <w:style w:type="paragraph" w:customStyle="1" w:styleId="146">
    <w:name w:val="列出段落12"/>
    <w:basedOn w:val="1"/>
    <w:qFormat/>
    <w:uiPriority w:val="99"/>
    <w:pPr>
      <w:ind w:firstLine="420" w:firstLineChars="200"/>
    </w:pPr>
    <w:rPr>
      <w:rFonts w:ascii="Times New Roman" w:hAnsi="Times New Roman" w:eastAsia="宋体" w:cs="Times New Roman"/>
      <w:szCs w:val="24"/>
    </w:rPr>
  </w:style>
  <w:style w:type="paragraph" w:customStyle="1" w:styleId="147">
    <w:name w:val="列出段落2"/>
    <w:basedOn w:val="1"/>
    <w:qFormat/>
    <w:uiPriority w:val="99"/>
    <w:pPr>
      <w:ind w:firstLine="420" w:firstLineChars="200"/>
    </w:pPr>
    <w:rPr>
      <w:rFonts w:ascii="Times New Roman" w:hAnsi="Times New Roman" w:eastAsia="宋体" w:cs="Times New Roman"/>
      <w:szCs w:val="24"/>
    </w:rPr>
  </w:style>
  <w:style w:type="paragraph" w:customStyle="1" w:styleId="148">
    <w:name w:val="TOC 标题1"/>
    <w:basedOn w:val="2"/>
    <w:next w:val="1"/>
    <w:qFormat/>
    <w:uiPriority w:val="39"/>
    <w:pPr>
      <w:keepLines/>
      <w:spacing w:before="480" w:after="0" w:line="276" w:lineRule="auto"/>
      <w:jc w:val="left"/>
      <w:outlineLvl w:val="9"/>
    </w:pPr>
    <w:rPr>
      <w:rFonts w:ascii="Cambria" w:hAnsi="Cambria" w:cs="Times New Roman"/>
      <w:color w:val="365F91"/>
      <w:kern w:val="0"/>
      <w:sz w:val="28"/>
      <w:szCs w:val="28"/>
    </w:rPr>
  </w:style>
  <w:style w:type="paragraph" w:customStyle="1" w:styleId="149">
    <w:name w:val="正文文本缩进 31"/>
    <w:basedOn w:val="1"/>
    <w:qFormat/>
    <w:uiPriority w:val="99"/>
    <w:pPr>
      <w:spacing w:line="440" w:lineRule="exact"/>
      <w:ind w:firstLine="412" w:firstLineChars="200"/>
    </w:pPr>
    <w:rPr>
      <w:rFonts w:ascii="宋体" w:hAnsi="宋体" w:eastAsia="宋体" w:cs="Times New Roman"/>
      <w:kern w:val="0"/>
      <w:sz w:val="20"/>
      <w:szCs w:val="20"/>
    </w:rPr>
  </w:style>
  <w:style w:type="character" w:customStyle="1" w:styleId="150">
    <w:name w:val="font41"/>
    <w:qFormat/>
    <w:uiPriority w:val="99"/>
    <w:rPr>
      <w:rFonts w:hint="eastAsia" w:ascii="宋体" w:hAnsi="宋体" w:eastAsia="宋体" w:cs="宋体"/>
      <w:b/>
      <w:color w:val="000000"/>
      <w:sz w:val="22"/>
      <w:szCs w:val="22"/>
      <w:u w:val="none"/>
    </w:rPr>
  </w:style>
  <w:style w:type="character" w:customStyle="1" w:styleId="151">
    <w:name w:val="font81"/>
    <w:qFormat/>
    <w:uiPriority w:val="99"/>
    <w:rPr>
      <w:rFonts w:hint="eastAsia" w:ascii="宋体" w:hAnsi="宋体" w:eastAsia="宋体" w:cs="宋体"/>
      <w:b/>
      <w:color w:val="000000"/>
      <w:sz w:val="22"/>
      <w:szCs w:val="22"/>
      <w:u w:val="none"/>
    </w:rPr>
  </w:style>
  <w:style w:type="character" w:customStyle="1" w:styleId="152">
    <w:name w:val="font21"/>
    <w:basedOn w:val="41"/>
    <w:qFormat/>
    <w:uiPriority w:val="0"/>
    <w:rPr>
      <w:rFonts w:hint="eastAsia" w:ascii="宋体" w:hAnsi="宋体" w:eastAsia="宋体" w:cs="宋体"/>
      <w:color w:val="000000"/>
      <w:sz w:val="18"/>
      <w:szCs w:val="18"/>
      <w:u w:val="none"/>
    </w:rPr>
  </w:style>
  <w:style w:type="character" w:customStyle="1" w:styleId="153">
    <w:name w:val="日期 字符"/>
    <w:link w:val="19"/>
    <w:qFormat/>
    <w:uiPriority w:val="0"/>
    <w:rPr>
      <w:szCs w:val="21"/>
    </w:rPr>
  </w:style>
  <w:style w:type="character" w:customStyle="1" w:styleId="154">
    <w:name w:val="font01"/>
    <w:qFormat/>
    <w:uiPriority w:val="99"/>
    <w:rPr>
      <w:rFonts w:hint="eastAsia" w:ascii="宋体" w:hAnsi="宋体" w:eastAsia="宋体" w:cs="宋体"/>
      <w:color w:val="000000"/>
      <w:sz w:val="22"/>
      <w:szCs w:val="22"/>
      <w:u w:val="none"/>
    </w:rPr>
  </w:style>
  <w:style w:type="character" w:customStyle="1" w:styleId="155">
    <w:name w:val="Char Char1"/>
    <w:qFormat/>
    <w:uiPriority w:val="0"/>
    <w:rPr>
      <w:rFonts w:eastAsia="宋体"/>
      <w:kern w:val="2"/>
      <w:sz w:val="18"/>
      <w:szCs w:val="18"/>
      <w:lang w:val="en-US" w:eastAsia="zh-CN" w:bidi="ar-SA"/>
    </w:rPr>
  </w:style>
  <w:style w:type="character" w:customStyle="1" w:styleId="156">
    <w:name w:val="标题 字符"/>
    <w:link w:val="35"/>
    <w:qFormat/>
    <w:uiPriority w:val="0"/>
    <w:rPr>
      <w:rFonts w:ascii="Cambria" w:hAnsi="Cambria" w:cs="Times New Roman"/>
      <w:b/>
      <w:bCs/>
      <w:sz w:val="32"/>
      <w:szCs w:val="32"/>
    </w:rPr>
  </w:style>
  <w:style w:type="character" w:customStyle="1" w:styleId="157">
    <w:name w:val="hei141"/>
    <w:qFormat/>
    <w:uiPriority w:val="0"/>
    <w:rPr>
      <w:rFonts w:hint="eastAsia" w:ascii="宋体" w:hAnsi="宋体" w:eastAsia="宋体"/>
      <w:color w:val="000000"/>
      <w:sz w:val="19"/>
      <w:szCs w:val="19"/>
      <w:u w:val="none"/>
    </w:rPr>
  </w:style>
  <w:style w:type="character" w:customStyle="1" w:styleId="158">
    <w:name w:val="批注文字 字符"/>
    <w:link w:val="11"/>
    <w:qFormat/>
    <w:uiPriority w:val="0"/>
  </w:style>
  <w:style w:type="character" w:customStyle="1" w:styleId="159">
    <w:name w:val="apple-style-span"/>
    <w:basedOn w:val="41"/>
    <w:qFormat/>
    <w:uiPriority w:val="0"/>
  </w:style>
  <w:style w:type="character" w:customStyle="1" w:styleId="160">
    <w:name w:val="param-value"/>
    <w:qFormat/>
    <w:uiPriority w:val="99"/>
    <w:rPr>
      <w:rFonts w:cs="Times New Roman"/>
    </w:rPr>
  </w:style>
  <w:style w:type="character" w:customStyle="1" w:styleId="161">
    <w:name w:val="font61"/>
    <w:qFormat/>
    <w:uiPriority w:val="0"/>
    <w:rPr>
      <w:rFonts w:hint="eastAsia" w:ascii="宋体" w:hAnsi="宋体" w:eastAsia="宋体" w:cs="宋体"/>
      <w:color w:val="000000"/>
      <w:sz w:val="22"/>
      <w:szCs w:val="22"/>
      <w:u w:val="none"/>
    </w:rPr>
  </w:style>
  <w:style w:type="character" w:customStyle="1" w:styleId="162">
    <w:name w:val="font11"/>
    <w:qFormat/>
    <w:uiPriority w:val="0"/>
    <w:rPr>
      <w:rFonts w:hint="eastAsia" w:ascii="宋体" w:hAnsi="宋体" w:eastAsia="宋体" w:cs="宋体"/>
      <w:color w:val="FF0000"/>
      <w:sz w:val="22"/>
      <w:szCs w:val="22"/>
      <w:u w:val="none"/>
    </w:rPr>
  </w:style>
  <w:style w:type="character" w:customStyle="1" w:styleId="163">
    <w:name w:val="批注主题 字符"/>
    <w:link w:val="36"/>
    <w:qFormat/>
    <w:uiPriority w:val="0"/>
    <w:rPr>
      <w:b/>
      <w:bCs/>
    </w:rPr>
  </w:style>
  <w:style w:type="character" w:customStyle="1" w:styleId="164">
    <w:name w:val="批注文字 Char1"/>
    <w:basedOn w:val="41"/>
    <w:semiHidden/>
    <w:qFormat/>
    <w:uiPriority w:val="99"/>
  </w:style>
  <w:style w:type="paragraph" w:customStyle="1" w:styleId="165">
    <w:name w:val="内文"/>
    <w:basedOn w:val="1"/>
    <w:qFormat/>
    <w:uiPriority w:val="0"/>
    <w:pPr>
      <w:spacing w:line="500" w:lineRule="exact"/>
      <w:ind w:firstLine="560" w:firstLineChars="200"/>
    </w:pPr>
    <w:rPr>
      <w:rFonts w:ascii="方正仿宋简体" w:hAnsi="宋体" w:eastAsia="方正仿宋简体" w:cs="Times New Roman"/>
      <w:sz w:val="28"/>
      <w:szCs w:val="28"/>
    </w:rPr>
  </w:style>
  <w:style w:type="character" w:customStyle="1" w:styleId="166">
    <w:name w:val="批注主题 Char1"/>
    <w:basedOn w:val="164"/>
    <w:semiHidden/>
    <w:qFormat/>
    <w:uiPriority w:val="99"/>
    <w:rPr>
      <w:b/>
      <w:bCs/>
    </w:rPr>
  </w:style>
  <w:style w:type="paragraph" w:customStyle="1" w:styleId="167">
    <w:name w:val="reader-word-layer reader-word-s1-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8">
    <w:name w:val="日期 Char1"/>
    <w:basedOn w:val="41"/>
    <w:semiHidden/>
    <w:qFormat/>
    <w:uiPriority w:val="99"/>
  </w:style>
  <w:style w:type="paragraph" w:customStyle="1" w:styleId="169">
    <w:name w:val="reader-word-layer reader-word-s1-1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0">
    <w:name w:val="脚注文本 字符"/>
    <w:basedOn w:val="41"/>
    <w:link w:val="26"/>
    <w:semiHidden/>
    <w:qFormat/>
    <w:uiPriority w:val="0"/>
    <w:rPr>
      <w:rFonts w:ascii="Times New Roman" w:hAnsi="Times New Roman" w:eastAsia="宋体" w:cs="Times New Roman"/>
      <w:sz w:val="18"/>
      <w:szCs w:val="18"/>
    </w:rPr>
  </w:style>
  <w:style w:type="paragraph" w:customStyle="1" w:styleId="171">
    <w:name w:val="reader-word-layer reader-word-s1-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2">
    <w:name w:val="reader-word-layer reader-word-s1-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3">
    <w:name w:val="标题 Char1"/>
    <w:basedOn w:val="41"/>
    <w:qFormat/>
    <w:uiPriority w:val="10"/>
    <w:rPr>
      <w:rFonts w:eastAsia="宋体" w:asciiTheme="majorHAnsi" w:hAnsiTheme="majorHAnsi" w:cstheme="majorBidi"/>
      <w:b/>
      <w:bCs/>
      <w:sz w:val="32"/>
      <w:szCs w:val="32"/>
    </w:rPr>
  </w:style>
  <w:style w:type="paragraph" w:customStyle="1" w:styleId="174">
    <w:name w:val="本文正文"/>
    <w:basedOn w:val="1"/>
    <w:qFormat/>
    <w:uiPriority w:val="0"/>
    <w:pPr>
      <w:widowControl/>
      <w:spacing w:line="480" w:lineRule="exact"/>
      <w:ind w:firstLine="200" w:firstLineChars="200"/>
      <w:jc w:val="left"/>
    </w:pPr>
    <w:rPr>
      <w:rFonts w:ascii="宋体" w:hAnsi="宋体" w:eastAsia="宋体" w:cs="Times New Roman"/>
      <w:kern w:val="0"/>
      <w:sz w:val="24"/>
      <w:szCs w:val="24"/>
    </w:rPr>
  </w:style>
  <w:style w:type="paragraph" w:customStyle="1" w:styleId="175">
    <w:name w:val="reader-word-layer reader-word-s1-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6">
    <w:name w:val="Char Char Char1 Char Char Char Char"/>
    <w:basedOn w:val="1"/>
    <w:qFormat/>
    <w:uiPriority w:val="99"/>
    <w:pPr>
      <w:spacing w:line="300" w:lineRule="auto"/>
    </w:pPr>
    <w:rPr>
      <w:rFonts w:ascii="Tahoma" w:hAnsi="Tahoma" w:eastAsia="宋体" w:cs="Times New Roman"/>
      <w:sz w:val="24"/>
      <w:szCs w:val="24"/>
    </w:rPr>
  </w:style>
  <w:style w:type="paragraph" w:customStyle="1" w:styleId="177">
    <w:name w:val="List Paragraph1"/>
    <w:basedOn w:val="1"/>
    <w:qFormat/>
    <w:uiPriority w:val="0"/>
    <w:pPr>
      <w:ind w:firstLine="420" w:firstLineChars="200"/>
    </w:pPr>
    <w:rPr>
      <w:rFonts w:ascii="Times New Roman" w:hAnsi="Times New Roman" w:eastAsia="宋体" w:cs="Times New Roman"/>
      <w:szCs w:val="24"/>
    </w:rPr>
  </w:style>
  <w:style w:type="paragraph" w:customStyle="1" w:styleId="178">
    <w:name w:val="reader-word-layer reader-word-s1-1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9">
    <w:name w:val="reader-word-layer reader-word-s1-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0">
    <w:name w:val="reader-word-layer reader-word-s1-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1">
    <w:name w:val="Char Char4"/>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2">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3">
    <w:name w:val="Char Char4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4">
    <w:name w:val="列出段落3"/>
    <w:basedOn w:val="1"/>
    <w:qFormat/>
    <w:uiPriority w:val="0"/>
    <w:pPr>
      <w:ind w:firstLine="420" w:firstLineChars="200"/>
    </w:pPr>
    <w:rPr>
      <w:rFonts w:ascii="Times New Roman" w:hAnsi="Times New Roman" w:eastAsia="宋体" w:cs="Times New Roman"/>
      <w:szCs w:val="24"/>
    </w:rPr>
  </w:style>
  <w:style w:type="character" w:customStyle="1" w:styleId="185">
    <w:name w:val="Char Char12"/>
    <w:qFormat/>
    <w:uiPriority w:val="0"/>
    <w:rPr>
      <w:rFonts w:eastAsia="宋体"/>
      <w:kern w:val="2"/>
      <w:sz w:val="18"/>
      <w:szCs w:val="18"/>
      <w:lang w:val="en-US" w:eastAsia="zh-CN" w:bidi="ar-SA"/>
    </w:rPr>
  </w:style>
  <w:style w:type="paragraph" w:customStyle="1" w:styleId="186">
    <w:name w:val="Char Char4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7">
    <w:name w:val="Char Char4 Char Char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8">
    <w:name w:val="列出段落4"/>
    <w:basedOn w:val="1"/>
    <w:qFormat/>
    <w:uiPriority w:val="0"/>
    <w:pPr>
      <w:ind w:firstLine="420" w:firstLineChars="200"/>
    </w:pPr>
    <w:rPr>
      <w:rFonts w:ascii="Times New Roman" w:hAnsi="Times New Roman" w:eastAsia="宋体" w:cs="Times New Roman"/>
      <w:szCs w:val="24"/>
    </w:rPr>
  </w:style>
  <w:style w:type="character" w:customStyle="1" w:styleId="189">
    <w:name w:val="Char Char11"/>
    <w:qFormat/>
    <w:uiPriority w:val="0"/>
    <w:rPr>
      <w:rFonts w:eastAsia="宋体"/>
      <w:kern w:val="2"/>
      <w:sz w:val="18"/>
      <w:szCs w:val="18"/>
      <w:lang w:val="en-US" w:eastAsia="zh-CN" w:bidi="ar-SA"/>
    </w:rPr>
  </w:style>
  <w:style w:type="paragraph" w:customStyle="1" w:styleId="190">
    <w:name w:val="Char Char4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1">
    <w:name w:val="Char Char4 Char Char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2">
    <w:name w:val="列出段落5"/>
    <w:basedOn w:val="1"/>
    <w:qFormat/>
    <w:uiPriority w:val="0"/>
    <w:pPr>
      <w:ind w:firstLine="420" w:firstLineChars="200"/>
    </w:pPr>
    <w:rPr>
      <w:rFonts w:ascii="Times New Roman" w:hAnsi="Times New Roman" w:eastAsia="宋体" w:cs="Times New Roman"/>
      <w:szCs w:val="24"/>
    </w:rPr>
  </w:style>
  <w:style w:type="character" w:customStyle="1" w:styleId="193">
    <w:name w:val="纯文本 字符"/>
    <w:link w:val="16"/>
    <w:qFormat/>
    <w:uiPriority w:val="0"/>
    <w:rPr>
      <w:rFonts w:ascii="宋体" w:hAnsi="Courier New" w:eastAsia="宋体"/>
      <w:szCs w:val="21"/>
    </w:rPr>
  </w:style>
  <w:style w:type="character" w:customStyle="1" w:styleId="194">
    <w:name w:val="纯文本 Char1"/>
    <w:basedOn w:val="41"/>
    <w:semiHidden/>
    <w:qFormat/>
    <w:uiPriority w:val="99"/>
    <w:rPr>
      <w:rFonts w:ascii="宋体" w:hAnsi="Courier New" w:eastAsia="宋体" w:cs="Courier New"/>
      <w:szCs w:val="21"/>
    </w:rPr>
  </w:style>
  <w:style w:type="paragraph" w:customStyle="1" w:styleId="195">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96">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97">
    <w:name w:val="样式4"/>
    <w:basedOn w:val="1"/>
    <w:qFormat/>
    <w:uiPriority w:val="0"/>
    <w:pPr>
      <w:adjustRightInd w:val="0"/>
      <w:spacing w:line="480" w:lineRule="auto"/>
      <w:textAlignment w:val="baseline"/>
    </w:pPr>
    <w:rPr>
      <w:rFonts w:ascii="Times New Roman" w:hAnsi="Times New Roman" w:eastAsia="黑体" w:cs="Times New Roman"/>
      <w:spacing w:val="10"/>
      <w:kern w:val="28"/>
      <w:sz w:val="48"/>
      <w:szCs w:val="20"/>
    </w:rPr>
  </w:style>
  <w:style w:type="paragraph" w:customStyle="1" w:styleId="198">
    <w:name w:val="正文缩进2格"/>
    <w:basedOn w:val="1"/>
    <w:link w:val="199"/>
    <w:qFormat/>
    <w:uiPriority w:val="0"/>
    <w:pPr>
      <w:spacing w:line="600" w:lineRule="exact"/>
      <w:ind w:firstLine="639" w:firstLineChars="206"/>
    </w:pPr>
    <w:rPr>
      <w:rFonts w:ascii="仿宋_GB2312" w:hAnsi="宋体" w:eastAsia="仿宋_GB2312" w:cs="Times New Roman"/>
      <w:sz w:val="31"/>
      <w:szCs w:val="28"/>
    </w:rPr>
  </w:style>
  <w:style w:type="character" w:customStyle="1" w:styleId="199">
    <w:name w:val="正文缩进2格 Char"/>
    <w:link w:val="198"/>
    <w:qFormat/>
    <w:uiPriority w:val="0"/>
    <w:rPr>
      <w:rFonts w:ascii="仿宋_GB2312" w:hAnsi="宋体" w:eastAsia="仿宋_GB2312" w:cs="Times New Roman"/>
      <w:sz w:val="31"/>
      <w:szCs w:val="28"/>
    </w:rPr>
  </w:style>
  <w:style w:type="paragraph" w:customStyle="1" w:styleId="200">
    <w:name w:val="文件抬头"/>
    <w:qFormat/>
    <w:uiPriority w:val="0"/>
    <w:pPr>
      <w:widowControl w:val="0"/>
      <w:jc w:val="both"/>
    </w:pPr>
    <w:rPr>
      <w:rFonts w:ascii="Calibri" w:hAnsi="Calibri" w:eastAsia="仿宋_GB2312" w:cs="Times New Roman"/>
      <w:kern w:val="2"/>
      <w:sz w:val="32"/>
      <w:szCs w:val="21"/>
      <w:lang w:val="en-US" w:eastAsia="zh-CN" w:bidi="ar-SA"/>
    </w:rPr>
  </w:style>
  <w:style w:type="paragraph" w:styleId="201">
    <w:name w:val="List Paragraph"/>
    <w:basedOn w:val="1"/>
    <w:qFormat/>
    <w:uiPriority w:val="34"/>
    <w:pPr>
      <w:ind w:firstLine="420" w:firstLineChars="200"/>
    </w:pPr>
  </w:style>
  <w:style w:type="paragraph" w:customStyle="1" w:styleId="202">
    <w:name w:val="普通正文"/>
    <w:basedOn w:val="1"/>
    <w:qFormat/>
    <w:uiPriority w:val="0"/>
    <w:pPr>
      <w:adjustRightInd w:val="0"/>
      <w:spacing w:before="120" w:after="120" w:line="360" w:lineRule="auto"/>
      <w:ind w:left="50" w:leftChars="50" w:right="50" w:rightChars="50" w:firstLine="480" w:firstLineChars="200"/>
      <w:jc w:val="left"/>
      <w:textAlignment w:val="baseline"/>
    </w:pPr>
    <w:rPr>
      <w:rFonts w:ascii="Arial" w:hAnsi="Arial" w:eastAsia="宋体" w:cs="Times New Roman"/>
      <w:kern w:val="0"/>
      <w:sz w:val="24"/>
      <w:szCs w:val="24"/>
    </w:rPr>
  </w:style>
  <w:style w:type="character" w:customStyle="1" w:styleId="203">
    <w:name w:val="正文文本首行缩进 字符"/>
    <w:basedOn w:val="133"/>
    <w:link w:val="37"/>
    <w:semiHidden/>
    <w:qFormat/>
    <w:uiPriority w:val="99"/>
    <w:rPr>
      <w:rFonts w:asciiTheme="minorHAnsi" w:hAnsiTheme="minorHAnsi" w:eastAsiaTheme="minorEastAsia" w:cstheme="minorBidi"/>
      <w:kern w:val="2"/>
      <w:sz w:val="21"/>
      <w:szCs w:val="22"/>
    </w:rPr>
  </w:style>
  <w:style w:type="paragraph" w:customStyle="1" w:styleId="204">
    <w:name w:val="Table Paragraph"/>
    <w:basedOn w:val="1"/>
    <w:qFormat/>
    <w:uiPriority w:val="1"/>
    <w:pPr>
      <w:autoSpaceDE w:val="0"/>
      <w:autoSpaceDN w:val="0"/>
      <w:jc w:val="left"/>
    </w:pPr>
    <w:rPr>
      <w:rFonts w:ascii="宋体" w:hAnsi="宋体" w:eastAsia="宋体" w:cs="宋体"/>
      <w:kern w:val="0"/>
      <w:sz w:val="22"/>
    </w:rPr>
  </w:style>
  <w:style w:type="paragraph" w:customStyle="1" w:styleId="205">
    <w:name w:val="标书正文"/>
    <w:basedOn w:val="1"/>
    <w:qFormat/>
    <w:uiPriority w:val="0"/>
    <w:pPr>
      <w:spacing w:line="560" w:lineRule="exact"/>
      <w:ind w:firstLine="723" w:firstLineChars="200"/>
      <w:jc w:val="center"/>
    </w:pPr>
    <w:rPr>
      <w:rFonts w:ascii="仿宋_GB2312" w:hAnsi="Times New Roman" w:eastAsia="仿宋_GB2312" w:cs="Times New Roman"/>
      <w:b/>
      <w:sz w:val="36"/>
      <w:szCs w:val="20"/>
    </w:rPr>
  </w:style>
  <w:style w:type="paragraph" w:customStyle="1" w:styleId="206">
    <w:name w:val="表格"/>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 w:type="character" w:customStyle="1" w:styleId="207">
    <w:name w:val="font31"/>
    <w:basedOn w:val="41"/>
    <w:qFormat/>
    <w:uiPriority w:val="0"/>
    <w:rPr>
      <w:rFonts w:ascii="Calibri" w:hAnsi="Calibri" w:cs="Calibri"/>
      <w:color w:val="000000"/>
      <w:sz w:val="18"/>
      <w:szCs w:val="18"/>
      <w:u w:val="none"/>
    </w:rPr>
  </w:style>
  <w:style w:type="paragraph" w:customStyle="1" w:styleId="20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table" w:customStyle="1" w:styleId="209">
    <w:name w:val="Table Normal"/>
    <w:unhideWhenUsed/>
    <w:qFormat/>
    <w:uiPriority w:val="0"/>
    <w:tblPr>
      <w:tblCellMar>
        <w:top w:w="0" w:type="dxa"/>
        <w:left w:w="0" w:type="dxa"/>
        <w:bottom w:w="0" w:type="dxa"/>
        <w:right w:w="0" w:type="dxa"/>
      </w:tblCellMar>
    </w:tblPr>
  </w:style>
  <w:style w:type="paragraph" w:customStyle="1" w:styleId="210">
    <w:name w:val="字母编号列项"/>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211">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12">
    <w:name w:val="字元 字元"/>
    <w:basedOn w:val="1"/>
    <w:qFormat/>
    <w:uiPriority w:val="0"/>
    <w:rPr>
      <w:rFonts w:ascii="Tahoma" w:hAnsi="Tahoma"/>
      <w:sz w:val="24"/>
      <w:szCs w:val="20"/>
    </w:rPr>
  </w:style>
  <w:style w:type="character" w:customStyle="1" w:styleId="213">
    <w:name w:val="font101"/>
    <w:basedOn w:val="41"/>
    <w:qFormat/>
    <w:uiPriority w:val="0"/>
    <w:rPr>
      <w:rFonts w:hint="default" w:ascii="Times New Roman" w:hAnsi="Times New Roman" w:cs="Times New Roman"/>
      <w:color w:val="000000"/>
      <w:sz w:val="24"/>
      <w:szCs w:val="24"/>
      <w:u w:val="none"/>
    </w:rPr>
  </w:style>
  <w:style w:type="paragraph" w:customStyle="1" w:styleId="214">
    <w:name w:val="Table Text"/>
    <w:basedOn w:val="1"/>
    <w:semiHidden/>
    <w:qFormat/>
    <w:uiPriority w:val="0"/>
    <w:rPr>
      <w:rFonts w:ascii="Arial" w:hAnsi="Arial" w:eastAsia="Arial" w:cs="Arial"/>
      <w:sz w:val="21"/>
      <w:szCs w:val="21"/>
      <w:lang w:val="en-US" w:eastAsia="en-US" w:bidi="ar-SA"/>
    </w:rPr>
  </w:style>
  <w:style w:type="paragraph" w:customStyle="1" w:styleId="215">
    <w:name w:val="白鹤滩正文"/>
    <w:basedOn w:val="148"/>
    <w:qFormat/>
    <w:uiPriority w:val="0"/>
    <w:pPr>
      <w:keepNext w:val="0"/>
      <w:keepLines w:val="0"/>
      <w:suppressAutoHyphens/>
      <w:spacing w:before="0" w:line="360" w:lineRule="auto"/>
      <w:ind w:firstLine="480" w:firstLineChars="200"/>
      <w:jc w:val="both"/>
    </w:pPr>
    <w:rPr>
      <w:rFonts w:ascii="Times New Roman" w:hAnsi="Times New Roman" w:eastAsia="宋体"/>
      <w:snapToGrid w:val="0"/>
      <w:color w:val="auto"/>
      <w:sz w:val="24"/>
      <w:szCs w:val="24"/>
    </w:rPr>
  </w:style>
  <w:style w:type="paragraph" w:customStyle="1" w:styleId="216">
    <w:name w:val="彩色列表 - 强调文字颜色 11"/>
    <w:basedOn w:val="1"/>
    <w:qFormat/>
    <w:uiPriority w:val="34"/>
    <w:pPr>
      <w:adjustRightInd w:val="0"/>
      <w:snapToGrid w:val="0"/>
      <w:spacing w:after="200"/>
      <w:ind w:firstLine="420" w:firstLineChars="200"/>
      <w:jc w:val="left"/>
      <w:textAlignment w:val="auto"/>
    </w:pPr>
    <w:rPr>
      <w:rFonts w:ascii="Tahoma" w:hAnsi="Tahoma" w:eastAsia="微软雅黑" w:cs="Times New Roman"/>
      <w:kern w:val="0"/>
      <w:sz w:val="22"/>
      <w:szCs w:val="22"/>
    </w:rPr>
  </w:style>
  <w:style w:type="character" w:customStyle="1" w:styleId="217">
    <w:name w:val="font71"/>
    <w:basedOn w:val="41"/>
    <w:qFormat/>
    <w:uiPriority w:val="0"/>
    <w:rPr>
      <w:rFonts w:hint="default" w:ascii="仿宋_GB2312" w:eastAsia="仿宋_GB2312" w:cs="仿宋_GB2312"/>
      <w:color w:val="333333"/>
      <w:sz w:val="20"/>
      <w:szCs w:val="20"/>
      <w:u w:val="none"/>
    </w:rPr>
  </w:style>
  <w:style w:type="character" w:customStyle="1" w:styleId="218">
    <w:name w:val="font51"/>
    <w:basedOn w:val="41"/>
    <w:qFormat/>
    <w:uiPriority w:val="0"/>
    <w:rPr>
      <w:rFonts w:hint="default" w:ascii="Times New Roman" w:hAnsi="Times New Roman" w:cs="Times New Roman"/>
      <w:color w:val="333333"/>
      <w:sz w:val="20"/>
      <w:szCs w:val="20"/>
      <w:u w:val="none"/>
    </w:rPr>
  </w:style>
  <w:style w:type="character" w:customStyle="1" w:styleId="219">
    <w:name w:val="font91"/>
    <w:basedOn w:val="41"/>
    <w:qFormat/>
    <w:uiPriority w:val="0"/>
    <w:rPr>
      <w:rFonts w:hint="default" w:ascii="仿宋_GB2312" w:eastAsia="仿宋_GB2312" w:cs="仿宋_GB2312"/>
      <w:color w:val="000000"/>
      <w:sz w:val="20"/>
      <w:szCs w:val="20"/>
      <w:u w:val="none"/>
    </w:rPr>
  </w:style>
  <w:style w:type="character" w:customStyle="1" w:styleId="220">
    <w:name w:val="标题 3 Char"/>
    <w:link w:val="4"/>
    <w:qFormat/>
    <w:uiPriority w:val="0"/>
    <w:rPr>
      <w:b/>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0C109-E789-406A-BDBA-9506EB43D9C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65</Pages>
  <Words>18747</Words>
  <Characters>20168</Characters>
  <Lines>257</Lines>
  <Paragraphs>72</Paragraphs>
  <TotalTime>104</TotalTime>
  <ScaleCrop>false</ScaleCrop>
  <LinksUpToDate>false</LinksUpToDate>
  <CharactersWithSpaces>21055</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2024-07-05T12:50:00Z</dcterms:created>
  <dc:creator>Administrator</dc:creator>
  <cp:lastModifiedBy>.</cp:lastModifiedBy>
  <cp:lastPrinted>2026-05-08T14:59:00Z</cp:lastPrinted>
  <dcterms:modified xsi:type="dcterms:W3CDTF">2026-05-12T10:10:43Z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E188DECC94E04BE7B503550199495DB9_13</vt:lpwstr>
  </property>
  <property fmtid="{D5CDD505-2E9C-101B-9397-08002B2CF9AE}" pid="4" name="KSOTemplateDocerSaveRecord">
    <vt:lpwstr>eyJoZGlkIjoiYzE5M2NlMWI0ZmI4MTMyOTFjNDg1ODY2YTdiMDE0NzAiLCJ1c2VySWQiOiIyMDc2NjcyMDcifQ==</vt:lpwstr>
  </property>
</Properties>
</file>