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CF6E">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bookmarkStart w:id="368" w:name="_GoBack"/>
    </w:p>
    <w:p w14:paraId="7163344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新疆维吾尔自治区2026年度动物疫苗采购项目-布鲁氏菌病活疫苗（S19株）</w:t>
      </w:r>
    </w:p>
    <w:p w14:paraId="51E88D92">
      <w:pPr>
        <w:pageBreakBefore w:val="0"/>
        <w:wordWrap/>
        <w:topLinePunct w:val="0"/>
        <w:bidi w:val="0"/>
        <w:spacing w:beforeAutospacing="0" w:line="240" w:lineRule="auto"/>
        <w:jc w:val="both"/>
        <w:rPr>
          <w:rFonts w:hint="eastAsia" w:ascii="宋体" w:hAnsi="宋体" w:eastAsia="宋体" w:cs="宋体"/>
          <w:b/>
          <w:bCs/>
          <w:color w:val="auto"/>
          <w:sz w:val="48"/>
          <w:szCs w:val="48"/>
          <w:highlight w:val="none"/>
          <w:lang w:val="en-US" w:eastAsia="zh-CN"/>
        </w:rPr>
      </w:pPr>
    </w:p>
    <w:p w14:paraId="50015CB9">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p>
    <w:p w14:paraId="58F1F265">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单一来源采购文件</w:t>
      </w:r>
    </w:p>
    <w:p w14:paraId="255EFB89">
      <w:pPr>
        <w:pageBreakBefore w:val="0"/>
        <w:wordWrap/>
        <w:topLinePunct w:val="0"/>
        <w:bidi w:val="0"/>
        <w:spacing w:beforeAutospacing="0" w:line="24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项目编号：XJCY2026-ZB-095</w:t>
      </w:r>
    </w:p>
    <w:p w14:paraId="441C626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59ED85E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6DF5007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采购人（盖章）：新疆维吾尔自治区动物疫病预防控制中心（新疆维吾尔自治区动物检疫所）</w:t>
      </w:r>
    </w:p>
    <w:p w14:paraId="11E1F046">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val="en-US" w:eastAsia="zh-CN"/>
        </w:rPr>
        <w:t>张老师</w:t>
      </w:r>
    </w:p>
    <w:p w14:paraId="1F908C2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联系电话：0991-4650169</w:t>
      </w:r>
    </w:p>
    <w:p w14:paraId="26AADA25">
      <w:pPr>
        <w:keepNext w:val="0"/>
        <w:keepLines w:val="0"/>
        <w:pageBreakBefore w:val="0"/>
        <w:widowControl w:val="0"/>
        <w:kinsoku/>
        <w:wordWrap/>
        <w:overflowPunct/>
        <w:topLinePunct w:val="0"/>
        <w:autoSpaceDE/>
        <w:autoSpaceDN/>
        <w:bidi w:val="0"/>
        <w:adjustRightInd/>
        <w:spacing w:line="480" w:lineRule="auto"/>
        <w:ind w:right="-158" w:rightChars="-75"/>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地址：乌鲁木齐市新市区蓝天路268号</w:t>
      </w:r>
    </w:p>
    <w:p w14:paraId="512F6A0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3"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margin-left:-9pt;margin-top:0pt;height:0pt;width:474pt;z-index:251660288;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FjuD0wAAAAUBAAAPAAAAAAAAAAEAIAAAACIAAABkcnMvZG93bnJldi54bWxQSwECFAAUAAAA&#10;CACHTuJAqtaKnvMBAADoAwAADgAAAAAAAAABACAAAAAiAQAAZHJzL2Uyb0RvYy54bWxQSwUGAAAA&#10;AAYABgBZAQAAhwUAAAAA&#10;">
                <v:fill on="f" focussize="0,0"/>
                <v:stroke weight="1pt" color="#000000" joinstyle="round" dashstyle="1 1"/>
                <v:imagedata o:title=""/>
                <o:lock v:ext="edit" aspectratio="f"/>
              </v:line>
            </w:pict>
          </mc:Fallback>
        </mc:AlternateContent>
      </w:r>
      <w:r>
        <w:rPr>
          <w:rFonts w:hint="eastAsia" w:ascii="宋体" w:hAnsi="宋体" w:eastAsia="宋体" w:cs="宋体"/>
          <w:b/>
          <w:bCs/>
          <w:color w:val="auto"/>
          <w:sz w:val="30"/>
          <w:szCs w:val="30"/>
          <w:highlight w:val="none"/>
        </w:rPr>
        <w:t>招标代理机构（盖章）：新疆诚誉工程项目管理有限公司</w:t>
      </w:r>
    </w:p>
    <w:p w14:paraId="4528EB4C">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联系人：赵箭</w:t>
      </w:r>
    </w:p>
    <w:p w14:paraId="3F07E8D9">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val="en-US" w:eastAsia="zh-CN"/>
        </w:rPr>
        <w:t>18690180651</w:t>
      </w:r>
    </w:p>
    <w:p w14:paraId="0CC43FD2">
      <w:pPr>
        <w:keepNext w:val="0"/>
        <w:keepLines w:val="0"/>
        <w:pageBreakBefore w:val="0"/>
        <w:widowControl w:val="0"/>
        <w:kinsoku/>
        <w:wordWrap/>
        <w:overflowPunct/>
        <w:topLinePunct w:val="0"/>
        <w:autoSpaceDE/>
        <w:autoSpaceDN/>
        <w:bidi w:val="0"/>
        <w:adjustRightInd/>
        <w:spacing w:line="480" w:lineRule="auto"/>
        <w:ind w:right="-378" w:rightChars="-18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联系地址：乌鲁木齐市会展大道599号新疆财富中心C座6楼601室</w:t>
      </w:r>
    </w:p>
    <w:p w14:paraId="4990BAA1">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eastAsia" w:ascii="宋体" w:hAnsi="宋体" w:eastAsia="宋体" w:cs="宋体"/>
          <w:b/>
          <w:bCs/>
          <w:color w:val="auto"/>
          <w:sz w:val="30"/>
          <w:szCs w:val="30"/>
          <w:highlight w:val="none"/>
          <w:lang w:val="en-US" w:eastAsia="zh-CN"/>
        </w:rPr>
      </w:pPr>
    </w:p>
    <w:p w14:paraId="16FC84CF">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2026年5月</w:t>
      </w:r>
    </w:p>
    <w:sdt>
      <w:sdtPr>
        <w:rPr>
          <w:rFonts w:ascii="宋体" w:hAnsi="宋体" w:eastAsia="宋体" w:cstheme="minorBidi"/>
          <w:color w:val="auto"/>
          <w:kern w:val="2"/>
          <w:sz w:val="21"/>
          <w:szCs w:val="22"/>
          <w:lang w:val="en-US" w:eastAsia="zh-CN" w:bidi="ar-SA"/>
        </w:rPr>
        <w:id w:val="147454981"/>
        <w15:color w:val="DBDBDB"/>
        <w:docPartObj>
          <w:docPartGallery w:val="Table of Contents"/>
          <w:docPartUnique/>
        </w:docPartObj>
      </w:sdtPr>
      <w:sdtEndPr>
        <w:rPr>
          <w:rFonts w:asciiTheme="minorHAnsi" w:hAnsiTheme="minorHAnsi" w:eastAsiaTheme="minorEastAsia" w:cstheme="minorBidi"/>
          <w:color w:val="auto"/>
          <w:kern w:val="2"/>
          <w:sz w:val="21"/>
          <w:szCs w:val="22"/>
          <w:lang w:val="en-US" w:eastAsia="zh-CN" w:bidi="ar-SA"/>
        </w:rPr>
      </w:sdtEndPr>
      <w:sdtContent>
        <w:p w14:paraId="4B931570">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2"/>
              <w:lang w:val="en-US" w:eastAsia="zh-CN" w:bidi="ar-SA"/>
            </w:rPr>
          </w:pPr>
        </w:p>
        <w:p w14:paraId="0C4CF093">
          <w:pPr>
            <w:rPr>
              <w:rFonts w:ascii="宋体" w:hAnsi="宋体" w:eastAsia="宋体" w:cstheme="minorBidi"/>
              <w:color w:val="auto"/>
              <w:kern w:val="2"/>
              <w:sz w:val="21"/>
              <w:szCs w:val="22"/>
              <w:lang w:val="en-US" w:eastAsia="zh-CN" w:bidi="ar-SA"/>
            </w:rPr>
          </w:pPr>
          <w:r>
            <w:rPr>
              <w:rFonts w:ascii="宋体" w:hAnsi="宋体" w:eastAsia="宋体" w:cstheme="minorBidi"/>
              <w:color w:val="auto"/>
              <w:kern w:val="2"/>
              <w:sz w:val="21"/>
              <w:szCs w:val="22"/>
              <w:lang w:val="en-US" w:eastAsia="zh-CN" w:bidi="ar-SA"/>
            </w:rPr>
            <w:br w:type="page"/>
          </w:r>
        </w:p>
        <w:p w14:paraId="7E37B86E">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目录</w:t>
          </w:r>
        </w:p>
        <w:p w14:paraId="491F3BF2">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"1-2" \h \u </w:instrText>
          </w:r>
          <w:r>
            <w:rPr>
              <w:rFonts w:hint="eastAsia" w:ascii="宋体" w:hAnsi="宋体" w:eastAsia="宋体" w:cs="宋体"/>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_Toc18872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lang w:val="en-US" w:eastAsia="zh-CN"/>
            </w:rPr>
            <w:t>第一章  单一来源采购邀请</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_Toc18872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007A63DB">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_Toc17911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rPr>
            <w:t>一、项目基本情况</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_Toc17911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E79A4A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_Toc30772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highlight w:val="none"/>
              <w:lang w:val="en-US" w:eastAsia="zh-CN" w:bidi="ar-SA"/>
            </w:rPr>
            <w:t>二、拟邀请供应商名单：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_Toc30772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46BA81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_Toc17659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highlight w:val="none"/>
              <w:lang w:val="en-US" w:eastAsia="zh-CN" w:bidi="ar-SA"/>
            </w:rPr>
            <w:t>三、供应商邀请方式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_Toc17659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133CC6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_Toc27357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的资格要求：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_Toc27357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D34A8D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_Toc28804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本项目的特定资格要求：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_Toc28804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141F66B">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_Toc28280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六、获取单一来源采购文件的时间、地点、方式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_Toc28280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4925EE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_Toc26748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七、响应文件提交截止时间、采购时间及地点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_Toc26748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514894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_Toc5540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八、公示期限。</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_Toc5540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BC0C41E">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_Toc30653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九、其他补充事宜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_Toc30653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76CD45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_Toc9009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十、对本次招标提出询问，请按以下方式联系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_Toc9009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6C6117C">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_Toc16462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2"/>
              <w:sz w:val="28"/>
              <w:szCs w:val="28"/>
              <w:lang w:val="en-US" w:eastAsia="zh-CN" w:bidi="ar-SA"/>
            </w:rPr>
            <w:t>第二章</w:t>
          </w:r>
          <w:r>
            <w:rPr>
              <w:rFonts w:hint="eastAsia" w:ascii="宋体" w:hAnsi="宋体" w:eastAsia="宋体" w:cs="宋体"/>
              <w:b/>
              <w:bCs/>
              <w:color w:val="auto"/>
              <w:sz w:val="28"/>
              <w:szCs w:val="28"/>
              <w:lang w:val="en-US" w:eastAsia="zh-CN"/>
            </w:rPr>
            <w:t xml:space="preserve"> 供应商须知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_Toc16462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5</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1BD9E1B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_Toc3200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一、供应商须知附表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_Toc3200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BC2F69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_Toc30591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二、单一来源须知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_Toc30591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FE5A0B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_Toc22834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三、说明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_Toc22834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836812A">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_Toc22459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四、单一来源文件的澄清或者修改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_Toc22459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C08EF6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_Toc3624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_Toc3624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ABA075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_Toc15862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六、单一来源采购</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_Toc15862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3CCD73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_Toc14779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七、终止的情形</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_Toc14779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D2A74C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_Toc22420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八、成交结果公告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_Toc22420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D22DC2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_Toc29309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九、签订及履行合同和验收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_Toc29309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C31073C">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_Toc3221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第三章  采购内容与技术要求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_Toc3221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26</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41F1B38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_Toc25924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一、采购清单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_Toc25924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433384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_Toc28676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val="en-US" w:eastAsia="zh-CN"/>
            </w:rPr>
            <w:t>二、商务要求（实质性要求）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_Toc28676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24AEC6D">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_Toc13390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第四章  单一来源采购</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_Toc13390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28</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55BB0A0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_Toc4348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一、单一来源采购人员</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_Toc4348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BA3BA76">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_Toc14526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三、单一来源采购程序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_Toc14526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41215D1">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_Toc6340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lang w:val="en-US" w:eastAsia="zh-CN"/>
            </w:rPr>
            <w:t xml:space="preserve">第五章 </w:t>
          </w:r>
          <w:r>
            <w:rPr>
              <w:rFonts w:hint="eastAsia" w:ascii="宋体" w:hAnsi="宋体" w:eastAsia="宋体" w:cs="宋体"/>
              <w:b/>
              <w:bCs/>
              <w:color w:val="auto"/>
              <w:sz w:val="28"/>
              <w:szCs w:val="28"/>
            </w:rPr>
            <w:t>拟签订的合同文本</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_Toc6340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32</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5022384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_Toc193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一、项目信息</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5E7D39E">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_Toc18123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二、合同金额</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_Toc18123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7FFFB1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_Toc30748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lang w:val="en-US" w:eastAsia="zh-CN" w:bidi="ar-SA"/>
            </w:rPr>
            <w:t>三</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kern w:val="2"/>
              <w:sz w:val="28"/>
              <w:szCs w:val="28"/>
              <w:lang w:val="en-US" w:eastAsia="zh-CN" w:bidi="ar-SA"/>
            </w:rPr>
            <w:t>供货时间及地点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_Toc30748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A5687D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_Toc8591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highlight w:val="none"/>
              <w:lang w:val="en-US" w:eastAsia="zh-CN" w:bidi="ar-SA"/>
            </w:rPr>
            <w:t>四、付款方式（本项目无预付款）：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_Toc8591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AD358BE">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_Toc22005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五、合同履行</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_Toc22005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CDE845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_Toc11188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六、合同内容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_Toc11188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C1725C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_Toc530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七、经济责任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_Toc530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CDEA216">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_Toc9942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八、特殊条款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_Toc9942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CDD4DFB">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_Toc29925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九、违约责任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_Toc29925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0BFB754">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_Toc31189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十、合同的变更和终止</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_Toc31189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73FA49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_Toc28956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十一、争议的解决</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_Toc28956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71BFBF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_Toc16052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十二、合同生效</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_Toc16052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8EB63F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_Toc10896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val="en-US" w:eastAsia="zh-CN"/>
            </w:rPr>
            <w:t>十三、合同生效及其他</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_Toc10896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0059C11">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_Toc23620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第六章</w:t>
          </w:r>
          <w:r>
            <w:rPr>
              <w:rFonts w:hint="eastAsia" w:ascii="宋体" w:hAnsi="宋体" w:eastAsia="宋体" w:cs="宋体"/>
              <w:b/>
              <w:bCs/>
              <w:color w:val="auto"/>
              <w:sz w:val="28"/>
              <w:szCs w:val="28"/>
              <w:lang w:val="en-US" w:eastAsia="zh-CN"/>
            </w:rPr>
            <w:t xml:space="preserve"> 响应</w:t>
          </w:r>
          <w:r>
            <w:rPr>
              <w:rFonts w:hint="eastAsia" w:ascii="宋体" w:hAnsi="宋体" w:eastAsia="宋体" w:cs="宋体"/>
              <w:b/>
              <w:bCs/>
              <w:color w:val="auto"/>
              <w:sz w:val="28"/>
              <w:szCs w:val="28"/>
            </w:rPr>
            <w:t>文件格式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_Toc23620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40</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64A11FDD">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_Toc19907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eastAsia="zh-CN"/>
            </w:rPr>
            <w:t>第一节</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资格证明文件格式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_Toc19907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04AB6D6">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_Toc29220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eastAsia="zh-CN"/>
            </w:rPr>
            <w:t>第二节</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报价文件格式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_Toc29220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B8ADB1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_Toc13399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lang w:eastAsia="zh-CN"/>
            </w:rPr>
            <w:t>第三节</w:t>
          </w:r>
          <w:r>
            <w:rPr>
              <w:rFonts w:hint="eastAsia" w:ascii="宋体" w:hAnsi="宋体" w:eastAsia="宋体" w:cs="宋体"/>
              <w:color w:val="auto"/>
              <w:sz w:val="28"/>
              <w:szCs w:val="28"/>
              <w:highlight w:val="none"/>
              <w:lang w:val="en-US" w:eastAsia="zh-CN"/>
            </w:rPr>
            <w:t xml:space="preserve"> 商务、技术</w:t>
          </w:r>
          <w:r>
            <w:rPr>
              <w:rFonts w:hint="eastAsia" w:ascii="宋体" w:hAnsi="宋体" w:eastAsia="宋体" w:cs="宋体"/>
              <w:color w:val="auto"/>
              <w:sz w:val="28"/>
              <w:szCs w:val="28"/>
              <w:highlight w:val="none"/>
              <w:lang w:eastAsia="zh-CN"/>
            </w:rPr>
            <w:t>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_Toc13399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28C1B80">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8"/>
              <w:szCs w:val="28"/>
            </w:rPr>
            <w:fldChar w:fldCharType="end"/>
          </w:r>
        </w:p>
      </w:sdtContent>
    </w:sdt>
    <w:p w14:paraId="6600CDE7">
      <w:pPr>
        <w:rPr>
          <w:rFonts w:asciiTheme="minorHAnsi" w:hAnsiTheme="minorHAnsi" w:eastAsiaTheme="minorEastAsia" w:cstheme="minorBidi"/>
          <w:color w:val="auto"/>
          <w:kern w:val="2"/>
          <w:sz w:val="21"/>
          <w:szCs w:val="22"/>
          <w:lang w:val="en-US" w:eastAsia="zh-CN" w:bidi="ar-SA"/>
        </w:rPr>
      </w:pPr>
    </w:p>
    <w:p w14:paraId="24E5731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sectPr>
          <w:pgSz w:w="11906" w:h="16838"/>
          <w:pgMar w:top="1440" w:right="1080" w:bottom="1440" w:left="1080" w:header="720" w:footer="720" w:gutter="0"/>
          <w:pgBorders>
            <w:top w:val="none" w:sz="0" w:space="0"/>
            <w:left w:val="none" w:sz="0" w:space="0"/>
            <w:bottom w:val="none" w:sz="0" w:space="0"/>
            <w:right w:val="none" w:sz="0" w:space="0"/>
          </w:pgBorders>
          <w:pgNumType w:fmt="numberInDash"/>
          <w:cols w:space="720" w:num="1"/>
          <w:docGrid w:type="lines" w:linePitch="331" w:charSpace="0"/>
        </w:sectPr>
      </w:pPr>
      <w:bookmarkStart w:id="0" w:name="_Toc24259"/>
    </w:p>
    <w:p w14:paraId="4C6F2CE8">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1" w:name="_Toc5974"/>
      <w:bookmarkStart w:id="2" w:name="_Toc18872"/>
      <w:bookmarkStart w:id="3" w:name="_Toc32196"/>
      <w:r>
        <w:rPr>
          <w:rFonts w:hint="eastAsia" w:ascii="宋体" w:hAnsi="宋体" w:eastAsia="宋体" w:cs="宋体"/>
          <w:b/>
          <w:bCs/>
          <w:color w:val="auto"/>
          <w:sz w:val="44"/>
          <w:szCs w:val="44"/>
          <w:lang w:val="en-US" w:eastAsia="zh-CN"/>
        </w:rPr>
        <w:t>第一章  单一来源采购邀请</w:t>
      </w:r>
      <w:bookmarkEnd w:id="0"/>
      <w:bookmarkEnd w:id="1"/>
      <w:bookmarkEnd w:id="2"/>
      <w:bookmarkEnd w:id="3"/>
    </w:p>
    <w:p w14:paraId="601A9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新疆诚誉工程项目管理有限公司</w:t>
      </w:r>
      <w:r>
        <w:rPr>
          <w:rFonts w:hint="eastAsia" w:ascii="宋体" w:hAnsi="宋体" w:eastAsia="宋体" w:cs="宋体"/>
          <w:color w:val="auto"/>
          <w:sz w:val="24"/>
          <w:szCs w:val="24"/>
          <w:lang w:val="en-US" w:eastAsia="zh-CN"/>
        </w:rPr>
        <w:t>受</w:t>
      </w:r>
      <w:r>
        <w:rPr>
          <w:rFonts w:hint="eastAsia" w:ascii="宋体" w:hAnsi="宋体" w:eastAsia="宋体" w:cs="宋体"/>
          <w:color w:val="auto"/>
          <w:sz w:val="24"/>
          <w:szCs w:val="24"/>
          <w:u w:val="single"/>
          <w:lang w:val="en-US" w:eastAsia="zh-CN"/>
        </w:rPr>
        <w:t>新疆维吾尔自治区动物疫病预防控制中心（新疆维吾尔自治区动物检疫所）</w:t>
      </w:r>
      <w:r>
        <w:rPr>
          <w:rFonts w:hint="eastAsia" w:ascii="宋体" w:hAnsi="宋体" w:eastAsia="宋体" w:cs="宋体"/>
          <w:color w:val="auto"/>
          <w:sz w:val="24"/>
          <w:szCs w:val="24"/>
          <w:lang w:val="en-US" w:eastAsia="zh-CN"/>
        </w:rPr>
        <w:t>委托，采用单一来源方式组织采购</w:t>
      </w:r>
      <w:r>
        <w:rPr>
          <w:rFonts w:hint="eastAsia" w:ascii="宋体" w:hAnsi="宋体" w:eastAsia="宋体" w:cs="宋体"/>
          <w:color w:val="auto"/>
          <w:sz w:val="24"/>
          <w:szCs w:val="24"/>
          <w:u w:val="single"/>
          <w:lang w:val="en-US" w:eastAsia="zh-CN"/>
        </w:rPr>
        <w:t>新疆维吾尔自治区2026年度动物疫苗采购项目-布鲁氏菌病活疫苗（S19株）</w:t>
      </w:r>
      <w:r>
        <w:rPr>
          <w:rFonts w:hint="eastAsia" w:ascii="宋体" w:hAnsi="宋体" w:eastAsia="宋体" w:cs="宋体"/>
          <w:color w:val="auto"/>
          <w:sz w:val="24"/>
          <w:szCs w:val="24"/>
          <w:lang w:val="en-US" w:eastAsia="zh-CN"/>
        </w:rPr>
        <w:t>，兹邀请</w:t>
      </w:r>
      <w:r>
        <w:rPr>
          <w:rFonts w:hint="eastAsia" w:ascii="宋体" w:hAnsi="宋体" w:eastAsia="宋体" w:cs="宋体"/>
          <w:color w:val="auto"/>
          <w:sz w:val="24"/>
          <w:szCs w:val="24"/>
          <w:u w:val="single"/>
          <w:lang w:val="en-US" w:eastAsia="zh-CN"/>
        </w:rPr>
        <w:t>金宇保灵生物药品有限公司</w:t>
      </w:r>
      <w:r>
        <w:rPr>
          <w:rFonts w:hint="eastAsia" w:ascii="宋体" w:hAnsi="宋体" w:eastAsia="宋体" w:cs="宋体"/>
          <w:color w:val="auto"/>
          <w:sz w:val="24"/>
          <w:szCs w:val="24"/>
          <w:lang w:val="en-US" w:eastAsia="zh-CN"/>
        </w:rPr>
        <w:t>就本项目所需采购的货物进行协商。</w:t>
      </w:r>
    </w:p>
    <w:p w14:paraId="76C8723E">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4" w:name="_Toc21974"/>
      <w:bookmarkStart w:id="5" w:name="_Toc21176"/>
      <w:bookmarkStart w:id="6" w:name="_Toc5912"/>
      <w:bookmarkStart w:id="7" w:name="_Toc17911"/>
      <w:r>
        <w:rPr>
          <w:rFonts w:hint="eastAsia" w:ascii="宋体" w:hAnsi="宋体" w:eastAsia="宋体" w:cs="宋体"/>
          <w:color w:val="auto"/>
          <w:sz w:val="28"/>
          <w:szCs w:val="28"/>
          <w:highlight w:val="none"/>
        </w:rPr>
        <w:t>一、项目基本情况</w:t>
      </w:r>
      <w:bookmarkEnd w:id="4"/>
      <w:bookmarkEnd w:id="5"/>
      <w:bookmarkEnd w:id="6"/>
      <w:bookmarkEnd w:id="7"/>
    </w:p>
    <w:p w14:paraId="29CC5DD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1、项目编号：XJCY2026-ZB-095</w:t>
      </w:r>
    </w:p>
    <w:p w14:paraId="2D798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2、项目名称：新疆维吾尔自治区2026年度动物疫苗采购项目-布鲁氏菌病活疫苗（S19株）</w:t>
      </w:r>
    </w:p>
    <w:p w14:paraId="76FB137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3、预算金额：600000.00元；</w:t>
      </w:r>
    </w:p>
    <w:p w14:paraId="3874C8CB">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4、采购需求：采购布鲁氏菌病活疫苗（S19株）</w:t>
      </w:r>
    </w:p>
    <w:p w14:paraId="2834E85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5、采购方式：单一来源</w:t>
      </w:r>
    </w:p>
    <w:p w14:paraId="57AEE14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6、合同履约期限：本合同履约期限为合同生效之日起，至疫苗供货及售后服务全部履行完毕之日止。</w:t>
      </w:r>
    </w:p>
    <w:p w14:paraId="64FFA1B3">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7、本项目不接受联合体投标；</w:t>
      </w:r>
    </w:p>
    <w:p w14:paraId="3B5F137A">
      <w:pPr>
        <w:shd w:val="clear" w:color="auto" w:fill="auto"/>
        <w:spacing w:after="120" w:line="440" w:lineRule="exact"/>
        <w:outlineLvl w:val="1"/>
        <w:rPr>
          <w:rFonts w:hint="eastAsia" w:ascii="宋体" w:hAnsi="宋体" w:eastAsia="宋体" w:cs="宋体"/>
          <w:b/>
          <w:bCs/>
          <w:color w:val="auto"/>
          <w:kern w:val="2"/>
          <w:sz w:val="28"/>
          <w:szCs w:val="28"/>
          <w:highlight w:val="none"/>
          <w:lang w:val="en-US" w:eastAsia="zh-CN" w:bidi="ar-SA"/>
        </w:rPr>
      </w:pPr>
      <w:bookmarkStart w:id="8" w:name="_Toc30772"/>
      <w:bookmarkStart w:id="9" w:name="_Toc21106"/>
      <w:bookmarkStart w:id="10" w:name="_Toc14387"/>
      <w:bookmarkStart w:id="11" w:name="_Toc35393622"/>
      <w:bookmarkStart w:id="12" w:name="_Toc6768"/>
      <w:bookmarkStart w:id="13" w:name="_Toc10771"/>
      <w:bookmarkStart w:id="14" w:name="_Toc22340"/>
      <w:bookmarkStart w:id="15" w:name="_Toc28359003"/>
      <w:bookmarkStart w:id="16" w:name="_Toc28359080"/>
      <w:bookmarkStart w:id="17" w:name="_Toc4942"/>
      <w:bookmarkStart w:id="18" w:name="_Toc20904"/>
      <w:bookmarkStart w:id="19" w:name="_Toc35393791"/>
      <w:r>
        <w:rPr>
          <w:rFonts w:hint="eastAsia" w:ascii="宋体" w:hAnsi="宋体" w:eastAsia="宋体" w:cs="宋体"/>
          <w:b/>
          <w:bCs/>
          <w:color w:val="auto"/>
          <w:kern w:val="2"/>
          <w:sz w:val="28"/>
          <w:szCs w:val="28"/>
          <w:highlight w:val="none"/>
          <w:lang w:val="en-US" w:eastAsia="zh-CN" w:bidi="ar-SA"/>
        </w:rPr>
        <w:t>二、拟邀请供应商名单：</w:t>
      </w:r>
      <w:bookmarkEnd w:id="8"/>
    </w:p>
    <w:tbl>
      <w:tblPr>
        <w:tblStyle w:val="30"/>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705"/>
        <w:gridCol w:w="2505"/>
        <w:gridCol w:w="2625"/>
      </w:tblGrid>
      <w:tr w14:paraId="6F14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65" w:type="dxa"/>
            <w:shd w:val="clear" w:color="auto" w:fill="auto"/>
            <w:vAlign w:val="center"/>
          </w:tcPr>
          <w:p w14:paraId="7CF25E5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3705" w:type="dxa"/>
            <w:shd w:val="clear" w:color="auto" w:fill="auto"/>
            <w:vAlign w:val="center"/>
          </w:tcPr>
          <w:p w14:paraId="27EB6DB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采购内容</w:t>
            </w:r>
          </w:p>
        </w:tc>
        <w:tc>
          <w:tcPr>
            <w:tcW w:w="2505" w:type="dxa"/>
            <w:shd w:val="clear" w:color="auto" w:fill="auto"/>
            <w:vAlign w:val="center"/>
          </w:tcPr>
          <w:p w14:paraId="019F569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拟邀请参加的供应商</w:t>
            </w:r>
          </w:p>
        </w:tc>
        <w:tc>
          <w:tcPr>
            <w:tcW w:w="2625" w:type="dxa"/>
            <w:shd w:val="clear" w:color="auto" w:fill="auto"/>
            <w:vAlign w:val="center"/>
          </w:tcPr>
          <w:p w14:paraId="522100E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供应商地址</w:t>
            </w:r>
          </w:p>
        </w:tc>
      </w:tr>
      <w:tr w14:paraId="466B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71F384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05" w:type="dxa"/>
            <w:vAlign w:val="center"/>
          </w:tcPr>
          <w:p w14:paraId="6F6101AC">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新疆维吾尔自治区2026年度动物疫苗采购项目-布鲁氏菌病活疫苗（S19株）</w:t>
            </w:r>
          </w:p>
        </w:tc>
        <w:tc>
          <w:tcPr>
            <w:tcW w:w="2505" w:type="dxa"/>
            <w:vAlign w:val="center"/>
          </w:tcPr>
          <w:p w14:paraId="029BEA4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金宇保灵生物药品有限公司</w:t>
            </w:r>
          </w:p>
        </w:tc>
        <w:tc>
          <w:tcPr>
            <w:tcW w:w="2625" w:type="dxa"/>
            <w:vAlign w:val="center"/>
          </w:tcPr>
          <w:p w14:paraId="40FE26E9">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内蒙古自治区呼和浩特市经济技术开发区沙尔沁工业园区金宇大街1号</w:t>
            </w:r>
          </w:p>
        </w:tc>
      </w:tr>
    </w:tbl>
    <w:p w14:paraId="4BB34F5E">
      <w:pPr>
        <w:bidi w:val="0"/>
        <w:rPr>
          <w:rFonts w:hint="eastAsia"/>
          <w:color w:val="auto"/>
          <w:lang w:val="en-US" w:eastAsia="zh-CN"/>
        </w:rPr>
      </w:pPr>
    </w:p>
    <w:p w14:paraId="051F0D91">
      <w:pPr>
        <w:shd w:val="clear" w:color="auto" w:fill="auto"/>
        <w:spacing w:after="120" w:line="440" w:lineRule="exact"/>
        <w:outlineLvl w:val="1"/>
        <w:rPr>
          <w:rFonts w:hint="eastAsia" w:ascii="宋体" w:hAnsi="宋体" w:eastAsia="宋体" w:cs="宋体"/>
          <w:b/>
          <w:bCs/>
          <w:color w:val="auto"/>
          <w:kern w:val="2"/>
          <w:sz w:val="28"/>
          <w:szCs w:val="28"/>
          <w:highlight w:val="none"/>
          <w:lang w:val="en-US" w:eastAsia="zh-CN" w:bidi="ar-SA"/>
        </w:rPr>
      </w:pPr>
      <w:bookmarkStart w:id="20" w:name="_Toc17659"/>
      <w:r>
        <w:rPr>
          <w:rFonts w:hint="eastAsia" w:ascii="宋体" w:hAnsi="宋体" w:eastAsia="宋体" w:cs="宋体"/>
          <w:b/>
          <w:bCs/>
          <w:color w:val="auto"/>
          <w:kern w:val="2"/>
          <w:sz w:val="28"/>
          <w:szCs w:val="28"/>
          <w:highlight w:val="none"/>
          <w:lang w:val="en-US" w:eastAsia="zh-CN" w:bidi="ar-SA"/>
        </w:rPr>
        <w:t>三、供应商邀请方式</w:t>
      </w:r>
      <w:bookmarkEnd w:id="20"/>
    </w:p>
    <w:p w14:paraId="6A05226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以邀请书的方式邀请唯一供应商参加投标。</w:t>
      </w:r>
    </w:p>
    <w:p w14:paraId="525FD867">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21" w:name="_Toc27357"/>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的资格要求：</w:t>
      </w:r>
      <w:bookmarkEnd w:id="9"/>
      <w:bookmarkEnd w:id="10"/>
      <w:bookmarkEnd w:id="11"/>
      <w:bookmarkEnd w:id="12"/>
      <w:bookmarkEnd w:id="13"/>
      <w:bookmarkEnd w:id="14"/>
      <w:bookmarkEnd w:id="15"/>
      <w:bookmarkEnd w:id="16"/>
      <w:bookmarkEnd w:id="17"/>
      <w:bookmarkEnd w:id="18"/>
      <w:bookmarkEnd w:id="19"/>
      <w:bookmarkEnd w:id="21"/>
    </w:p>
    <w:p w14:paraId="0550C91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14:paraId="515804F8">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（1）具有独立承担民事责任的能力；</w:t>
      </w:r>
    </w:p>
    <w:p w14:paraId="7B03A1DE">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（2）具有良好的商业信誉和健全的财务会计制度；</w:t>
      </w:r>
    </w:p>
    <w:p w14:paraId="6421BA49">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（3）具有履行合同所必需的设备和专业技术能力；</w:t>
      </w:r>
    </w:p>
    <w:p w14:paraId="506FA3A1">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（4）有依法缴纳税收和社会保障资金的良好记录；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（5）参加政府采购活动前三年内，在经营活动中没有重大违法记录；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（6）法律、行政法规规定的其他条件。</w:t>
      </w:r>
    </w:p>
    <w:p w14:paraId="340BC02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w:t>
      </w:r>
      <w:r>
        <w:rPr>
          <w:rFonts w:hint="eastAsia" w:ascii="宋体" w:hAnsi="宋体" w:eastAsia="宋体" w:cs="宋体"/>
          <w:b w:val="0"/>
          <w:bCs w:val="0"/>
          <w:color w:val="auto"/>
          <w:sz w:val="24"/>
          <w:highlight w:val="none"/>
          <w:lang w:val="en-US" w:eastAsia="zh-CN" w:bidi="ar-SA"/>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专门面向中小企业。</w:t>
      </w:r>
    </w:p>
    <w:p w14:paraId="349298F9">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22" w:name="_Toc816"/>
      <w:bookmarkStart w:id="23" w:name="_Toc4801"/>
      <w:bookmarkStart w:id="24" w:name="_Toc28804"/>
      <w:bookmarkStart w:id="25" w:name="_Toc8046"/>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本项目的特定资格要求：</w:t>
      </w:r>
      <w:bookmarkEnd w:id="22"/>
      <w:bookmarkEnd w:id="23"/>
      <w:bookmarkEnd w:id="24"/>
      <w:bookmarkEnd w:id="25"/>
    </w:p>
    <w:p w14:paraId="773D7777">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2C834D5">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49F0AD0A">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EAA32">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26" w:name="_Toc7719"/>
      <w:bookmarkStart w:id="27" w:name="_Toc17457"/>
      <w:bookmarkStart w:id="28" w:name="_Toc28280"/>
      <w:bookmarkStart w:id="29" w:name="_Toc19927"/>
      <w:r>
        <w:rPr>
          <w:rFonts w:hint="eastAsia" w:ascii="宋体" w:hAnsi="宋体" w:eastAsia="宋体" w:cs="宋体"/>
          <w:color w:val="auto"/>
          <w:sz w:val="28"/>
          <w:szCs w:val="28"/>
          <w:highlight w:val="none"/>
          <w:lang w:val="en-US" w:eastAsia="zh-CN"/>
        </w:rPr>
        <w:t>六、获取单一来源采购文件的时间、地点、方式</w:t>
      </w:r>
      <w:bookmarkEnd w:id="26"/>
      <w:bookmarkEnd w:id="27"/>
      <w:bookmarkEnd w:id="28"/>
      <w:bookmarkEnd w:id="29"/>
      <w:r>
        <w:rPr>
          <w:rFonts w:hint="eastAsia" w:ascii="宋体" w:hAnsi="宋体" w:eastAsia="宋体" w:cs="宋体"/>
          <w:color w:val="auto"/>
          <w:sz w:val="28"/>
          <w:szCs w:val="28"/>
          <w:highlight w:val="none"/>
          <w:lang w:val="en-US" w:eastAsia="zh-CN"/>
        </w:rPr>
        <w:t xml:space="preserve"> </w:t>
      </w:r>
    </w:p>
    <w:p w14:paraId="0C4CE29C">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b/>
          <w:bCs/>
          <w:color w:val="auto"/>
          <w:sz w:val="24"/>
          <w:szCs w:val="24"/>
          <w:highlight w:val="none"/>
          <w:u w:val="single"/>
          <w:lang w:eastAsia="zh-CN"/>
        </w:rPr>
        <w:t>2026年</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26</w:t>
      </w:r>
      <w:r>
        <w:rPr>
          <w:rFonts w:hint="eastAsia" w:ascii="宋体" w:hAnsi="宋体" w:eastAsia="宋体" w:cs="宋体"/>
          <w:b/>
          <w:bCs/>
          <w:color w:val="auto"/>
          <w:sz w:val="24"/>
          <w:szCs w:val="24"/>
          <w:highlight w:val="none"/>
          <w:u w:val="single"/>
          <w:lang w:eastAsia="zh-CN"/>
        </w:rPr>
        <w:t>日至2026年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lang w:eastAsia="zh-CN"/>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每天上午10:00至13:30，下午15:30至19:00（北京时间，法定节假日除外）</w:t>
      </w:r>
    </w:p>
    <w:p w14:paraId="6BB5970C">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地点：政采云平台http://www.zcygov.cn</w:t>
      </w:r>
    </w:p>
    <w:p w14:paraId="7A8ABE79">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免费获取，供应商登陆政采云账户（网址：https://www.zcygov.cn/）,在线申请获取采购文件（登录政府采购云平台→采购项目→获取采购文件→申请，审核通过后可下载采购文件，如有操作性问题，可与政采云在线客服进行咨询，咨询电话95763）</w:t>
      </w:r>
    </w:p>
    <w:p w14:paraId="70113526">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0" w:name="_Toc15463"/>
      <w:bookmarkStart w:id="31" w:name="_Toc20191"/>
      <w:bookmarkStart w:id="32" w:name="_Toc26748"/>
      <w:bookmarkStart w:id="33" w:name="_Toc10521"/>
      <w:r>
        <w:rPr>
          <w:rFonts w:hint="eastAsia" w:ascii="宋体" w:hAnsi="宋体" w:eastAsia="宋体" w:cs="宋体"/>
          <w:color w:val="auto"/>
          <w:sz w:val="28"/>
          <w:szCs w:val="28"/>
          <w:highlight w:val="none"/>
          <w:lang w:val="en-US" w:eastAsia="zh-CN"/>
        </w:rPr>
        <w:t>七、响应文件提交截止时间、采购时间及地点</w:t>
      </w:r>
      <w:bookmarkEnd w:id="30"/>
      <w:bookmarkEnd w:id="31"/>
      <w:bookmarkEnd w:id="32"/>
      <w:bookmarkEnd w:id="33"/>
    </w:p>
    <w:p w14:paraId="45E6A4E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提交响应文件截止时间：</w:t>
      </w:r>
      <w:r>
        <w:rPr>
          <w:rFonts w:hint="eastAsia" w:ascii="宋体" w:hAnsi="宋体" w:eastAsia="宋体" w:cs="宋体"/>
          <w:b/>
          <w:bCs/>
          <w:color w:val="auto"/>
          <w:sz w:val="24"/>
          <w:szCs w:val="24"/>
          <w:highlight w:val="none"/>
          <w:u w:val="single"/>
          <w:lang w:val="en-US" w:eastAsia="zh-CN"/>
        </w:rPr>
        <w:t>2026年6月3日16:00</w:t>
      </w:r>
      <w:r>
        <w:rPr>
          <w:rFonts w:hint="eastAsia" w:ascii="宋体" w:hAnsi="宋体" w:eastAsia="宋体" w:cs="宋体"/>
          <w:color w:val="auto"/>
          <w:sz w:val="24"/>
          <w:szCs w:val="24"/>
          <w:highlight w:val="none"/>
          <w:lang w:val="en-US" w:eastAsia="zh-CN"/>
        </w:rPr>
        <w:t>（北京时间）</w:t>
      </w:r>
    </w:p>
    <w:p w14:paraId="5C51D95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投标地点：将响应文件上传至政采云平台https://www.zcygov.cn/对应位置（逾期未上传的或不符合规定的响应文件将被拒绝接收）</w:t>
      </w:r>
    </w:p>
    <w:p w14:paraId="7FB4435D">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b/>
          <w:bCs/>
          <w:color w:val="auto"/>
          <w:sz w:val="24"/>
          <w:szCs w:val="24"/>
          <w:highlight w:val="none"/>
          <w:u w:val="single"/>
          <w:lang w:val="en-US" w:eastAsia="zh-CN"/>
        </w:rPr>
        <w:t>2026年6月3日16:00（北京时间）</w:t>
      </w:r>
    </w:p>
    <w:p w14:paraId="65C6A0B0">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开标地点：政采云平台https://www.zcygov.cn/不见面开标大厅</w:t>
      </w:r>
    </w:p>
    <w:p w14:paraId="1D62E93B">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4" w:name="_Toc28173"/>
      <w:bookmarkStart w:id="35" w:name="_Toc23329"/>
      <w:bookmarkStart w:id="36" w:name="_Toc5540"/>
      <w:bookmarkStart w:id="37" w:name="_Toc23630"/>
      <w:r>
        <w:rPr>
          <w:rFonts w:hint="eastAsia" w:ascii="宋体" w:hAnsi="宋体" w:eastAsia="宋体" w:cs="宋体"/>
          <w:color w:val="auto"/>
          <w:sz w:val="28"/>
          <w:szCs w:val="28"/>
          <w:highlight w:val="none"/>
          <w:lang w:val="en-US" w:eastAsia="zh-CN"/>
        </w:rPr>
        <w:t>八、公示期限。</w:t>
      </w:r>
      <w:bookmarkEnd w:id="34"/>
      <w:bookmarkEnd w:id="35"/>
      <w:bookmarkEnd w:id="36"/>
      <w:bookmarkEnd w:id="37"/>
    </w:p>
    <w:p w14:paraId="6FCBABE6">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60" w:firstLineChars="19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2026年03月16日至2026年03月24日</w:t>
      </w:r>
    </w:p>
    <w:p w14:paraId="76D49F30">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60" w:firstLineChars="19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公示期：不少于5个工作日</w:t>
      </w:r>
    </w:p>
    <w:p w14:paraId="7A484C3E">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8" w:name="_Toc15476"/>
      <w:bookmarkStart w:id="39" w:name="_Toc10225"/>
      <w:bookmarkStart w:id="40" w:name="_Toc30653"/>
      <w:bookmarkStart w:id="41" w:name="_Toc8718"/>
      <w:r>
        <w:rPr>
          <w:rFonts w:hint="eastAsia" w:ascii="宋体" w:hAnsi="宋体" w:eastAsia="宋体" w:cs="宋体"/>
          <w:color w:val="auto"/>
          <w:sz w:val="28"/>
          <w:szCs w:val="28"/>
          <w:highlight w:val="none"/>
          <w:lang w:val="en-US" w:eastAsia="zh-CN"/>
        </w:rPr>
        <w:t>九、其他补充事宜</w:t>
      </w:r>
      <w:bookmarkEnd w:id="38"/>
      <w:bookmarkEnd w:id="39"/>
      <w:bookmarkEnd w:id="40"/>
      <w:bookmarkEnd w:id="41"/>
    </w:p>
    <w:p w14:paraId="705F40BE">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1.本项目实行网上投标，采用电子投标文件； </w:t>
      </w:r>
    </w:p>
    <w:p w14:paraId="1143BD6D">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6EC6B093">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770D729">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4.供应商应当在投标截止时间前,将生成的“电子加密投标文件”上传递交至“政府采购云平台”,投标截止时间以后上传递交的投标文件将被“政府采购云平台”拒收；</w:t>
      </w:r>
    </w:p>
    <w:p w14:paraId="1EFB1F21">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109A2AE0">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6、供应商登录政采云平台，在开标时间后30分钟内用“项目采购-开标评标”功能进行解密投标文件。若供应商在规定时间内未按时解密的，视为无效投标。解密与加密投标文件须使用同一个 CA。</w:t>
      </w:r>
    </w:p>
    <w:p w14:paraId="6AA3C52A">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42" w:name="_Toc12580"/>
      <w:bookmarkStart w:id="43" w:name="_Toc9009"/>
      <w:bookmarkStart w:id="44" w:name="_Toc21799"/>
      <w:bookmarkStart w:id="45" w:name="_Toc30825"/>
      <w:r>
        <w:rPr>
          <w:rFonts w:hint="eastAsia" w:ascii="宋体" w:hAnsi="宋体" w:eastAsia="宋体" w:cs="宋体"/>
          <w:color w:val="auto"/>
          <w:sz w:val="28"/>
          <w:szCs w:val="28"/>
          <w:highlight w:val="none"/>
          <w:lang w:val="en-US" w:eastAsia="zh-CN"/>
        </w:rPr>
        <w:t>十、对本次招标提出询问，请按以下方式联系</w:t>
      </w:r>
      <w:bookmarkEnd w:id="42"/>
      <w:bookmarkEnd w:id="43"/>
      <w:bookmarkEnd w:id="44"/>
      <w:bookmarkEnd w:id="45"/>
    </w:p>
    <w:p w14:paraId="4E8C6CB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46" w:name="_Toc138610882"/>
      <w:bookmarkStart w:id="47" w:name="_Toc140742515"/>
      <w:bookmarkStart w:id="48" w:name="_Toc103813448"/>
      <w:bookmarkStart w:id="49" w:name="_Toc28359019"/>
      <w:bookmarkStart w:id="50" w:name="_Toc140741970"/>
      <w:bookmarkStart w:id="51" w:name="_Toc35393806"/>
      <w:bookmarkStart w:id="52" w:name="_Toc35393637"/>
      <w:bookmarkStart w:id="53" w:name="_Toc28359096"/>
      <w:r>
        <w:rPr>
          <w:rFonts w:hint="eastAsia" w:ascii="宋体" w:hAnsi="宋体" w:eastAsia="宋体" w:cs="宋体"/>
          <w:color w:val="auto"/>
          <w:sz w:val="24"/>
          <w:szCs w:val="24"/>
          <w:highlight w:val="none"/>
        </w:rPr>
        <w:t>1.采购人信息</w:t>
      </w:r>
      <w:bookmarkEnd w:id="46"/>
      <w:bookmarkEnd w:id="47"/>
      <w:bookmarkEnd w:id="48"/>
      <w:bookmarkEnd w:id="49"/>
      <w:bookmarkEnd w:id="50"/>
      <w:bookmarkEnd w:id="51"/>
      <w:bookmarkEnd w:id="52"/>
      <w:bookmarkEnd w:id="53"/>
    </w:p>
    <w:p w14:paraId="2B24893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11004729">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4811D6E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38AF680F">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p w14:paraId="59EF424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54" w:name="_Toc28359020"/>
      <w:bookmarkStart w:id="55" w:name="_Toc103813449"/>
      <w:bookmarkStart w:id="56" w:name="_Toc35393807"/>
      <w:bookmarkStart w:id="57" w:name="_Toc140742516"/>
      <w:bookmarkStart w:id="58" w:name="_Toc140741971"/>
      <w:bookmarkStart w:id="59" w:name="_Toc35393638"/>
      <w:bookmarkStart w:id="60" w:name="_Toc28359097"/>
      <w:bookmarkStart w:id="61" w:name="_Toc138610883"/>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采购代理机构信息</w:t>
      </w:r>
      <w:bookmarkEnd w:id="54"/>
      <w:bookmarkEnd w:id="55"/>
      <w:bookmarkEnd w:id="56"/>
      <w:bookmarkEnd w:id="57"/>
      <w:bookmarkEnd w:id="58"/>
      <w:bookmarkEnd w:id="59"/>
      <w:bookmarkEnd w:id="60"/>
      <w:bookmarkEnd w:id="61"/>
    </w:p>
    <w:p w14:paraId="604838C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322C6B7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乌鲁木齐市会展大道599号新疆财富中心C座6楼601室</w:t>
      </w:r>
    </w:p>
    <w:p w14:paraId="792F92F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 xml:space="preserve"> 赵箭 </w:t>
      </w:r>
      <w:r>
        <w:rPr>
          <w:rFonts w:hint="eastAsia" w:ascii="宋体" w:hAnsi="宋体" w:eastAsia="宋体" w:cs="宋体"/>
          <w:color w:val="auto"/>
          <w:sz w:val="24"/>
          <w:szCs w:val="24"/>
          <w:highlight w:val="none"/>
          <w:u w:val="none"/>
          <w:lang w:val="en-US" w:eastAsia="zh-CN"/>
        </w:rPr>
        <w:t xml:space="preserve"> </w:t>
      </w:r>
    </w:p>
    <w:p w14:paraId="7D449EA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p w14:paraId="381FB195">
      <w:pPr>
        <w:pageBreakBefore w:val="0"/>
        <w:widowControl w:val="0"/>
        <w:kinsoku/>
        <w:wordWrap/>
        <w:overflowPunct/>
        <w:topLinePunct w:val="0"/>
        <w:autoSpaceDE/>
        <w:autoSpaceDN/>
        <w:bidi w:val="0"/>
        <w:adjustRightInd/>
        <w:snapToGrid/>
        <w:spacing w:beforeAutospacing="0" w:line="360" w:lineRule="auto"/>
        <w:ind w:left="19" w:leftChars="9" w:firstLine="460" w:firstLineChars="191"/>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2026年5月</w:t>
      </w:r>
    </w:p>
    <w:p w14:paraId="2D436F19">
      <w:pPr>
        <w:widowControl/>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0F09DE5D">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62" w:name="_Toc138239172"/>
      <w:bookmarkStart w:id="63" w:name="_Toc30373"/>
      <w:bookmarkStart w:id="64" w:name="_Toc11338"/>
      <w:bookmarkStart w:id="65" w:name="_Toc16462"/>
      <w:bookmarkStart w:id="66" w:name="_Toc14693"/>
      <w:r>
        <w:rPr>
          <w:rFonts w:hint="eastAsia" w:ascii="宋体" w:hAnsi="宋体" w:eastAsia="宋体" w:cs="宋体"/>
          <w:b/>
          <w:bCs/>
          <w:color w:val="auto"/>
          <w:kern w:val="2"/>
          <w:sz w:val="44"/>
          <w:szCs w:val="44"/>
          <w:lang w:val="en-US" w:eastAsia="zh-CN" w:bidi="ar-SA"/>
        </w:rPr>
        <w:t>第二章</w:t>
      </w:r>
      <w:r>
        <w:rPr>
          <w:rFonts w:hint="eastAsia" w:ascii="宋体" w:hAnsi="宋体" w:eastAsia="宋体" w:cs="宋体"/>
          <w:b/>
          <w:bCs/>
          <w:color w:val="auto"/>
          <w:sz w:val="44"/>
          <w:szCs w:val="44"/>
          <w:lang w:val="en-US" w:eastAsia="zh-CN"/>
        </w:rPr>
        <w:t xml:space="preserve"> 供应商须</w:t>
      </w:r>
      <w:bookmarkEnd w:id="62"/>
      <w:r>
        <w:rPr>
          <w:rFonts w:hint="eastAsia" w:ascii="宋体" w:hAnsi="宋体" w:eastAsia="宋体" w:cs="宋体"/>
          <w:b/>
          <w:bCs/>
          <w:color w:val="auto"/>
          <w:sz w:val="44"/>
          <w:szCs w:val="44"/>
          <w:lang w:val="en-US" w:eastAsia="zh-CN"/>
        </w:rPr>
        <w:t>知</w:t>
      </w:r>
      <w:bookmarkEnd w:id="63"/>
      <w:bookmarkEnd w:id="64"/>
      <w:bookmarkEnd w:id="65"/>
      <w:bookmarkEnd w:id="66"/>
    </w:p>
    <w:p w14:paraId="29F59C24">
      <w:pPr>
        <w:pStyle w:val="3"/>
        <w:snapToGrid w:val="0"/>
        <w:spacing w:before="0" w:after="0" w:line="500" w:lineRule="exact"/>
        <w:rPr>
          <w:rFonts w:hint="eastAsia" w:ascii="宋体" w:hAnsi="宋体" w:eastAsia="宋体" w:cs="宋体"/>
          <w:color w:val="auto"/>
          <w:sz w:val="28"/>
          <w:szCs w:val="28"/>
          <w:lang w:val="en-US" w:eastAsia="zh-CN"/>
        </w:rPr>
      </w:pPr>
      <w:bookmarkStart w:id="67" w:name="_Toc466298032"/>
      <w:bookmarkStart w:id="68" w:name="_Toc3200"/>
      <w:bookmarkStart w:id="69" w:name="_Toc31835"/>
      <w:bookmarkStart w:id="70" w:name="_Toc217446032"/>
      <w:bookmarkStart w:id="71" w:name="_Toc465085334"/>
      <w:bookmarkStart w:id="72" w:name="_Toc213396946"/>
      <w:bookmarkStart w:id="73" w:name="_Toc15491"/>
      <w:bookmarkStart w:id="74" w:name="_Toc9333"/>
      <w:bookmarkStart w:id="75" w:name="_Toc189727030"/>
      <w:bookmarkStart w:id="76" w:name="_Toc213396760"/>
      <w:bookmarkStart w:id="77" w:name="_Toc16942"/>
      <w:bookmarkStart w:id="78" w:name="_Toc15244"/>
      <w:bookmarkStart w:id="79" w:name="_Toc472604580"/>
      <w:bookmarkStart w:id="80" w:name="_Toc21506"/>
      <w:bookmarkStart w:id="81" w:name="_Toc472599535"/>
      <w:bookmarkStart w:id="82" w:name="_Toc16825"/>
      <w:bookmarkStart w:id="83" w:name="_Toc12281"/>
      <w:bookmarkStart w:id="84" w:name="_Toc213397010"/>
      <w:bookmarkStart w:id="85" w:name="_Toc911"/>
      <w:bookmarkStart w:id="86" w:name="_Toc213496268"/>
      <w:bookmarkStart w:id="87" w:name="_Toc19866"/>
      <w:bookmarkStart w:id="88" w:name="_Toc10656"/>
      <w:r>
        <w:rPr>
          <w:rFonts w:hint="eastAsia" w:ascii="宋体" w:hAnsi="宋体" w:eastAsia="宋体" w:cs="宋体"/>
          <w:color w:val="auto"/>
          <w:sz w:val="28"/>
          <w:szCs w:val="28"/>
        </w:rPr>
        <w:t>一、供应商须知附表</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bl>
      <w:tblPr>
        <w:tblStyle w:val="29"/>
        <w:tblW w:w="1032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14:paraId="6E498E19">
        <w:tblPrEx>
          <w:tblCellMar>
            <w:top w:w="0" w:type="dxa"/>
            <w:left w:w="108" w:type="dxa"/>
            <w:bottom w:w="0" w:type="dxa"/>
            <w:right w:w="108" w:type="dxa"/>
          </w:tblCellMar>
        </w:tblPrEx>
        <w:trPr>
          <w:trHeight w:val="645" w:hRule="atLeast"/>
          <w:tblHeader/>
          <w:jc w:val="center"/>
        </w:trPr>
        <w:tc>
          <w:tcPr>
            <w:tcW w:w="979" w:type="dxa"/>
            <w:vAlign w:val="center"/>
          </w:tcPr>
          <w:p w14:paraId="2D066931">
            <w:pPr>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509" w:type="dxa"/>
            <w:vAlign w:val="center"/>
          </w:tcPr>
          <w:p w14:paraId="69FE448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6837" w:type="dxa"/>
            <w:vAlign w:val="center"/>
          </w:tcPr>
          <w:p w14:paraId="5A97028C">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r>
      <w:tr w14:paraId="6231ECA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979" w:type="dxa"/>
            <w:vAlign w:val="center"/>
          </w:tcPr>
          <w:p w14:paraId="16DD3BB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0496F7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837" w:type="dxa"/>
            <w:vAlign w:val="center"/>
          </w:tcPr>
          <w:p w14:paraId="5C451B37">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XJCY2026-ZB-095</w:t>
            </w:r>
          </w:p>
        </w:tc>
      </w:tr>
      <w:tr w14:paraId="5731DCE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0510D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308E153B">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837" w:type="dxa"/>
          </w:tcPr>
          <w:p w14:paraId="55D13D84">
            <w:pPr>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新疆维吾尔自治区2026年度动物疫苗采购项目-布鲁氏菌病活疫苗（S19株）</w:t>
            </w:r>
          </w:p>
        </w:tc>
      </w:tr>
      <w:tr w14:paraId="6247B9D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2EF5401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11A9BECE">
            <w:pPr>
              <w:tabs>
                <w:tab w:val="center" w:pos="1206"/>
                <w:tab w:val="right" w:pos="2293"/>
              </w:tabs>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w:t>
            </w:r>
          </w:p>
        </w:tc>
        <w:tc>
          <w:tcPr>
            <w:tcW w:w="6837" w:type="dxa"/>
            <w:vAlign w:val="center"/>
          </w:tcPr>
          <w:p w14:paraId="2EC1992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63D6C0DE">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0458DCDC">
            <w:pPr>
              <w:pageBreakBefore w:val="0"/>
              <w:widowControl w:val="0"/>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048B6A48">
            <w:pPr>
              <w:overflowPunct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tc>
      </w:tr>
      <w:tr w14:paraId="0D736B2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2CEBCC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3818CDEB">
            <w:pPr>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w:t>
            </w:r>
          </w:p>
        </w:tc>
        <w:tc>
          <w:tcPr>
            <w:tcW w:w="6837" w:type="dxa"/>
            <w:vAlign w:val="center"/>
          </w:tcPr>
          <w:p w14:paraId="29ABD08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15E1AC24">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29BB9EE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赵箭</w:t>
            </w:r>
          </w:p>
          <w:p w14:paraId="59B220AA">
            <w:pPr>
              <w:overflowPunct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tc>
      </w:tr>
      <w:tr w14:paraId="1CE4099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979" w:type="dxa"/>
            <w:vAlign w:val="center"/>
          </w:tcPr>
          <w:p w14:paraId="74B13974">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DF61ADD">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837" w:type="dxa"/>
            <w:vAlign w:val="center"/>
          </w:tcPr>
          <w:p w14:paraId="757176B6">
            <w:pPr>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布鲁氏菌病活疫苗（S19株）</w:t>
            </w:r>
          </w:p>
        </w:tc>
      </w:tr>
      <w:tr w14:paraId="05AC63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14:paraId="734FFDC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bookmarkStart w:id="89" w:name="_Hlk105083709"/>
          </w:p>
        </w:tc>
        <w:tc>
          <w:tcPr>
            <w:tcW w:w="2509" w:type="dxa"/>
            <w:vAlign w:val="center"/>
          </w:tcPr>
          <w:p w14:paraId="5EC7B008">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6837" w:type="dxa"/>
            <w:vAlign w:val="center"/>
          </w:tcPr>
          <w:p w14:paraId="1D53127A">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60.00万元</w:t>
            </w:r>
          </w:p>
          <w:p w14:paraId="4E3D9233">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1、报价以单价为准，签订合同的供货量=该项目预算金额÷成交单价；</w:t>
            </w:r>
          </w:p>
          <w:p w14:paraId="61ED713F">
            <w:pPr>
              <w:keepNext w:val="0"/>
              <w:keepLines w:val="0"/>
              <w:pageBreakBefore w:val="0"/>
              <w:kinsoku/>
              <w:wordWrap/>
              <w:overflowPunct/>
              <w:topLinePunct w:val="0"/>
              <w:bidi w:val="0"/>
              <w:adjustRightInd/>
              <w:snapToGrid/>
              <w:spacing w:beforeAutospacing="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val="en-US" w:eastAsia="zh-CN"/>
              </w:rPr>
              <w:t>2、限价以单价为准，</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投标报价超出</w:t>
            </w:r>
            <w:r>
              <w:rPr>
                <w:rFonts w:hint="eastAsia" w:ascii="宋体" w:hAnsi="宋体" w:eastAsia="宋体" w:cs="宋体"/>
                <w:b/>
                <w:bCs/>
                <w:color w:val="auto"/>
                <w:sz w:val="24"/>
                <w:szCs w:val="24"/>
                <w:highlight w:val="none"/>
                <w:lang w:val="en-US" w:eastAsia="zh-CN"/>
              </w:rPr>
              <w:t>单价的</w:t>
            </w:r>
            <w:r>
              <w:rPr>
                <w:rFonts w:hint="eastAsia" w:ascii="宋体" w:hAnsi="宋体" w:eastAsia="宋体" w:cs="宋体"/>
                <w:b/>
                <w:bCs/>
                <w:color w:val="auto"/>
                <w:sz w:val="24"/>
                <w:szCs w:val="24"/>
                <w:highlight w:val="none"/>
              </w:rPr>
              <w:t>，作为不实质性响应</w:t>
            </w:r>
            <w:r>
              <w:rPr>
                <w:rFonts w:hint="eastAsia" w:ascii="宋体" w:hAnsi="宋体" w:eastAsia="宋体" w:cs="宋体"/>
                <w:b/>
                <w:bCs/>
                <w:color w:val="auto"/>
                <w:sz w:val="24"/>
                <w:szCs w:val="24"/>
                <w:highlight w:val="none"/>
                <w:lang w:val="en-US" w:eastAsia="zh-CN"/>
              </w:rPr>
              <w:t>单一来源</w:t>
            </w:r>
            <w:r>
              <w:rPr>
                <w:rFonts w:hint="eastAsia" w:ascii="宋体" w:hAnsi="宋体" w:eastAsia="宋体" w:cs="宋体"/>
                <w:b/>
                <w:bCs/>
                <w:color w:val="auto"/>
                <w:sz w:val="24"/>
                <w:szCs w:val="24"/>
                <w:highlight w:val="none"/>
              </w:rPr>
              <w:t>文件，按无效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文件处理。</w:t>
            </w:r>
          </w:p>
        </w:tc>
      </w:tr>
      <w:tr w14:paraId="1314B5E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14:paraId="5ED92B2E">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8EE3CF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采购方式</w:t>
            </w:r>
          </w:p>
        </w:tc>
        <w:tc>
          <w:tcPr>
            <w:tcW w:w="6837" w:type="dxa"/>
            <w:shd w:val="clear" w:color="auto" w:fill="auto"/>
            <w:vAlign w:val="center"/>
          </w:tcPr>
          <w:p w14:paraId="001A351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单一来源采购</w:t>
            </w:r>
          </w:p>
        </w:tc>
      </w:tr>
      <w:bookmarkEnd w:id="89"/>
      <w:tr w14:paraId="1438252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4409E08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9F825F0">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是否接受联合体投标</w:t>
            </w:r>
          </w:p>
        </w:tc>
        <w:tc>
          <w:tcPr>
            <w:tcW w:w="6837" w:type="dxa"/>
            <w:vAlign w:val="center"/>
          </w:tcPr>
          <w:p w14:paraId="218F5EE4">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不允许联合体投标。</w:t>
            </w:r>
          </w:p>
        </w:tc>
      </w:tr>
      <w:tr w14:paraId="4743157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88CED9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C77CD58">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联合体投标要求</w:t>
            </w:r>
          </w:p>
        </w:tc>
        <w:tc>
          <w:tcPr>
            <w:tcW w:w="6837" w:type="dxa"/>
            <w:vAlign w:val="center"/>
          </w:tcPr>
          <w:p w14:paraId="53B04F04">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无</w:t>
            </w:r>
          </w:p>
        </w:tc>
      </w:tr>
      <w:tr w14:paraId="54BE15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34EE50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6D243172">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是否允许转包/分包</w:t>
            </w:r>
          </w:p>
        </w:tc>
        <w:tc>
          <w:tcPr>
            <w:tcW w:w="6837" w:type="dxa"/>
            <w:vAlign w:val="center"/>
          </w:tcPr>
          <w:p w14:paraId="0DE8E7BD">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p>
        </w:tc>
      </w:tr>
      <w:tr w14:paraId="0ED5FD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67CD7192">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9E3A242">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媒体发布渠道</w:t>
            </w:r>
          </w:p>
        </w:tc>
        <w:tc>
          <w:tcPr>
            <w:tcW w:w="6837" w:type="dxa"/>
            <w:vAlign w:val="center"/>
          </w:tcPr>
          <w:p w14:paraId="3918328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新疆政府采购网（http://www.ccgp-xinjiang.gov.cn）</w:t>
            </w:r>
          </w:p>
        </w:tc>
      </w:tr>
      <w:tr w14:paraId="3263C44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B52611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ECDB5C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是否组织标前答疑会</w:t>
            </w:r>
          </w:p>
        </w:tc>
        <w:tc>
          <w:tcPr>
            <w:tcW w:w="6837" w:type="dxa"/>
            <w:vAlign w:val="center"/>
          </w:tcPr>
          <w:p w14:paraId="58E2FE9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不组织召开</w:t>
            </w:r>
          </w:p>
        </w:tc>
      </w:tr>
      <w:tr w14:paraId="3684B9B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2A9AA9A5">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1F2C8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w:t>
            </w:r>
          </w:p>
          <w:p w14:paraId="2BDF349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组成</w:t>
            </w:r>
          </w:p>
        </w:tc>
        <w:tc>
          <w:tcPr>
            <w:tcW w:w="6837" w:type="dxa"/>
            <w:vAlign w:val="center"/>
          </w:tcPr>
          <w:p w14:paraId="30EDD22F">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1、具有独立承担民事责任的能力；（提供合法有效的法人营业执照）</w:t>
            </w:r>
          </w:p>
          <w:p w14:paraId="384A3095">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2、具有良好的商业信誉和健全的财务会计制度；（提供202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63C78837">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3、具有履行合同所必需的设备和专业技术能力；（根据项目需求提供履行合同所必需的设备和专业技术能力的加盖单位公章的书面承诺函）</w:t>
            </w:r>
          </w:p>
          <w:p w14:paraId="4880B2D8">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4、有依法缴纳税收和社会保障资金的良好记录；（提供</w:t>
            </w: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auto"/>
                <w:sz w:val="24"/>
                <w:szCs w:val="24"/>
                <w:highlight w:val="none"/>
              </w:rPr>
              <w:t>前近半年任意一个月的依法缴纳税收和社会保障资金的相关材料）</w:t>
            </w:r>
          </w:p>
          <w:p w14:paraId="487A78D2">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5、参加政府采购活动前三年内，在经营活动中没有重大违法记录；（提供参加本次政府采购活动前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年内在经营活动中没有重大违法记录的书面承诺函并加盖单位公章）</w:t>
            </w:r>
          </w:p>
          <w:p w14:paraId="2680207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lang w:eastAsia="zh-CN"/>
              </w:rPr>
              <w:t>（提供信用信誉承诺函</w:t>
            </w:r>
            <w:r>
              <w:rPr>
                <w:rFonts w:hint="eastAsia" w:ascii="宋体" w:hAnsi="宋体" w:eastAsia="宋体" w:cs="宋体"/>
                <w:color w:val="auto"/>
                <w:sz w:val="24"/>
                <w:szCs w:val="24"/>
                <w:highlight w:val="none"/>
                <w:lang w:val="en-US" w:eastAsia="zh-CN"/>
              </w:rPr>
              <w:t>以及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B2DBDF9">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7、有效的投标保证金凭证</w:t>
            </w:r>
            <w:r>
              <w:rPr>
                <w:rFonts w:hint="eastAsia" w:ascii="宋体" w:hAnsi="宋体" w:eastAsia="宋体" w:cs="宋体"/>
                <w:color w:val="auto"/>
                <w:sz w:val="24"/>
                <w:szCs w:val="24"/>
                <w:highlight w:val="none"/>
              </w:rPr>
              <w:t>；</w:t>
            </w:r>
          </w:p>
          <w:p w14:paraId="586BB46A">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8、（1）供应商若为生产厂家则需提供有效期内的GMP证书和兽药生</w:t>
            </w:r>
            <w:r>
              <w:rPr>
                <w:rFonts w:hint="eastAsia" w:ascii="宋体" w:hAnsi="宋体" w:eastAsia="宋体" w:cs="宋体"/>
                <w:color w:val="auto"/>
                <w:sz w:val="24"/>
                <w:szCs w:val="24"/>
                <w:highlight w:val="none"/>
                <w:lang w:val="en-US" w:eastAsia="zh-CN"/>
              </w:rPr>
              <w:t>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4CED327E">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3989C7B1">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r>
      <w:tr w14:paraId="2F9D236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16FECCE4">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5FBC0B7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报价文件组成</w:t>
            </w:r>
          </w:p>
        </w:tc>
        <w:tc>
          <w:tcPr>
            <w:tcW w:w="6837" w:type="dxa"/>
            <w:shd w:val="clear" w:color="auto" w:fill="auto"/>
            <w:vAlign w:val="center"/>
          </w:tcPr>
          <w:p w14:paraId="4B039441">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1、投标函；</w:t>
            </w:r>
          </w:p>
          <w:p w14:paraId="044A5F85">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2、开标一览表；</w:t>
            </w:r>
          </w:p>
        </w:tc>
      </w:tr>
      <w:tr w14:paraId="6A289F2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311B37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28201E6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文件组成</w:t>
            </w:r>
          </w:p>
          <w:p w14:paraId="39CBC3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p>
        </w:tc>
        <w:tc>
          <w:tcPr>
            <w:tcW w:w="6837" w:type="dxa"/>
            <w:shd w:val="clear" w:color="auto" w:fill="auto"/>
            <w:vAlign w:val="center"/>
          </w:tcPr>
          <w:p w14:paraId="4FF42BF3">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1、无串通投标行为的承诺函；</w:t>
            </w:r>
          </w:p>
          <w:p w14:paraId="66A82DD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w:t>
            </w:r>
          </w:p>
          <w:p w14:paraId="7FD6A2F8">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3、法定代表人授权委托书（如有委托时）；</w:t>
            </w:r>
          </w:p>
          <w:p w14:paraId="4A1947D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、技术需求偏离表</w:t>
            </w:r>
            <w:r>
              <w:rPr>
                <w:rFonts w:hint="eastAsia" w:ascii="宋体" w:hAnsi="宋体" w:eastAsia="宋体" w:cs="宋体"/>
                <w:color w:val="auto"/>
                <w:sz w:val="24"/>
                <w:szCs w:val="24"/>
                <w:highlight w:val="none"/>
                <w:lang w:eastAsia="zh-CN"/>
              </w:rPr>
              <w:t>；</w:t>
            </w:r>
          </w:p>
          <w:p w14:paraId="5F71114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w:t>
            </w:r>
          </w:p>
          <w:p w14:paraId="7B144460">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p>
          <w:p w14:paraId="42886FB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类似业绩的证明文件；</w:t>
            </w:r>
          </w:p>
          <w:p w14:paraId="0014C81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、拟投入项目人员情况表；</w:t>
            </w:r>
          </w:p>
          <w:p w14:paraId="3534A7DD">
            <w:pPr>
              <w:pStyle w:val="145"/>
              <w:spacing w:line="360" w:lineRule="auto"/>
              <w:rPr>
                <w:rFonts w:hint="eastAsia" w:ascii="宋体" w:hAnsi="宋体" w:eastAsia="宋体" w:cs="宋体"/>
                <w:color w:val="auto"/>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中小企业声明函</w:t>
            </w:r>
            <w:r>
              <w:rPr>
                <w:rFonts w:hint="eastAsia" w:cs="宋体"/>
                <w:color w:val="auto"/>
                <w:sz w:val="24"/>
                <w:szCs w:val="24"/>
                <w:highlight w:val="none"/>
                <w:lang w:eastAsia="zh-CN"/>
              </w:rPr>
              <w:t>（</w:t>
            </w:r>
            <w:r>
              <w:rPr>
                <w:rFonts w:hint="eastAsia" w:cs="宋体"/>
                <w:color w:val="auto"/>
                <w:sz w:val="24"/>
                <w:szCs w:val="24"/>
                <w:highlight w:val="none"/>
                <w:lang w:val="en-US" w:eastAsia="zh-CN"/>
              </w:rPr>
              <w:t>如涉及</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0DB820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产品及性能</w:t>
            </w:r>
          </w:p>
          <w:p w14:paraId="7915AD4E">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技术方案</w:t>
            </w:r>
          </w:p>
          <w:p w14:paraId="30237EAE">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rPr>
              <w:t>材料。</w:t>
            </w:r>
          </w:p>
        </w:tc>
      </w:tr>
      <w:tr w14:paraId="2F76E8A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1149052">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E2C2AD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w:t>
            </w:r>
          </w:p>
          <w:p w14:paraId="7997250A">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要求</w:t>
            </w:r>
          </w:p>
        </w:tc>
        <w:tc>
          <w:tcPr>
            <w:tcW w:w="6837" w:type="dxa"/>
            <w:shd w:val="clear" w:color="auto" w:fill="auto"/>
            <w:vAlign w:val="center"/>
          </w:tcPr>
          <w:p w14:paraId="219B25A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应</w:t>
            </w:r>
            <w:r>
              <w:rPr>
                <w:rFonts w:hint="eastAsia" w:ascii="宋体" w:hAnsi="宋体" w:eastAsia="宋体" w:cs="宋体"/>
                <w:b w:val="0"/>
                <w:bCs/>
                <w:color w:val="auto"/>
                <w:sz w:val="24"/>
                <w:szCs w:val="24"/>
                <w:highlight w:val="none"/>
                <w:u w:val="none"/>
                <w:lang w:val="en-US" w:eastAsia="zh-CN"/>
              </w:rPr>
              <w:t>按</w:t>
            </w:r>
            <w:r>
              <w:rPr>
                <w:rFonts w:hint="eastAsia" w:ascii="宋体" w:hAnsi="宋体" w:eastAsia="宋体" w:cs="宋体"/>
                <w:b w:val="0"/>
                <w:bCs/>
                <w:color w:val="auto"/>
                <w:sz w:val="24"/>
                <w:szCs w:val="24"/>
                <w:highlight w:val="none"/>
                <w:u w:val="none"/>
              </w:rPr>
              <w:t>资格证明文件、报价文件、</w:t>
            </w:r>
            <w:r>
              <w:rPr>
                <w:rFonts w:hint="eastAsia" w:ascii="宋体" w:hAnsi="宋体" w:eastAsia="宋体" w:cs="宋体"/>
                <w:b w:val="0"/>
                <w:bCs/>
                <w:color w:val="auto"/>
                <w:sz w:val="24"/>
                <w:szCs w:val="24"/>
                <w:highlight w:val="none"/>
                <w:u w:val="none"/>
                <w:lang w:val="en-US" w:eastAsia="zh-CN"/>
              </w:rPr>
              <w:t>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rPr>
              <w:t>文件分别编制，资格证明</w:t>
            </w:r>
            <w:r>
              <w:rPr>
                <w:rFonts w:hint="eastAsia" w:ascii="宋体" w:hAnsi="宋体" w:eastAsia="宋体" w:cs="宋体"/>
                <w:b w:val="0"/>
                <w:bCs/>
                <w:color w:val="auto"/>
                <w:sz w:val="24"/>
                <w:szCs w:val="24"/>
                <w:highlight w:val="none"/>
                <w:u w:val="none"/>
                <w:lang w:val="en-US" w:eastAsia="zh-CN"/>
              </w:rPr>
              <w:t>文件</w:t>
            </w:r>
            <w:r>
              <w:rPr>
                <w:rFonts w:hint="eastAsia" w:ascii="宋体" w:hAnsi="宋体" w:eastAsia="宋体" w:cs="宋体"/>
                <w:b w:val="0"/>
                <w:bCs/>
                <w:color w:val="auto"/>
                <w:sz w:val="24"/>
                <w:szCs w:val="24"/>
                <w:highlight w:val="none"/>
                <w:u w:val="none"/>
              </w:rPr>
              <w:t>、报价文件</w:t>
            </w:r>
            <w:r>
              <w:rPr>
                <w:rFonts w:hint="eastAsia" w:ascii="宋体" w:hAnsi="宋体" w:eastAsia="宋体" w:cs="宋体"/>
                <w:b w:val="0"/>
                <w:bCs/>
                <w:color w:val="auto"/>
                <w:sz w:val="24"/>
                <w:szCs w:val="24"/>
                <w:highlight w:val="none"/>
                <w:u w:val="none"/>
                <w:lang w:val="en-US" w:eastAsia="zh-CN"/>
              </w:rPr>
              <w:t>以及商务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lang w:eastAsia="zh-CN"/>
              </w:rPr>
              <w:t>文件</w:t>
            </w:r>
            <w:r>
              <w:rPr>
                <w:rFonts w:hint="eastAsia" w:ascii="宋体" w:hAnsi="宋体" w:eastAsia="宋体" w:cs="宋体"/>
                <w:b w:val="0"/>
                <w:bCs/>
                <w:color w:val="auto"/>
                <w:sz w:val="24"/>
                <w:szCs w:val="24"/>
                <w:highlight w:val="none"/>
                <w:u w:val="none"/>
              </w:rPr>
              <w:t>文件按顺序合并生成电子文件。电子版</w:t>
            </w: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制作方式见招标公告。</w:t>
            </w:r>
          </w:p>
          <w:p w14:paraId="53493A0C">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kern w:val="2"/>
                <w:sz w:val="24"/>
                <w:szCs w:val="24"/>
                <w:highlight w:val="none"/>
                <w:u w:val="single"/>
                <w:lang w:val="en-US" w:eastAsia="zh-CN" w:bidi="ar-SA"/>
              </w:rPr>
            </w:pPr>
            <w:r>
              <w:rPr>
                <w:rFonts w:hint="eastAsia" w:ascii="宋体" w:hAnsi="宋体" w:eastAsia="宋体" w:cs="宋体"/>
                <w:b/>
                <w:bCs w:val="0"/>
                <w:color w:val="auto"/>
                <w:sz w:val="24"/>
                <w:szCs w:val="24"/>
                <w:highlight w:val="none"/>
                <w:u w:val="none"/>
              </w:rPr>
              <w:t>在开标结束后</w:t>
            </w:r>
            <w:r>
              <w:rPr>
                <w:rFonts w:hint="eastAsia" w:ascii="宋体" w:hAnsi="宋体" w:eastAsia="宋体" w:cs="宋体"/>
                <w:b/>
                <w:bCs w:val="0"/>
                <w:color w:val="auto"/>
                <w:sz w:val="24"/>
                <w:szCs w:val="24"/>
                <w:highlight w:val="none"/>
                <w:u w:val="none"/>
                <w:lang w:eastAsia="zh-CN"/>
              </w:rPr>
              <w:t>成交</w:t>
            </w:r>
            <w:r>
              <w:rPr>
                <w:rFonts w:hint="eastAsia" w:ascii="宋体" w:hAnsi="宋体" w:eastAsia="宋体" w:cs="宋体"/>
                <w:b/>
                <w:bCs w:val="0"/>
                <w:color w:val="auto"/>
                <w:sz w:val="24"/>
                <w:szCs w:val="24"/>
                <w:highlight w:val="none"/>
                <w:u w:val="none"/>
              </w:rPr>
              <w:t>单位须向采购代理机构递交纸质响应文件</w:t>
            </w:r>
            <w:r>
              <w:rPr>
                <w:rFonts w:hint="eastAsia" w:ascii="宋体" w:hAnsi="宋体" w:eastAsia="宋体" w:cs="宋体"/>
                <w:b/>
                <w:bCs w:val="0"/>
                <w:color w:val="auto"/>
                <w:sz w:val="24"/>
                <w:szCs w:val="24"/>
                <w:highlight w:val="none"/>
                <w:u w:val="none"/>
                <w:lang w:eastAsia="zh-CN"/>
              </w:rPr>
              <w:t>一</w:t>
            </w:r>
            <w:r>
              <w:rPr>
                <w:rFonts w:hint="eastAsia" w:ascii="宋体" w:hAnsi="宋体" w:eastAsia="宋体" w:cs="宋体"/>
                <w:b/>
                <w:bCs w:val="0"/>
                <w:color w:val="auto"/>
                <w:sz w:val="24"/>
                <w:szCs w:val="24"/>
                <w:highlight w:val="none"/>
                <w:u w:val="none"/>
              </w:rPr>
              <w:t>份，印章齐全。</w:t>
            </w:r>
          </w:p>
        </w:tc>
      </w:tr>
      <w:tr w14:paraId="59CF54D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4C2863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4CEF34D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备份</w:t>
            </w:r>
            <w:r>
              <w:rPr>
                <w:rFonts w:hint="eastAsia" w:ascii="宋体" w:hAnsi="宋体" w:eastAsia="宋体" w:cs="宋体"/>
                <w:color w:val="auto"/>
                <w:sz w:val="24"/>
                <w:szCs w:val="24"/>
                <w:highlight w:val="none"/>
                <w:lang w:eastAsia="zh-CN"/>
              </w:rPr>
              <w:t>响应文件</w:t>
            </w:r>
          </w:p>
        </w:tc>
        <w:tc>
          <w:tcPr>
            <w:tcW w:w="6837" w:type="dxa"/>
            <w:shd w:val="clear" w:color="auto" w:fill="auto"/>
            <w:vAlign w:val="center"/>
          </w:tcPr>
          <w:p w14:paraId="697DA9D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本项目不接受备份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14:paraId="6FF3676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6120EF5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059705CA">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构成采购文件的</w:t>
            </w:r>
          </w:p>
          <w:p w14:paraId="75EBE62D">
            <w:pPr>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其他文件</w:t>
            </w:r>
          </w:p>
        </w:tc>
        <w:tc>
          <w:tcPr>
            <w:tcW w:w="6837" w:type="dxa"/>
            <w:shd w:val="clear" w:color="auto" w:fill="auto"/>
            <w:vAlign w:val="center"/>
          </w:tcPr>
          <w:p w14:paraId="2E8C3A9A">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采购文件的澄清、修改书及有关补充通知为</w:t>
            </w:r>
            <w:r>
              <w:rPr>
                <w:rFonts w:hint="eastAsia" w:ascii="宋体" w:hAnsi="宋体" w:eastAsia="宋体" w:cs="宋体"/>
                <w:color w:val="auto"/>
                <w:sz w:val="24"/>
                <w:szCs w:val="24"/>
              </w:rPr>
              <w:t>采购</w:t>
            </w:r>
            <w:r>
              <w:rPr>
                <w:rFonts w:hint="eastAsia" w:ascii="宋体" w:hAnsi="宋体" w:eastAsia="宋体" w:cs="宋体"/>
                <w:color w:val="auto"/>
                <w:sz w:val="24"/>
                <w:szCs w:val="24"/>
                <w:lang w:val="zh-CN"/>
              </w:rPr>
              <w:t>文件的有效组成部分。</w:t>
            </w:r>
          </w:p>
        </w:tc>
      </w:tr>
      <w:tr w14:paraId="526171F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Merge w:val="restart"/>
            <w:vAlign w:val="center"/>
          </w:tcPr>
          <w:p w14:paraId="0938871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79A8B03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信用查询渠道</w:t>
            </w:r>
          </w:p>
        </w:tc>
        <w:tc>
          <w:tcPr>
            <w:tcW w:w="6837" w:type="dxa"/>
            <w:vAlign w:val="center"/>
          </w:tcPr>
          <w:p w14:paraId="03BBB027">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sz w:val="24"/>
                <w:szCs w:val="24"/>
              </w:rPr>
            </w:pPr>
            <w:r>
              <w:rPr>
                <w:rFonts w:hint="eastAsia" w:ascii="宋体" w:hAnsi="宋体" w:eastAsia="宋体" w:cs="宋体"/>
                <w:color w:val="auto"/>
                <w:sz w:val="24"/>
                <w:szCs w:val="24"/>
                <w:highlight w:val="none"/>
              </w:rPr>
              <w:t>查询渠道：“信用中国”网站(www.creditchina.gov.cn)、中国政府采购网(www.ccgp.gov.cn)。</w:t>
            </w:r>
          </w:p>
        </w:tc>
      </w:tr>
      <w:tr w14:paraId="6DAA227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Merge w:val="continue"/>
            <w:vAlign w:val="center"/>
          </w:tcPr>
          <w:p w14:paraId="52D0C6C6">
            <w:pPr>
              <w:tabs>
                <w:tab w:val="left" w:pos="397"/>
              </w:tabs>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6E4DB38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w:t>
            </w:r>
          </w:p>
          <w:p w14:paraId="7389915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rPr>
            </w:pPr>
            <w:r>
              <w:rPr>
                <w:rFonts w:hint="eastAsia" w:ascii="宋体" w:hAnsi="宋体" w:eastAsia="宋体" w:cs="宋体"/>
                <w:color w:val="auto"/>
                <w:sz w:val="24"/>
                <w:szCs w:val="24"/>
                <w:highlight w:val="none"/>
              </w:rPr>
              <w:t>使用规则</w:t>
            </w:r>
          </w:p>
        </w:tc>
        <w:tc>
          <w:tcPr>
            <w:tcW w:w="6837" w:type="dxa"/>
            <w:vAlign w:val="center"/>
          </w:tcPr>
          <w:p w14:paraId="2E3F69D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、根据《关于在政府采购活动中查询及使用信用记录有关问题的通知》(财库(2016)125号)的规定，对被列入“失信被执行人”“重大税收违法失信主体”的供应商，拒绝参与本项目政府采购活动。</w:t>
            </w:r>
          </w:p>
          <w:p w14:paraId="6D1CD04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、供应商存在不良信用记录的，其响应将按无效处理</w:t>
            </w:r>
            <w:r>
              <w:rPr>
                <w:rFonts w:hint="eastAsia" w:ascii="宋体" w:hAnsi="宋体" w:eastAsia="宋体" w:cs="宋体"/>
                <w:color w:val="auto"/>
                <w:sz w:val="24"/>
                <w:szCs w:val="24"/>
                <w:highlight w:val="none"/>
                <w:lang w:eastAsia="zh-CN"/>
              </w:rPr>
              <w:t>。</w:t>
            </w:r>
          </w:p>
        </w:tc>
      </w:tr>
      <w:tr w14:paraId="65E6352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3311DB6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F00DE5A">
            <w:pPr>
              <w:overflowPunct w:val="0"/>
              <w:spacing w:line="360" w:lineRule="auto"/>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投标有效期</w:t>
            </w:r>
          </w:p>
        </w:tc>
        <w:tc>
          <w:tcPr>
            <w:tcW w:w="6837" w:type="dxa"/>
            <w:vAlign w:val="center"/>
          </w:tcPr>
          <w:p w14:paraId="2F5EE0E3">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90天</w:t>
            </w:r>
          </w:p>
        </w:tc>
      </w:tr>
      <w:tr w14:paraId="6B99F46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7B39FC3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5CAE612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投标保证金金额</w:t>
            </w:r>
          </w:p>
        </w:tc>
        <w:tc>
          <w:tcPr>
            <w:tcW w:w="6837" w:type="dxa"/>
            <w:vAlign w:val="center"/>
          </w:tcPr>
          <w:p w14:paraId="498E77D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投标保证金</w:t>
            </w:r>
            <w:r>
              <w:rPr>
                <w:rFonts w:hint="eastAsia" w:ascii="宋体" w:hAnsi="宋体" w:eastAsia="宋体" w:cs="宋体"/>
                <w:b/>
                <w:bCs/>
                <w:color w:val="auto"/>
                <w:sz w:val="24"/>
                <w:szCs w:val="24"/>
                <w:highlight w:val="none"/>
                <w:lang w:val="en-US" w:eastAsia="zh-CN"/>
              </w:rPr>
              <w:t>缴纳方式：电汇、网银转账、保函等非现金形式缴纳</w:t>
            </w:r>
          </w:p>
          <w:p w14:paraId="60AE4B80">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保证金金额：5004.00元（大写：伍仟零肆元整）</w:t>
            </w:r>
          </w:p>
          <w:p w14:paraId="0B79780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开户银行:乌鲁木齐银行营业部</w:t>
            </w:r>
          </w:p>
          <w:p w14:paraId="37CB0F73">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账号:0000020080110023481768</w:t>
            </w:r>
          </w:p>
          <w:p w14:paraId="460151E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行号:313881000019</w:t>
            </w:r>
          </w:p>
          <w:p w14:paraId="0B300E1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注：1、保证金必须从企业基本帐户缴纳至采购代理机构给定的基本账户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以个人、企业的办事处、分公司、子公司名义或从他人帐户、供应商企业的其他账户缴纳的保证金无效。</w:t>
            </w:r>
          </w:p>
          <w:p w14:paraId="5828E34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打款时须注明项目名称（可简写）。</w:t>
            </w:r>
          </w:p>
          <w:p w14:paraId="4827F2A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2、保证金必须在投标截止时间（开标时间）前缴纳至招标代理公司账户。供应商需自行评估因异地、跨行、公休日等因素造成的保证金到账延迟风险，并承担相应责任。</w:t>
            </w:r>
          </w:p>
          <w:p w14:paraId="5262285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3、到账截止时间：</w:t>
            </w:r>
            <w:r>
              <w:rPr>
                <w:rFonts w:hint="eastAsia" w:ascii="宋体" w:hAnsi="宋体" w:eastAsia="宋体" w:cs="宋体"/>
                <w:b/>
                <w:bCs/>
                <w:color w:val="auto"/>
                <w:sz w:val="24"/>
                <w:szCs w:val="24"/>
                <w:highlight w:val="none"/>
                <w:u w:val="single"/>
                <w:lang w:val="en-US" w:eastAsia="zh-CN"/>
              </w:rPr>
              <w:t>2026年6月3日16</w:t>
            </w:r>
            <w:r>
              <w:rPr>
                <w:rFonts w:hint="eastAsia" w:ascii="宋体" w:hAnsi="宋体" w:eastAsia="宋体" w:cs="宋体"/>
                <w:b/>
                <w:bCs/>
                <w:color w:val="auto"/>
                <w:sz w:val="24"/>
                <w:szCs w:val="24"/>
                <w:highlight w:val="none"/>
                <w:u w:val="single"/>
                <w:lang w:val="en-US" w:eastAsia="zh-CN"/>
              </w:rPr>
              <w:t>:00</w:t>
            </w:r>
            <w:r>
              <w:rPr>
                <w:rFonts w:hint="eastAsia" w:ascii="宋体" w:hAnsi="宋体" w:eastAsia="宋体" w:cs="宋体"/>
                <w:color w:val="auto"/>
                <w:sz w:val="24"/>
                <w:szCs w:val="24"/>
                <w:highlight w:val="none"/>
              </w:rPr>
              <w:t>（北京时</w:t>
            </w:r>
            <w:r>
              <w:rPr>
                <w:rFonts w:hint="eastAsia" w:ascii="宋体" w:hAnsi="宋体" w:eastAsia="宋体" w:cs="宋体"/>
                <w:color w:val="auto"/>
                <w:sz w:val="24"/>
                <w:szCs w:val="24"/>
                <w:highlight w:val="none"/>
              </w:rPr>
              <w:t>间）（以银行记录确认到账为准）。</w:t>
            </w:r>
          </w:p>
          <w:p w14:paraId="73500EAF">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4、为简化手续，优化流程，采用电子支付方式提交保证金的，在退还时，按原路退回，收取时不开具收据，退还时也不要求提交收据。</w:t>
            </w:r>
          </w:p>
          <w:p w14:paraId="314B82C7">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5、采用电子保函形式应按以下要求办理：</w:t>
            </w:r>
          </w:p>
          <w:p w14:paraId="0218EEA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（1）电子保函按照“一标段一保函”的原则。</w:t>
            </w:r>
          </w:p>
          <w:p w14:paraId="0D8BED8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（2）电子保函须在招标文件规定的投标截止时间前办理完成。</w:t>
            </w:r>
          </w:p>
          <w:p w14:paraId="6F972902">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（3）具体办理流程详见新疆政府采购网《新疆政府采购电子保函操作流程》。</w:t>
            </w:r>
          </w:p>
          <w:p w14:paraId="4FE24D48">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（4）供应商以保函形式缴纳投标保证金的，将电子投标保单作为电子响应文件组成部分在投标时一并提交。</w:t>
            </w:r>
          </w:p>
          <w:p w14:paraId="18472C23">
            <w:pPr>
              <w:pageBreakBefore w:val="0"/>
              <w:wordWrap/>
              <w:topLinePunct w:val="0"/>
              <w:bidi w:val="0"/>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（备注：如采用电子保函形式缴纳的，在投标截止日之前须从新疆电子保函服务管理平台中确认是否生效。电子保函服务管理平台技术人员联系方式：95763。）</w:t>
            </w:r>
          </w:p>
          <w:p w14:paraId="65260952">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注：1、如果发现供应商有围标、串标行为，其</w:t>
            </w:r>
            <w:r>
              <w:rPr>
                <w:rFonts w:hint="eastAsia" w:ascii="宋体" w:hAnsi="宋体" w:eastAsia="宋体" w:cs="宋体"/>
                <w:color w:val="auto"/>
                <w:sz w:val="24"/>
                <w:highlight w:val="none"/>
                <w:lang w:val="en-US" w:eastAsia="zh-CN"/>
              </w:rPr>
              <w:t>磋商响应</w:t>
            </w:r>
            <w:r>
              <w:rPr>
                <w:rFonts w:hint="eastAsia" w:ascii="宋体" w:hAnsi="宋体" w:eastAsia="宋体" w:cs="宋体"/>
                <w:color w:val="auto"/>
                <w:sz w:val="24"/>
                <w:highlight w:val="none"/>
              </w:rPr>
              <w:t>无效，且磋商保证金将被没收，不予退还；</w:t>
            </w:r>
          </w:p>
          <w:p w14:paraId="0E040D1D">
            <w:pPr>
              <w:keepNext w:val="0"/>
              <w:keepLines w:val="0"/>
              <w:pageBreakBefore w:val="0"/>
              <w:kinsoku/>
              <w:wordWrap/>
              <w:topLinePunct w:val="0"/>
              <w:bidi w:val="0"/>
              <w:adjustRightIn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2、磋商保证金未按规定时间缴纳或提交金额不足的，其响应将被否决，供应商应充分考虑资金在途时间；</w:t>
            </w:r>
          </w:p>
          <w:p w14:paraId="5D9974E5">
            <w:pPr>
              <w:spacing w:line="360" w:lineRule="auto"/>
              <w:rPr>
                <w:rFonts w:hint="eastAsia" w:ascii="宋体" w:hAnsi="宋体" w:eastAsia="宋体" w:cs="宋体"/>
                <w:color w:val="auto"/>
                <w:sz w:val="24"/>
                <w:szCs w:val="24"/>
              </w:rPr>
            </w:pPr>
            <w:r>
              <w:rPr>
                <w:rFonts w:hint="eastAsia" w:ascii="宋体" w:hAnsi="宋体" w:eastAsia="宋体" w:cs="宋体"/>
                <w:color w:val="auto"/>
                <w:sz w:val="24"/>
                <w:highlight w:val="none"/>
              </w:rPr>
              <w:t>3、磋商保证金以电汇或网银转账形式递交的必须由投标供应商的账户汇出（个体工商户、自然人除外），缴纳至采购代理机构指定账户。</w:t>
            </w:r>
          </w:p>
        </w:tc>
      </w:tr>
      <w:tr w14:paraId="2D6EC2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11D5B2E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5A872900">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lang w:val="en-US" w:eastAsia="zh-CN"/>
              </w:rPr>
              <w:t>保证金</w:t>
            </w:r>
          </w:p>
        </w:tc>
        <w:tc>
          <w:tcPr>
            <w:tcW w:w="6837" w:type="dxa"/>
            <w:vAlign w:val="bottom"/>
          </w:tcPr>
          <w:p w14:paraId="4636C2F2">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金    额：</w:t>
            </w:r>
            <w:r>
              <w:rPr>
                <w:rFonts w:hint="eastAsia" w:ascii="宋体" w:hAnsi="宋体" w:eastAsia="宋体" w:cs="宋体"/>
                <w:b w:val="0"/>
                <w:bCs w:val="0"/>
                <w:color w:val="auto"/>
                <w:sz w:val="24"/>
                <w:szCs w:val="24"/>
                <w:u w:val="single"/>
              </w:rPr>
              <w:t>合同总金额的 10 %</w:t>
            </w:r>
          </w:p>
          <w:p w14:paraId="1215C7F1">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交款方式：保函</w:t>
            </w:r>
          </w:p>
          <w:p w14:paraId="08C396EE">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备    注：</w:t>
            </w:r>
            <w:r>
              <w:rPr>
                <w:rFonts w:hint="eastAsia" w:ascii="宋体" w:hAnsi="宋体" w:eastAsia="宋体" w:cs="宋体"/>
                <w:b w:val="0"/>
                <w:bCs w:val="0"/>
                <w:color w:val="auto"/>
                <w:sz w:val="24"/>
                <w:szCs w:val="24"/>
                <w:lang w:val="en-US" w:eastAsia="zh-CN"/>
              </w:rPr>
              <w:t>项目名称（可简写）</w:t>
            </w:r>
          </w:p>
          <w:p w14:paraId="0BD2691C">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交款时间：成交通知书发放后15个工作日；</w:t>
            </w:r>
          </w:p>
          <w:p w14:paraId="4F58CCF6">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备注：1、成交人须在合同签订前提供有效的履约保函；</w:t>
            </w:r>
          </w:p>
          <w:p w14:paraId="48048F16">
            <w:pPr>
              <w:pStyle w:val="4"/>
              <w:numPr>
                <w:ilvl w:val="0"/>
                <w:numId w:val="0"/>
              </w:numPr>
              <w:ind w:left="0" w:leftChars="0" w:firstLine="720" w:firstLineChars="300"/>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2、成交人未按采购文件规定提供履约保函的，视为</w:t>
            </w:r>
            <w:r>
              <w:rPr>
                <w:rFonts w:hint="eastAsia" w:eastAsia="宋体" w:cs="宋体"/>
                <w:b w:val="0"/>
                <w:bCs w:val="0"/>
                <w:color w:val="auto"/>
                <w:sz w:val="24"/>
                <w:szCs w:val="24"/>
                <w:lang w:val="en-US" w:eastAsia="zh-CN"/>
              </w:rPr>
              <w:t>成交</w:t>
            </w:r>
            <w:r>
              <w:rPr>
                <w:rFonts w:hint="eastAsia" w:ascii="宋体" w:hAnsi="宋体" w:eastAsia="宋体" w:cs="宋体"/>
                <w:b w:val="0"/>
                <w:bCs w:val="0"/>
                <w:color w:val="auto"/>
                <w:sz w:val="24"/>
                <w:szCs w:val="24"/>
                <w:lang w:val="en-US" w:eastAsia="zh-CN"/>
              </w:rPr>
              <w:t>人拒绝与采购人签订合同。</w:t>
            </w:r>
          </w:p>
        </w:tc>
      </w:tr>
      <w:tr w14:paraId="3778376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restart"/>
            <w:vAlign w:val="center"/>
          </w:tcPr>
          <w:p w14:paraId="64B96FF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7B3E63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接收</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val="en-US" w:eastAsia="zh-CN"/>
              </w:rPr>
              <w:t>方式</w:t>
            </w:r>
          </w:p>
        </w:tc>
        <w:tc>
          <w:tcPr>
            <w:tcW w:w="6837" w:type="dxa"/>
            <w:vAlign w:val="center"/>
          </w:tcPr>
          <w:p w14:paraId="414E40C0">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1、对采购文件提出质疑的，应当在获取采购文件或者采购文件公告期限届满之日起7个工作日内提出。</w:t>
            </w:r>
          </w:p>
          <w:p w14:paraId="74FA1E97">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对采购过程提出质疑时间：为各采购程序环节结束之日起七个工作日内。</w:t>
            </w:r>
          </w:p>
          <w:p w14:paraId="13ED1881">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对采购结果提出质疑时间：为中标结果公告发布次日后七个工作日内。</w:t>
            </w:r>
          </w:p>
          <w:p w14:paraId="3B14E1EA">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备注：1、采购单位无正当理由不按照依法推荐的中标候选供应商顺序确定中标供应商，或者在评标委员会依法推荐的中标候选供应商以外确定中标供应商的质疑由采购单位受理。</w:t>
            </w:r>
          </w:p>
          <w:p w14:paraId="4947C1A4">
            <w:pPr>
              <w:keepNext w:val="0"/>
              <w:keepLines w:val="0"/>
              <w:pageBreakBefore w:val="0"/>
              <w:numPr>
                <w:ilvl w:val="0"/>
                <w:numId w:val="0"/>
              </w:numPr>
              <w:kinsoku/>
              <w:wordWrap/>
              <w:overflowPunct/>
              <w:topLinePunct w:val="0"/>
              <w:bidi w:val="0"/>
              <w:adjustRightInd/>
              <w:snapToGrid/>
              <w:spacing w:beforeAutospacing="0" w:line="360" w:lineRule="auto"/>
              <w:ind w:left="0" w:leftChars="0"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供应商应当在法定质疑期内</w:t>
            </w:r>
            <w:r>
              <w:rPr>
                <w:rFonts w:hint="eastAsia" w:ascii="宋体" w:hAnsi="宋体" w:eastAsia="宋体" w:cs="宋体"/>
                <w:color w:val="auto"/>
                <w:sz w:val="24"/>
                <w:szCs w:val="24"/>
                <w:highlight w:val="none"/>
                <w:lang w:val="en-US" w:eastAsia="zh-CN"/>
              </w:rPr>
              <w:t>以书面形式递交并</w:t>
            </w:r>
            <w:r>
              <w:rPr>
                <w:rFonts w:hint="eastAsia" w:ascii="宋体" w:hAnsi="宋体" w:eastAsia="宋体" w:cs="宋体"/>
                <w:color w:val="auto"/>
                <w:sz w:val="24"/>
                <w:szCs w:val="24"/>
                <w:highlight w:val="none"/>
              </w:rPr>
              <w:t>一次性提出针对统一采购程序环节的质疑。</w:t>
            </w:r>
          </w:p>
        </w:tc>
      </w:tr>
      <w:tr w14:paraId="018889F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0DB00880">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BB8914D">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质疑联系部门及联系方式</w:t>
            </w:r>
          </w:p>
        </w:tc>
        <w:tc>
          <w:tcPr>
            <w:tcW w:w="6837" w:type="dxa"/>
            <w:vAlign w:val="center"/>
          </w:tcPr>
          <w:p w14:paraId="2425B79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eastAsia="zh-CN"/>
              </w:rPr>
              <w:t>新疆诚誉工程项目管理有限公司</w:t>
            </w:r>
            <w:r>
              <w:rPr>
                <w:rFonts w:hint="eastAsia" w:ascii="宋体" w:hAnsi="宋体" w:eastAsia="宋体" w:cs="宋体"/>
                <w:color w:val="auto"/>
                <w:sz w:val="24"/>
                <w:szCs w:val="24"/>
                <w:highlight w:val="none"/>
              </w:rPr>
              <w:t>；</w:t>
            </w:r>
          </w:p>
          <w:p w14:paraId="64438E7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18690180651</w:t>
            </w:r>
          </w:p>
          <w:p w14:paraId="797346F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577057B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r>
              <w:rPr>
                <w:rFonts w:hint="eastAsia" w:ascii="宋体" w:hAnsi="宋体" w:eastAsia="宋体" w:cs="宋体"/>
                <w:color w:val="auto"/>
                <w:sz w:val="24"/>
                <w:szCs w:val="24"/>
                <w:highlight w:val="none"/>
              </w:rPr>
              <w:t>；</w:t>
            </w:r>
          </w:p>
          <w:p w14:paraId="45D72EC4">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0991-4650169</w:t>
            </w:r>
          </w:p>
          <w:p w14:paraId="016B31BE">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乌鲁木齐市新市区蓝天路268号</w:t>
            </w:r>
          </w:p>
        </w:tc>
      </w:tr>
      <w:tr w14:paraId="537836E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2E1A2D8C">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BAC2C55">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现场提交质疑办理业务时间</w:t>
            </w:r>
          </w:p>
        </w:tc>
        <w:tc>
          <w:tcPr>
            <w:tcW w:w="6837" w:type="dxa"/>
            <w:vAlign w:val="center"/>
          </w:tcPr>
          <w:p w14:paraId="5F2B3D13">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质疑期内每个工作日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rPr>
              <w:t>13</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r>
      <w:tr w14:paraId="1409AD7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20237A9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3B8E841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供应商投诉</w:t>
            </w:r>
          </w:p>
        </w:tc>
        <w:tc>
          <w:tcPr>
            <w:tcW w:w="6837" w:type="dxa"/>
            <w:vAlign w:val="center"/>
          </w:tcPr>
          <w:p w14:paraId="2975B10D">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投诉受理单位：本项目同级财政部门</w:t>
            </w:r>
          </w:p>
          <w:p w14:paraId="1731883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受理方式：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纸质方式受理，投诉书正、副本（经过质疑的事项才可投诉）。</w:t>
            </w:r>
          </w:p>
          <w:p w14:paraId="7670D681">
            <w:pPr>
              <w:keepNext w:val="0"/>
              <w:keepLines w:val="0"/>
              <w:pageBreakBefore w:val="0"/>
              <w:kinsoku/>
              <w:wordWrap/>
              <w:overflowPunct/>
              <w:topLinePunct w:val="0"/>
              <w:bidi w:val="0"/>
              <w:adjustRightInd/>
              <w:snapToGrid/>
              <w:spacing w:before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质疑答复不满意后 15 个工作日内向财政部门投诉。</w:t>
            </w:r>
          </w:p>
          <w:p w14:paraId="1C893664">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注：根据《中华人民共和国政府采购法实施条例》的规定，供应商投诉事项不得超出已质疑事项的范围。</w:t>
            </w:r>
          </w:p>
        </w:tc>
      </w:tr>
      <w:tr w14:paraId="34A5A0B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restart"/>
            <w:vAlign w:val="center"/>
          </w:tcPr>
          <w:p w14:paraId="5BB737B9">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295C633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采购代理费支付方式</w:t>
            </w:r>
          </w:p>
        </w:tc>
        <w:tc>
          <w:tcPr>
            <w:tcW w:w="6837" w:type="dxa"/>
            <w:vAlign w:val="center"/>
          </w:tcPr>
          <w:p w14:paraId="4920C41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本项目代理费由</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人在领取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通知书前，一次性向采购代理机构支付。</w:t>
            </w:r>
          </w:p>
        </w:tc>
      </w:tr>
      <w:tr w14:paraId="01D824B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5C0E82E1">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5DDFF6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采购代理费收取</w:t>
            </w:r>
          </w:p>
        </w:tc>
        <w:tc>
          <w:tcPr>
            <w:tcW w:w="6837" w:type="dxa"/>
            <w:vAlign w:val="center"/>
          </w:tcPr>
          <w:p w14:paraId="713AF61A">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代理服务费以预算金额为基数，参照国家发展改革委员会发改价格〔2015〕299号）文件及《招标代理服务收费管理暂行办法》（计价格〔2002〕1980号）标准下浮50%计取。由成交单位领取成交通知书前一次性支付。</w:t>
            </w:r>
          </w:p>
        </w:tc>
      </w:tr>
      <w:tr w14:paraId="5969AEB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17F3E5D3">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52EB43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代理服务费收款账户信息</w:t>
            </w:r>
          </w:p>
        </w:tc>
        <w:tc>
          <w:tcPr>
            <w:tcW w:w="6837" w:type="dxa"/>
            <w:vAlign w:val="center"/>
          </w:tcPr>
          <w:p w14:paraId="147E1A8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单位名称:新疆诚誉工程项目管理有限公司</w:t>
            </w:r>
          </w:p>
          <w:p w14:paraId="241CC71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eastAsia="zh-CN"/>
              </w:rPr>
              <w:t>中国农业银行股份有限公司乌鲁木齐安居南路（兵团）支行</w:t>
            </w:r>
          </w:p>
          <w:p w14:paraId="3E35FF3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eastAsia="zh-CN"/>
              </w:rPr>
              <w:t>30704701040007728</w:t>
            </w:r>
          </w:p>
          <w:p w14:paraId="53C4A61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r>
              <w:rPr>
                <w:rFonts w:hint="eastAsia" w:ascii="宋体" w:hAnsi="宋体" w:eastAsia="宋体" w:cs="宋体"/>
                <w:color w:val="auto"/>
                <w:sz w:val="24"/>
                <w:szCs w:val="24"/>
                <w:highlight w:val="none"/>
                <w:lang w:eastAsia="zh-CN"/>
              </w:rPr>
              <w:t>103881070473</w:t>
            </w:r>
          </w:p>
          <w:p w14:paraId="48E2133B">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打款时须注明项目名称（可简写）</w:t>
            </w:r>
            <w:r>
              <w:rPr>
                <w:rFonts w:hint="eastAsia" w:ascii="宋体" w:hAnsi="宋体" w:eastAsia="宋体" w:cs="宋体"/>
                <w:color w:val="auto"/>
                <w:sz w:val="24"/>
                <w:szCs w:val="24"/>
                <w:highlight w:val="none"/>
                <w:lang w:val="en-US" w:eastAsia="zh-CN"/>
              </w:rPr>
              <w:t>。</w:t>
            </w:r>
          </w:p>
        </w:tc>
      </w:tr>
      <w:tr w14:paraId="4745200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6F8D08A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1090EB06">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6837" w:type="dxa"/>
            <w:vAlign w:val="center"/>
          </w:tcPr>
          <w:p w14:paraId="2294F343">
            <w:pPr>
              <w:spacing w:line="360" w:lineRule="auto"/>
              <w:rPr>
                <w:rStyle w:val="56"/>
                <w:rFonts w:hint="eastAsia" w:ascii="宋体" w:hAnsi="宋体" w:eastAsia="宋体" w:cs="宋体"/>
                <w:color w:val="auto"/>
                <w:sz w:val="24"/>
                <w:szCs w:val="24"/>
              </w:rPr>
            </w:pPr>
            <w:r>
              <w:rPr>
                <w:rStyle w:val="56"/>
                <w:rFonts w:hint="eastAsia" w:ascii="宋体" w:hAnsi="宋体" w:eastAsia="宋体" w:cs="宋体"/>
                <w:color w:val="auto"/>
                <w:sz w:val="24"/>
                <w:szCs w:val="24"/>
              </w:rPr>
              <w:t>自供货之日起质保期不少于8个月。</w:t>
            </w:r>
          </w:p>
        </w:tc>
      </w:tr>
      <w:tr w14:paraId="07D9C58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979" w:type="dxa"/>
            <w:vAlign w:val="center"/>
          </w:tcPr>
          <w:p w14:paraId="41EA08A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A5AC848">
            <w:pPr>
              <w:overflowPunct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供货</w:t>
            </w:r>
            <w:r>
              <w:rPr>
                <w:rFonts w:hint="eastAsia" w:ascii="宋体" w:hAnsi="宋体" w:eastAsia="宋体" w:cs="宋体"/>
                <w:color w:val="auto"/>
                <w:sz w:val="24"/>
                <w:szCs w:val="24"/>
                <w:lang w:val="en-US" w:eastAsia="zh-CN"/>
              </w:rPr>
              <w:t>时间</w:t>
            </w:r>
          </w:p>
        </w:tc>
        <w:tc>
          <w:tcPr>
            <w:tcW w:w="6837" w:type="dxa"/>
            <w:vAlign w:val="center"/>
          </w:tcPr>
          <w:p w14:paraId="154EB74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color w:val="auto"/>
                <w:sz w:val="24"/>
                <w:szCs w:val="24"/>
                <w:highlight w:val="none"/>
                <w:lang w:val="en-US" w:eastAsia="zh-CN"/>
              </w:rPr>
              <w:t>（分春季、秋季供货使用的疫苗， 按甲方通知要求分批供应）</w:t>
            </w:r>
            <w:r>
              <w:rPr>
                <w:rFonts w:hint="eastAsia" w:ascii="宋体" w:hAnsi="宋体" w:eastAsia="宋体" w:cs="宋体"/>
                <w:color w:val="auto"/>
                <w:sz w:val="24"/>
                <w:szCs w:val="24"/>
                <w:lang w:val="en-US" w:eastAsia="zh-CN"/>
              </w:rPr>
              <w:t>。</w:t>
            </w:r>
          </w:p>
        </w:tc>
      </w:tr>
      <w:tr w14:paraId="2913B7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87BC8B9">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FD044A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付款方式</w:t>
            </w:r>
          </w:p>
        </w:tc>
        <w:tc>
          <w:tcPr>
            <w:tcW w:w="6837" w:type="dxa"/>
            <w:vAlign w:val="center"/>
          </w:tcPr>
          <w:p w14:paraId="430B4810">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本项目无预付款：</w:t>
            </w:r>
          </w:p>
          <w:p w14:paraId="5AC136AB">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49219E2D">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6AE1EE7F">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157AD4F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tc>
      </w:tr>
      <w:tr w14:paraId="1233897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0DF43C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707ADBC6">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小微企业（监狱企业视同小微企业）价格扣除</w:t>
            </w:r>
          </w:p>
        </w:tc>
        <w:tc>
          <w:tcPr>
            <w:tcW w:w="6837" w:type="dxa"/>
            <w:vAlign w:val="center"/>
          </w:tcPr>
          <w:p w14:paraId="0AB8C466">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本项目为非专门面向中小企业采购项目</w:t>
            </w:r>
          </w:p>
          <w:p w14:paraId="34AB6FBD">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小微企业（监狱企业、残疾人福利性单位视同小微企业）价格扣除</w:t>
            </w:r>
          </w:p>
          <w:p w14:paraId="383E8E0A">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 号）的规定，对小型和微型企业产品的价格给予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%的价格扣除，用扣除后的价格参与评标。</w:t>
            </w:r>
          </w:p>
          <w:p w14:paraId="20CC766E">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2、参加政府采购活动的中小企业应当提供《中小企业声明函》原件。</w:t>
            </w:r>
          </w:p>
          <w:p w14:paraId="35F0464A">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3、提供由省级以上监狱管理局、戒毒管理局（含新疆生产建设兵团）出具的属于监狱企业证明文件的原件，视同为小型和微型企业。</w:t>
            </w:r>
          </w:p>
          <w:p w14:paraId="778F9EDB">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4、符合享受政府采购支持政策的残疾人福利性单位条件且提供《残疾人福利性单位声明函》的原件，视同为小型和微型企业。</w:t>
            </w:r>
          </w:p>
          <w:p w14:paraId="654DCCB1">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注：供应商根据自身实际情况据实提供上述材料原件，未提供的，视为放弃享受小微企业价格扣除优惠政策。</w:t>
            </w:r>
          </w:p>
          <w:p w14:paraId="6BD62279">
            <w:pPr>
              <w:spacing w:line="360" w:lineRule="auto"/>
              <w:ind w:firstLine="482" w:firstLineChars="200"/>
              <w:rPr>
                <w:rFonts w:hint="eastAsia"/>
                <w:color w:val="auto"/>
                <w:lang w:eastAsia="zh-CN"/>
              </w:rPr>
            </w:pPr>
            <w:r>
              <w:rPr>
                <w:rFonts w:hint="eastAsia" w:ascii="宋体" w:hAnsi="宋体" w:eastAsia="宋体" w:cs="宋体"/>
                <w:b/>
                <w:bCs/>
                <w:color w:val="auto"/>
                <w:sz w:val="24"/>
                <w:szCs w:val="24"/>
                <w:highlight w:val="none"/>
                <w:lang w:val="en-US" w:eastAsia="zh-CN"/>
              </w:rPr>
              <w:t>本项目采购相关活动中，中小企业划型标准统一以《关于落实好政府采购支持中小企业发展的通知》(新财购〔2022〕22号)文件中的明确要求为准。</w:t>
            </w:r>
          </w:p>
        </w:tc>
      </w:tr>
      <w:tr w14:paraId="5C735A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B54812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2C01E484">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本项目采购标的所属行业</w:t>
            </w:r>
          </w:p>
        </w:tc>
        <w:tc>
          <w:tcPr>
            <w:tcW w:w="6837" w:type="dxa"/>
            <w:vAlign w:val="center"/>
          </w:tcPr>
          <w:p w14:paraId="6ECECC61">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本项目标的所属行业：根据《关于印发中小企业划型标准规定的通知》工信部联企业〔2011〕300号规定，本项目采购标的对应的中小企业划分标准所属行业如下：</w:t>
            </w:r>
          </w:p>
          <w:tbl>
            <w:tblPr>
              <w:tblStyle w:val="29"/>
              <w:tblW w:w="6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4"/>
            </w:tblGrid>
            <w:tr w14:paraId="32DC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05DA37C7">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中小企业划分标准所属行业</w:t>
                  </w:r>
                </w:p>
              </w:tc>
            </w:tr>
            <w:tr w14:paraId="4A2E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3E5EC15A">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工业</w:t>
                  </w:r>
                </w:p>
              </w:tc>
            </w:tr>
          </w:tbl>
          <w:p w14:paraId="76C27F56">
            <w:pPr>
              <w:keepNext w:val="0"/>
              <w:keepLines w:val="0"/>
              <w:pageBreakBefore w:val="0"/>
              <w:kinsoku/>
              <w:wordWrap/>
              <w:topLinePunct w:val="0"/>
              <w:bidi w:val="0"/>
              <w:adjustRightInd/>
              <w:spacing w:line="500" w:lineRule="exact"/>
              <w:textAlignment w:val="auto"/>
              <w:rPr>
                <w:rFonts w:hint="eastAsia" w:ascii="宋体" w:hAnsi="宋体" w:eastAsia="宋体" w:cs="宋体"/>
                <w:b w:val="0"/>
                <w:bCs w:val="0"/>
                <w:color w:val="auto"/>
                <w:sz w:val="24"/>
                <w:highlight w:val="none"/>
                <w:lang w:val="en-US" w:eastAsia="zh-CN" w:bidi="ar-SA"/>
              </w:rPr>
            </w:pPr>
          </w:p>
        </w:tc>
      </w:tr>
      <w:tr w14:paraId="73AAF4B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44FFC0D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31B4944">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小组的组建及确定方式</w:t>
            </w:r>
          </w:p>
        </w:tc>
        <w:tc>
          <w:tcPr>
            <w:tcW w:w="6837" w:type="dxa"/>
            <w:shd w:val="clear" w:color="auto" w:fill="auto"/>
            <w:vAlign w:val="center"/>
          </w:tcPr>
          <w:p w14:paraId="07397CC9">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采购人依法组建评审小组，人数为</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人以上单数，由采购人代表（如有）和专家评委组成。</w:t>
            </w:r>
          </w:p>
          <w:p w14:paraId="36F4843F">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rPr>
              <w:t>评审小组确定方式：</w:t>
            </w:r>
            <w:r>
              <w:rPr>
                <w:rFonts w:hint="eastAsia" w:ascii="宋体" w:hAnsi="宋体" w:eastAsia="宋体" w:cs="宋体"/>
                <w:color w:val="auto"/>
                <w:sz w:val="24"/>
                <w:szCs w:val="24"/>
                <w:highlight w:val="none"/>
                <w:u w:val="single"/>
              </w:rPr>
              <w:t>新疆政府采购网专家库中随机抽取确定</w:t>
            </w:r>
          </w:p>
        </w:tc>
      </w:tr>
      <w:tr w14:paraId="18E5287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5CA1BAC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06984651">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 xml:space="preserve">是否允许采购进口产品  </w:t>
            </w:r>
          </w:p>
        </w:tc>
        <w:tc>
          <w:tcPr>
            <w:tcW w:w="6837" w:type="dxa"/>
            <w:shd w:val="clear" w:color="auto" w:fill="auto"/>
            <w:vAlign w:val="center"/>
          </w:tcPr>
          <w:p w14:paraId="53B48551">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否</w:t>
            </w:r>
          </w:p>
        </w:tc>
      </w:tr>
      <w:tr w14:paraId="658D52C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7D3647E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26720725">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电子投标文件须知</w:t>
            </w:r>
          </w:p>
        </w:tc>
        <w:tc>
          <w:tcPr>
            <w:tcW w:w="6837" w:type="dxa"/>
            <w:vAlign w:val="center"/>
          </w:tcPr>
          <w:p w14:paraId="7F88EB2F">
            <w:pPr>
              <w:pStyle w:val="58"/>
              <w:widowControl/>
              <w:autoSpaceDE w:val="0"/>
              <w:autoSpaceDN w:val="0"/>
              <w:spacing w:line="360" w:lineRule="auto"/>
              <w:rPr>
                <w:rFonts w:hint="eastAsia" w:ascii="宋体" w:hAnsi="宋体" w:eastAsia="宋体" w:cs="宋体"/>
                <w:b/>
                <w:color w:val="auto"/>
                <w:kern w:val="2"/>
                <w:sz w:val="24"/>
                <w:szCs w:val="24"/>
              </w:rPr>
            </w:pPr>
            <w:r>
              <w:rPr>
                <w:rFonts w:hint="eastAsia" w:ascii="宋体" w:hAnsi="宋体" w:eastAsia="宋体" w:cs="宋体"/>
                <w:color w:val="auto"/>
                <w:kern w:val="2"/>
                <w:sz w:val="24"/>
                <w:szCs w:val="24"/>
              </w:rPr>
              <w:sym w:font="Wingdings 2" w:char="0052"/>
            </w:r>
            <w:r>
              <w:rPr>
                <w:rFonts w:hint="eastAsia" w:ascii="宋体" w:hAnsi="宋体" w:eastAsia="宋体" w:cs="宋体"/>
                <w:b/>
                <w:color w:val="auto"/>
                <w:kern w:val="2"/>
                <w:sz w:val="24"/>
                <w:szCs w:val="24"/>
              </w:rPr>
              <w:t>采用不见面开标：</w:t>
            </w:r>
          </w:p>
          <w:p w14:paraId="42B3549F">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1.本项目实行网上投标，采用电子投标文件；</w:t>
            </w:r>
          </w:p>
          <w:p w14:paraId="74C23CFD">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rPr>
              <w:fldChar w:fldCharType="begin"/>
            </w:r>
            <w:r>
              <w:rPr>
                <w:rFonts w:hint="eastAsia" w:ascii="宋体" w:hAnsi="宋体" w:eastAsia="宋体" w:cs="宋体"/>
                <w:color w:val="auto"/>
              </w:rPr>
              <w:instrText xml:space="preserve">HYPERLINK "https://www.xjca.com.cn/）或下载"</w:instrText>
            </w:r>
            <w:r>
              <w:rPr>
                <w:rFonts w:hint="eastAsia" w:ascii="宋体" w:hAnsi="宋体" w:eastAsia="宋体" w:cs="宋体"/>
                <w:color w:val="auto"/>
              </w:rPr>
              <w:fldChar w:fldCharType="separate"/>
            </w:r>
            <w:r>
              <w:rPr>
                <w:rFonts w:hint="eastAsia" w:ascii="宋体" w:hAnsi="宋体" w:eastAsia="宋体" w:cs="宋体"/>
                <w:color w:val="auto"/>
                <w:sz w:val="24"/>
                <w:szCs w:val="24"/>
              </w:rPr>
              <w:t>https://www.xjca.com.cn/）或下载“新疆政务通”APP自行申领。如需咨询，请联系新疆CA服务热线0991-2819290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p>
          <w:p w14:paraId="5AAA9EF5">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EA11051">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4.供应商应当在投标截止时间前,将生成的“电子加密投标文件”上传递交至“政府采购云平台”,投标截止时间以后上传递交的投标文件将被“政府采购云平台”拒收；</w:t>
            </w:r>
          </w:p>
          <w:p w14:paraId="63FBE22B">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5120774B">
            <w:pPr>
              <w:bidi w:val="0"/>
              <w:rPr>
                <w:rFonts w:hint="eastAsia" w:ascii="宋体" w:hAnsi="宋体" w:eastAsia="宋体" w:cs="宋体"/>
                <w:color w:val="auto"/>
                <w:szCs w:val="24"/>
              </w:rPr>
            </w:pPr>
            <w:bookmarkStart w:id="90" w:name="_Toc31599"/>
            <w:r>
              <w:rPr>
                <w:rFonts w:hint="eastAsia" w:ascii="宋体" w:hAnsi="宋体" w:eastAsia="宋体" w:cs="宋体"/>
                <w:color w:val="auto"/>
                <w:sz w:val="24"/>
                <w:szCs w:val="24"/>
              </w:rPr>
              <w:t>6、供应商登录政采云平台，在开标时间后30分钟内用“项目采购-开标评标”功能进行解密投标文件。若供应商在规定时间内未按时解密的，视为无效投标。解密与加密投标文件须使用同一个 CA。</w:t>
            </w:r>
            <w:bookmarkEnd w:id="90"/>
          </w:p>
        </w:tc>
      </w:tr>
      <w:tr w14:paraId="7295292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9ACC67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7447F729">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的签署规定</w:t>
            </w:r>
          </w:p>
        </w:tc>
        <w:tc>
          <w:tcPr>
            <w:tcW w:w="6837" w:type="dxa"/>
            <w:vAlign w:val="center"/>
          </w:tcPr>
          <w:p w14:paraId="07E1D80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要求在签字盖章处加盖公章和由法定代表人或其授权代表签字。</w:t>
            </w:r>
          </w:p>
          <w:p w14:paraId="7E287EC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中的任何行间插字、涂改和增删，应加盖公章或由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的法定代表人或其授权的代理人签字确认。否则，在评标时将其视为无效投标。</w:t>
            </w:r>
          </w:p>
        </w:tc>
      </w:tr>
      <w:tr w14:paraId="1F7CFE8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F59B83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0FFD8647">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w:t>
            </w:r>
          </w:p>
        </w:tc>
        <w:tc>
          <w:tcPr>
            <w:tcW w:w="6837" w:type="dxa"/>
            <w:vAlign w:val="center"/>
          </w:tcPr>
          <w:p w14:paraId="0C151947">
            <w:pPr>
              <w:widowControl/>
              <w:numPr>
                <w:ilvl w:val="0"/>
                <w:numId w:val="2"/>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中提供的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格式填写。</w:t>
            </w:r>
          </w:p>
          <w:p w14:paraId="2077773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2.如</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没有提供格式的，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可自行设置。</w:t>
            </w:r>
          </w:p>
          <w:p w14:paraId="222511D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应将</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按规定的顺序编排、并应编制目录、逐页标注连续页码。</w:t>
            </w:r>
          </w:p>
          <w:p w14:paraId="032AE417">
            <w:pPr>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rPr>
              <w:t>4.电报、电话、传真、电子邮件等形式的投标概不接受。</w:t>
            </w:r>
          </w:p>
        </w:tc>
      </w:tr>
      <w:tr w14:paraId="2B1A736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137C875">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035D210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异常低价投标（响应）审查</w:t>
            </w:r>
          </w:p>
        </w:tc>
        <w:tc>
          <w:tcPr>
            <w:tcW w:w="6837" w:type="dxa"/>
            <w:vAlign w:val="center"/>
          </w:tcPr>
          <w:p w14:paraId="3593B86C">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异常低价投标（响应）审查</w:t>
            </w:r>
          </w:p>
          <w:p w14:paraId="354D65F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1、审查依据</w:t>
            </w:r>
          </w:p>
          <w:p w14:paraId="35594D63">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疫苗报价包含生产成本、技术培训、应激死亡赔付、冷链运输、储存等涉及所有相关费用，投标企业应充分核算成本，合理报价，杜绝以“牺牲质量、扰乱市场、威胁安全”为代价的恶性低价竞争。出现明显异常偏低报价的，将按照《中华人民共和国政府采购法》《中华人民共和国政府采购法实施条例》及《关于推动解决政府采购异常低价问题的通知》（财库〔2026〕2号）内容，启动异常低价投标（响应）审查。</w:t>
            </w:r>
          </w:p>
          <w:p w14:paraId="4C04CDA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2、异常低价情形认定</w:t>
            </w:r>
          </w:p>
          <w:p w14:paraId="2AA09D1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投标（响应）供应商出现下列情形之一的，评审委员会将启动异常低价审查程序：</w:t>
            </w:r>
          </w:p>
          <w:p w14:paraId="40DEC48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（1）投标（响应）报价低于全部通过符合性审查供应商报价平均值的 65%；</w:t>
            </w:r>
          </w:p>
          <w:p w14:paraId="1B58EBBC">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（2）投标（响应）报价低于通过符合性审查次低报价的 65%；</w:t>
            </w:r>
          </w:p>
          <w:p w14:paraId="0DC8A138">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（3）投标（响应）报价低于本项目最高限价的 65%；</w:t>
            </w:r>
          </w:p>
          <w:p w14:paraId="04D6D9D5">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（4）评审委员会基于专业判断，认为报价过低可能影响项目履约质量、不能满足采购需求或无法诚信履约的其他情形。</w:t>
            </w:r>
          </w:p>
          <w:p w14:paraId="3FF9E7B0">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采购人可以结合具体项目实际情况，提高上述第1项至第3项中启动异常低价投标（响应）审查的数值标准，但是最高不得超过65%。</w:t>
            </w:r>
          </w:p>
          <w:p w14:paraId="3F3EEAC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3、审查要求及处理</w:t>
            </w:r>
          </w:p>
          <w:p w14:paraId="353ADE4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被启动审查的供应商，须在合理时间内（ 30分钟-150分钟），就报价合理性提交书面说明，并提供项目成本测算明细、原材料采购意向协议、人工成本核算依据等可核验的证明材料。</w:t>
            </w:r>
          </w:p>
          <w:p w14:paraId="6E5A26C2">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供应商未按要求提交说明及证明材料，或提交的材料无法有效证明报价合理性的，评审委员会将其投标（响应）作无效处理。</w:t>
            </w:r>
          </w:p>
          <w:p w14:paraId="66892FB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异常低价审查的全过程及结论，由评审委员会如实记入评审报告，随采购项目档案一并存档备查。</w:t>
            </w:r>
          </w:p>
        </w:tc>
      </w:tr>
      <w:tr w14:paraId="294FB35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FE3930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114660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无效标条款</w:t>
            </w:r>
          </w:p>
        </w:tc>
        <w:tc>
          <w:tcPr>
            <w:tcW w:w="6837" w:type="dxa"/>
            <w:vAlign w:val="center"/>
          </w:tcPr>
          <w:p w14:paraId="70B04392">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有下列情况之一的，其投标视为响应无效：</w:t>
            </w:r>
          </w:p>
          <w:p w14:paraId="42F8B6C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不具备《中华人民共和国政府采购法》第二十二条规定条件；</w:t>
            </w:r>
          </w:p>
          <w:p w14:paraId="0706026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2.响应文件没有按</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文件的要求盖章或签名；</w:t>
            </w:r>
          </w:p>
          <w:p w14:paraId="08BE763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不符合资格条件；</w:t>
            </w:r>
          </w:p>
          <w:p w14:paraId="13AF429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4.响应文件提供虚假材料；</w:t>
            </w:r>
          </w:p>
          <w:p w14:paraId="73125A6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5.响应文件未完全满足</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文件中带“☆”号的实质性条款或指标；</w:t>
            </w:r>
          </w:p>
          <w:p w14:paraId="61F65C5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报价不确定或超过</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文件中列出的采购预算(最高限价)；</w:t>
            </w:r>
          </w:p>
          <w:p w14:paraId="0BFD76A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未按</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文件要求交纳投标保证金；</w:t>
            </w:r>
          </w:p>
          <w:p w14:paraId="17254E3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响应文件填报的内容不详，或没有提供</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文件中所要求的全部资料及数据的；</w:t>
            </w:r>
          </w:p>
          <w:p w14:paraId="6A00F2D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11.响应文件须严格按照</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规定的格式提交，并按规定的统一格式逐项填写，不准有空项；无相应内容可填的项，应填写“无”、“未测试”、“没有相应指标”等明确的回答文字。由于编排混乱导致响应文件被误读或查找不到，其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承担。响应文件未按规定提交或留有空项，将被视为不完整响应的响应文件，其投标有可能被拒绝；</w:t>
            </w:r>
          </w:p>
          <w:p w14:paraId="3258F32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12.评审期间，</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没有按</w:t>
            </w:r>
            <w:r>
              <w:rPr>
                <w:rFonts w:hint="eastAsia" w:ascii="宋体" w:hAnsi="宋体" w:eastAsia="宋体" w:cs="宋体"/>
                <w:color w:val="auto"/>
                <w:sz w:val="24"/>
                <w:szCs w:val="24"/>
                <w:lang w:val="en-US" w:eastAsia="zh-CN"/>
              </w:rPr>
              <w:t>协商</w:t>
            </w:r>
            <w:r>
              <w:rPr>
                <w:rFonts w:hint="eastAsia" w:ascii="宋体" w:hAnsi="宋体" w:eastAsia="宋体" w:cs="宋体"/>
                <w:color w:val="auto"/>
                <w:sz w:val="24"/>
                <w:szCs w:val="24"/>
              </w:rPr>
              <w:t>小组的要求提交经授权代表签字的澄清、说明、补正或改变了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w:t>
            </w:r>
          </w:p>
          <w:p w14:paraId="5722F3A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对采购人、采购代理机构、</w:t>
            </w:r>
            <w:r>
              <w:rPr>
                <w:rFonts w:hint="eastAsia" w:ascii="宋体" w:hAnsi="宋体" w:eastAsia="宋体" w:cs="宋体"/>
                <w:color w:val="auto"/>
                <w:sz w:val="24"/>
                <w:szCs w:val="24"/>
                <w:lang w:val="en-US" w:eastAsia="zh-CN"/>
              </w:rPr>
              <w:t>协商</w:t>
            </w:r>
            <w:r>
              <w:rPr>
                <w:rFonts w:hint="eastAsia" w:ascii="宋体" w:hAnsi="宋体" w:eastAsia="宋体" w:cs="宋体"/>
                <w:color w:val="auto"/>
                <w:sz w:val="24"/>
                <w:szCs w:val="24"/>
              </w:rPr>
              <w:t>小组及其工作人员施加影响，有碍公平、公正；</w:t>
            </w:r>
          </w:p>
          <w:p w14:paraId="63E56133">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rPr>
              <w:t>14.法律、法规、规章及</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文件中规定属于响应无效的其他情形</w:t>
            </w:r>
          </w:p>
        </w:tc>
      </w:tr>
      <w:tr w14:paraId="6A8A4B9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0427E544">
            <w:pPr>
              <w:overflowPunct w:val="0"/>
              <w:spacing w:line="360" w:lineRule="auto"/>
              <w:jc w:val="center"/>
              <w:rPr>
                <w:rFonts w:hint="eastAsia" w:ascii="宋体" w:hAnsi="宋体" w:eastAsia="宋体" w:cs="宋体"/>
                <w:b/>
                <w:color w:val="auto"/>
                <w:sz w:val="24"/>
                <w:szCs w:val="24"/>
              </w:rPr>
            </w:pPr>
          </w:p>
        </w:tc>
        <w:tc>
          <w:tcPr>
            <w:tcW w:w="9346" w:type="dxa"/>
            <w:gridSpan w:val="2"/>
            <w:vAlign w:val="center"/>
          </w:tcPr>
          <w:p w14:paraId="13F11539">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中部分加、加粗、加下划线、废标、无效标、投标被拒绝字样的条款，为招标的实质性要求和条件，着重提醒各</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注意，并认真查看</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中的每一个条款及要求，因误读</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而造成的后果，招标人概不负责。</w:t>
            </w:r>
          </w:p>
          <w:p w14:paraId="22C7EAE0">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中有弄虚作假的内容，其</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作废。（如假证书、假业绩、隐瞒不良行为记录、夸大荣誉、使用非本单位在职员工的相关证件及不符合</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规定的条款等）；在签订合同之前，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如发现</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的</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有弄虚作假内容，招标人可拒绝与其签订合同，并将其列入政府采购黑名单库。</w:t>
            </w:r>
          </w:p>
        </w:tc>
      </w:tr>
      <w:tr w14:paraId="54AF2F2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vAlign w:val="center"/>
          </w:tcPr>
          <w:p w14:paraId="568202B8">
            <w:pPr>
              <w:spacing w:line="360" w:lineRule="auto"/>
              <w:rPr>
                <w:rFonts w:hint="eastAsia" w:ascii="宋体" w:hAnsi="宋体" w:eastAsia="宋体" w:cs="宋体"/>
                <w:b/>
                <w:color w:val="auto"/>
                <w:sz w:val="24"/>
                <w:szCs w:val="24"/>
              </w:rPr>
            </w:pPr>
          </w:p>
        </w:tc>
      </w:tr>
    </w:tbl>
    <w:p w14:paraId="7308F5EB">
      <w:pPr>
        <w:rPr>
          <w:rFonts w:hint="eastAsia" w:ascii="宋体" w:hAnsi="宋体" w:eastAsia="宋体" w:cs="宋体"/>
          <w:color w:val="auto"/>
        </w:rPr>
      </w:pPr>
    </w:p>
    <w:p w14:paraId="34107241">
      <w:pPr>
        <w:rPr>
          <w:rFonts w:hint="eastAsia" w:ascii="宋体" w:hAnsi="宋体" w:eastAsia="宋体" w:cs="宋体"/>
          <w:color w:val="auto"/>
          <w:sz w:val="28"/>
          <w:szCs w:val="28"/>
        </w:rPr>
      </w:pPr>
      <w:bookmarkStart w:id="91" w:name="_Toc138239174"/>
      <w:bookmarkStart w:id="92" w:name="_Hlk131714108"/>
      <w:r>
        <w:rPr>
          <w:rFonts w:hint="eastAsia" w:ascii="宋体" w:hAnsi="宋体" w:eastAsia="宋体" w:cs="宋体"/>
          <w:color w:val="auto"/>
          <w:sz w:val="28"/>
          <w:szCs w:val="28"/>
        </w:rPr>
        <w:br w:type="page"/>
      </w:r>
    </w:p>
    <w:p w14:paraId="072C7562">
      <w:pPr>
        <w:pStyle w:val="3"/>
        <w:snapToGrid w:val="0"/>
        <w:spacing w:before="0" w:after="0" w:line="500" w:lineRule="exact"/>
        <w:rPr>
          <w:rFonts w:hint="eastAsia" w:ascii="宋体" w:hAnsi="宋体" w:eastAsia="宋体" w:cs="宋体"/>
          <w:color w:val="auto"/>
          <w:sz w:val="28"/>
          <w:szCs w:val="28"/>
        </w:rPr>
      </w:pPr>
      <w:bookmarkStart w:id="93" w:name="_Toc30591"/>
      <w:bookmarkStart w:id="94" w:name="_Toc19844"/>
      <w:bookmarkStart w:id="95" w:name="_Toc25540"/>
      <w:bookmarkStart w:id="96" w:name="_Toc19"/>
      <w:r>
        <w:rPr>
          <w:rFonts w:hint="eastAsia" w:ascii="宋体" w:hAnsi="宋体" w:eastAsia="宋体" w:cs="宋体"/>
          <w:color w:val="auto"/>
          <w:sz w:val="28"/>
          <w:szCs w:val="28"/>
        </w:rPr>
        <w:t>二、单一来源须知</w:t>
      </w:r>
      <w:bookmarkEnd w:id="91"/>
      <w:bookmarkEnd w:id="93"/>
      <w:bookmarkEnd w:id="94"/>
      <w:bookmarkEnd w:id="95"/>
      <w:bookmarkEnd w:id="96"/>
    </w:p>
    <w:p w14:paraId="4F9FDB16">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1、单一来源采取网上响应方式，操作流程如下：</w:t>
      </w:r>
    </w:p>
    <w:p w14:paraId="42A4B47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供应商应当在新疆政府采购云平台申请或注册账号，完善信息后，才可进行网上响应，办理流程请登录</w:t>
      </w:r>
      <w:bookmarkStart w:id="97" w:name="_Hlk131635993"/>
      <w:r>
        <w:rPr>
          <w:rFonts w:hint="eastAsia" w:ascii="宋体" w:hAnsi="宋体" w:eastAsia="宋体" w:cs="宋体"/>
          <w:color w:val="auto"/>
          <w:sz w:val="24"/>
          <w:szCs w:val="24"/>
        </w:rPr>
        <w:t>新疆政府采购</w:t>
      </w:r>
      <w:bookmarkEnd w:id="97"/>
      <w:r>
        <w:rPr>
          <w:rFonts w:hint="eastAsia" w:ascii="宋体" w:hAnsi="宋体" w:eastAsia="宋体" w:cs="宋体"/>
          <w:color w:val="auto"/>
          <w:sz w:val="24"/>
          <w:szCs w:val="24"/>
        </w:rPr>
        <w:t>网（http://www.ccgp-xinjiang.gov.cn/）进行查询。</w:t>
      </w:r>
    </w:p>
    <w:p w14:paraId="43ABC1B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登录新疆政府采购网页面，点击“政府采购云平台”，输入用户名、密码、验证码完成登录后，点击左侧“交易执行—应标—项目应标”，在未参与项目列表中选择要响应的项目，点击项目的“未参与项目”按钮，进入项目响应信息页面，在右侧选择要响应的采购包，填写“联系人姓名”、“联系人手机号”、“联系人邮箱”等信息，点击“确认参与”按钮后，获取所响应项目单一来源文件，并按照单一来源文件的要求制作、上传电子响应文件。</w:t>
      </w:r>
    </w:p>
    <w:p w14:paraId="2F32B7A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2、单一来源保证金</w:t>
      </w:r>
    </w:p>
    <w:p w14:paraId="47BC9AB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2.1单一来源保证金的退还</w:t>
      </w:r>
    </w:p>
    <w:p w14:paraId="29896EC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已提交响应文件的供应商，在提交最后报价之前，可以根据单一来源情况退出单一来源。采购人、采购代理机构应当退还退出单一来源的供应商的单一来源保证金。未成交供应商的单一来源保证金应当在成交通知书发出后5个工作日内退还，成交供应商的单一来源保证金应当在采购合同签订后5个工作日内退还。因供应商自身原因导致无法及时退还的除外。</w:t>
      </w:r>
    </w:p>
    <w:p w14:paraId="186A7BA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2.1.2有下列情形之一的，单一来源保证金将不予退还：</w:t>
      </w:r>
    </w:p>
    <w:p w14:paraId="4817004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35725D4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7F70B96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（3）除因不可抗力或单一来源文件认可的情形以外，成交供应商不与采购人签订合同的；</w:t>
      </w:r>
    </w:p>
    <w:p w14:paraId="22851A4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674EE83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（5）本文件规定的其他情形。</w:t>
      </w:r>
    </w:p>
    <w:p w14:paraId="59307E6B">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3、全流程电子化</w:t>
      </w:r>
    </w:p>
    <w:p w14:paraId="346EBE4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各供应商应当在新疆政府云平台开展与本项目有关的政府采购活动。</w:t>
      </w:r>
    </w:p>
    <w:p w14:paraId="1786FA8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响应文件开启时间前上传加密的最终版电子响应文件至“政采云平台不见面开标大厅（网址：https://www.zcygov.cn/）”，未在响应文件开启时间前上传电子响应文件的，视为自动放弃。供应商因系统问题无法上传电子响应文件时，请在工作时间及时拨打联系电话400-881-7190。</w:t>
      </w:r>
    </w:p>
    <w:p w14:paraId="3046824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各供应商应当使用数字证书或者政府采购云平台生成的账号密码登录电子交易系统进行系统操作，并对其操作行为和电子签名、电子印章确认的事项承担法律责任。</w:t>
      </w:r>
    </w:p>
    <w:p w14:paraId="1C00F1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3.1远程不见面方式（供应商无需到现场）</w:t>
      </w:r>
    </w:p>
    <w:p w14:paraId="6B3F8F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供应商使用“投标客户端”编制、签章、生成加密响应文件，同时生成“备用标书”，供应商自行留存，涉及“加盖公章”的内容应使用单位电子公章完成。</w:t>
      </w:r>
    </w:p>
    <w:p w14:paraId="007312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供应商的法定代表人或其授权代表应当按照本项目单一来源公告载明的时间等要求参加单一来源，在响应文件开启时间前30分钟，应当提前登录电子交易系统确认联系人姓名与联系电话。</w:t>
      </w:r>
    </w:p>
    <w:p w14:paraId="599B8EA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开启时，供应商应当使用CA证书在开始解密后30分钟内完成全部已响应采购包的响应文件在线解密，若出现系统异常情况，工作人员可适当延长解密时长。如在响应文件开启过程中出现意外情况导致无法继续进行时，由代理机构会同采购人决定是否允许供应商导入“备用标书”继续进行。本项目采用电子评审，只对开启环节验证通过的电子响应文件进行评审。供应商在响应文件开启前自行对使用电脑的网络环境、驱动安装、客户端安装以及CA证书的有效性等进行检测，保证可以正常使用。具体要求请通过“新疆政府采购网”查询相关操作手册。</w:t>
      </w:r>
    </w:p>
    <w:p w14:paraId="3FBC77E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响应文件开启时出现下列情况的，采购人、采购代理机构应当视为供应商不再参与政府采购活动：</w:t>
      </w:r>
    </w:p>
    <w:p w14:paraId="3C51D3E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（1）供应商未在规定时间内完成电子响应文件在线解密的；</w:t>
      </w:r>
    </w:p>
    <w:p w14:paraId="2A3B3B1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（2）CA证书无法解密响应文件的；</w:t>
      </w:r>
    </w:p>
    <w:p w14:paraId="3D56594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（3）供应商自身原因造成电子响应文件未能解密的。</w:t>
      </w:r>
    </w:p>
    <w:p w14:paraId="34AB47DE">
      <w:pPr>
        <w:pStyle w:val="3"/>
        <w:snapToGrid w:val="0"/>
        <w:spacing w:before="0" w:after="0" w:line="500" w:lineRule="exact"/>
        <w:rPr>
          <w:rFonts w:hint="eastAsia" w:ascii="宋体" w:hAnsi="宋体" w:eastAsia="宋体" w:cs="宋体"/>
          <w:color w:val="auto"/>
          <w:sz w:val="28"/>
          <w:szCs w:val="28"/>
        </w:rPr>
      </w:pPr>
      <w:bookmarkStart w:id="98" w:name="_Toc138239175"/>
      <w:bookmarkStart w:id="99" w:name="_Toc17340"/>
      <w:bookmarkStart w:id="100" w:name="_Toc22834"/>
      <w:bookmarkStart w:id="101" w:name="_Toc2370"/>
      <w:bookmarkStart w:id="102" w:name="_Toc4849"/>
      <w:r>
        <w:rPr>
          <w:rFonts w:hint="eastAsia" w:ascii="宋体" w:hAnsi="宋体" w:eastAsia="宋体" w:cs="宋体"/>
          <w:color w:val="auto"/>
          <w:sz w:val="28"/>
          <w:szCs w:val="28"/>
        </w:rPr>
        <w:t>三、说明</w:t>
      </w:r>
      <w:bookmarkEnd w:id="98"/>
      <w:bookmarkEnd w:id="99"/>
      <w:bookmarkEnd w:id="100"/>
      <w:bookmarkEnd w:id="101"/>
      <w:bookmarkEnd w:id="102"/>
    </w:p>
    <w:p w14:paraId="29F0D20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14:paraId="16B67A9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一来源文件依据《中华人民共和国政府采购法》《中华人民共和国政府采购法实施条例》和《政府采购竞争性单一来源采购方式管理暂行办法》及国家和自治区有关法律、法规、规章制度编制。供应商应仔细阅读本项目信息公告及单一来源文件的所有内容（包括澄清或者修改），按照单一来源文件要求以及格式编制响应文件，并保证其真实性，否则一切后果自负。</w:t>
      </w:r>
    </w:p>
    <w:p w14:paraId="7188B13D">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2、适用范围</w:t>
      </w:r>
    </w:p>
    <w:p w14:paraId="2404639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本单一来源文件仅适用于本次单一来源公告中所涉及的项目和内容。</w:t>
      </w:r>
    </w:p>
    <w:p w14:paraId="576CE654">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3、相关费用</w:t>
      </w:r>
    </w:p>
    <w:p w14:paraId="07CCFBE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供应商应自行承担所有与准备、参加单一来源有关的费用。不论单一来源结果如何，采购人或采购代理机构均无义务和责任承担相关费用。</w:t>
      </w:r>
    </w:p>
    <w:p w14:paraId="5DE7DEFF">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4、各参与方</w:t>
      </w:r>
    </w:p>
    <w:p w14:paraId="2362CAE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4.1“采购人”是指依法进行政府采购的国家机关、事业单位、团体组织。本单一来源文件的采购人特指</w:t>
      </w:r>
      <w:r>
        <w:rPr>
          <w:rFonts w:hint="eastAsia" w:ascii="宋体" w:hAnsi="宋体" w:eastAsia="宋体" w:cs="宋体"/>
          <w:color w:val="auto"/>
          <w:sz w:val="24"/>
          <w:szCs w:val="24"/>
          <w:u w:val="single"/>
        </w:rPr>
        <w:t>新疆维吾尔自治区动物疫病预防控制中心（新疆维吾尔自治区动物检疫所）</w:t>
      </w:r>
      <w:r>
        <w:rPr>
          <w:rFonts w:hint="eastAsia" w:ascii="宋体" w:hAnsi="宋体" w:eastAsia="宋体" w:cs="宋体"/>
          <w:color w:val="auto"/>
          <w:sz w:val="24"/>
          <w:szCs w:val="24"/>
        </w:rPr>
        <w:t>。</w:t>
      </w:r>
    </w:p>
    <w:p w14:paraId="200FF4B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4.2“采购代理机构”是指集中采购机构和集中采购机构以外的采购代理机构。本单一来源文件的采购代理机构特指</w:t>
      </w:r>
      <w:r>
        <w:rPr>
          <w:rFonts w:hint="eastAsia" w:ascii="宋体" w:hAnsi="宋体" w:eastAsia="宋体" w:cs="宋体"/>
          <w:color w:val="auto"/>
          <w:sz w:val="24"/>
          <w:szCs w:val="24"/>
          <w:u w:val="single"/>
        </w:rPr>
        <w:t>新疆诚誉工程项目管理有限公司</w:t>
      </w:r>
      <w:r>
        <w:rPr>
          <w:rFonts w:hint="eastAsia" w:ascii="宋体" w:hAnsi="宋体" w:eastAsia="宋体" w:cs="宋体"/>
          <w:color w:val="auto"/>
          <w:sz w:val="24"/>
          <w:szCs w:val="24"/>
        </w:rPr>
        <w:t>。</w:t>
      </w:r>
    </w:p>
    <w:p w14:paraId="1F2AD0D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4.3“供应商”是指向采购人提供货物、工程或者服务的法人、其他组织或者自然人。</w:t>
      </w:r>
    </w:p>
    <w:p w14:paraId="4899A35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4.4“单一来源采购小组”由采购人代表和评审专家组成。</w:t>
      </w:r>
    </w:p>
    <w:p w14:paraId="491C0A0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4.5“成交供应商”是指取得与采购人签订合同资格的供应商。</w:t>
      </w:r>
    </w:p>
    <w:p w14:paraId="53B9D568">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5、合格的供应商</w:t>
      </w:r>
    </w:p>
    <w:p w14:paraId="1B3CE45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5.1符合本单一来源文件规定的资格要求，并按照要求提供相关证明材料。</w:t>
      </w:r>
    </w:p>
    <w:p w14:paraId="0A10336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5.2单位负责人为同一人或者存在直接控股、管理关系的不同供应商，不得参加同一合同项下的政府采购活动。</w:t>
      </w:r>
    </w:p>
    <w:p w14:paraId="2A9185F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5.3为采购项目提供整体设计、规范编制或者项目管理、监理、检测等服务的供应商，不得再参加该采购项目的其他采购活动。</w:t>
      </w:r>
    </w:p>
    <w:p w14:paraId="2BCCEC0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6、以联合体形式进行政府采购的，应符合以下规定：</w:t>
      </w:r>
    </w:p>
    <w:p w14:paraId="6F87DB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6.1联合体各方应签订联合体协议书，明确联合体牵头人和各方权利义务，并作为响应文件组成部分。</w:t>
      </w:r>
    </w:p>
    <w:p w14:paraId="49FE989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6.2联合体各方均应当具备《中华人民共和国政府采购法》第二十二条规定的条件，并在响应文件中提供联合体各方的相关证明材料。</w:t>
      </w:r>
    </w:p>
    <w:p w14:paraId="4731007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6.3联合体成员存在不良信用记录的，视同联合体存在不良信用记录。</w:t>
      </w:r>
    </w:p>
    <w:p w14:paraId="3DEBE21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6.4联合体中有同类资质的供应商按照联合体分工承担相同工作的，应当按照资质等级较低的供应商确定资质等级。</w:t>
      </w:r>
    </w:p>
    <w:p w14:paraId="1D4D9F2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6.5以联合体形式参加政府采购活动的，联合体各方不得再单独参加或者与其他供应商另外组成联合体参加同一合同项下的政府采购活动。</w:t>
      </w:r>
    </w:p>
    <w:p w14:paraId="45DEFB8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6.6联合体各方应当共同与采购人签订采购合同，就合同约定的事项对采购人承担连带责任。</w:t>
      </w:r>
    </w:p>
    <w:p w14:paraId="1665110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6.7如要求缴纳保证金，以联合体牵头人名义缴纳，对联合体各方均具有约束力。</w:t>
      </w:r>
    </w:p>
    <w:p w14:paraId="3E4B64AE">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7、语言文字以及计量单位</w:t>
      </w:r>
    </w:p>
    <w:p w14:paraId="6D623BF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7.1所有文件使用的语言文字为简体中文。专用术语使用外文的，应附有简体中文注释，否则视为无效。</w:t>
      </w:r>
    </w:p>
    <w:p w14:paraId="6CA2EA3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7.2所有计量均采用中华人民共和国法定的计量单位。</w:t>
      </w:r>
    </w:p>
    <w:p w14:paraId="40FF18A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7.3所有报价一律使用人民币，货币单位：元。</w:t>
      </w:r>
    </w:p>
    <w:p w14:paraId="15621AE3">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8、现场考察</w:t>
      </w:r>
    </w:p>
    <w:p w14:paraId="6FAE23D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8.1单一来源文件规定组织现场考察的，采购人或者采购代理机构按单一来源文件规定的时间、地点组织供应商考察项目现场。</w:t>
      </w:r>
    </w:p>
    <w:p w14:paraId="06A2FEB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8.2供应商自行承担考察现场发生的责任、风险和自身费用。</w:t>
      </w:r>
    </w:p>
    <w:p w14:paraId="3611E70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8.3采购人在考察现场介绍的资料和数据等，不构成对单一来源文件的修改或不作为供应商编制响应文件的依据。</w:t>
      </w:r>
    </w:p>
    <w:p w14:paraId="67D8D4C0">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9、其他条款</w:t>
      </w:r>
    </w:p>
    <w:p w14:paraId="0466C87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无论成交与否供应商递交的响应文件均不予退还。</w:t>
      </w:r>
    </w:p>
    <w:p w14:paraId="7624E9E5">
      <w:pPr>
        <w:pStyle w:val="3"/>
        <w:snapToGrid w:val="0"/>
        <w:spacing w:before="0" w:after="0" w:line="500" w:lineRule="exact"/>
        <w:rPr>
          <w:rFonts w:hint="eastAsia" w:ascii="宋体" w:hAnsi="宋体" w:eastAsia="宋体" w:cs="宋体"/>
          <w:color w:val="auto"/>
          <w:sz w:val="28"/>
          <w:szCs w:val="28"/>
        </w:rPr>
      </w:pPr>
      <w:bookmarkStart w:id="103" w:name="_Toc138239176"/>
      <w:bookmarkStart w:id="104" w:name="_Toc10887"/>
      <w:bookmarkStart w:id="105" w:name="_Toc21499"/>
      <w:bookmarkStart w:id="106" w:name="_Toc22459"/>
      <w:bookmarkStart w:id="107" w:name="_Toc4895"/>
      <w:r>
        <w:rPr>
          <w:rFonts w:hint="eastAsia" w:ascii="宋体" w:hAnsi="宋体" w:eastAsia="宋体" w:cs="宋体"/>
          <w:color w:val="auto"/>
          <w:sz w:val="28"/>
          <w:szCs w:val="28"/>
        </w:rPr>
        <w:t>四、单一来源文件的澄清或者修改</w:t>
      </w:r>
      <w:bookmarkEnd w:id="103"/>
      <w:bookmarkEnd w:id="104"/>
      <w:bookmarkEnd w:id="105"/>
      <w:bookmarkEnd w:id="106"/>
      <w:bookmarkEnd w:id="107"/>
    </w:p>
    <w:p w14:paraId="012DFBA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交首次响应文件截止之日前，采购人、采购代理机构或者单一来源小组可以对已发出的单一来源文件进行必要的澄清或者修改，澄清或者修改的内容作为单一来源文件的组成部分。澄清或者修改的内容可能影响响应文件编制的，采购人、采购代理机构应当在提交首次响应文件截止时间至少2日前，在“新疆政府采购网”上发布更正公告进行通知；不足2日的，采购人、采购代理机构应当顺延提交首次响应文件截止时间。更正公告的内容为单一来源文件的组成部分，供应商应自行上网查询，采购人或采购代理机构不承担供应商未及时关注相关信息的责任。</w:t>
      </w:r>
    </w:p>
    <w:p w14:paraId="5C1B8962">
      <w:pPr>
        <w:pStyle w:val="3"/>
        <w:snapToGrid w:val="0"/>
        <w:spacing w:before="0" w:after="0" w:line="500" w:lineRule="exact"/>
        <w:rPr>
          <w:rFonts w:hint="eastAsia" w:ascii="宋体" w:hAnsi="宋体" w:eastAsia="宋体" w:cs="宋体"/>
          <w:color w:val="auto"/>
          <w:sz w:val="28"/>
          <w:szCs w:val="28"/>
        </w:rPr>
      </w:pPr>
      <w:bookmarkStart w:id="108" w:name="_Toc9765"/>
      <w:bookmarkStart w:id="109" w:name="_Toc138239177"/>
      <w:bookmarkStart w:id="110" w:name="_Toc26757"/>
      <w:bookmarkStart w:id="111" w:name="_Toc3624"/>
      <w:bookmarkStart w:id="112" w:name="_Toc29411"/>
      <w:r>
        <w:rPr>
          <w:rFonts w:hint="eastAsia" w:ascii="宋体" w:hAnsi="宋体" w:eastAsia="宋体" w:cs="宋体"/>
          <w:color w:val="auto"/>
          <w:sz w:val="28"/>
          <w:szCs w:val="28"/>
        </w:rPr>
        <w:t>五、响应文件</w:t>
      </w:r>
      <w:bookmarkEnd w:id="108"/>
      <w:bookmarkEnd w:id="109"/>
      <w:bookmarkEnd w:id="110"/>
      <w:bookmarkEnd w:id="111"/>
      <w:bookmarkEnd w:id="112"/>
    </w:p>
    <w:p w14:paraId="27726765">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1、响应文件的构成</w:t>
      </w:r>
    </w:p>
    <w:p w14:paraId="6AF5571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响应文件应按照单一来源文件第六章“响应文件格式与要求”进行编写，可以增加附页，并作为响应文件的组成部分。</w:t>
      </w:r>
    </w:p>
    <w:p w14:paraId="611C1A66">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2、报价</w:t>
      </w:r>
    </w:p>
    <w:p w14:paraId="0E2DA8A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2.1供应商应按照单一来源文件第三章“采购内容与技术要求”进行报价。报价中不得包含单一来源文件要求以外的内容，否则，在评审时不予核减。</w:t>
      </w:r>
    </w:p>
    <w:p w14:paraId="08ACC4B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2.2报价包括</w:t>
      </w:r>
      <w:r>
        <w:rPr>
          <w:rFonts w:hint="eastAsia" w:ascii="宋体" w:hAnsi="宋体" w:eastAsia="宋体" w:cs="宋体"/>
          <w:color w:val="auto"/>
          <w:kern w:val="0"/>
          <w:sz w:val="24"/>
          <w:szCs w:val="24"/>
          <w:highlight w:val="none"/>
          <w:lang w:val="zh-CN"/>
        </w:rPr>
        <w:t>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r>
        <w:rPr>
          <w:rFonts w:hint="eastAsia" w:ascii="宋体" w:hAnsi="宋体" w:eastAsia="宋体" w:cs="宋体"/>
          <w:color w:val="auto"/>
          <w:sz w:val="24"/>
          <w:szCs w:val="24"/>
        </w:rPr>
        <w:t>。</w:t>
      </w:r>
    </w:p>
    <w:p w14:paraId="6703B8C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2.3报价不得有选择性报价和附有条件的报价。</w:t>
      </w:r>
    </w:p>
    <w:p w14:paraId="14D5C19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供应商应在“投标客户端”对【报价部分】进行填写，“投标客户端”软件将自动根据供应商填写信息在线生成“首轮报价表”、“分项报价表”，若在响应文件中出现非系统生成的“首轮报价表”、“分项报价表”，且与“投标客户端”生成的“首轮报价表”、“分项报价表”信息内容不一致，以“投标客户端”在线填写报价并生成的内容为准。</w:t>
      </w:r>
    </w:p>
    <w:p w14:paraId="67711A11">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3、响应文件的递交</w:t>
      </w:r>
    </w:p>
    <w:p w14:paraId="7901F84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供应商应当在提交响应文件截止时间前递交响应文件，否则视为自动放弃。</w:t>
      </w:r>
    </w:p>
    <w:p w14:paraId="5B9FCB62">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4、响应文件的补充、修改或者撤回</w:t>
      </w:r>
    </w:p>
    <w:p w14:paraId="1C4A62F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提交响应文件截止时间前，可以对所提交的响应文件进行补充、修改或者撤回。供应商应当在提交响应文件截止时间前上传加密的最终版电子响应文件至“新疆政府采购网-政府采购云平台”。在提交响应文件截止时间后，供应商不得补充、修改或者撤回其响应文件。</w:t>
      </w:r>
    </w:p>
    <w:p w14:paraId="46610B7D">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5.响应文件有效期（实质性要求）</w:t>
      </w:r>
    </w:p>
    <w:p w14:paraId="7E6975DE">
      <w:pPr>
        <w:shd w:val="clear" w:color="auto" w:fill="auto"/>
        <w:tabs>
          <w:tab w:val="left" w:pos="7665"/>
        </w:tabs>
        <w:spacing w:line="440" w:lineRule="exact"/>
        <w:ind w:left="13" w:leftChars="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本项目响应文件有效期为递交响应文件截止之日起90天</w:t>
      </w:r>
      <w:r>
        <w:rPr>
          <w:rFonts w:hint="eastAsia" w:ascii="宋体" w:hAnsi="宋体" w:eastAsia="宋体" w:cs="宋体"/>
          <w:color w:val="auto"/>
          <w:sz w:val="24"/>
          <w:highlight w:val="none"/>
        </w:rPr>
        <w:t>。供应商响应文件中必须载明</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highlight w:val="none"/>
        </w:rPr>
        <w:t>有效期，响应文件中载明的有效期可以长于采购文件规定的期限，但不得短于采购文件规定的期限。否则，其响应文件将作为无效投标处理。</w:t>
      </w:r>
    </w:p>
    <w:p w14:paraId="16B03E1F">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113" w:name="_Toc472604602"/>
      <w:bookmarkStart w:id="114" w:name="_Toc217446052"/>
      <w:bookmarkStart w:id="115" w:name="_Toc465085355"/>
      <w:bookmarkStart w:id="116" w:name="_Toc26640"/>
      <w:bookmarkStart w:id="117" w:name="_Toc8293"/>
      <w:bookmarkStart w:id="118" w:name="_Toc183582225"/>
      <w:bookmarkStart w:id="119" w:name="_Toc466298053"/>
      <w:bookmarkStart w:id="120" w:name="_Toc9112"/>
      <w:bookmarkStart w:id="121" w:name="_Toc472599557"/>
      <w:bookmarkStart w:id="122" w:name="_Toc183682362"/>
      <w:r>
        <w:rPr>
          <w:rFonts w:hint="eastAsia" w:ascii="宋体" w:hAnsi="宋体" w:eastAsia="宋体" w:cs="宋体"/>
          <w:b/>
          <w:bCs/>
          <w:color w:val="auto"/>
          <w:kern w:val="2"/>
          <w:sz w:val="24"/>
          <w:szCs w:val="24"/>
          <w:lang w:val="en-US" w:eastAsia="zh-CN" w:bidi="ar-SA"/>
        </w:rPr>
        <w:t>6. 响应文件的印制和签署</w:t>
      </w:r>
      <w:bookmarkEnd w:id="113"/>
      <w:bookmarkEnd w:id="114"/>
      <w:bookmarkEnd w:id="115"/>
      <w:bookmarkEnd w:id="116"/>
      <w:bookmarkEnd w:id="117"/>
      <w:bookmarkEnd w:id="118"/>
      <w:bookmarkEnd w:id="119"/>
      <w:bookmarkEnd w:id="120"/>
      <w:bookmarkEnd w:id="121"/>
      <w:bookmarkEnd w:id="122"/>
    </w:p>
    <w:p w14:paraId="5FD4A0E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 在政采云平台上传电子响应文件1份（加密）为正本。</w:t>
      </w:r>
    </w:p>
    <w:p w14:paraId="24055CC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 上传电子响应文件需要在规定签章处签字和盖章。</w:t>
      </w:r>
    </w:p>
    <w:p w14:paraId="52436B34">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 上传电子响应文件需要逐页编目编码。</w:t>
      </w:r>
    </w:p>
    <w:p w14:paraId="3F06FAE5">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 响应文件应根据</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的要求制作，签署、盖章、上传。</w:t>
      </w:r>
    </w:p>
    <w:p w14:paraId="5584718D">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 响应文件统一需要使用CA加密设备进行投标。</w:t>
      </w:r>
    </w:p>
    <w:p w14:paraId="3EE07A91">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.6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因自身原因导致电子响应文件无法导入电子评标系统的，该响应文件视为无效文件。</w:t>
      </w:r>
    </w:p>
    <w:p w14:paraId="0F9EA18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.7响应文件的书写应清楚工整，任何行间插字、涂改或增删，必须由供应商的法定代表人或其授权代表签字并盖供应商公章。</w:t>
      </w:r>
    </w:p>
    <w:p w14:paraId="1B29834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8（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E37E901">
      <w:pPr>
        <w:shd w:val="clear" w:color="auto" w:fill="auto"/>
        <w:spacing w:before="0" w:after="0" w:line="360" w:lineRule="auto"/>
        <w:ind w:firstLine="482" w:firstLineChars="200"/>
        <w:outlineLvl w:val="9"/>
        <w:rPr>
          <w:rFonts w:hint="eastAsia" w:ascii="宋体" w:hAnsi="宋体" w:eastAsia="宋体" w:cs="宋体"/>
          <w:b/>
          <w:bCs/>
          <w:color w:val="auto"/>
          <w:kern w:val="2"/>
          <w:sz w:val="24"/>
          <w:szCs w:val="24"/>
          <w:lang w:val="en-US" w:eastAsia="zh-CN" w:bidi="ar-SA"/>
        </w:rPr>
      </w:pPr>
      <w:bookmarkStart w:id="123" w:name="_Toc472599558"/>
      <w:bookmarkStart w:id="124" w:name="_Toc183682363"/>
      <w:bookmarkStart w:id="125" w:name="_Toc25140"/>
      <w:bookmarkStart w:id="126" w:name="_Toc466298054"/>
      <w:bookmarkStart w:id="127" w:name="_Toc472604603"/>
      <w:bookmarkStart w:id="128" w:name="_Toc25968"/>
      <w:bookmarkStart w:id="129" w:name="_Toc217446053"/>
      <w:bookmarkStart w:id="130" w:name="_Toc465085356"/>
      <w:bookmarkStart w:id="131" w:name="_Toc7370"/>
      <w:bookmarkStart w:id="132" w:name="_Toc77400781"/>
      <w:bookmarkStart w:id="133" w:name="_Toc89075877"/>
      <w:bookmarkStart w:id="134" w:name="_Toc183582226"/>
      <w:r>
        <w:rPr>
          <w:rFonts w:hint="eastAsia" w:ascii="宋体" w:hAnsi="宋体" w:eastAsia="宋体" w:cs="宋体"/>
          <w:b/>
          <w:bCs/>
          <w:color w:val="auto"/>
          <w:kern w:val="2"/>
          <w:sz w:val="24"/>
          <w:szCs w:val="24"/>
          <w:lang w:val="en-US" w:eastAsia="zh-CN" w:bidi="ar-SA"/>
        </w:rPr>
        <w:t>7. 响应文件的加密和</w:t>
      </w:r>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宋体"/>
          <w:b/>
          <w:bCs/>
          <w:color w:val="auto"/>
          <w:kern w:val="2"/>
          <w:sz w:val="24"/>
          <w:szCs w:val="24"/>
          <w:lang w:val="en-US" w:eastAsia="zh-CN" w:bidi="ar-SA"/>
        </w:rPr>
        <w:t>盖章、上传</w:t>
      </w:r>
    </w:p>
    <w:p w14:paraId="45510870">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在政采云平台上传电子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1份（加密）为正本。</w:t>
      </w:r>
    </w:p>
    <w:p w14:paraId="4CFA52AC">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需要在规定签章处签字和盖章。</w:t>
      </w:r>
    </w:p>
    <w:p w14:paraId="0EB72F73">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 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需要逐页编目编码。</w:t>
      </w:r>
    </w:p>
    <w:p w14:paraId="11888B35">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的要求制作，签署、盖章、上传。</w:t>
      </w:r>
    </w:p>
    <w:p w14:paraId="7724223A">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统一需要使用CA加密设备进行投标。</w:t>
      </w:r>
    </w:p>
    <w:p w14:paraId="50CBB5BD">
      <w:pPr>
        <w:pStyle w:val="28"/>
        <w:shd w:val="clear" w:color="auto" w:fill="auto"/>
        <w:spacing w:line="36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因自身原因导致电子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无法导入电子评标系统的，该响应文件视为无效文件。</w:t>
      </w:r>
    </w:p>
    <w:p w14:paraId="65DDC070">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135" w:name="_Toc183682364"/>
      <w:bookmarkStart w:id="136" w:name="_Toc472599559"/>
      <w:bookmarkStart w:id="137" w:name="_Toc217446054"/>
      <w:bookmarkStart w:id="138" w:name="_Toc20616"/>
      <w:bookmarkStart w:id="139" w:name="_Toc465085357"/>
      <w:bookmarkStart w:id="140" w:name="_Toc472604604"/>
      <w:bookmarkStart w:id="141" w:name="_Toc466298055"/>
      <w:bookmarkStart w:id="142" w:name="_Toc183582227"/>
      <w:bookmarkStart w:id="143" w:name="_Toc23997"/>
      <w:bookmarkStart w:id="144" w:name="_Toc28594"/>
      <w:r>
        <w:rPr>
          <w:rFonts w:hint="eastAsia" w:ascii="宋体" w:hAnsi="宋体" w:eastAsia="宋体" w:cs="宋体"/>
          <w:b/>
          <w:bCs/>
          <w:color w:val="auto"/>
          <w:kern w:val="2"/>
          <w:sz w:val="24"/>
          <w:szCs w:val="24"/>
          <w:lang w:val="en-US" w:eastAsia="zh-CN" w:bidi="ar-SA"/>
        </w:rPr>
        <w:t>8. 响应文件的</w:t>
      </w:r>
      <w:bookmarkEnd w:id="135"/>
      <w:bookmarkEnd w:id="136"/>
      <w:bookmarkEnd w:id="137"/>
      <w:bookmarkEnd w:id="138"/>
      <w:bookmarkEnd w:id="139"/>
      <w:bookmarkEnd w:id="140"/>
      <w:bookmarkEnd w:id="141"/>
      <w:bookmarkEnd w:id="142"/>
      <w:bookmarkEnd w:id="143"/>
      <w:bookmarkEnd w:id="144"/>
      <w:r>
        <w:rPr>
          <w:rFonts w:hint="eastAsia" w:ascii="宋体" w:hAnsi="宋体" w:eastAsia="宋体" w:cs="宋体"/>
          <w:b/>
          <w:bCs/>
          <w:color w:val="auto"/>
          <w:kern w:val="2"/>
          <w:sz w:val="24"/>
          <w:szCs w:val="24"/>
          <w:lang w:val="en-US" w:eastAsia="zh-CN" w:bidi="ar-SA"/>
        </w:rPr>
        <w:t>上传</w:t>
      </w:r>
    </w:p>
    <w:p w14:paraId="295CCC6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8.1</w:t>
      </w:r>
      <w:r>
        <w:rPr>
          <w:rFonts w:hint="eastAsia" w:ascii="宋体" w:hAnsi="宋体" w:eastAsia="宋体" w:cs="宋体"/>
          <w:color w:val="auto"/>
          <w:kern w:val="2"/>
          <w:sz w:val="24"/>
          <w:highlight w:val="none"/>
        </w:rPr>
        <w:t>响应文件应</w:t>
      </w:r>
      <w:r>
        <w:rPr>
          <w:rFonts w:hint="eastAsia" w:ascii="宋体" w:hAnsi="宋体" w:eastAsia="宋体" w:cs="宋体"/>
          <w:color w:val="auto"/>
          <w:kern w:val="2"/>
          <w:sz w:val="24"/>
          <w:highlight w:val="none"/>
          <w:lang w:val="en-US" w:eastAsia="zh-CN"/>
        </w:rPr>
        <w:t>上传</w:t>
      </w:r>
      <w:r>
        <w:rPr>
          <w:rFonts w:hint="eastAsia" w:ascii="宋体" w:hAnsi="宋体" w:eastAsia="宋体" w:cs="宋体"/>
          <w:color w:val="auto"/>
          <w:kern w:val="2"/>
          <w:sz w:val="24"/>
          <w:highlight w:val="none"/>
        </w:rPr>
        <w:t>送达单一来源采购地点，在规定的截止时间前由递交。</w:t>
      </w:r>
    </w:p>
    <w:p w14:paraId="74491532">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rPr>
        <w:t xml:space="preserve"> 上传电子</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时在文件名清楚地标明采购项目名称、采购项目编号、包件号（若有）、供应商名称。</w:t>
      </w:r>
    </w:p>
    <w:p w14:paraId="6B6491A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rPr>
        <w:t xml:space="preserve"> 未按以上要求进行加密并上传</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的，采购人、采购代理机构将拒收。</w:t>
      </w:r>
    </w:p>
    <w:p w14:paraId="0669E0A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全部采用电子文档，除</w:t>
      </w:r>
      <w:r>
        <w:rPr>
          <w:rFonts w:hint="eastAsia" w:ascii="宋体" w:hAnsi="宋体" w:eastAsia="宋体" w:cs="宋体"/>
          <w:color w:val="auto"/>
          <w:kern w:val="2"/>
          <w:sz w:val="24"/>
          <w:highlight w:val="none"/>
          <w:lang w:eastAsia="zh-CN"/>
        </w:rPr>
        <w:t>供应商</w:t>
      </w:r>
      <w:r>
        <w:rPr>
          <w:rFonts w:hint="eastAsia" w:ascii="宋体" w:hAnsi="宋体" w:eastAsia="宋体" w:cs="宋体"/>
          <w:color w:val="auto"/>
          <w:kern w:val="2"/>
          <w:sz w:val="24"/>
          <w:highlight w:val="none"/>
        </w:rPr>
        <w:t>须知表另有规定外，</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所附证书证件均为原件扫描件，并采用单位和个人数字证书，按</w:t>
      </w:r>
      <w:r>
        <w:rPr>
          <w:rFonts w:hint="eastAsia" w:ascii="宋体" w:hAnsi="宋体" w:eastAsia="宋体" w:cs="宋体"/>
          <w:color w:val="auto"/>
          <w:kern w:val="2"/>
          <w:sz w:val="24"/>
          <w:highlight w:val="none"/>
          <w:lang w:eastAsia="zh-CN"/>
        </w:rPr>
        <w:t>采购文件</w:t>
      </w:r>
      <w:r>
        <w:rPr>
          <w:rFonts w:hint="eastAsia" w:ascii="宋体" w:hAnsi="宋体" w:eastAsia="宋体" w:cs="宋体"/>
          <w:color w:val="auto"/>
          <w:kern w:val="2"/>
          <w:sz w:val="24"/>
          <w:highlight w:val="none"/>
        </w:rPr>
        <w:t>要求在相应位置加盖电子印章。否则，评审委员会应当否决其投标。</w:t>
      </w:r>
    </w:p>
    <w:p w14:paraId="14D0F08B">
      <w:pPr>
        <w:pStyle w:val="3"/>
        <w:snapToGrid w:val="0"/>
        <w:spacing w:before="0" w:after="0" w:line="500" w:lineRule="exact"/>
        <w:rPr>
          <w:rFonts w:hint="eastAsia" w:ascii="宋体" w:hAnsi="宋体" w:eastAsia="宋体" w:cs="宋体"/>
          <w:color w:val="auto"/>
          <w:sz w:val="28"/>
          <w:szCs w:val="28"/>
        </w:rPr>
      </w:pPr>
      <w:bookmarkStart w:id="145" w:name="_Toc138239178"/>
      <w:bookmarkStart w:id="146" w:name="_Toc18146"/>
      <w:bookmarkStart w:id="147" w:name="_Toc20627"/>
      <w:bookmarkStart w:id="148" w:name="_Toc4956"/>
      <w:bookmarkStart w:id="149" w:name="_Toc15862"/>
      <w:bookmarkStart w:id="150" w:name="_Hlk138155274"/>
      <w:r>
        <w:rPr>
          <w:rFonts w:hint="eastAsia" w:ascii="宋体" w:hAnsi="宋体" w:eastAsia="宋体" w:cs="宋体"/>
          <w:color w:val="auto"/>
          <w:sz w:val="28"/>
          <w:szCs w:val="28"/>
        </w:rPr>
        <w:t>六、单一来源采购</w:t>
      </w:r>
      <w:bookmarkEnd w:id="145"/>
      <w:bookmarkEnd w:id="146"/>
      <w:bookmarkEnd w:id="147"/>
      <w:bookmarkEnd w:id="148"/>
      <w:bookmarkEnd w:id="149"/>
    </w:p>
    <w:bookmarkEnd w:id="150"/>
    <w:p w14:paraId="68668B85">
      <w:pPr>
        <w:spacing w:line="500" w:lineRule="exact"/>
        <w:ind w:firstLine="480" w:firstLineChars="200"/>
        <w:rPr>
          <w:rFonts w:hint="eastAsia" w:ascii="宋体" w:hAnsi="宋体" w:eastAsia="宋体" w:cs="宋体"/>
          <w:color w:val="auto"/>
          <w:sz w:val="24"/>
          <w:szCs w:val="24"/>
        </w:rPr>
      </w:pPr>
      <w:bookmarkStart w:id="151" w:name="_Toc30199"/>
      <w:bookmarkStart w:id="152" w:name="_Toc14779"/>
      <w:bookmarkStart w:id="153" w:name="_Toc1753"/>
      <w:bookmarkStart w:id="154" w:name="_Toc28398"/>
      <w:bookmarkStart w:id="155" w:name="_Toc138239179"/>
      <w:bookmarkStart w:id="156" w:name="_Hlk138155390"/>
      <w:r>
        <w:rPr>
          <w:rFonts w:hint="eastAsia" w:ascii="宋体" w:hAnsi="宋体" w:eastAsia="宋体" w:cs="宋体"/>
          <w:color w:val="auto"/>
          <w:sz w:val="24"/>
          <w:szCs w:val="24"/>
        </w:rPr>
        <w:t>详见第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章</w:t>
      </w:r>
    </w:p>
    <w:p w14:paraId="18BDC79B">
      <w:pPr>
        <w:pStyle w:val="3"/>
        <w:snapToGrid w:val="0"/>
        <w:spacing w:before="0" w:after="0" w:line="500" w:lineRule="exact"/>
        <w:rPr>
          <w:rFonts w:hint="eastAsia" w:ascii="宋体" w:hAnsi="宋体" w:eastAsia="宋体" w:cs="宋体"/>
          <w:color w:val="auto"/>
          <w:sz w:val="28"/>
          <w:szCs w:val="28"/>
        </w:rPr>
      </w:pPr>
      <w:r>
        <w:rPr>
          <w:rFonts w:hint="eastAsia" w:ascii="宋体" w:hAnsi="宋体" w:eastAsia="宋体" w:cs="宋体"/>
          <w:color w:val="auto"/>
          <w:sz w:val="28"/>
          <w:szCs w:val="28"/>
        </w:rPr>
        <w:t>七、终止的情形</w:t>
      </w:r>
      <w:bookmarkEnd w:id="151"/>
      <w:bookmarkEnd w:id="152"/>
      <w:bookmarkEnd w:id="153"/>
      <w:bookmarkEnd w:id="154"/>
      <w:bookmarkEnd w:id="155"/>
    </w:p>
    <w:bookmarkEnd w:id="156"/>
    <w:p w14:paraId="439F533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出现下列情形之一的，采购人或者采购代理机构应当终止采购活动，发布项目终止公告并说明原因，重新开展采购活动：</w:t>
      </w:r>
    </w:p>
    <w:p w14:paraId="5248FB0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（1）因情况变化，不再符合规定的单一来源采购方式适用情形的；</w:t>
      </w:r>
    </w:p>
    <w:p w14:paraId="54D38B1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528BF71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（3）报价超过采购预算的。</w:t>
      </w:r>
    </w:p>
    <w:p w14:paraId="5E93830D">
      <w:pPr>
        <w:pStyle w:val="3"/>
        <w:snapToGrid w:val="0"/>
        <w:spacing w:before="0" w:after="0" w:line="500" w:lineRule="exact"/>
        <w:rPr>
          <w:rFonts w:hint="eastAsia" w:ascii="宋体" w:hAnsi="宋体" w:eastAsia="宋体" w:cs="宋体"/>
          <w:color w:val="auto"/>
          <w:sz w:val="28"/>
          <w:szCs w:val="28"/>
        </w:rPr>
      </w:pPr>
      <w:bookmarkStart w:id="157" w:name="_Toc138239180"/>
      <w:bookmarkStart w:id="158" w:name="_Toc25382"/>
      <w:bookmarkStart w:id="159" w:name="_Toc22420"/>
      <w:bookmarkStart w:id="160" w:name="_Hlk138155446"/>
      <w:bookmarkStart w:id="161" w:name="_Toc12307"/>
      <w:bookmarkStart w:id="162" w:name="_Toc10272"/>
      <w:bookmarkStart w:id="163" w:name="_Hlk138155462"/>
      <w:r>
        <w:rPr>
          <w:rFonts w:hint="eastAsia" w:ascii="宋体" w:hAnsi="宋体" w:eastAsia="宋体" w:cs="宋体"/>
          <w:color w:val="auto"/>
          <w:sz w:val="28"/>
          <w:szCs w:val="28"/>
        </w:rPr>
        <w:t>八、成交结果公告</w:t>
      </w:r>
      <w:bookmarkEnd w:id="157"/>
      <w:bookmarkEnd w:id="158"/>
      <w:bookmarkEnd w:id="159"/>
      <w:bookmarkEnd w:id="160"/>
      <w:bookmarkEnd w:id="161"/>
      <w:bookmarkEnd w:id="162"/>
    </w:p>
    <w:bookmarkEnd w:id="163"/>
    <w:p w14:paraId="5C17650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成交供应商确定后，采购代理机构在新疆政府采购网上发布成交结果公告，同时将成交结果以公告形式通知未成交的供应商，成交结果公告期为1个工作日。</w:t>
      </w:r>
    </w:p>
    <w:p w14:paraId="088CDA6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项目“废标”后，采购代理机构将在新疆政府采购网上发布“废标公告”。</w:t>
      </w:r>
    </w:p>
    <w:p w14:paraId="0BBC57D1">
      <w:pPr>
        <w:pStyle w:val="3"/>
        <w:snapToGrid w:val="0"/>
        <w:spacing w:before="0" w:after="0" w:line="500" w:lineRule="exact"/>
        <w:rPr>
          <w:rFonts w:hint="eastAsia" w:ascii="宋体" w:hAnsi="宋体" w:eastAsia="宋体" w:cs="宋体"/>
          <w:color w:val="auto"/>
          <w:sz w:val="28"/>
          <w:szCs w:val="28"/>
        </w:rPr>
      </w:pPr>
      <w:bookmarkStart w:id="164" w:name="_Toc138239181"/>
      <w:bookmarkStart w:id="165" w:name="_Toc29309"/>
      <w:bookmarkStart w:id="166" w:name="_Toc20536"/>
      <w:bookmarkStart w:id="167" w:name="_Toc12687"/>
      <w:bookmarkStart w:id="168" w:name="_Toc31205"/>
      <w:r>
        <w:rPr>
          <w:rFonts w:hint="eastAsia" w:ascii="宋体" w:hAnsi="宋体" w:eastAsia="宋体" w:cs="宋体"/>
          <w:color w:val="auto"/>
          <w:sz w:val="28"/>
          <w:szCs w:val="28"/>
        </w:rPr>
        <w:t>九、</w:t>
      </w:r>
      <w:bookmarkEnd w:id="164"/>
      <w:r>
        <w:rPr>
          <w:rFonts w:hint="eastAsia" w:ascii="宋体" w:hAnsi="宋体" w:eastAsia="宋体" w:cs="宋体"/>
          <w:color w:val="auto"/>
          <w:sz w:val="28"/>
          <w:szCs w:val="28"/>
        </w:rPr>
        <w:t>签订及履行合同和验收</w:t>
      </w:r>
      <w:bookmarkEnd w:id="165"/>
      <w:bookmarkEnd w:id="166"/>
      <w:bookmarkEnd w:id="167"/>
      <w:bookmarkEnd w:id="168"/>
      <w:r>
        <w:rPr>
          <w:rFonts w:hint="eastAsia" w:ascii="宋体" w:hAnsi="宋体" w:eastAsia="宋体" w:cs="宋体"/>
          <w:color w:val="auto"/>
          <w:sz w:val="28"/>
          <w:szCs w:val="28"/>
        </w:rPr>
        <w:t xml:space="preserve"> </w:t>
      </w:r>
    </w:p>
    <w:p w14:paraId="4E257739">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69" w:name="_Toc183682375"/>
      <w:bookmarkStart w:id="170" w:name="_Toc183582238"/>
      <w:bookmarkStart w:id="171" w:name="_Toc472599566"/>
      <w:bookmarkStart w:id="172" w:name="_Toc29927"/>
      <w:bookmarkStart w:id="173" w:name="_Toc217446063"/>
      <w:bookmarkStart w:id="174" w:name="_Toc472604611"/>
      <w:bookmarkStart w:id="175" w:name="_Toc9102"/>
      <w:bookmarkStart w:id="176" w:name="_Toc465085362"/>
      <w:bookmarkStart w:id="177" w:name="_Toc466298060"/>
      <w:bookmarkStart w:id="178" w:name="_Toc22838"/>
      <w:bookmarkStart w:id="179" w:name="_Toc465085364"/>
      <w:bookmarkStart w:id="180" w:name="_Toc22590"/>
      <w:bookmarkStart w:id="181" w:name="_Toc472604613"/>
      <w:bookmarkStart w:id="182" w:name="_Toc16424"/>
      <w:bookmarkStart w:id="183" w:name="_Toc466298062"/>
      <w:bookmarkStart w:id="184" w:name="_Toc472599568"/>
      <w:bookmarkStart w:id="185" w:name="_Toc217446065"/>
      <w:bookmarkStart w:id="186" w:name="_Toc31409"/>
      <w:r>
        <w:rPr>
          <w:rFonts w:hint="eastAsia" w:ascii="宋体" w:hAnsi="宋体" w:eastAsia="宋体" w:cs="宋体"/>
          <w:b/>
          <w:bCs/>
          <w:color w:val="auto"/>
          <w:sz w:val="24"/>
          <w:szCs w:val="24"/>
          <w:highlight w:val="none"/>
        </w:rPr>
        <w:t>1.</w:t>
      </w:r>
      <w:bookmarkEnd w:id="169"/>
      <w:bookmarkEnd w:id="170"/>
      <w:r>
        <w:rPr>
          <w:rFonts w:hint="eastAsia" w:ascii="宋体" w:hAnsi="宋体" w:eastAsia="宋体" w:cs="宋体"/>
          <w:b/>
          <w:bCs/>
          <w:color w:val="auto"/>
          <w:sz w:val="24"/>
          <w:szCs w:val="24"/>
          <w:highlight w:val="none"/>
        </w:rPr>
        <w:t>成交通知书</w:t>
      </w:r>
      <w:bookmarkEnd w:id="171"/>
      <w:bookmarkEnd w:id="172"/>
      <w:bookmarkEnd w:id="173"/>
      <w:bookmarkEnd w:id="174"/>
      <w:bookmarkEnd w:id="175"/>
      <w:bookmarkEnd w:id="176"/>
      <w:bookmarkEnd w:id="177"/>
      <w:bookmarkEnd w:id="178"/>
    </w:p>
    <w:p w14:paraId="378CE6D2">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1.1采购代理机构将在规定媒体上对采购小组通过评审确定的成交供应商进行公示。</w:t>
      </w:r>
    </w:p>
    <w:p w14:paraId="3142FB12">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1.2公示结束后，采购代理机构将向成交供应商发出《成交通知书》。</w:t>
      </w:r>
    </w:p>
    <w:p w14:paraId="28842408">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1.3成交通知书将作为签订合同的依据。</w:t>
      </w:r>
    </w:p>
    <w:p w14:paraId="74C1D54A">
      <w:pPr>
        <w:shd w:val="clear" w:color="auto" w:fill="auto"/>
        <w:spacing w:line="400" w:lineRule="exact"/>
        <w:ind w:firstLine="470" w:firstLineChars="196"/>
        <w:rPr>
          <w:rFonts w:hint="eastAsia" w:ascii="宋体" w:hAnsi="宋体" w:eastAsia="宋体" w:cs="宋体"/>
          <w:color w:val="auto"/>
          <w:sz w:val="24"/>
          <w:szCs w:val="22"/>
          <w:highlight w:val="none"/>
        </w:rPr>
      </w:pPr>
      <w:r>
        <w:rPr>
          <w:rFonts w:hint="eastAsia" w:ascii="宋体" w:hAnsi="宋体" w:eastAsia="宋体" w:cs="宋体"/>
          <w:color w:val="auto"/>
          <w:kern w:val="2"/>
          <w:sz w:val="24"/>
          <w:szCs w:val="22"/>
          <w:highlight w:val="none"/>
        </w:rPr>
        <w:t>1.4成交通知书生效后，如果已成交的供应商不能按采购文件和响应文件中承诺的条件履行签约行为，其</w:t>
      </w:r>
      <w:r>
        <w:rPr>
          <w:rFonts w:hint="eastAsia" w:ascii="宋体" w:hAnsi="宋体" w:eastAsia="宋体" w:cs="宋体"/>
          <w:color w:val="auto"/>
          <w:sz w:val="24"/>
          <w:szCs w:val="22"/>
          <w:highlight w:val="none"/>
        </w:rPr>
        <w:t>洽谈保证金不予退还并承担相应的法律责任。</w:t>
      </w:r>
    </w:p>
    <w:p w14:paraId="5F30B38E">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2.签订合同</w:t>
      </w:r>
      <w:bookmarkEnd w:id="179"/>
      <w:bookmarkEnd w:id="180"/>
      <w:bookmarkEnd w:id="181"/>
      <w:bookmarkEnd w:id="182"/>
      <w:bookmarkEnd w:id="183"/>
      <w:bookmarkEnd w:id="184"/>
      <w:bookmarkEnd w:id="185"/>
      <w:bookmarkEnd w:id="186"/>
      <w:r>
        <w:rPr>
          <w:rFonts w:hint="eastAsia" w:ascii="宋体" w:hAnsi="宋体" w:eastAsia="宋体" w:cs="宋体"/>
          <w:b/>
          <w:bCs/>
          <w:color w:val="auto"/>
          <w:sz w:val="24"/>
          <w:szCs w:val="24"/>
          <w:highlight w:val="none"/>
        </w:rPr>
        <w:t xml:space="preserve"> </w:t>
      </w:r>
    </w:p>
    <w:p w14:paraId="050B7705">
      <w:pPr>
        <w:shd w:val="clear" w:color="auto" w:fill="auto"/>
        <w:ind w:firstLine="480" w:firstLineChars="200"/>
        <w:rPr>
          <w:rFonts w:hint="eastAsia" w:ascii="宋体" w:hAnsi="宋体" w:eastAsia="宋体" w:cs="宋体"/>
          <w:color w:val="auto"/>
          <w:sz w:val="24"/>
          <w:szCs w:val="24"/>
          <w:highlight w:val="none"/>
        </w:rPr>
      </w:pPr>
      <w:bookmarkStart w:id="187" w:name="_Toc28391"/>
      <w:bookmarkStart w:id="188" w:name="_Toc466298065"/>
      <w:bookmarkStart w:id="189" w:name="_Toc465085367"/>
      <w:bookmarkStart w:id="190" w:name="_Toc472599572"/>
      <w:bookmarkStart w:id="191" w:name="_Toc472604617"/>
      <w:bookmarkStart w:id="192" w:name="_Toc22891"/>
      <w:bookmarkStart w:id="193" w:name="_Toc21243"/>
      <w:bookmarkStart w:id="194" w:name="_Toc217446068"/>
      <w:r>
        <w:rPr>
          <w:rFonts w:hint="eastAsia" w:ascii="宋体" w:hAnsi="宋体" w:eastAsia="宋体" w:cs="宋体"/>
          <w:color w:val="auto"/>
          <w:sz w:val="24"/>
          <w:szCs w:val="24"/>
          <w:highlight w:val="none"/>
        </w:rPr>
        <w:t>2.1成交供应商应按《成交通知书》规定的时间和地点，与采购人签订采购合 同。</w:t>
      </w:r>
    </w:p>
    <w:p w14:paraId="76612E85">
      <w:pPr>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2.2协商文件、响应文件、成交通知书等均成为有法律约束力的合同组成内容。</w:t>
      </w:r>
    </w:p>
    <w:p w14:paraId="1C8F55D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3.履约保证金</w:t>
      </w:r>
      <w:bookmarkEnd w:id="187"/>
      <w:bookmarkEnd w:id="188"/>
      <w:bookmarkEnd w:id="189"/>
      <w:bookmarkEnd w:id="190"/>
      <w:bookmarkEnd w:id="191"/>
      <w:bookmarkEnd w:id="192"/>
      <w:bookmarkEnd w:id="193"/>
      <w:bookmarkEnd w:id="194"/>
    </w:p>
    <w:p w14:paraId="43132047">
      <w:pPr>
        <w:shd w:val="clear" w:color="auto" w:fill="auto"/>
        <w:spacing w:line="400" w:lineRule="exact"/>
        <w:ind w:firstLine="480" w:firstLineChars="200"/>
        <w:rPr>
          <w:rFonts w:hint="eastAsia" w:ascii="宋体" w:hAnsi="宋体" w:eastAsia="宋体" w:cs="宋体"/>
          <w:color w:val="auto"/>
          <w:highlight w:val="none"/>
          <w:lang w:val="en-US" w:eastAsia="zh-CN"/>
        </w:rPr>
      </w:pPr>
      <w:bookmarkStart w:id="195" w:name="_Toc472604618"/>
      <w:bookmarkStart w:id="196" w:name="_Toc471489570"/>
      <w:bookmarkStart w:id="197" w:name="_Toc472599573"/>
      <w:r>
        <w:rPr>
          <w:rFonts w:hint="eastAsia" w:ascii="宋体" w:hAnsi="宋体" w:eastAsia="宋体" w:cs="宋体"/>
          <w:color w:val="auto"/>
          <w:sz w:val="24"/>
          <w:highlight w:val="none"/>
          <w:lang w:val="en-US" w:eastAsia="zh-CN"/>
        </w:rPr>
        <w:t>见第二章供应商须知。</w:t>
      </w:r>
    </w:p>
    <w:p w14:paraId="5C63A0C4">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4.合同公告</w:t>
      </w:r>
      <w:bookmarkEnd w:id="195"/>
      <w:bookmarkEnd w:id="196"/>
      <w:bookmarkEnd w:id="197"/>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如涉及</w:t>
      </w:r>
      <w:r>
        <w:rPr>
          <w:rFonts w:hint="eastAsia" w:ascii="宋体" w:hAnsi="宋体" w:eastAsia="宋体" w:cs="宋体"/>
          <w:b/>
          <w:bCs/>
          <w:color w:val="auto"/>
          <w:sz w:val="24"/>
          <w:szCs w:val="24"/>
          <w:highlight w:val="none"/>
          <w:lang w:eastAsia="zh-CN"/>
        </w:rPr>
        <w:t>）</w:t>
      </w:r>
    </w:p>
    <w:p w14:paraId="68057BA5">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2C1DB138">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98" w:name="_Toc472599574"/>
      <w:bookmarkStart w:id="199" w:name="_Toc472604619"/>
      <w:bookmarkStart w:id="200" w:name="_Toc471489571"/>
      <w:r>
        <w:rPr>
          <w:rFonts w:hint="eastAsia" w:ascii="宋体" w:hAnsi="宋体" w:eastAsia="宋体" w:cs="宋体"/>
          <w:b/>
          <w:bCs/>
          <w:color w:val="auto"/>
          <w:sz w:val="24"/>
          <w:szCs w:val="24"/>
          <w:highlight w:val="none"/>
        </w:rPr>
        <w:t>5.合同备案</w:t>
      </w:r>
      <w:bookmarkEnd w:id="198"/>
      <w:bookmarkEnd w:id="199"/>
      <w:bookmarkEnd w:id="200"/>
    </w:p>
    <w:p w14:paraId="7121EC14">
      <w:pPr>
        <w:shd w:val="clear" w:color="auto" w:fill="auto"/>
        <w:spacing w:line="44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采购人应当将政府采购合同副本自签订（双方当事人均已签字盖章）之日起七个工作日内通过新疆政府采购网报同级财政部门备案。</w:t>
      </w:r>
    </w:p>
    <w:p w14:paraId="7F04DAA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201" w:name="_Toc23465"/>
      <w:bookmarkStart w:id="202" w:name="_Toc472604620"/>
      <w:bookmarkStart w:id="203" w:name="_Toc466298066"/>
      <w:bookmarkStart w:id="204" w:name="_Toc472599575"/>
      <w:bookmarkStart w:id="205" w:name="_Toc465085368"/>
      <w:bookmarkStart w:id="206" w:name="_Toc3788"/>
      <w:bookmarkStart w:id="207" w:name="_Toc2391"/>
      <w:r>
        <w:rPr>
          <w:rFonts w:hint="eastAsia" w:ascii="宋体" w:hAnsi="宋体" w:eastAsia="宋体" w:cs="宋体"/>
          <w:b/>
          <w:bCs/>
          <w:color w:val="auto"/>
          <w:sz w:val="24"/>
          <w:szCs w:val="24"/>
          <w:highlight w:val="none"/>
        </w:rPr>
        <w:t>6.履行合同</w:t>
      </w:r>
      <w:bookmarkEnd w:id="201"/>
      <w:bookmarkEnd w:id="202"/>
      <w:bookmarkEnd w:id="203"/>
      <w:bookmarkEnd w:id="204"/>
      <w:bookmarkEnd w:id="205"/>
      <w:bookmarkEnd w:id="206"/>
      <w:bookmarkEnd w:id="207"/>
    </w:p>
    <w:p w14:paraId="182DCE4C">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6.1 成交供应商与采购人签订合同后，合同双方应严格执行合同条款，履行合同规定的义务，保证合同的顺利完成。</w:t>
      </w:r>
    </w:p>
    <w:p w14:paraId="7274A4F7">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6.2 在合同履行过程中，如发生合同纠纷，合同双方应按照</w:t>
      </w:r>
      <w:r>
        <w:rPr>
          <w:rFonts w:hint="eastAsia" w:ascii="宋体" w:hAnsi="宋体" w:eastAsia="宋体" w:cs="宋体"/>
          <w:color w:val="auto"/>
          <w:sz w:val="24"/>
          <w:szCs w:val="24"/>
          <w:highlight w:val="none"/>
        </w:rPr>
        <w:t>《中华人民共和国民法典》</w:t>
      </w:r>
      <w:r>
        <w:rPr>
          <w:rFonts w:hint="eastAsia" w:ascii="宋体" w:hAnsi="宋体" w:eastAsia="宋体" w:cs="宋体"/>
          <w:color w:val="auto"/>
          <w:sz w:val="24"/>
          <w:highlight w:val="none"/>
        </w:rPr>
        <w:t>的有关规定进行处理。</w:t>
      </w:r>
    </w:p>
    <w:p w14:paraId="5B7933BF">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208" w:name="_Toc31802"/>
      <w:bookmarkStart w:id="209" w:name="_Toc466298067"/>
      <w:bookmarkStart w:id="210" w:name="_Toc16786"/>
      <w:bookmarkStart w:id="211" w:name="_Toc472604621"/>
      <w:bookmarkStart w:id="212" w:name="_Toc472599576"/>
      <w:bookmarkStart w:id="213" w:name="_Toc465085369"/>
      <w:bookmarkStart w:id="214" w:name="_Toc29516"/>
      <w:r>
        <w:rPr>
          <w:rFonts w:hint="eastAsia" w:ascii="宋体" w:hAnsi="宋体" w:eastAsia="宋体" w:cs="宋体"/>
          <w:b/>
          <w:bCs/>
          <w:color w:val="auto"/>
          <w:sz w:val="24"/>
          <w:szCs w:val="24"/>
          <w:highlight w:val="none"/>
        </w:rPr>
        <w:t>7.验收</w:t>
      </w:r>
      <w:bookmarkEnd w:id="208"/>
      <w:bookmarkEnd w:id="209"/>
      <w:bookmarkEnd w:id="210"/>
      <w:bookmarkEnd w:id="211"/>
      <w:bookmarkEnd w:id="212"/>
      <w:bookmarkEnd w:id="213"/>
      <w:bookmarkEnd w:id="214"/>
    </w:p>
    <w:p w14:paraId="39FD2AB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7.1本项目采购人及其委托的采购代理机构将严格按照政府采购相关法律法规的要求进行验收。</w:t>
      </w:r>
    </w:p>
    <w:p w14:paraId="2C81360A">
      <w:pPr>
        <w:bidi w:val="0"/>
        <w:rPr>
          <w:rFonts w:hint="eastAsia" w:ascii="宋体" w:hAnsi="宋体" w:eastAsia="宋体" w:cs="宋体"/>
          <w:color w:val="auto"/>
        </w:rPr>
      </w:pPr>
    </w:p>
    <w:p w14:paraId="770C5AA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p>
    <w:bookmarkEnd w:id="92"/>
    <w:p w14:paraId="2FFE1B86">
      <w:pPr>
        <w:pStyle w:val="2"/>
        <w:adjustRightInd w:val="0"/>
        <w:snapToGrid w:val="0"/>
        <w:spacing w:before="0" w:after="0" w:line="360" w:lineRule="auto"/>
        <w:jc w:val="center"/>
        <w:rPr>
          <w:rFonts w:hint="eastAsia" w:ascii="宋体" w:hAnsi="宋体" w:eastAsia="宋体" w:cs="宋体"/>
          <w:color w:val="auto"/>
        </w:rPr>
      </w:pPr>
      <w:bookmarkStart w:id="215" w:name="_Toc26071"/>
      <w:bookmarkStart w:id="216" w:name="_Toc3221"/>
      <w:bookmarkStart w:id="217" w:name="_Toc6707"/>
      <w:bookmarkStart w:id="218" w:name="_Toc14936"/>
      <w:bookmarkStart w:id="219" w:name="_Toc138239182"/>
      <w:bookmarkStart w:id="220" w:name="_Hlk131714211"/>
      <w:r>
        <w:rPr>
          <w:rFonts w:hint="eastAsia" w:ascii="宋体" w:hAnsi="宋体" w:eastAsia="宋体" w:cs="宋体"/>
          <w:color w:val="auto"/>
        </w:rPr>
        <w:t>第三章  采购内容与技术要求</w:t>
      </w:r>
      <w:bookmarkEnd w:id="215"/>
      <w:bookmarkEnd w:id="216"/>
      <w:bookmarkEnd w:id="217"/>
      <w:bookmarkEnd w:id="218"/>
      <w:bookmarkEnd w:id="219"/>
    </w:p>
    <w:p w14:paraId="6F027557">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color w:val="auto"/>
          <w:sz w:val="30"/>
          <w:szCs w:val="30"/>
          <w:highlight w:val="none"/>
          <w:lang w:val="en-US" w:eastAsia="zh-CN"/>
        </w:rPr>
      </w:pPr>
      <w:bookmarkStart w:id="221" w:name="_Toc25924"/>
      <w:r>
        <w:rPr>
          <w:rFonts w:hint="eastAsia" w:ascii="宋体" w:hAnsi="宋体" w:eastAsia="宋体" w:cs="宋体"/>
          <w:color w:val="auto"/>
          <w:sz w:val="30"/>
          <w:szCs w:val="30"/>
          <w:highlight w:val="none"/>
          <w:lang w:val="en-US" w:eastAsia="zh-CN"/>
        </w:rPr>
        <w:t>一、采购清单</w:t>
      </w:r>
      <w:bookmarkEnd w:id="221"/>
    </w:p>
    <w:p w14:paraId="43D87232">
      <w:pPr>
        <w:numPr>
          <w:ilvl w:val="0"/>
          <w:numId w:val="0"/>
        </w:numPr>
        <w:rPr>
          <w:rFonts w:hint="eastAsia" w:ascii="宋体" w:hAnsi="宋体" w:eastAsia="宋体" w:cs="宋体"/>
          <w:color w:val="auto"/>
          <w:lang w:eastAsia="zh-CN"/>
        </w:rPr>
      </w:pPr>
    </w:p>
    <w:tbl>
      <w:tblPr>
        <w:tblStyle w:val="29"/>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2334"/>
        <w:gridCol w:w="1849"/>
        <w:gridCol w:w="3450"/>
        <w:gridCol w:w="1229"/>
        <w:gridCol w:w="735"/>
      </w:tblGrid>
      <w:tr w14:paraId="2206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F335">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76FA">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货物品种</w:t>
            </w:r>
          </w:p>
          <w:p w14:paraId="69303174">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（标的名称）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D0ED">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作用与用途</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E082">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主要技术参数要求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20EC">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单价限价</w:t>
            </w:r>
            <w:r>
              <w:rPr>
                <w:rFonts w:hint="eastAsia" w:ascii="宋体" w:hAnsi="宋体" w:eastAsia="宋体" w:cs="宋体"/>
                <w:b/>
                <w:bCs/>
                <w:i w:val="0"/>
                <w:iCs w:val="0"/>
                <w:snapToGrid w:val="0"/>
                <w:color w:val="auto"/>
                <w:kern w:val="0"/>
                <w:sz w:val="24"/>
                <w:szCs w:val="24"/>
                <w:highlight w:val="none"/>
                <w:u w:val="none"/>
                <w:lang w:val="en-US" w:eastAsia="zh-CN" w:bidi="ar"/>
              </w:rPr>
              <w:br w:type="textWrapping"/>
            </w:r>
            <w:r>
              <w:rPr>
                <w:rFonts w:hint="eastAsia" w:ascii="宋体" w:hAnsi="宋体" w:eastAsia="宋体" w:cs="宋体"/>
                <w:b/>
                <w:bCs/>
                <w:i w:val="0"/>
                <w:iCs w:val="0"/>
                <w:snapToGrid w:val="0"/>
                <w:color w:val="auto"/>
                <w:kern w:val="0"/>
                <w:sz w:val="24"/>
                <w:szCs w:val="24"/>
                <w:highlight w:val="none"/>
                <w:u w:val="none"/>
                <w:lang w:val="en-US" w:eastAsia="zh-CN" w:bidi="ar"/>
              </w:rPr>
              <w:t>（元）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A398">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单位</w:t>
            </w:r>
          </w:p>
        </w:tc>
      </w:tr>
      <w:tr w14:paraId="1497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4F96">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0FCA">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布鲁氏菌病活疫苗（S19株）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6E45">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用于预防牛布鲁氏菌病</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8FCB">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1.规格：10、20头份/瓶。</w:t>
            </w:r>
          </w:p>
          <w:p w14:paraId="38E6BCD2">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2.贮藏与有效期：2-8℃保存或20℃以下保存，有效期为12个月;</w:t>
            </w:r>
          </w:p>
          <w:p w14:paraId="5018B49C">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3.产品的安全检验指标应符合中国兽医药品监察所审核认可的“兽用生物制品生产与检验报告”要求；免疫期为48个月；</w:t>
            </w:r>
          </w:p>
          <w:p w14:paraId="1B64829F">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4.疫苗中含牛种布鲁氏菌S19株，每头份活菌数含量不少于6.0×10</w:t>
            </w:r>
            <w:r>
              <w:rPr>
                <w:rFonts w:hint="eastAsia" w:ascii="宋体" w:hAnsi="宋体" w:eastAsia="宋体" w:cs="宋体"/>
                <w:i w:val="0"/>
                <w:iCs w:val="0"/>
                <w:color w:val="auto"/>
                <w:kern w:val="0"/>
                <w:sz w:val="40"/>
                <w:szCs w:val="40"/>
                <w:u w:val="none"/>
                <w:vertAlign w:val="superscript"/>
                <w:lang w:val="en-US" w:eastAsia="zh-CN" w:bidi="ar"/>
              </w:rPr>
              <w:t>10</w:t>
            </w:r>
            <w:r>
              <w:rPr>
                <w:rFonts w:hint="eastAsia" w:ascii="宋体" w:hAnsi="宋体" w:eastAsia="宋体" w:cs="宋体"/>
                <w:i w:val="0"/>
                <w:iCs w:val="0"/>
                <w:color w:val="auto"/>
                <w:kern w:val="0"/>
                <w:sz w:val="24"/>
                <w:szCs w:val="24"/>
                <w:u w:val="none"/>
                <w:lang w:val="en-US" w:eastAsia="zh-CN" w:bidi="ar"/>
              </w:rPr>
              <w:t>,不高于1.2×10</w:t>
            </w:r>
            <w:r>
              <w:rPr>
                <w:rFonts w:hint="eastAsia" w:ascii="宋体" w:hAnsi="宋体" w:eastAsia="宋体" w:cs="宋体"/>
                <w:i w:val="0"/>
                <w:iCs w:val="0"/>
                <w:color w:val="auto"/>
                <w:kern w:val="0"/>
                <w:sz w:val="40"/>
                <w:szCs w:val="40"/>
                <w:u w:val="none"/>
                <w:vertAlign w:val="superscript"/>
                <w:lang w:val="en-US" w:eastAsia="zh-CN" w:bidi="ar"/>
              </w:rPr>
              <w:t>11</w:t>
            </w:r>
            <w:r>
              <w:rPr>
                <w:rFonts w:hint="eastAsia" w:ascii="宋体" w:hAnsi="宋体" w:eastAsia="宋体" w:cs="宋体"/>
                <w:i w:val="0"/>
                <w:iCs w:val="0"/>
                <w:color w:val="auto"/>
                <w:kern w:val="0"/>
                <w:sz w:val="24"/>
                <w:szCs w:val="24"/>
                <w:u w:val="none"/>
                <w:lang w:val="en-US" w:eastAsia="zh-CN" w:bidi="ar"/>
              </w:rPr>
              <w:t>CFU活菌；</w:t>
            </w:r>
          </w:p>
          <w:p w14:paraId="6D73D6FA">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5.交货时有效期在8个月以上；</w:t>
            </w:r>
          </w:p>
          <w:p w14:paraId="62F60767">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6.应有实用可行的免疫操作规程，人员防护措施，环境保护措施，确保人畜安全。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7FB1">
            <w:pPr>
              <w:keepNext w:val="0"/>
              <w:keepLines w:val="0"/>
              <w:pageBreakBefore w:val="0"/>
              <w:widowControl/>
              <w:suppressLineNumbers w:val="0"/>
              <w:topLinePunct w:val="0"/>
              <w:bidi w:val="0"/>
              <w:spacing w:beforeAutospacing="0"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35C8">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头份</w:t>
            </w:r>
          </w:p>
        </w:tc>
      </w:tr>
    </w:tbl>
    <w:p w14:paraId="6D1A8A8D">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color w:val="auto"/>
          <w:sz w:val="30"/>
          <w:szCs w:val="30"/>
          <w:highlight w:val="none"/>
          <w:lang w:val="en-US" w:eastAsia="zh-CN"/>
        </w:rPr>
      </w:pPr>
      <w:bookmarkStart w:id="222" w:name="_Toc28676"/>
      <w:r>
        <w:rPr>
          <w:rFonts w:hint="eastAsia" w:ascii="宋体" w:hAnsi="宋体" w:eastAsia="宋体" w:cs="宋体"/>
          <w:color w:val="auto"/>
          <w:sz w:val="30"/>
          <w:szCs w:val="30"/>
          <w:highlight w:val="none"/>
          <w:lang w:val="en-US" w:eastAsia="zh-CN"/>
        </w:rPr>
        <w:t>二、商务要求（实质性要求）</w:t>
      </w:r>
      <w:bookmarkEnd w:id="222"/>
    </w:p>
    <w:p w14:paraId="4B189823">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highlight w:val="none"/>
          <w:lang w:val="en-US" w:eastAsia="zh-CN"/>
        </w:rPr>
        <w:t>一）服务期限：</w:t>
      </w:r>
      <w:r>
        <w:rPr>
          <w:rFonts w:hint="eastAsia" w:ascii="宋体" w:hAnsi="宋体" w:eastAsia="宋体" w:cs="宋体"/>
          <w:b w:val="0"/>
          <w:bCs w:val="0"/>
          <w:color w:val="auto"/>
          <w:sz w:val="24"/>
          <w:szCs w:val="24"/>
          <w:highlight w:val="none"/>
          <w:lang w:val="en-US" w:eastAsia="zh-CN"/>
        </w:rPr>
        <w:t>本合同履约期限为合同生效之日起，至疫苗供货及售后服务全部履行完毕之日止。</w:t>
      </w:r>
    </w:p>
    <w:p w14:paraId="5E75BF54">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（二）供货时间：</w:t>
      </w:r>
      <w:r>
        <w:rPr>
          <w:rFonts w:hint="eastAsia" w:ascii="宋体" w:hAnsi="宋体" w:eastAsia="宋体" w:cs="宋体"/>
          <w:color w:val="auto"/>
          <w:sz w:val="24"/>
          <w:szCs w:val="24"/>
          <w:highlight w:val="none"/>
          <w:lang w:val="en-US" w:eastAsia="zh-CN"/>
        </w:rPr>
        <w:t>接到采购方供货通知，须在15个日历日内（特殊情况下24小时送达）全程冷链条件下运达至甲方指定地点</w:t>
      </w:r>
      <w:r>
        <w:rPr>
          <w:rFonts w:hint="eastAsia" w:ascii="宋体" w:hAnsi="宋体" w:eastAsia="宋体" w:cs="宋体"/>
          <w:color w:val="auto"/>
          <w:sz w:val="24"/>
          <w:szCs w:val="24"/>
          <w:highlight w:val="none"/>
          <w:lang w:val="en-US" w:eastAsia="zh-CN"/>
        </w:rPr>
        <w:t>（分春季、秋季供货使用的疫苗， 按甲方通知要求分批供应）</w:t>
      </w:r>
      <w:r>
        <w:rPr>
          <w:rFonts w:hint="eastAsia" w:ascii="宋体" w:hAnsi="宋体" w:eastAsia="宋体" w:cs="宋体"/>
          <w:color w:val="auto"/>
          <w:sz w:val="24"/>
          <w:szCs w:val="24"/>
          <w:highlight w:val="none"/>
          <w:lang w:val="en-US" w:eastAsia="zh-CN"/>
        </w:rPr>
        <w:t>。</w:t>
      </w:r>
    </w:p>
    <w:p w14:paraId="33E807A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（三）供货地点：</w:t>
      </w:r>
      <w:r>
        <w:rPr>
          <w:rFonts w:hint="eastAsia" w:ascii="宋体" w:hAnsi="宋体" w:eastAsia="宋体" w:cs="宋体"/>
          <w:b w:val="0"/>
          <w:bCs w:val="0"/>
          <w:color w:val="auto"/>
          <w:sz w:val="24"/>
          <w:szCs w:val="24"/>
          <w:highlight w:val="none"/>
          <w:lang w:val="en-US" w:eastAsia="zh-CN"/>
        </w:rPr>
        <w:t>为自治区动物疫病预防控制中心指定区域，一般为地、县两级动物疫控中心疫苗冷藏库。</w:t>
      </w:r>
    </w:p>
    <w:p w14:paraId="1E69832A">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highlight w:val="none"/>
          <w:lang w:val="en-US" w:eastAsia="zh-CN"/>
        </w:rPr>
        <w:t>（四）付款方式</w:t>
      </w:r>
      <w:r>
        <w:rPr>
          <w:rFonts w:hint="eastAsia" w:ascii="宋体" w:hAnsi="宋体" w:eastAsia="宋体" w:cs="宋体"/>
          <w:b w:val="0"/>
          <w:bCs w:val="0"/>
          <w:color w:val="auto"/>
          <w:sz w:val="24"/>
          <w:szCs w:val="24"/>
          <w:highlight w:val="none"/>
          <w:lang w:val="en-US" w:eastAsia="zh-CN"/>
        </w:rPr>
        <w:t>（本</w:t>
      </w:r>
      <w:r>
        <w:rPr>
          <w:rFonts w:hint="eastAsia" w:ascii="宋体" w:hAnsi="宋体" w:eastAsia="宋体" w:cs="宋体"/>
          <w:b w:val="0"/>
          <w:bCs w:val="0"/>
          <w:color w:val="auto"/>
          <w:sz w:val="24"/>
          <w:szCs w:val="24"/>
          <w:lang w:val="en-US" w:eastAsia="zh-CN"/>
        </w:rPr>
        <w:t>项目无预付款）：</w:t>
      </w:r>
    </w:p>
    <w:p w14:paraId="2BFEEDDC">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6BF3AC0D">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423B3D7C">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05588E3D">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16593769">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8"/>
          <w:szCs w:val="28"/>
          <w:highlight w:val="none"/>
          <w:lang w:val="en-US" w:eastAsia="zh-CN"/>
        </w:rPr>
        <w:t>（五）质量要求：</w:t>
      </w:r>
    </w:p>
    <w:p w14:paraId="1553CB3A">
      <w:pPr>
        <w:keepNext w:val="0"/>
        <w:keepLines w:val="0"/>
        <w:pageBreakBefore w:val="0"/>
        <w:widowControl/>
        <w:kinsoku w:val="0"/>
        <w:wordWrap/>
        <w:overflowPunct/>
        <w:topLinePunct w:val="0"/>
        <w:autoSpaceDE w:val="0"/>
        <w:autoSpaceDN w:val="0"/>
        <w:bidi w:val="0"/>
        <w:adjustRightInd/>
        <w:snapToGrid/>
        <w:spacing w:beforeAutospacing="0" w:line="480" w:lineRule="exact"/>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8"/>
          <w:szCs w:val="28"/>
          <w:highlight w:val="none"/>
          <w:lang w:eastAsia="zh-CN"/>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val="0"/>
          <w:bCs w:val="0"/>
          <w:color w:val="auto"/>
          <w:sz w:val="24"/>
          <w:szCs w:val="24"/>
          <w:highlight w:val="none"/>
          <w:lang w:eastAsia="zh-CN"/>
        </w:rPr>
        <w:t>1.产品质量及技术标准应符合或遵守《中华人民共和国兽药典》《中华人民共和国兽用生物制品质量标准》及颁布的相应产品质量标准。</w:t>
      </w:r>
    </w:p>
    <w:p w14:paraId="38475933">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2.产品须具有中国兽医药品监察所审核认可的“兽用生物制品生产与检验报告”（批签发），产品的物理性状、无菌检验、安全检验、效力检验等指标应符合规定标准。</w:t>
      </w:r>
    </w:p>
    <w:p w14:paraId="1BAD0DD5">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3.疫苗产品包装应符合《中华人民共和国兽药典》关于兽用生物制品的标签、说明书与包装规定。要配套泡沫保温箱和外包装箱，并附有兽药标签、使用说明书等相关资料。</w:t>
      </w:r>
    </w:p>
    <w:p w14:paraId="08BD694D">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4.采购工作过程中或之后，如遇农业农村部政策调整，有关疫苗毒株变更，相应产品应随之变更。</w:t>
      </w:r>
    </w:p>
    <w:p w14:paraId="2DD43FC2">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5.对需稀释使用的疫苗产品，要配套与采购的疫苗免疫量相符的稀释液。布病疫苗和稀释液头份规格应一致，避免暴露稀释。需减量免疫等特殊情形，供货厂商需额外足量配备稀释液。</w:t>
      </w:r>
    </w:p>
    <w:p w14:paraId="574DB53A">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240" w:firstLineChars="1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6.疫苗运输须按照《中华人民共和国兽药典》关于兽用生物制品的贮藏、运输和使用规定要求实施，应有完整冷链运输记录。</w:t>
      </w:r>
    </w:p>
    <w:p w14:paraId="552F9D80">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7.疫苗配送运输目的地为自治区动物疫病预防控制中心指定区域，一般为地、县两级动物疫控中心疫苗冷藏库。</w:t>
      </w:r>
    </w:p>
    <w:p w14:paraId="0C7E230D">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8.疫苗供货提供不低于合同数量50%的小规格包装。</w:t>
      </w:r>
    </w:p>
    <w:p w14:paraId="34C6C560">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b w:val="0"/>
          <w:bCs w:val="0"/>
          <w:color w:val="auto"/>
          <w:sz w:val="24"/>
          <w:szCs w:val="24"/>
          <w:highlight w:val="none"/>
          <w:shd w:val="clear"/>
          <w:lang w:val="en-US" w:eastAsia="zh-CN"/>
        </w:rPr>
        <w:t>自供货之日起质保期不少于8个月。</w:t>
      </w:r>
    </w:p>
    <w:bookmarkEnd w:id="220"/>
    <w:p w14:paraId="6D7195DC">
      <w:pPr>
        <w:rPr>
          <w:rFonts w:hint="eastAsia" w:ascii="宋体" w:hAnsi="宋体" w:eastAsia="宋体" w:cs="宋体"/>
          <w:color w:val="auto"/>
        </w:rPr>
      </w:pPr>
      <w:bookmarkStart w:id="223" w:name="_Toc138239183"/>
      <w:bookmarkStart w:id="224" w:name="_Hlk131642739"/>
      <w:bookmarkStart w:id="225" w:name="_Hlk131714478"/>
      <w:r>
        <w:rPr>
          <w:rFonts w:hint="eastAsia" w:ascii="宋体" w:hAnsi="宋体" w:eastAsia="宋体" w:cs="宋体"/>
          <w:color w:val="auto"/>
        </w:rPr>
        <w:br w:type="page"/>
      </w:r>
    </w:p>
    <w:p w14:paraId="457FC0AE">
      <w:pPr>
        <w:pStyle w:val="2"/>
        <w:adjustRightInd w:val="0"/>
        <w:snapToGrid w:val="0"/>
        <w:spacing w:before="0" w:after="0" w:line="360" w:lineRule="auto"/>
        <w:jc w:val="center"/>
        <w:rPr>
          <w:rFonts w:hint="eastAsia" w:ascii="宋体" w:hAnsi="宋体" w:eastAsia="宋体" w:cs="宋体"/>
          <w:color w:val="auto"/>
        </w:rPr>
      </w:pPr>
      <w:bookmarkStart w:id="226" w:name="_Toc12596"/>
      <w:bookmarkStart w:id="227" w:name="_Toc30917"/>
      <w:bookmarkStart w:id="228" w:name="_Toc13683"/>
      <w:bookmarkStart w:id="229" w:name="_Toc13390"/>
      <w:r>
        <w:rPr>
          <w:rFonts w:hint="eastAsia" w:ascii="宋体" w:hAnsi="宋体" w:eastAsia="宋体" w:cs="宋体"/>
          <w:color w:val="auto"/>
        </w:rPr>
        <w:t>第四章  单一来源采购</w:t>
      </w:r>
      <w:bookmarkEnd w:id="223"/>
      <w:bookmarkEnd w:id="226"/>
      <w:bookmarkEnd w:id="227"/>
      <w:bookmarkEnd w:id="228"/>
      <w:bookmarkEnd w:id="229"/>
    </w:p>
    <w:bookmarkEnd w:id="224"/>
    <w:p w14:paraId="510FB6B7">
      <w:pPr>
        <w:pStyle w:val="3"/>
        <w:snapToGrid w:val="0"/>
        <w:spacing w:before="0" w:after="0" w:line="500" w:lineRule="exact"/>
        <w:rPr>
          <w:rFonts w:hint="eastAsia" w:ascii="宋体" w:hAnsi="宋体" w:eastAsia="宋体" w:cs="宋体"/>
          <w:color w:val="auto"/>
          <w:sz w:val="28"/>
          <w:szCs w:val="28"/>
        </w:rPr>
      </w:pPr>
      <w:bookmarkStart w:id="230" w:name="_Toc138239184"/>
      <w:bookmarkStart w:id="231" w:name="_Toc4348"/>
      <w:bookmarkStart w:id="232" w:name="_Toc27321"/>
      <w:bookmarkStart w:id="233" w:name="_Toc2927"/>
      <w:bookmarkStart w:id="234" w:name="_Toc12374"/>
      <w:r>
        <w:rPr>
          <w:rFonts w:hint="eastAsia" w:ascii="宋体" w:hAnsi="宋体" w:eastAsia="宋体" w:cs="宋体"/>
          <w:color w:val="auto"/>
          <w:sz w:val="28"/>
          <w:szCs w:val="28"/>
        </w:rPr>
        <w:t>一、单一来源采购人员</w:t>
      </w:r>
      <w:bookmarkEnd w:id="230"/>
      <w:bookmarkEnd w:id="231"/>
      <w:bookmarkEnd w:id="232"/>
      <w:bookmarkEnd w:id="233"/>
      <w:bookmarkEnd w:id="234"/>
    </w:p>
    <w:p w14:paraId="62E16CB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1.单一来源采购人员由采购人、采购代理机构组织的具有相关经验的专业人员组成。</w:t>
      </w:r>
    </w:p>
    <w:p w14:paraId="7D1460F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2.单一来源采购人员有下列情形之一的，应当回避：</w:t>
      </w:r>
    </w:p>
    <w:p w14:paraId="11D92F0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（1）参加采购活动前三年内，与供应商存在劳动关系，或者担任过供应商的董事、监事，或者是供应商的控股股东或实际控制人。</w:t>
      </w:r>
    </w:p>
    <w:p w14:paraId="53ED57F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14:paraId="53554CD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（3）与供应商有其他可能影响政府采购活动公平、公正进行的关系。</w:t>
      </w:r>
    </w:p>
    <w:bookmarkEnd w:id="225"/>
    <w:p w14:paraId="0A71BC56">
      <w:pPr>
        <w:pStyle w:val="3"/>
        <w:snapToGrid w:val="0"/>
        <w:spacing w:before="0" w:after="0" w:line="500" w:lineRule="exact"/>
        <w:rPr>
          <w:rFonts w:hint="eastAsia" w:ascii="宋体" w:hAnsi="宋体" w:eastAsia="宋体" w:cs="宋体"/>
          <w:color w:val="auto"/>
          <w:sz w:val="28"/>
          <w:szCs w:val="28"/>
        </w:rPr>
      </w:pPr>
      <w:bookmarkStart w:id="235" w:name="_Toc14526"/>
      <w:bookmarkStart w:id="236" w:name="_Toc5071"/>
      <w:bookmarkStart w:id="237" w:name="_Toc11210"/>
      <w:bookmarkStart w:id="238" w:name="_Toc7866"/>
      <w:bookmarkStart w:id="239" w:name="_Toc138239185"/>
      <w:bookmarkStart w:id="240" w:name="_Hlk131717564"/>
      <w:r>
        <w:rPr>
          <w:rFonts w:hint="eastAsia" w:ascii="宋体" w:hAnsi="宋体" w:eastAsia="宋体" w:cs="宋体"/>
          <w:color w:val="auto"/>
          <w:sz w:val="28"/>
          <w:szCs w:val="28"/>
        </w:rPr>
        <w:t>三、单一来源采购程序</w:t>
      </w:r>
      <w:bookmarkEnd w:id="235"/>
      <w:bookmarkEnd w:id="236"/>
      <w:bookmarkEnd w:id="237"/>
      <w:bookmarkEnd w:id="238"/>
      <w:bookmarkEnd w:id="239"/>
    </w:p>
    <w:bookmarkEnd w:id="240"/>
    <w:p w14:paraId="4852D5C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1.信用记录查询</w:t>
      </w:r>
    </w:p>
    <w:p w14:paraId="2CDF34E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查询渠道：通过“信用中国”网站(www.creditchina.gov.cn)和“中国政府采购网”（www.ccgp.gov.cn）进行查询；</w:t>
      </w:r>
    </w:p>
    <w:p w14:paraId="09FCD84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查询截止时点：本项目资格审查时查询；</w:t>
      </w:r>
    </w:p>
    <w:p w14:paraId="4401361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查询记录：对列入失信被执行人、税收违法黑名单、政府采购严重违法失信行为记录名单、信用报告进行查询；</w:t>
      </w:r>
    </w:p>
    <w:p w14:paraId="7D85E41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一来源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48BC28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2.采购人、采购代理机构组织具有相关经验的专业人员与供应商商定合理的成交价格并保证采购项目质量。</w:t>
      </w:r>
    </w:p>
    <w:p w14:paraId="50B2D19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3.供应商按照采购要求和</w:t>
      </w:r>
      <w:bookmarkStart w:id="241" w:name="_Hlk138239142"/>
      <w:r>
        <w:rPr>
          <w:rFonts w:hint="eastAsia" w:ascii="宋体" w:hAnsi="宋体" w:eastAsia="宋体" w:cs="宋体"/>
          <w:color w:val="auto"/>
          <w:sz w:val="24"/>
          <w:szCs w:val="24"/>
        </w:rPr>
        <w:t>单一来源采购</w:t>
      </w:r>
      <w:bookmarkEnd w:id="241"/>
      <w:r>
        <w:rPr>
          <w:rFonts w:hint="eastAsia" w:ascii="宋体" w:hAnsi="宋体" w:eastAsia="宋体" w:cs="宋体"/>
          <w:color w:val="auto"/>
          <w:sz w:val="24"/>
          <w:szCs w:val="24"/>
        </w:rPr>
        <w:t>内容进行最后报价。</w:t>
      </w:r>
    </w:p>
    <w:p w14:paraId="771E92A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4.通过协商，最终确定成交价格，并由代理机构编写协商情况记录。主要内容包括：</w:t>
      </w:r>
    </w:p>
    <w:p w14:paraId="6AEDB90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（1）依据《政府采购非招标采购方式管理办法》进行公示的，公示情况说明；</w:t>
      </w:r>
    </w:p>
    <w:p w14:paraId="3CDF6A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（2）单一来源采购日期和地点，采购人员名单；</w:t>
      </w:r>
    </w:p>
    <w:p w14:paraId="620781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（3）供应商提供的采购标的成本、同类项目合同价格以及相关专利、专有技术等情况说明；</w:t>
      </w:r>
    </w:p>
    <w:p w14:paraId="550218B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合同主要条款及价格商定情况。协商情况记录应当由采购全体人员签字认可。对记录有异议的采购人员，应当签署不同意见并说明理由。采购人员拒绝在记录上签字又不书面说明其不同意见和理由的，视为同意。</w:t>
      </w:r>
    </w:p>
    <w:p w14:paraId="4704D5B1">
      <w:pPr>
        <w:snapToGrid w:val="0"/>
        <w:spacing w:line="440" w:lineRule="exact"/>
        <w:jc w:val="center"/>
        <w:rPr>
          <w:rFonts w:hint="eastAsia" w:ascii="宋体" w:hAnsi="宋体" w:eastAsia="宋体" w:cs="宋体"/>
          <w:b/>
          <w:bCs/>
          <w:color w:val="auto"/>
          <w:sz w:val="24"/>
          <w:szCs w:val="24"/>
        </w:rPr>
      </w:pPr>
      <w:bookmarkStart w:id="242" w:name="_Hlk131717825"/>
    </w:p>
    <w:p w14:paraId="4C7B5FE0">
      <w:pPr>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资格审查表</w:t>
      </w:r>
    </w:p>
    <w:tbl>
      <w:tblPr>
        <w:tblStyle w:val="29"/>
        <w:tblW w:w="1019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5"/>
        <w:gridCol w:w="2421"/>
        <w:gridCol w:w="5221"/>
        <w:gridCol w:w="589"/>
        <w:gridCol w:w="589"/>
        <w:gridCol w:w="529"/>
      </w:tblGrid>
      <w:tr w14:paraId="527F16F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3266" w:type="dxa"/>
            <w:gridSpan w:val="2"/>
            <w:vMerge w:val="restart"/>
            <w:vAlign w:val="center"/>
          </w:tcPr>
          <w:p w14:paraId="708B819E">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审查内容</w:t>
            </w:r>
          </w:p>
        </w:tc>
        <w:tc>
          <w:tcPr>
            <w:tcW w:w="5221" w:type="dxa"/>
            <w:vMerge w:val="restart"/>
            <w:vAlign w:val="center"/>
          </w:tcPr>
          <w:p w14:paraId="32F87685">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审查标准</w:t>
            </w:r>
          </w:p>
        </w:tc>
        <w:tc>
          <w:tcPr>
            <w:tcW w:w="1707" w:type="dxa"/>
            <w:gridSpan w:val="3"/>
            <w:vAlign w:val="center"/>
          </w:tcPr>
          <w:p w14:paraId="00E7AA5B">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投标企业名称</w:t>
            </w:r>
          </w:p>
        </w:tc>
      </w:tr>
      <w:tr w14:paraId="4A12020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3266" w:type="dxa"/>
            <w:gridSpan w:val="2"/>
            <w:vMerge w:val="continue"/>
            <w:vAlign w:val="center"/>
          </w:tcPr>
          <w:p w14:paraId="70A0B428">
            <w:pPr>
              <w:spacing w:line="520" w:lineRule="exact"/>
              <w:ind w:firstLine="480" w:firstLineChars="200"/>
              <w:jc w:val="center"/>
              <w:rPr>
                <w:rFonts w:hint="eastAsia" w:ascii="宋体" w:hAnsi="宋体" w:eastAsia="宋体" w:cs="宋体"/>
                <w:color w:val="auto"/>
                <w:sz w:val="24"/>
                <w:szCs w:val="24"/>
              </w:rPr>
            </w:pPr>
          </w:p>
        </w:tc>
        <w:tc>
          <w:tcPr>
            <w:tcW w:w="5221" w:type="dxa"/>
            <w:vMerge w:val="continue"/>
            <w:vAlign w:val="center"/>
          </w:tcPr>
          <w:p w14:paraId="602C5133">
            <w:pPr>
              <w:spacing w:line="520" w:lineRule="exact"/>
              <w:ind w:firstLine="480" w:firstLineChars="200"/>
              <w:jc w:val="center"/>
              <w:rPr>
                <w:rFonts w:hint="eastAsia" w:ascii="宋体" w:hAnsi="宋体" w:eastAsia="宋体" w:cs="宋体"/>
                <w:color w:val="auto"/>
                <w:sz w:val="24"/>
                <w:szCs w:val="24"/>
              </w:rPr>
            </w:pPr>
          </w:p>
        </w:tc>
        <w:tc>
          <w:tcPr>
            <w:tcW w:w="589" w:type="dxa"/>
            <w:vAlign w:val="center"/>
          </w:tcPr>
          <w:p w14:paraId="1F33F64F">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89" w:type="dxa"/>
            <w:vAlign w:val="center"/>
          </w:tcPr>
          <w:p w14:paraId="277CF3F1">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29" w:type="dxa"/>
            <w:vAlign w:val="center"/>
          </w:tcPr>
          <w:p w14:paraId="7FA723B6">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349B5D1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2FE51C77">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381CB1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营业执照</w:t>
            </w:r>
          </w:p>
        </w:tc>
        <w:tc>
          <w:tcPr>
            <w:tcW w:w="5221" w:type="dxa"/>
            <w:shd w:val="clear" w:color="auto" w:fill="auto"/>
            <w:vAlign w:val="center"/>
          </w:tcPr>
          <w:p w14:paraId="2559CEC2">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具有合法有效的营业执照</w:t>
            </w:r>
          </w:p>
        </w:tc>
        <w:tc>
          <w:tcPr>
            <w:tcW w:w="589" w:type="dxa"/>
            <w:vAlign w:val="center"/>
          </w:tcPr>
          <w:p w14:paraId="015DBD4D">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0433D7C4">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53E934CC">
            <w:pPr>
              <w:spacing w:line="520" w:lineRule="exact"/>
              <w:ind w:firstLine="480" w:firstLineChars="200"/>
              <w:rPr>
                <w:rFonts w:hint="eastAsia" w:ascii="宋体" w:hAnsi="宋体" w:eastAsia="宋体" w:cs="宋体"/>
                <w:color w:val="auto"/>
                <w:sz w:val="24"/>
                <w:szCs w:val="24"/>
              </w:rPr>
            </w:pPr>
          </w:p>
        </w:tc>
      </w:tr>
      <w:tr w14:paraId="3BDE469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474F3A49">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457BD0D2">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5221" w:type="dxa"/>
            <w:shd w:val="clear" w:color="auto" w:fill="auto"/>
            <w:vAlign w:val="center"/>
          </w:tcPr>
          <w:p w14:paraId="3A06DB03">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w:t>
            </w:r>
            <w:r>
              <w:rPr>
                <w:rFonts w:hint="eastAsia" w:ascii="宋体" w:hAnsi="宋体" w:eastAsia="宋体" w:cs="宋体"/>
                <w:color w:val="auto"/>
                <w:sz w:val="24"/>
                <w:szCs w:val="24"/>
                <w:highlight w:val="none"/>
                <w:lang w:val="en-US" w:eastAsia="zh-CN"/>
              </w:rPr>
              <w:t>完整</w:t>
            </w:r>
            <w:r>
              <w:rPr>
                <w:rFonts w:hint="eastAsia" w:ascii="宋体" w:hAnsi="宋体" w:eastAsia="宋体" w:cs="宋体"/>
                <w:color w:val="auto"/>
                <w:sz w:val="24"/>
                <w:szCs w:val="24"/>
                <w:highlight w:val="none"/>
              </w:rPr>
              <w:t>审计报告或财务报表（应包括资产负债表、现金流量表、利润表）</w:t>
            </w:r>
            <w:r>
              <w:rPr>
                <w:rFonts w:hint="eastAsia" w:ascii="宋体" w:hAnsi="宋体" w:eastAsia="宋体" w:cs="宋体"/>
                <w:color w:val="auto"/>
                <w:sz w:val="24"/>
                <w:szCs w:val="24"/>
                <w:highlight w:val="none"/>
                <w:lang w:val="en-US" w:eastAsia="zh-CN"/>
              </w:rPr>
              <w:t>或提交近一年内银行出具的资信证明</w:t>
            </w:r>
            <w:r>
              <w:rPr>
                <w:rFonts w:hint="eastAsia" w:ascii="宋体" w:hAnsi="宋体" w:eastAsia="宋体" w:cs="宋体"/>
                <w:color w:val="auto"/>
                <w:sz w:val="24"/>
                <w:szCs w:val="24"/>
                <w:highlight w:val="none"/>
              </w:rPr>
              <w:t>，本年度新成立或成立不满一年的无法提供财务审计报告或财务状况报告表的</w:t>
            </w:r>
            <w:r>
              <w:rPr>
                <w:rFonts w:hint="eastAsia" w:ascii="宋体" w:hAnsi="宋体" w:eastAsia="宋体" w:cs="宋体"/>
                <w:color w:val="auto"/>
                <w:sz w:val="24"/>
                <w:szCs w:val="24"/>
                <w:highlight w:val="none"/>
                <w:lang w:val="en-US" w:eastAsia="zh-CN"/>
              </w:rPr>
              <w:t>可提供在工商备案的公司章程（复印件）</w:t>
            </w:r>
            <w:r>
              <w:rPr>
                <w:rFonts w:hint="eastAsia" w:ascii="宋体" w:hAnsi="宋体" w:eastAsia="宋体" w:cs="宋体"/>
                <w:color w:val="auto"/>
                <w:sz w:val="24"/>
                <w:szCs w:val="24"/>
                <w:highlight w:val="none"/>
              </w:rPr>
              <w:t>。</w:t>
            </w:r>
          </w:p>
        </w:tc>
        <w:tc>
          <w:tcPr>
            <w:tcW w:w="589" w:type="dxa"/>
            <w:vAlign w:val="center"/>
          </w:tcPr>
          <w:p w14:paraId="340CC9F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69AC2A2B">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CDAAAFC">
            <w:pPr>
              <w:spacing w:line="520" w:lineRule="exact"/>
              <w:ind w:firstLine="480" w:firstLineChars="200"/>
              <w:rPr>
                <w:rFonts w:hint="eastAsia" w:ascii="宋体" w:hAnsi="宋体" w:eastAsia="宋体" w:cs="宋体"/>
                <w:color w:val="auto"/>
                <w:sz w:val="24"/>
                <w:szCs w:val="24"/>
              </w:rPr>
            </w:pPr>
          </w:p>
        </w:tc>
      </w:tr>
      <w:tr w14:paraId="61D8F82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845" w:type="dxa"/>
            <w:vAlign w:val="center"/>
          </w:tcPr>
          <w:p w14:paraId="5946B571">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8AB9EC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w:t>
            </w:r>
          </w:p>
        </w:tc>
        <w:tc>
          <w:tcPr>
            <w:tcW w:w="5221" w:type="dxa"/>
            <w:shd w:val="clear" w:color="auto" w:fill="auto"/>
            <w:vAlign w:val="center"/>
          </w:tcPr>
          <w:p w14:paraId="3AF7BD6B">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根据项目需求提供</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履行合同所必需的设备和专业技术能力的加盖单位公章的书面承诺函</w:t>
            </w:r>
          </w:p>
        </w:tc>
        <w:tc>
          <w:tcPr>
            <w:tcW w:w="589" w:type="dxa"/>
            <w:vAlign w:val="center"/>
          </w:tcPr>
          <w:p w14:paraId="4D2A8C6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7458759F">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0A555CB">
            <w:pPr>
              <w:spacing w:line="520" w:lineRule="exact"/>
              <w:ind w:firstLine="480" w:firstLineChars="200"/>
              <w:rPr>
                <w:rFonts w:hint="eastAsia" w:ascii="宋体" w:hAnsi="宋体" w:eastAsia="宋体" w:cs="宋体"/>
                <w:color w:val="auto"/>
                <w:sz w:val="24"/>
                <w:szCs w:val="24"/>
              </w:rPr>
            </w:pPr>
          </w:p>
        </w:tc>
      </w:tr>
      <w:tr w14:paraId="2FCFD21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45" w:type="dxa"/>
            <w:vAlign w:val="center"/>
          </w:tcPr>
          <w:p w14:paraId="5BB3EA59">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0322DE7">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特定资质</w:t>
            </w:r>
          </w:p>
        </w:tc>
        <w:tc>
          <w:tcPr>
            <w:tcW w:w="5221" w:type="dxa"/>
            <w:shd w:val="clear" w:color="auto" w:fill="auto"/>
            <w:vAlign w:val="center"/>
          </w:tcPr>
          <w:p w14:paraId="54668C30">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707AB0A">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82865">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c>
          <w:tcPr>
            <w:tcW w:w="589" w:type="dxa"/>
            <w:vAlign w:val="center"/>
          </w:tcPr>
          <w:p w14:paraId="696ED9A7">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5CA0BAE7">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1D2F0497">
            <w:pPr>
              <w:spacing w:line="520" w:lineRule="exact"/>
              <w:ind w:firstLine="480" w:firstLineChars="200"/>
              <w:rPr>
                <w:rFonts w:hint="eastAsia" w:ascii="宋体" w:hAnsi="宋体" w:eastAsia="宋体" w:cs="宋体"/>
                <w:color w:val="auto"/>
                <w:sz w:val="24"/>
                <w:szCs w:val="24"/>
              </w:rPr>
            </w:pPr>
          </w:p>
        </w:tc>
      </w:tr>
      <w:tr w14:paraId="4A43A76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52BAE5BD">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C30D33B">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依法缴纳税收和社会保障资金</w:t>
            </w:r>
          </w:p>
        </w:tc>
        <w:tc>
          <w:tcPr>
            <w:tcW w:w="5221" w:type="dxa"/>
            <w:shd w:val="clear" w:color="auto" w:fill="auto"/>
            <w:vAlign w:val="center"/>
          </w:tcPr>
          <w:p w14:paraId="608E479E">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提供开标时间前活动前近半年内任意一个月的依法缴纳税收和社会保障资金的相关材料</w:t>
            </w:r>
          </w:p>
        </w:tc>
        <w:tc>
          <w:tcPr>
            <w:tcW w:w="589" w:type="dxa"/>
            <w:vAlign w:val="center"/>
          </w:tcPr>
          <w:p w14:paraId="4D5E6D10">
            <w:pPr>
              <w:spacing w:line="520" w:lineRule="exact"/>
              <w:jc w:val="center"/>
              <w:rPr>
                <w:rFonts w:hint="eastAsia" w:ascii="宋体" w:hAnsi="宋体" w:eastAsia="宋体" w:cs="宋体"/>
                <w:color w:val="auto"/>
                <w:sz w:val="24"/>
                <w:szCs w:val="24"/>
              </w:rPr>
            </w:pPr>
          </w:p>
        </w:tc>
        <w:tc>
          <w:tcPr>
            <w:tcW w:w="589" w:type="dxa"/>
            <w:vAlign w:val="center"/>
          </w:tcPr>
          <w:p w14:paraId="3A8AD189">
            <w:pPr>
              <w:spacing w:line="520" w:lineRule="exact"/>
              <w:jc w:val="center"/>
              <w:rPr>
                <w:rFonts w:hint="eastAsia" w:ascii="宋体" w:hAnsi="宋体" w:eastAsia="宋体" w:cs="宋体"/>
                <w:color w:val="auto"/>
                <w:sz w:val="24"/>
                <w:szCs w:val="24"/>
              </w:rPr>
            </w:pPr>
          </w:p>
        </w:tc>
        <w:tc>
          <w:tcPr>
            <w:tcW w:w="529" w:type="dxa"/>
            <w:vAlign w:val="center"/>
          </w:tcPr>
          <w:p w14:paraId="7A953C9F">
            <w:pPr>
              <w:spacing w:line="520" w:lineRule="exact"/>
              <w:jc w:val="center"/>
              <w:rPr>
                <w:rFonts w:hint="eastAsia" w:ascii="宋体" w:hAnsi="宋体" w:eastAsia="宋体" w:cs="宋体"/>
                <w:color w:val="auto"/>
                <w:sz w:val="24"/>
                <w:szCs w:val="24"/>
              </w:rPr>
            </w:pPr>
          </w:p>
        </w:tc>
      </w:tr>
      <w:tr w14:paraId="5792E55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20792BC0">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639033B9">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w:t>
            </w:r>
          </w:p>
        </w:tc>
        <w:tc>
          <w:tcPr>
            <w:tcW w:w="5221" w:type="dxa"/>
            <w:shd w:val="clear" w:color="auto" w:fill="auto"/>
            <w:vAlign w:val="center"/>
          </w:tcPr>
          <w:p w14:paraId="2E1D2B48">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提供参加本次政府采购活动前三年内在经营活动中没有重大违法记录的书面承诺函并加盖单位公章</w:t>
            </w:r>
          </w:p>
        </w:tc>
        <w:tc>
          <w:tcPr>
            <w:tcW w:w="589" w:type="dxa"/>
            <w:vAlign w:val="center"/>
          </w:tcPr>
          <w:p w14:paraId="3012324A">
            <w:pPr>
              <w:spacing w:line="520" w:lineRule="exact"/>
              <w:jc w:val="center"/>
              <w:rPr>
                <w:rFonts w:hint="eastAsia" w:ascii="宋体" w:hAnsi="宋体" w:eastAsia="宋体" w:cs="宋体"/>
                <w:color w:val="auto"/>
                <w:sz w:val="24"/>
                <w:szCs w:val="24"/>
              </w:rPr>
            </w:pPr>
          </w:p>
        </w:tc>
        <w:tc>
          <w:tcPr>
            <w:tcW w:w="589" w:type="dxa"/>
            <w:vAlign w:val="center"/>
          </w:tcPr>
          <w:p w14:paraId="451FFF26">
            <w:pPr>
              <w:spacing w:line="520" w:lineRule="exact"/>
              <w:jc w:val="center"/>
              <w:rPr>
                <w:rFonts w:hint="eastAsia" w:ascii="宋体" w:hAnsi="宋体" w:eastAsia="宋体" w:cs="宋体"/>
                <w:color w:val="auto"/>
                <w:sz w:val="24"/>
                <w:szCs w:val="24"/>
              </w:rPr>
            </w:pPr>
          </w:p>
        </w:tc>
        <w:tc>
          <w:tcPr>
            <w:tcW w:w="529" w:type="dxa"/>
            <w:vAlign w:val="center"/>
          </w:tcPr>
          <w:p w14:paraId="778C2C78">
            <w:pPr>
              <w:spacing w:line="520" w:lineRule="exact"/>
              <w:jc w:val="center"/>
              <w:rPr>
                <w:rFonts w:hint="eastAsia" w:ascii="宋体" w:hAnsi="宋体" w:eastAsia="宋体" w:cs="宋体"/>
                <w:color w:val="auto"/>
                <w:sz w:val="24"/>
                <w:szCs w:val="24"/>
              </w:rPr>
            </w:pPr>
          </w:p>
        </w:tc>
      </w:tr>
      <w:tr w14:paraId="410DC44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3975FEAC">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7EB7D6CF">
            <w:pPr>
              <w:pStyle w:val="150"/>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法律、行政法规规定的其他条件</w:t>
            </w:r>
          </w:p>
        </w:tc>
        <w:tc>
          <w:tcPr>
            <w:tcW w:w="5221" w:type="dxa"/>
            <w:shd w:val="clear" w:color="auto" w:fill="auto"/>
            <w:vAlign w:val="center"/>
          </w:tcPr>
          <w:p w14:paraId="73985CF9">
            <w:pPr>
              <w:pStyle w:val="150"/>
              <w:keepNext w:val="0"/>
              <w:keepLines w:val="0"/>
              <w:pageBreakBefore w:val="0"/>
              <w:widowControl/>
              <w:numPr>
                <w:ilvl w:val="0"/>
                <w:numId w:val="0"/>
              </w:numPr>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提供信用信誉承诺函</w:t>
            </w:r>
            <w:r>
              <w:rPr>
                <w:rFonts w:hint="eastAsia" w:ascii="宋体" w:hAnsi="宋体" w:eastAsia="宋体" w:cs="宋体"/>
                <w:color w:val="auto"/>
                <w:sz w:val="24"/>
                <w:szCs w:val="24"/>
                <w:highlight w:val="none"/>
                <w:lang w:eastAsia="zh-CN"/>
              </w:rPr>
              <w:t>；</w:t>
            </w:r>
          </w:p>
          <w:p w14:paraId="15A552CB">
            <w:pPr>
              <w:pStyle w:val="150"/>
              <w:keepNext w:val="0"/>
              <w:keepLines w:val="0"/>
              <w:pageBreakBefore w:val="0"/>
              <w:widowControl/>
              <w:numPr>
                <w:ilvl w:val="0"/>
                <w:numId w:val="0"/>
              </w:numPr>
              <w:kinsoku/>
              <w:wordWrap/>
              <w:overflowPunct/>
              <w:topLinePunct w:val="0"/>
              <w:autoSpaceDE/>
              <w:autoSpaceDN/>
              <w:bidi w:val="0"/>
              <w:spacing w:beforeAutospacing="0" w:line="360" w:lineRule="exact"/>
              <w:ind w:left="0" w:leftChars="0" w:firstLine="0" w:firstLineChars="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rPr>
              <w:t>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p>
        </w:tc>
        <w:tc>
          <w:tcPr>
            <w:tcW w:w="589" w:type="dxa"/>
            <w:vAlign w:val="center"/>
          </w:tcPr>
          <w:p w14:paraId="65410BBF">
            <w:pPr>
              <w:spacing w:line="520" w:lineRule="exact"/>
              <w:jc w:val="center"/>
              <w:rPr>
                <w:rFonts w:hint="eastAsia" w:ascii="宋体" w:hAnsi="宋体" w:eastAsia="宋体" w:cs="宋体"/>
                <w:color w:val="auto"/>
                <w:sz w:val="24"/>
                <w:szCs w:val="24"/>
              </w:rPr>
            </w:pPr>
          </w:p>
        </w:tc>
        <w:tc>
          <w:tcPr>
            <w:tcW w:w="589" w:type="dxa"/>
            <w:vAlign w:val="center"/>
          </w:tcPr>
          <w:p w14:paraId="0B6C9933">
            <w:pPr>
              <w:spacing w:line="520" w:lineRule="exact"/>
              <w:jc w:val="center"/>
              <w:rPr>
                <w:rFonts w:hint="eastAsia" w:ascii="宋体" w:hAnsi="宋体" w:eastAsia="宋体" w:cs="宋体"/>
                <w:color w:val="auto"/>
                <w:sz w:val="24"/>
                <w:szCs w:val="24"/>
              </w:rPr>
            </w:pPr>
          </w:p>
        </w:tc>
        <w:tc>
          <w:tcPr>
            <w:tcW w:w="529" w:type="dxa"/>
            <w:vAlign w:val="center"/>
          </w:tcPr>
          <w:p w14:paraId="603DE1D6">
            <w:pPr>
              <w:spacing w:line="520" w:lineRule="exact"/>
              <w:jc w:val="center"/>
              <w:rPr>
                <w:rFonts w:hint="eastAsia" w:ascii="宋体" w:hAnsi="宋体" w:eastAsia="宋体" w:cs="宋体"/>
                <w:color w:val="auto"/>
                <w:sz w:val="24"/>
                <w:szCs w:val="24"/>
              </w:rPr>
            </w:pPr>
          </w:p>
        </w:tc>
      </w:tr>
      <w:tr w14:paraId="43577CD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845" w:type="dxa"/>
            <w:vAlign w:val="center"/>
          </w:tcPr>
          <w:p w14:paraId="4830BDF3">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10F3F669">
            <w:pPr>
              <w:pStyle w:val="150"/>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5221" w:type="dxa"/>
            <w:shd w:val="clear" w:color="auto" w:fill="auto"/>
            <w:vAlign w:val="center"/>
          </w:tcPr>
          <w:p w14:paraId="2CE12668">
            <w:pPr>
              <w:pStyle w:val="150"/>
              <w:keepNext w:val="0"/>
              <w:keepLines w:val="0"/>
              <w:pageBreakBefore w:val="0"/>
              <w:widowControl/>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有效的投标保证金凭证</w:t>
            </w:r>
          </w:p>
        </w:tc>
        <w:tc>
          <w:tcPr>
            <w:tcW w:w="589" w:type="dxa"/>
            <w:vAlign w:val="center"/>
          </w:tcPr>
          <w:p w14:paraId="548B27D1">
            <w:pPr>
              <w:spacing w:line="520" w:lineRule="exact"/>
              <w:jc w:val="center"/>
              <w:rPr>
                <w:rFonts w:hint="eastAsia" w:ascii="宋体" w:hAnsi="宋体" w:eastAsia="宋体" w:cs="宋体"/>
                <w:color w:val="auto"/>
                <w:sz w:val="24"/>
                <w:szCs w:val="24"/>
              </w:rPr>
            </w:pPr>
          </w:p>
        </w:tc>
        <w:tc>
          <w:tcPr>
            <w:tcW w:w="589" w:type="dxa"/>
            <w:vAlign w:val="center"/>
          </w:tcPr>
          <w:p w14:paraId="79835410">
            <w:pPr>
              <w:spacing w:line="520" w:lineRule="exact"/>
              <w:jc w:val="center"/>
              <w:rPr>
                <w:rFonts w:hint="eastAsia" w:ascii="宋体" w:hAnsi="宋体" w:eastAsia="宋体" w:cs="宋体"/>
                <w:color w:val="auto"/>
                <w:sz w:val="24"/>
                <w:szCs w:val="24"/>
              </w:rPr>
            </w:pPr>
          </w:p>
        </w:tc>
        <w:tc>
          <w:tcPr>
            <w:tcW w:w="529" w:type="dxa"/>
            <w:vAlign w:val="center"/>
          </w:tcPr>
          <w:p w14:paraId="3E3CF388">
            <w:pPr>
              <w:spacing w:line="520" w:lineRule="exact"/>
              <w:jc w:val="center"/>
              <w:rPr>
                <w:rFonts w:hint="eastAsia" w:ascii="宋体" w:hAnsi="宋体" w:eastAsia="宋体" w:cs="宋体"/>
                <w:color w:val="auto"/>
                <w:sz w:val="24"/>
                <w:szCs w:val="24"/>
              </w:rPr>
            </w:pPr>
          </w:p>
        </w:tc>
      </w:tr>
      <w:tr w14:paraId="6B6DDDE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487" w:type="dxa"/>
            <w:gridSpan w:val="3"/>
            <w:vAlign w:val="center"/>
          </w:tcPr>
          <w:p w14:paraId="034FD7F8">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资格审查结果</w:t>
            </w:r>
          </w:p>
        </w:tc>
        <w:tc>
          <w:tcPr>
            <w:tcW w:w="589" w:type="dxa"/>
            <w:vAlign w:val="center"/>
          </w:tcPr>
          <w:p w14:paraId="291CEC6F">
            <w:pPr>
              <w:spacing w:line="520" w:lineRule="exact"/>
              <w:jc w:val="center"/>
              <w:rPr>
                <w:rFonts w:hint="eastAsia" w:ascii="宋体" w:hAnsi="宋体" w:eastAsia="宋体" w:cs="宋体"/>
                <w:color w:val="auto"/>
                <w:sz w:val="24"/>
                <w:szCs w:val="24"/>
              </w:rPr>
            </w:pPr>
          </w:p>
        </w:tc>
        <w:tc>
          <w:tcPr>
            <w:tcW w:w="589" w:type="dxa"/>
            <w:vAlign w:val="center"/>
          </w:tcPr>
          <w:p w14:paraId="55A71FAA">
            <w:pPr>
              <w:spacing w:line="520" w:lineRule="exact"/>
              <w:jc w:val="center"/>
              <w:rPr>
                <w:rFonts w:hint="eastAsia" w:ascii="宋体" w:hAnsi="宋体" w:eastAsia="宋体" w:cs="宋体"/>
                <w:color w:val="auto"/>
                <w:sz w:val="24"/>
                <w:szCs w:val="24"/>
              </w:rPr>
            </w:pPr>
          </w:p>
        </w:tc>
        <w:tc>
          <w:tcPr>
            <w:tcW w:w="529" w:type="dxa"/>
            <w:vAlign w:val="center"/>
          </w:tcPr>
          <w:p w14:paraId="0776963A">
            <w:pPr>
              <w:spacing w:line="520" w:lineRule="exact"/>
              <w:jc w:val="center"/>
              <w:rPr>
                <w:rFonts w:hint="eastAsia" w:ascii="宋体" w:hAnsi="宋体" w:eastAsia="宋体" w:cs="宋体"/>
                <w:color w:val="auto"/>
                <w:sz w:val="24"/>
                <w:szCs w:val="24"/>
              </w:rPr>
            </w:pPr>
          </w:p>
        </w:tc>
      </w:tr>
      <w:tr w14:paraId="711FB64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8487" w:type="dxa"/>
            <w:gridSpan w:val="3"/>
            <w:vAlign w:val="center"/>
          </w:tcPr>
          <w:p w14:paraId="70E6AE8C">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589" w:type="dxa"/>
            <w:vAlign w:val="center"/>
          </w:tcPr>
          <w:p w14:paraId="5CC32393">
            <w:pPr>
              <w:spacing w:line="520" w:lineRule="exact"/>
              <w:jc w:val="center"/>
              <w:rPr>
                <w:rFonts w:hint="eastAsia" w:ascii="宋体" w:hAnsi="宋体" w:eastAsia="宋体" w:cs="宋体"/>
                <w:color w:val="auto"/>
                <w:sz w:val="24"/>
                <w:szCs w:val="24"/>
              </w:rPr>
            </w:pPr>
          </w:p>
        </w:tc>
        <w:tc>
          <w:tcPr>
            <w:tcW w:w="589" w:type="dxa"/>
            <w:vAlign w:val="center"/>
          </w:tcPr>
          <w:p w14:paraId="45389BD7">
            <w:pPr>
              <w:spacing w:line="520" w:lineRule="exact"/>
              <w:jc w:val="center"/>
              <w:rPr>
                <w:rFonts w:hint="eastAsia" w:ascii="宋体" w:hAnsi="宋体" w:eastAsia="宋体" w:cs="宋体"/>
                <w:color w:val="auto"/>
                <w:sz w:val="24"/>
                <w:szCs w:val="24"/>
              </w:rPr>
            </w:pPr>
          </w:p>
        </w:tc>
        <w:tc>
          <w:tcPr>
            <w:tcW w:w="529" w:type="dxa"/>
            <w:vAlign w:val="center"/>
          </w:tcPr>
          <w:p w14:paraId="27BF4DFD">
            <w:pPr>
              <w:spacing w:line="520" w:lineRule="exact"/>
              <w:jc w:val="center"/>
              <w:rPr>
                <w:rFonts w:hint="eastAsia" w:ascii="宋体" w:hAnsi="宋体" w:eastAsia="宋体" w:cs="宋体"/>
                <w:color w:val="auto"/>
                <w:sz w:val="24"/>
                <w:szCs w:val="24"/>
              </w:rPr>
            </w:pPr>
          </w:p>
        </w:tc>
      </w:tr>
      <w:bookmarkEnd w:id="242"/>
    </w:tbl>
    <w:p w14:paraId="78FFE246">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2EF633F2">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2、符合性审查</w:t>
      </w:r>
    </w:p>
    <w:p w14:paraId="3633850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2.1单一来源小组依据单一来源文件的规定，从响应文件的有效性、完整性和对单一来源文件的响应程度进行审查，以确定是否对单一来源文件的实质性要求作出响应。</w:t>
      </w:r>
    </w:p>
    <w:tbl>
      <w:tblPr>
        <w:tblStyle w:val="29"/>
        <w:tblpPr w:leftFromText="180" w:rightFromText="180" w:vertAnchor="text" w:horzAnchor="page" w:tblpX="1158" w:tblpY="2175"/>
        <w:tblOverlap w:val="never"/>
        <w:tblW w:w="9854"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75"/>
        <w:gridCol w:w="5299"/>
        <w:gridCol w:w="646"/>
        <w:gridCol w:w="646"/>
        <w:gridCol w:w="646"/>
        <w:gridCol w:w="597"/>
      </w:tblGrid>
      <w:tr w14:paraId="5C1436C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restart"/>
            <w:vAlign w:val="center"/>
          </w:tcPr>
          <w:p w14:paraId="26F7C7D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2535" w:type="dxa"/>
            <w:gridSpan w:val="4"/>
            <w:vAlign w:val="center"/>
          </w:tcPr>
          <w:p w14:paraId="6F78B15C">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投标企业名称</w:t>
            </w:r>
          </w:p>
        </w:tc>
      </w:tr>
      <w:tr w14:paraId="3AC5CBB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continue"/>
            <w:vAlign w:val="center"/>
          </w:tcPr>
          <w:p w14:paraId="2BE03047">
            <w:pPr>
              <w:spacing w:line="360" w:lineRule="auto"/>
              <w:jc w:val="center"/>
              <w:rPr>
                <w:rFonts w:hint="eastAsia" w:ascii="宋体" w:hAnsi="宋体" w:eastAsia="宋体" w:cs="宋体"/>
                <w:color w:val="auto"/>
                <w:sz w:val="24"/>
                <w:szCs w:val="24"/>
              </w:rPr>
            </w:pPr>
          </w:p>
        </w:tc>
        <w:tc>
          <w:tcPr>
            <w:tcW w:w="646" w:type="dxa"/>
            <w:vAlign w:val="center"/>
          </w:tcPr>
          <w:p w14:paraId="29BCC8A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646" w:type="dxa"/>
            <w:vAlign w:val="center"/>
          </w:tcPr>
          <w:p w14:paraId="03812AB1">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646" w:type="dxa"/>
            <w:vAlign w:val="center"/>
          </w:tcPr>
          <w:p w14:paraId="2DC19EE0">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597" w:type="dxa"/>
            <w:vAlign w:val="center"/>
          </w:tcPr>
          <w:p w14:paraId="6CAE138F">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r>
      <w:tr w14:paraId="780769B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D666A0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75" w:type="dxa"/>
            <w:shd w:val="clear" w:color="auto" w:fill="auto"/>
            <w:vAlign w:val="center"/>
          </w:tcPr>
          <w:p w14:paraId="1922A37F">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w:t>
            </w:r>
            <w:r>
              <w:rPr>
                <w:rFonts w:hint="eastAsia" w:ascii="宋体" w:hAnsi="宋体" w:eastAsia="宋体" w:cs="宋体"/>
                <w:color w:val="auto"/>
                <w:sz w:val="22"/>
                <w:szCs w:val="22"/>
                <w:highlight w:val="none"/>
              </w:rPr>
              <w:t>的签署</w:t>
            </w:r>
          </w:p>
        </w:tc>
        <w:tc>
          <w:tcPr>
            <w:tcW w:w="5299" w:type="dxa"/>
            <w:shd w:val="clear" w:color="auto" w:fill="auto"/>
            <w:vAlign w:val="center"/>
          </w:tcPr>
          <w:p w14:paraId="6EB3C27E">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要求在规定区域加盖单位公章和法定代表人章或签字</w:t>
            </w:r>
          </w:p>
        </w:tc>
        <w:tc>
          <w:tcPr>
            <w:tcW w:w="646" w:type="dxa"/>
            <w:vAlign w:val="center"/>
          </w:tcPr>
          <w:p w14:paraId="7A581108">
            <w:pPr>
              <w:spacing w:line="360" w:lineRule="auto"/>
              <w:jc w:val="center"/>
              <w:rPr>
                <w:rFonts w:hint="eastAsia" w:ascii="宋体" w:hAnsi="宋体" w:eastAsia="宋体" w:cs="宋体"/>
                <w:color w:val="auto"/>
                <w:sz w:val="24"/>
                <w:szCs w:val="24"/>
              </w:rPr>
            </w:pPr>
          </w:p>
        </w:tc>
        <w:tc>
          <w:tcPr>
            <w:tcW w:w="646" w:type="dxa"/>
            <w:vAlign w:val="center"/>
          </w:tcPr>
          <w:p w14:paraId="3F69033D">
            <w:pPr>
              <w:spacing w:line="360" w:lineRule="auto"/>
              <w:jc w:val="center"/>
              <w:rPr>
                <w:rFonts w:hint="eastAsia" w:ascii="宋体" w:hAnsi="宋体" w:eastAsia="宋体" w:cs="宋体"/>
                <w:color w:val="auto"/>
                <w:sz w:val="24"/>
                <w:szCs w:val="24"/>
              </w:rPr>
            </w:pPr>
          </w:p>
        </w:tc>
        <w:tc>
          <w:tcPr>
            <w:tcW w:w="646" w:type="dxa"/>
            <w:vAlign w:val="center"/>
          </w:tcPr>
          <w:p w14:paraId="2998EA1A">
            <w:pPr>
              <w:spacing w:line="360" w:lineRule="auto"/>
              <w:jc w:val="center"/>
              <w:rPr>
                <w:rFonts w:hint="eastAsia" w:ascii="宋体" w:hAnsi="宋体" w:eastAsia="宋体" w:cs="宋体"/>
                <w:color w:val="auto"/>
                <w:sz w:val="24"/>
                <w:szCs w:val="24"/>
              </w:rPr>
            </w:pPr>
          </w:p>
        </w:tc>
        <w:tc>
          <w:tcPr>
            <w:tcW w:w="597" w:type="dxa"/>
            <w:vAlign w:val="center"/>
          </w:tcPr>
          <w:p w14:paraId="2E1339E7">
            <w:pPr>
              <w:spacing w:line="360" w:lineRule="auto"/>
              <w:jc w:val="center"/>
              <w:rPr>
                <w:rFonts w:hint="eastAsia" w:ascii="宋体" w:hAnsi="宋体" w:eastAsia="宋体" w:cs="宋体"/>
                <w:color w:val="auto"/>
                <w:sz w:val="24"/>
                <w:szCs w:val="24"/>
              </w:rPr>
            </w:pPr>
          </w:p>
        </w:tc>
      </w:tr>
      <w:tr w14:paraId="023530A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76A5A20D">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75" w:type="dxa"/>
            <w:shd w:val="clear" w:color="auto" w:fill="auto"/>
            <w:vAlign w:val="center"/>
          </w:tcPr>
          <w:p w14:paraId="5388B539">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报价唯一</w:t>
            </w:r>
          </w:p>
        </w:tc>
        <w:tc>
          <w:tcPr>
            <w:tcW w:w="5299" w:type="dxa"/>
            <w:shd w:val="clear" w:color="auto" w:fill="auto"/>
            <w:vAlign w:val="center"/>
          </w:tcPr>
          <w:p w14:paraId="04CF8131">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投标报价按采购文件要求</w:t>
            </w:r>
            <w:r>
              <w:rPr>
                <w:rFonts w:hint="eastAsia" w:ascii="宋体" w:hAnsi="宋体" w:eastAsia="宋体" w:cs="宋体"/>
                <w:color w:val="auto"/>
                <w:sz w:val="22"/>
                <w:szCs w:val="22"/>
                <w:highlight w:val="none"/>
              </w:rPr>
              <w:t>只有一个有效报价且未超过</w:t>
            </w:r>
            <w:r>
              <w:rPr>
                <w:rFonts w:hint="eastAsia" w:ascii="宋体" w:hAnsi="宋体" w:eastAsia="宋体" w:cs="宋体"/>
                <w:color w:val="auto"/>
                <w:sz w:val="22"/>
                <w:szCs w:val="22"/>
                <w:highlight w:val="none"/>
                <w:lang w:val="en-US" w:eastAsia="zh-CN"/>
              </w:rPr>
              <w:t>预算价或</w:t>
            </w:r>
            <w:r>
              <w:rPr>
                <w:rFonts w:hint="eastAsia" w:ascii="宋体" w:hAnsi="宋体" w:eastAsia="宋体" w:cs="宋体"/>
                <w:color w:val="auto"/>
                <w:sz w:val="22"/>
                <w:szCs w:val="22"/>
                <w:highlight w:val="none"/>
                <w:lang w:eastAsia="zh-CN"/>
              </w:rPr>
              <w:t>最高限价</w:t>
            </w:r>
          </w:p>
        </w:tc>
        <w:tc>
          <w:tcPr>
            <w:tcW w:w="646" w:type="dxa"/>
            <w:vAlign w:val="center"/>
          </w:tcPr>
          <w:p w14:paraId="3BC26C07">
            <w:pPr>
              <w:spacing w:line="360" w:lineRule="auto"/>
              <w:jc w:val="center"/>
              <w:rPr>
                <w:rFonts w:hint="eastAsia" w:ascii="宋体" w:hAnsi="宋体" w:eastAsia="宋体" w:cs="宋体"/>
                <w:color w:val="auto"/>
                <w:sz w:val="24"/>
                <w:szCs w:val="24"/>
              </w:rPr>
            </w:pPr>
          </w:p>
        </w:tc>
        <w:tc>
          <w:tcPr>
            <w:tcW w:w="646" w:type="dxa"/>
            <w:vAlign w:val="center"/>
          </w:tcPr>
          <w:p w14:paraId="2CFD21DE">
            <w:pPr>
              <w:spacing w:line="360" w:lineRule="auto"/>
              <w:jc w:val="center"/>
              <w:rPr>
                <w:rFonts w:hint="eastAsia" w:ascii="宋体" w:hAnsi="宋体" w:eastAsia="宋体" w:cs="宋体"/>
                <w:color w:val="auto"/>
                <w:sz w:val="24"/>
                <w:szCs w:val="24"/>
              </w:rPr>
            </w:pPr>
          </w:p>
        </w:tc>
        <w:tc>
          <w:tcPr>
            <w:tcW w:w="646" w:type="dxa"/>
            <w:vAlign w:val="center"/>
          </w:tcPr>
          <w:p w14:paraId="743E04E8">
            <w:pPr>
              <w:spacing w:line="360" w:lineRule="auto"/>
              <w:jc w:val="center"/>
              <w:rPr>
                <w:rFonts w:hint="eastAsia" w:ascii="宋体" w:hAnsi="宋体" w:eastAsia="宋体" w:cs="宋体"/>
                <w:color w:val="auto"/>
                <w:sz w:val="24"/>
                <w:szCs w:val="24"/>
              </w:rPr>
            </w:pPr>
          </w:p>
        </w:tc>
        <w:tc>
          <w:tcPr>
            <w:tcW w:w="597" w:type="dxa"/>
            <w:vAlign w:val="center"/>
          </w:tcPr>
          <w:p w14:paraId="50CA0EAF">
            <w:pPr>
              <w:spacing w:line="360" w:lineRule="auto"/>
              <w:jc w:val="center"/>
              <w:rPr>
                <w:rFonts w:hint="eastAsia" w:ascii="宋体" w:hAnsi="宋体" w:eastAsia="宋体" w:cs="宋体"/>
                <w:color w:val="auto"/>
                <w:sz w:val="24"/>
                <w:szCs w:val="24"/>
              </w:rPr>
            </w:pPr>
          </w:p>
        </w:tc>
      </w:tr>
      <w:tr w14:paraId="4097BA9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AFC3CA">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75" w:type="dxa"/>
            <w:shd w:val="clear" w:color="auto" w:fill="auto"/>
            <w:vAlign w:val="center"/>
          </w:tcPr>
          <w:p w14:paraId="0E326D5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响应文件文件格式</w:t>
            </w:r>
          </w:p>
        </w:tc>
        <w:tc>
          <w:tcPr>
            <w:tcW w:w="5299" w:type="dxa"/>
            <w:shd w:val="clear" w:color="auto" w:fill="auto"/>
            <w:vAlign w:val="center"/>
          </w:tcPr>
          <w:p w14:paraId="38E65C2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按采购文件规定的格式填写，内容全或关键字迹清晰、数量等齐全的；</w:t>
            </w:r>
          </w:p>
        </w:tc>
        <w:tc>
          <w:tcPr>
            <w:tcW w:w="646" w:type="dxa"/>
            <w:vAlign w:val="center"/>
          </w:tcPr>
          <w:p w14:paraId="1A232C0F">
            <w:pPr>
              <w:shd w:val="clear" w:color="auto" w:fill="FAFAFA"/>
              <w:spacing w:line="360" w:lineRule="auto"/>
              <w:jc w:val="center"/>
              <w:rPr>
                <w:rFonts w:hint="eastAsia" w:ascii="宋体" w:hAnsi="宋体" w:eastAsia="宋体" w:cs="宋体"/>
                <w:color w:val="auto"/>
                <w:sz w:val="24"/>
                <w:szCs w:val="24"/>
              </w:rPr>
            </w:pPr>
          </w:p>
        </w:tc>
        <w:tc>
          <w:tcPr>
            <w:tcW w:w="646" w:type="dxa"/>
            <w:vAlign w:val="center"/>
          </w:tcPr>
          <w:p w14:paraId="2B4B2F00">
            <w:pPr>
              <w:spacing w:line="360" w:lineRule="auto"/>
              <w:jc w:val="center"/>
              <w:rPr>
                <w:rFonts w:hint="eastAsia" w:ascii="宋体" w:hAnsi="宋体" w:eastAsia="宋体" w:cs="宋体"/>
                <w:color w:val="auto"/>
                <w:sz w:val="24"/>
                <w:szCs w:val="24"/>
              </w:rPr>
            </w:pPr>
          </w:p>
        </w:tc>
        <w:tc>
          <w:tcPr>
            <w:tcW w:w="646" w:type="dxa"/>
            <w:vAlign w:val="center"/>
          </w:tcPr>
          <w:p w14:paraId="420E85BA">
            <w:pPr>
              <w:spacing w:line="360" w:lineRule="auto"/>
              <w:jc w:val="center"/>
              <w:rPr>
                <w:rFonts w:hint="eastAsia" w:ascii="宋体" w:hAnsi="宋体" w:eastAsia="宋体" w:cs="宋体"/>
                <w:color w:val="auto"/>
                <w:sz w:val="24"/>
                <w:szCs w:val="24"/>
              </w:rPr>
            </w:pPr>
          </w:p>
        </w:tc>
        <w:tc>
          <w:tcPr>
            <w:tcW w:w="597" w:type="dxa"/>
            <w:vAlign w:val="center"/>
          </w:tcPr>
          <w:p w14:paraId="5D50B704">
            <w:pPr>
              <w:spacing w:line="360" w:lineRule="auto"/>
              <w:jc w:val="center"/>
              <w:rPr>
                <w:rFonts w:hint="eastAsia" w:ascii="宋体" w:hAnsi="宋体" w:eastAsia="宋体" w:cs="宋体"/>
                <w:color w:val="auto"/>
                <w:sz w:val="24"/>
                <w:szCs w:val="24"/>
              </w:rPr>
            </w:pPr>
          </w:p>
        </w:tc>
      </w:tr>
      <w:tr w14:paraId="691623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566D1B">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75" w:type="dxa"/>
            <w:shd w:val="clear" w:color="auto" w:fill="auto"/>
            <w:vAlign w:val="center"/>
          </w:tcPr>
          <w:p w14:paraId="10FD2874">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响应时间</w:t>
            </w:r>
          </w:p>
        </w:tc>
        <w:tc>
          <w:tcPr>
            <w:tcW w:w="5299" w:type="dxa"/>
            <w:shd w:val="clear" w:color="auto" w:fill="auto"/>
            <w:vAlign w:val="center"/>
          </w:tcPr>
          <w:p w14:paraId="6B0F36C7">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质保期、服务期限、供货时间满足采购文件规定的</w:t>
            </w:r>
          </w:p>
        </w:tc>
        <w:tc>
          <w:tcPr>
            <w:tcW w:w="646" w:type="dxa"/>
            <w:vAlign w:val="center"/>
          </w:tcPr>
          <w:p w14:paraId="41E6D0AF">
            <w:pPr>
              <w:spacing w:line="360" w:lineRule="auto"/>
              <w:jc w:val="center"/>
              <w:rPr>
                <w:rFonts w:hint="eastAsia" w:ascii="宋体" w:hAnsi="宋体" w:eastAsia="宋体" w:cs="宋体"/>
                <w:color w:val="auto"/>
                <w:sz w:val="24"/>
                <w:szCs w:val="24"/>
              </w:rPr>
            </w:pPr>
          </w:p>
        </w:tc>
        <w:tc>
          <w:tcPr>
            <w:tcW w:w="646" w:type="dxa"/>
            <w:vAlign w:val="center"/>
          </w:tcPr>
          <w:p w14:paraId="2474C0C1">
            <w:pPr>
              <w:spacing w:line="360" w:lineRule="auto"/>
              <w:jc w:val="center"/>
              <w:rPr>
                <w:rFonts w:hint="eastAsia" w:ascii="宋体" w:hAnsi="宋体" w:eastAsia="宋体" w:cs="宋体"/>
                <w:color w:val="auto"/>
                <w:sz w:val="24"/>
                <w:szCs w:val="24"/>
              </w:rPr>
            </w:pPr>
          </w:p>
        </w:tc>
        <w:tc>
          <w:tcPr>
            <w:tcW w:w="646" w:type="dxa"/>
            <w:vAlign w:val="center"/>
          </w:tcPr>
          <w:p w14:paraId="492CFFBC">
            <w:pPr>
              <w:spacing w:line="360" w:lineRule="auto"/>
              <w:jc w:val="center"/>
              <w:rPr>
                <w:rFonts w:hint="eastAsia" w:ascii="宋体" w:hAnsi="宋体" w:eastAsia="宋体" w:cs="宋体"/>
                <w:color w:val="auto"/>
                <w:sz w:val="24"/>
                <w:szCs w:val="24"/>
              </w:rPr>
            </w:pPr>
          </w:p>
        </w:tc>
        <w:tc>
          <w:tcPr>
            <w:tcW w:w="597" w:type="dxa"/>
            <w:vAlign w:val="center"/>
          </w:tcPr>
          <w:p w14:paraId="3BAD25C0">
            <w:pPr>
              <w:spacing w:line="360" w:lineRule="auto"/>
              <w:jc w:val="center"/>
              <w:rPr>
                <w:rFonts w:hint="eastAsia" w:ascii="宋体" w:hAnsi="宋体" w:eastAsia="宋体" w:cs="宋体"/>
                <w:color w:val="auto"/>
                <w:sz w:val="24"/>
                <w:szCs w:val="24"/>
              </w:rPr>
            </w:pPr>
          </w:p>
        </w:tc>
      </w:tr>
      <w:tr w14:paraId="5B3E0C8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4F71CE52">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75" w:type="dxa"/>
            <w:shd w:val="clear" w:color="auto" w:fill="auto"/>
            <w:vAlign w:val="center"/>
          </w:tcPr>
          <w:p w14:paraId="694A360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实质性要求</w:t>
            </w:r>
          </w:p>
        </w:tc>
        <w:tc>
          <w:tcPr>
            <w:tcW w:w="5299" w:type="dxa"/>
            <w:shd w:val="clear" w:color="auto" w:fill="auto"/>
            <w:vAlign w:val="center"/>
          </w:tcPr>
          <w:p w14:paraId="43D1F940">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符合采购文件中规定的其他实质性要求</w:t>
            </w:r>
          </w:p>
        </w:tc>
        <w:tc>
          <w:tcPr>
            <w:tcW w:w="646" w:type="dxa"/>
            <w:vAlign w:val="center"/>
          </w:tcPr>
          <w:p w14:paraId="1353F944">
            <w:pPr>
              <w:spacing w:line="360" w:lineRule="auto"/>
              <w:jc w:val="center"/>
              <w:rPr>
                <w:rFonts w:hint="eastAsia" w:ascii="宋体" w:hAnsi="宋体" w:eastAsia="宋体" w:cs="宋体"/>
                <w:color w:val="auto"/>
                <w:sz w:val="24"/>
                <w:szCs w:val="24"/>
              </w:rPr>
            </w:pPr>
          </w:p>
        </w:tc>
        <w:tc>
          <w:tcPr>
            <w:tcW w:w="646" w:type="dxa"/>
            <w:vAlign w:val="center"/>
          </w:tcPr>
          <w:p w14:paraId="439AE582">
            <w:pPr>
              <w:spacing w:line="360" w:lineRule="auto"/>
              <w:jc w:val="center"/>
              <w:rPr>
                <w:rFonts w:hint="eastAsia" w:ascii="宋体" w:hAnsi="宋体" w:eastAsia="宋体" w:cs="宋体"/>
                <w:color w:val="auto"/>
                <w:sz w:val="24"/>
                <w:szCs w:val="24"/>
              </w:rPr>
            </w:pPr>
          </w:p>
        </w:tc>
        <w:tc>
          <w:tcPr>
            <w:tcW w:w="646" w:type="dxa"/>
            <w:vAlign w:val="center"/>
          </w:tcPr>
          <w:p w14:paraId="44A9B208">
            <w:pPr>
              <w:spacing w:line="360" w:lineRule="auto"/>
              <w:jc w:val="center"/>
              <w:rPr>
                <w:rFonts w:hint="eastAsia" w:ascii="宋体" w:hAnsi="宋体" w:eastAsia="宋体" w:cs="宋体"/>
                <w:color w:val="auto"/>
                <w:sz w:val="24"/>
                <w:szCs w:val="24"/>
              </w:rPr>
            </w:pPr>
          </w:p>
        </w:tc>
        <w:tc>
          <w:tcPr>
            <w:tcW w:w="597" w:type="dxa"/>
            <w:vAlign w:val="center"/>
          </w:tcPr>
          <w:p w14:paraId="39E30BE9">
            <w:pPr>
              <w:spacing w:line="360" w:lineRule="auto"/>
              <w:jc w:val="center"/>
              <w:rPr>
                <w:rFonts w:hint="eastAsia" w:ascii="宋体" w:hAnsi="宋体" w:eastAsia="宋体" w:cs="宋体"/>
                <w:color w:val="auto"/>
                <w:sz w:val="24"/>
                <w:szCs w:val="24"/>
              </w:rPr>
            </w:pPr>
          </w:p>
        </w:tc>
      </w:tr>
      <w:tr w14:paraId="74234B0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6F5CC7C9">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75" w:type="dxa"/>
            <w:shd w:val="clear" w:color="auto" w:fill="auto"/>
            <w:vAlign w:val="center"/>
          </w:tcPr>
          <w:p w14:paraId="0A645681">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商务要求</w:t>
            </w:r>
          </w:p>
        </w:tc>
        <w:tc>
          <w:tcPr>
            <w:tcW w:w="5299" w:type="dxa"/>
            <w:shd w:val="clear" w:color="auto" w:fill="auto"/>
            <w:vAlign w:val="center"/>
          </w:tcPr>
          <w:p w14:paraId="1DC10AB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的商务要求</w:t>
            </w:r>
          </w:p>
        </w:tc>
        <w:tc>
          <w:tcPr>
            <w:tcW w:w="646" w:type="dxa"/>
            <w:vAlign w:val="center"/>
          </w:tcPr>
          <w:p w14:paraId="08DD1B4D">
            <w:pPr>
              <w:spacing w:line="360" w:lineRule="auto"/>
              <w:jc w:val="center"/>
              <w:rPr>
                <w:rFonts w:hint="eastAsia" w:ascii="宋体" w:hAnsi="宋体" w:eastAsia="宋体" w:cs="宋体"/>
                <w:color w:val="auto"/>
                <w:sz w:val="24"/>
                <w:szCs w:val="24"/>
              </w:rPr>
            </w:pPr>
          </w:p>
        </w:tc>
        <w:tc>
          <w:tcPr>
            <w:tcW w:w="646" w:type="dxa"/>
            <w:vAlign w:val="center"/>
          </w:tcPr>
          <w:p w14:paraId="61FD528D">
            <w:pPr>
              <w:spacing w:line="360" w:lineRule="auto"/>
              <w:jc w:val="center"/>
              <w:rPr>
                <w:rFonts w:hint="eastAsia" w:ascii="宋体" w:hAnsi="宋体" w:eastAsia="宋体" w:cs="宋体"/>
                <w:color w:val="auto"/>
                <w:sz w:val="24"/>
                <w:szCs w:val="24"/>
              </w:rPr>
            </w:pPr>
          </w:p>
        </w:tc>
        <w:tc>
          <w:tcPr>
            <w:tcW w:w="646" w:type="dxa"/>
            <w:vAlign w:val="center"/>
          </w:tcPr>
          <w:p w14:paraId="33D935AA">
            <w:pPr>
              <w:spacing w:line="360" w:lineRule="auto"/>
              <w:jc w:val="center"/>
              <w:rPr>
                <w:rFonts w:hint="eastAsia" w:ascii="宋体" w:hAnsi="宋体" w:eastAsia="宋体" w:cs="宋体"/>
                <w:color w:val="auto"/>
                <w:sz w:val="24"/>
                <w:szCs w:val="24"/>
              </w:rPr>
            </w:pPr>
          </w:p>
        </w:tc>
        <w:tc>
          <w:tcPr>
            <w:tcW w:w="597" w:type="dxa"/>
            <w:vAlign w:val="center"/>
          </w:tcPr>
          <w:p w14:paraId="2284891D">
            <w:pPr>
              <w:spacing w:line="360" w:lineRule="auto"/>
              <w:jc w:val="center"/>
              <w:rPr>
                <w:rFonts w:hint="eastAsia" w:ascii="宋体" w:hAnsi="宋体" w:eastAsia="宋体" w:cs="宋体"/>
                <w:color w:val="auto"/>
                <w:sz w:val="24"/>
                <w:szCs w:val="24"/>
              </w:rPr>
            </w:pPr>
          </w:p>
        </w:tc>
      </w:tr>
      <w:tr w14:paraId="78B3686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AF38C4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75" w:type="dxa"/>
            <w:shd w:val="clear" w:color="auto" w:fill="auto"/>
            <w:vAlign w:val="center"/>
          </w:tcPr>
          <w:p w14:paraId="1617E718">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5299" w:type="dxa"/>
            <w:shd w:val="clear" w:color="auto" w:fill="auto"/>
            <w:vAlign w:val="center"/>
          </w:tcPr>
          <w:p w14:paraId="162D2A66">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646" w:type="dxa"/>
            <w:vAlign w:val="center"/>
          </w:tcPr>
          <w:p w14:paraId="6A66FFC1">
            <w:pPr>
              <w:spacing w:line="360" w:lineRule="auto"/>
              <w:jc w:val="center"/>
              <w:rPr>
                <w:rFonts w:hint="eastAsia" w:ascii="宋体" w:hAnsi="宋体" w:eastAsia="宋体" w:cs="宋体"/>
                <w:color w:val="auto"/>
                <w:sz w:val="24"/>
                <w:szCs w:val="24"/>
              </w:rPr>
            </w:pPr>
          </w:p>
        </w:tc>
        <w:tc>
          <w:tcPr>
            <w:tcW w:w="646" w:type="dxa"/>
            <w:vAlign w:val="center"/>
          </w:tcPr>
          <w:p w14:paraId="41778D74">
            <w:pPr>
              <w:spacing w:line="360" w:lineRule="auto"/>
              <w:jc w:val="center"/>
              <w:rPr>
                <w:rFonts w:hint="eastAsia" w:ascii="宋体" w:hAnsi="宋体" w:eastAsia="宋体" w:cs="宋体"/>
                <w:color w:val="auto"/>
                <w:sz w:val="24"/>
                <w:szCs w:val="24"/>
              </w:rPr>
            </w:pPr>
          </w:p>
        </w:tc>
        <w:tc>
          <w:tcPr>
            <w:tcW w:w="646" w:type="dxa"/>
            <w:vAlign w:val="center"/>
          </w:tcPr>
          <w:p w14:paraId="1463703A">
            <w:pPr>
              <w:spacing w:line="360" w:lineRule="auto"/>
              <w:jc w:val="center"/>
              <w:rPr>
                <w:rFonts w:hint="eastAsia" w:ascii="宋体" w:hAnsi="宋体" w:eastAsia="宋体" w:cs="宋体"/>
                <w:color w:val="auto"/>
                <w:sz w:val="24"/>
                <w:szCs w:val="24"/>
              </w:rPr>
            </w:pPr>
          </w:p>
        </w:tc>
        <w:tc>
          <w:tcPr>
            <w:tcW w:w="597" w:type="dxa"/>
            <w:vAlign w:val="center"/>
          </w:tcPr>
          <w:p w14:paraId="4A746EEA">
            <w:pPr>
              <w:spacing w:line="360" w:lineRule="auto"/>
              <w:jc w:val="center"/>
              <w:rPr>
                <w:rFonts w:hint="eastAsia" w:ascii="宋体" w:hAnsi="宋体" w:eastAsia="宋体" w:cs="宋体"/>
                <w:color w:val="auto"/>
                <w:sz w:val="24"/>
                <w:szCs w:val="24"/>
              </w:rPr>
            </w:pPr>
          </w:p>
        </w:tc>
      </w:tr>
      <w:tr w14:paraId="7EFF3A4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2213372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审查结果</w:t>
            </w:r>
          </w:p>
        </w:tc>
        <w:tc>
          <w:tcPr>
            <w:tcW w:w="646" w:type="dxa"/>
            <w:vAlign w:val="center"/>
          </w:tcPr>
          <w:p w14:paraId="0C4DC6AB">
            <w:pPr>
              <w:spacing w:line="360" w:lineRule="auto"/>
              <w:jc w:val="center"/>
              <w:rPr>
                <w:rFonts w:hint="eastAsia" w:ascii="宋体" w:hAnsi="宋体" w:eastAsia="宋体" w:cs="宋体"/>
                <w:color w:val="auto"/>
                <w:sz w:val="24"/>
                <w:szCs w:val="24"/>
              </w:rPr>
            </w:pPr>
          </w:p>
        </w:tc>
        <w:tc>
          <w:tcPr>
            <w:tcW w:w="646" w:type="dxa"/>
            <w:vAlign w:val="center"/>
          </w:tcPr>
          <w:p w14:paraId="632B0498">
            <w:pPr>
              <w:spacing w:line="360" w:lineRule="auto"/>
              <w:jc w:val="center"/>
              <w:rPr>
                <w:rFonts w:hint="eastAsia" w:ascii="宋体" w:hAnsi="宋体" w:eastAsia="宋体" w:cs="宋体"/>
                <w:color w:val="auto"/>
                <w:sz w:val="24"/>
                <w:szCs w:val="24"/>
              </w:rPr>
            </w:pPr>
          </w:p>
        </w:tc>
        <w:tc>
          <w:tcPr>
            <w:tcW w:w="646" w:type="dxa"/>
            <w:vAlign w:val="center"/>
          </w:tcPr>
          <w:p w14:paraId="6BB742A5">
            <w:pPr>
              <w:spacing w:line="360" w:lineRule="auto"/>
              <w:jc w:val="center"/>
              <w:rPr>
                <w:rFonts w:hint="eastAsia" w:ascii="宋体" w:hAnsi="宋体" w:eastAsia="宋体" w:cs="宋体"/>
                <w:color w:val="auto"/>
                <w:sz w:val="24"/>
                <w:szCs w:val="24"/>
              </w:rPr>
            </w:pPr>
          </w:p>
        </w:tc>
        <w:tc>
          <w:tcPr>
            <w:tcW w:w="597" w:type="dxa"/>
            <w:vAlign w:val="center"/>
          </w:tcPr>
          <w:p w14:paraId="2AD08774">
            <w:pPr>
              <w:spacing w:line="360" w:lineRule="auto"/>
              <w:jc w:val="center"/>
              <w:rPr>
                <w:rFonts w:hint="eastAsia" w:ascii="宋体" w:hAnsi="宋体" w:eastAsia="宋体" w:cs="宋体"/>
                <w:color w:val="auto"/>
                <w:sz w:val="24"/>
                <w:szCs w:val="24"/>
              </w:rPr>
            </w:pPr>
          </w:p>
        </w:tc>
      </w:tr>
      <w:tr w14:paraId="741501C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09EC128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646" w:type="dxa"/>
            <w:vAlign w:val="center"/>
          </w:tcPr>
          <w:p w14:paraId="01DA84C1">
            <w:pPr>
              <w:spacing w:line="360" w:lineRule="auto"/>
              <w:jc w:val="center"/>
              <w:rPr>
                <w:rFonts w:hint="eastAsia" w:ascii="宋体" w:hAnsi="宋体" w:eastAsia="宋体" w:cs="宋体"/>
                <w:color w:val="auto"/>
                <w:sz w:val="24"/>
                <w:szCs w:val="24"/>
              </w:rPr>
            </w:pPr>
          </w:p>
        </w:tc>
        <w:tc>
          <w:tcPr>
            <w:tcW w:w="646" w:type="dxa"/>
            <w:vAlign w:val="center"/>
          </w:tcPr>
          <w:p w14:paraId="629122D9">
            <w:pPr>
              <w:spacing w:line="360" w:lineRule="auto"/>
              <w:jc w:val="center"/>
              <w:rPr>
                <w:rFonts w:hint="eastAsia" w:ascii="宋体" w:hAnsi="宋体" w:eastAsia="宋体" w:cs="宋体"/>
                <w:color w:val="auto"/>
                <w:sz w:val="24"/>
                <w:szCs w:val="24"/>
              </w:rPr>
            </w:pPr>
          </w:p>
        </w:tc>
        <w:tc>
          <w:tcPr>
            <w:tcW w:w="646" w:type="dxa"/>
            <w:vAlign w:val="center"/>
          </w:tcPr>
          <w:p w14:paraId="74F698A9">
            <w:pPr>
              <w:spacing w:line="360" w:lineRule="auto"/>
              <w:jc w:val="center"/>
              <w:rPr>
                <w:rFonts w:hint="eastAsia" w:ascii="宋体" w:hAnsi="宋体" w:eastAsia="宋体" w:cs="宋体"/>
                <w:color w:val="auto"/>
                <w:sz w:val="24"/>
                <w:szCs w:val="24"/>
              </w:rPr>
            </w:pPr>
          </w:p>
        </w:tc>
        <w:tc>
          <w:tcPr>
            <w:tcW w:w="597" w:type="dxa"/>
            <w:vAlign w:val="center"/>
          </w:tcPr>
          <w:p w14:paraId="39949508">
            <w:pPr>
              <w:spacing w:line="360" w:lineRule="auto"/>
              <w:jc w:val="center"/>
              <w:rPr>
                <w:rFonts w:hint="eastAsia" w:ascii="宋体" w:hAnsi="宋体" w:eastAsia="宋体" w:cs="宋体"/>
                <w:color w:val="auto"/>
                <w:sz w:val="24"/>
                <w:szCs w:val="24"/>
              </w:rPr>
            </w:pPr>
          </w:p>
        </w:tc>
      </w:tr>
    </w:tbl>
    <w:p w14:paraId="7184687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2.2符合性审查中有任意一项未通过的，评审结果为未通过，未通过符合性审查的供应商按无效响应处理。</w:t>
      </w:r>
    </w:p>
    <w:p w14:paraId="00C2456D">
      <w:pPr>
        <w:widowControl/>
        <w:jc w:val="left"/>
        <w:rPr>
          <w:rFonts w:hint="eastAsia" w:ascii="宋体" w:hAnsi="宋体" w:eastAsia="宋体" w:cs="宋体"/>
          <w:b/>
          <w:bCs/>
          <w:color w:val="auto"/>
          <w:sz w:val="24"/>
          <w:szCs w:val="24"/>
        </w:rPr>
      </w:pPr>
      <w:bookmarkStart w:id="243" w:name="_Hlk131718005"/>
    </w:p>
    <w:p w14:paraId="0971EA8D">
      <w:pPr>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符合性审查表</w:t>
      </w:r>
    </w:p>
    <w:p w14:paraId="5E89101B">
      <w:pPr>
        <w:pStyle w:val="14"/>
        <w:ind w:firstLine="240"/>
        <w:rPr>
          <w:rFonts w:hint="eastAsia" w:ascii="宋体" w:hAnsi="宋体" w:eastAsia="宋体" w:cs="宋体"/>
          <w:color w:val="auto"/>
        </w:rPr>
      </w:pPr>
    </w:p>
    <w:p w14:paraId="74289384">
      <w:pPr>
        <w:pStyle w:val="14"/>
        <w:ind w:firstLine="240"/>
        <w:rPr>
          <w:rFonts w:hint="eastAsia" w:ascii="宋体" w:hAnsi="宋体" w:eastAsia="宋体" w:cs="宋体"/>
          <w:color w:val="auto"/>
        </w:rPr>
      </w:pPr>
    </w:p>
    <w:bookmarkEnd w:id="243"/>
    <w:p w14:paraId="1626B54D">
      <w:pPr>
        <w:widowControl/>
        <w:jc w:val="left"/>
        <w:rPr>
          <w:rFonts w:hint="eastAsia" w:ascii="宋体" w:hAnsi="宋体" w:eastAsia="宋体" w:cs="宋体"/>
          <w:color w:val="auto"/>
        </w:rPr>
      </w:pPr>
      <w:r>
        <w:rPr>
          <w:rFonts w:hint="eastAsia" w:ascii="宋体" w:hAnsi="宋体" w:eastAsia="宋体" w:cs="宋体"/>
          <w:color w:val="auto"/>
        </w:rPr>
        <w:br w:type="page"/>
      </w:r>
    </w:p>
    <w:p w14:paraId="0DA3B47F">
      <w:pPr>
        <w:keepNext w:val="0"/>
        <w:keepLines w:val="0"/>
        <w:pageBreakBefore w:val="0"/>
        <w:widowControl w:val="0"/>
        <w:kinsoku/>
        <w:wordWrap/>
        <w:overflowPunct/>
        <w:topLinePunct w:val="0"/>
        <w:autoSpaceDE/>
        <w:autoSpaceDN/>
        <w:bidi w:val="0"/>
        <w:adjustRightInd/>
        <w:snapToGrid/>
        <w:spacing w:before="167" w:beforeLines="50" w:after="167" w:afterLines="50" w:line="240" w:lineRule="auto"/>
        <w:jc w:val="center"/>
        <w:textAlignment w:val="auto"/>
        <w:outlineLvl w:val="0"/>
        <w:rPr>
          <w:rFonts w:hint="eastAsia" w:ascii="宋体" w:hAnsi="宋体" w:eastAsia="宋体" w:cs="宋体"/>
          <w:b/>
          <w:bCs/>
          <w:color w:val="auto"/>
          <w:sz w:val="44"/>
          <w:szCs w:val="44"/>
        </w:rPr>
      </w:pPr>
      <w:bookmarkStart w:id="244" w:name="_Toc29192"/>
      <w:bookmarkStart w:id="245" w:name="_Toc24505"/>
      <w:bookmarkStart w:id="246" w:name="_Toc28798"/>
      <w:bookmarkStart w:id="247" w:name="_Toc18027"/>
      <w:bookmarkStart w:id="248" w:name="_Toc25234"/>
      <w:bookmarkStart w:id="249" w:name="_Toc6015"/>
      <w:bookmarkStart w:id="250" w:name="_Toc806"/>
      <w:bookmarkStart w:id="251" w:name="_Toc6340"/>
      <w:bookmarkStart w:id="252" w:name="_Toc7200"/>
      <w:bookmarkStart w:id="253" w:name="_Toc17025"/>
      <w:bookmarkStart w:id="254" w:name="_Toc80724672"/>
      <w:bookmarkStart w:id="255" w:name="_Toc138239188"/>
      <w:r>
        <w:rPr>
          <w:rFonts w:hint="eastAsia" w:ascii="宋体" w:hAnsi="宋体" w:eastAsia="宋体" w:cs="宋体"/>
          <w:b/>
          <w:bCs/>
          <w:color w:val="auto"/>
          <w:sz w:val="44"/>
          <w:szCs w:val="44"/>
          <w:lang w:val="en-US" w:eastAsia="zh-CN"/>
        </w:rPr>
        <w:t xml:space="preserve">第五章 </w:t>
      </w:r>
      <w:r>
        <w:rPr>
          <w:rFonts w:hint="eastAsia" w:ascii="宋体" w:hAnsi="宋体" w:eastAsia="宋体" w:cs="宋体"/>
          <w:b/>
          <w:bCs/>
          <w:color w:val="auto"/>
          <w:sz w:val="44"/>
          <w:szCs w:val="44"/>
        </w:rPr>
        <w:t>拟签订的合同文本</w:t>
      </w:r>
      <w:bookmarkEnd w:id="244"/>
      <w:bookmarkEnd w:id="245"/>
      <w:bookmarkEnd w:id="246"/>
      <w:bookmarkEnd w:id="247"/>
      <w:bookmarkEnd w:id="248"/>
      <w:bookmarkEnd w:id="249"/>
      <w:bookmarkEnd w:id="250"/>
      <w:bookmarkEnd w:id="251"/>
      <w:bookmarkEnd w:id="252"/>
      <w:bookmarkEnd w:id="253"/>
    </w:p>
    <w:p w14:paraId="096C414F">
      <w:pPr>
        <w:pageBreakBefore w:val="0"/>
        <w:widowControl w:val="0"/>
        <w:numPr>
          <w:ilvl w:val="0"/>
          <w:numId w:val="0"/>
        </w:numPr>
        <w:wordWrap/>
        <w:topLinePunct w:val="0"/>
        <w:bidi w:val="0"/>
        <w:spacing w:beforeAutospacing="0"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（本合同为样例，最终以实际签订合同为准）</w:t>
      </w:r>
    </w:p>
    <w:p w14:paraId="30FBDD7E">
      <w:pPr>
        <w:pStyle w:val="12"/>
        <w:pageBreakBefore w:val="0"/>
        <w:topLinePunct w:val="0"/>
        <w:bidi w:val="0"/>
        <w:spacing w:beforeAutospacing="0" w:after="0" w:line="240" w:lineRule="auto"/>
        <w:jc w:val="center"/>
        <w:rPr>
          <w:rFonts w:hint="eastAsia" w:ascii="宋体" w:hAnsi="宋体" w:eastAsia="宋体" w:cs="宋体"/>
          <w:b/>
          <w:bCs/>
          <w:color w:val="auto"/>
          <w:spacing w:val="-20"/>
          <w:kern w:val="44"/>
          <w:sz w:val="28"/>
          <w:szCs w:val="28"/>
          <w:highlight w:val="none"/>
        </w:rPr>
      </w:pPr>
    </w:p>
    <w:p w14:paraId="2EAF0A76">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20"/>
          <w:kern w:val="44"/>
          <w:sz w:val="28"/>
          <w:szCs w:val="28"/>
          <w:highlight w:val="none"/>
        </w:rPr>
      </w:pPr>
    </w:p>
    <w:p w14:paraId="4550DAC3">
      <w:pPr>
        <w:pStyle w:val="12"/>
        <w:pageBreakBefore w:val="0"/>
        <w:kinsoku/>
        <w:wordWrap/>
        <w:overflowPunct/>
        <w:topLinePunct w:val="0"/>
        <w:bidi w:val="0"/>
        <w:spacing w:beforeAutospacing="0" w:after="0" w:afterAutospacing="0" w:line="240" w:lineRule="auto"/>
        <w:jc w:val="both"/>
        <w:textAlignment w:val="auto"/>
        <w:rPr>
          <w:rFonts w:hint="eastAsia" w:ascii="宋体" w:hAnsi="宋体" w:eastAsia="宋体" w:cs="宋体"/>
          <w:b/>
          <w:bCs/>
          <w:color w:val="auto"/>
          <w:spacing w:val="-20"/>
          <w:kern w:val="44"/>
          <w:sz w:val="28"/>
          <w:szCs w:val="28"/>
          <w:highlight w:val="none"/>
        </w:rPr>
      </w:pPr>
    </w:p>
    <w:p w14:paraId="3C2D04C3">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lang w:val="en-US" w:eastAsia="zh-CN"/>
        </w:rPr>
      </w:pPr>
      <w:r>
        <w:rPr>
          <w:rFonts w:hint="eastAsia" w:ascii="宋体" w:hAnsi="宋体" w:eastAsia="宋体" w:cs="宋体"/>
          <w:b/>
          <w:bCs/>
          <w:color w:val="auto"/>
          <w:spacing w:val="0"/>
          <w:kern w:val="44"/>
          <w:sz w:val="32"/>
          <w:szCs w:val="32"/>
          <w:highlight w:val="none"/>
          <w:lang w:val="en-US" w:eastAsia="zh-CN"/>
        </w:rPr>
        <w:t>新疆维吾尔自治区2026年度动物疫苗采购项目-布鲁氏菌病活疫苗（S19株）</w:t>
      </w:r>
    </w:p>
    <w:p w14:paraId="4ABB5212">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rPr>
      </w:pPr>
      <w:r>
        <w:rPr>
          <w:rFonts w:hint="eastAsia" w:ascii="宋体" w:hAnsi="宋体" w:eastAsia="宋体" w:cs="宋体"/>
          <w:b/>
          <w:bCs/>
          <w:color w:val="auto"/>
          <w:spacing w:val="0"/>
          <w:kern w:val="44"/>
          <w:sz w:val="32"/>
          <w:szCs w:val="32"/>
          <w:highlight w:val="none"/>
          <w:lang w:val="en-US" w:eastAsia="zh-CN"/>
        </w:rPr>
        <w:t>采购</w:t>
      </w:r>
      <w:r>
        <w:rPr>
          <w:rFonts w:hint="eastAsia" w:ascii="宋体" w:hAnsi="宋体" w:eastAsia="宋体" w:cs="宋体"/>
          <w:b/>
          <w:bCs/>
          <w:color w:val="auto"/>
          <w:spacing w:val="0"/>
          <w:kern w:val="44"/>
          <w:sz w:val="32"/>
          <w:szCs w:val="32"/>
          <w:highlight w:val="none"/>
        </w:rPr>
        <w:t>合同</w:t>
      </w:r>
    </w:p>
    <w:p w14:paraId="5AE0D97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5D57A509">
      <w:pPr>
        <w:pStyle w:val="151"/>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5851CA0">
      <w:pPr>
        <w:pStyle w:val="151"/>
        <w:pageBreakBefore w:val="0"/>
        <w:kinsoku/>
        <w:wordWrap/>
        <w:overflowPunct/>
        <w:topLinePunct w:val="0"/>
        <w:bidi w:val="0"/>
        <w:spacing w:beforeAutospacing="0" w:afterAutospacing="0" w:line="240" w:lineRule="auto"/>
        <w:ind w:left="0" w:leftChars="0" w:firstLine="0" w:firstLineChars="0"/>
        <w:textAlignment w:val="auto"/>
        <w:rPr>
          <w:rFonts w:hint="eastAsia" w:ascii="宋体" w:hAnsi="宋体" w:eastAsia="宋体" w:cs="宋体"/>
          <w:b/>
          <w:bCs/>
          <w:color w:val="auto"/>
          <w:spacing w:val="-20"/>
          <w:kern w:val="44"/>
          <w:sz w:val="28"/>
          <w:szCs w:val="28"/>
          <w:highlight w:val="none"/>
        </w:rPr>
      </w:pPr>
    </w:p>
    <w:p w14:paraId="0DE1EC4F">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D96026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6C9F50BF">
      <w:pPr>
        <w:bidi w:val="0"/>
        <w:spacing w:line="360" w:lineRule="auto"/>
        <w:ind w:firstLine="1960" w:firstLineChars="700"/>
        <w:rPr>
          <w:rFonts w:hint="eastAsia" w:ascii="宋体" w:hAnsi="宋体" w:eastAsia="宋体" w:cs="宋体"/>
          <w:color w:val="auto"/>
          <w:sz w:val="28"/>
          <w:szCs w:val="28"/>
          <w:u w:val="single"/>
          <w:lang w:val="en-US"/>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lang w:val="en-US" w:eastAsia="zh-CN"/>
        </w:rPr>
        <w:t xml:space="preserve">                                </w:t>
      </w:r>
    </w:p>
    <w:p w14:paraId="6CBA8555">
      <w:pPr>
        <w:bidi w:val="0"/>
        <w:spacing w:line="360" w:lineRule="auto"/>
        <w:ind w:firstLine="1960" w:firstLineChars="7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合同编号：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555B424C">
      <w:pPr>
        <w:bidi w:val="0"/>
        <w:spacing w:line="360" w:lineRule="auto"/>
        <w:ind w:firstLine="1960" w:firstLineChars="7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lang w:eastAsia="zh-CN"/>
        </w:rPr>
        <w:t>新疆维吾尔自治区动物疫病预防控制中心</w:t>
      </w:r>
    </w:p>
    <w:p w14:paraId="1ECC9A70">
      <w:pPr>
        <w:bidi w:val="0"/>
        <w:spacing w:line="360" w:lineRule="auto"/>
        <w:ind w:firstLine="2800" w:firstLineChars="10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u w:val="single"/>
          <w:lang w:eastAsia="zh-CN"/>
        </w:rPr>
        <w:t>（新疆维吾尔自治区动物检疫所）</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7FDE00B">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A6F4882">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签订日期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日</w:t>
      </w:r>
    </w:p>
    <w:p w14:paraId="7ED01074">
      <w:pPr>
        <w:pageBreakBefore w:val="0"/>
        <w:topLinePunct w:val="0"/>
        <w:bidi w:val="0"/>
        <w:spacing w:beforeAutospacing="0" w:line="240" w:lineRule="auto"/>
        <w:rPr>
          <w:rFonts w:hint="eastAsia" w:ascii="宋体" w:hAnsi="宋体" w:eastAsia="宋体" w:cs="宋体"/>
          <w:color w:val="auto"/>
        </w:rPr>
      </w:pPr>
    </w:p>
    <w:p w14:paraId="760A9E04">
      <w:pPr>
        <w:pageBreakBefore w:val="0"/>
        <w:kinsoku/>
        <w:wordWrap/>
        <w:overflowPunct/>
        <w:topLinePunct w:val="0"/>
        <w:bidi w:val="0"/>
        <w:spacing w:beforeAutospacing="0" w:afterAutospacing="0"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82BECC7">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甲方（全称）：新疆维吾尔自治区动物疫病预防控制中心（新疆维吾尔自治区动物检疫所）</w:t>
      </w:r>
    </w:p>
    <w:p w14:paraId="1FF77418">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乙方（全称）：</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p>
    <w:p w14:paraId="612EF1A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8346C6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56" w:name="_Toc193"/>
      <w:bookmarkStart w:id="257" w:name="_Toc7567"/>
      <w:bookmarkStart w:id="258" w:name="_Toc10377"/>
      <w:bookmarkStart w:id="259" w:name="_Toc13629"/>
      <w:bookmarkStart w:id="260" w:name="_Toc18859"/>
      <w:r>
        <w:rPr>
          <w:rFonts w:hint="eastAsia" w:ascii="宋体" w:hAnsi="宋体" w:eastAsia="宋体" w:cs="宋体"/>
          <w:b/>
          <w:bCs/>
          <w:color w:val="auto"/>
          <w:sz w:val="30"/>
          <w:szCs w:val="30"/>
          <w:highlight w:val="none"/>
          <w:lang w:val="en-US" w:eastAsia="zh-CN"/>
        </w:rPr>
        <w:t>一、项目信息</w:t>
      </w:r>
      <w:bookmarkEnd w:id="256"/>
      <w:bookmarkEnd w:id="257"/>
      <w:bookmarkEnd w:id="258"/>
      <w:bookmarkEnd w:id="259"/>
      <w:bookmarkEnd w:id="260"/>
    </w:p>
    <w:p w14:paraId="021F0D6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1、采购项目名称：              </w:t>
      </w:r>
    </w:p>
    <w:p w14:paraId="690436D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2、项目内容：                 </w:t>
      </w:r>
    </w:p>
    <w:p w14:paraId="6AA7803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采购标的及数量（视项目情况而定）</w:t>
      </w:r>
    </w:p>
    <w:p w14:paraId="5FBE8501">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疫苗供应信息一览表</w:t>
      </w:r>
    </w:p>
    <w:tbl>
      <w:tblPr>
        <w:tblStyle w:val="3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1336"/>
        <w:gridCol w:w="1336"/>
        <w:gridCol w:w="1337"/>
        <w:gridCol w:w="1337"/>
        <w:gridCol w:w="1337"/>
      </w:tblGrid>
      <w:tr w14:paraId="0261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36" w:type="dxa"/>
            <w:vAlign w:val="center"/>
          </w:tcPr>
          <w:p w14:paraId="11F218A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序号</w:t>
            </w:r>
          </w:p>
        </w:tc>
        <w:tc>
          <w:tcPr>
            <w:tcW w:w="1336" w:type="dxa"/>
            <w:vAlign w:val="center"/>
          </w:tcPr>
          <w:p w14:paraId="1948B546">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产品名称</w:t>
            </w:r>
          </w:p>
        </w:tc>
        <w:tc>
          <w:tcPr>
            <w:tcW w:w="1336" w:type="dxa"/>
            <w:vAlign w:val="center"/>
          </w:tcPr>
          <w:p w14:paraId="48889BE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规格型号</w:t>
            </w:r>
          </w:p>
        </w:tc>
        <w:tc>
          <w:tcPr>
            <w:tcW w:w="1336" w:type="dxa"/>
            <w:shd w:val="clear" w:color="auto" w:fill="auto"/>
            <w:vAlign w:val="center"/>
          </w:tcPr>
          <w:p w14:paraId="4EE5DD7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数量/单位</w:t>
            </w:r>
          </w:p>
        </w:tc>
        <w:tc>
          <w:tcPr>
            <w:tcW w:w="1337" w:type="dxa"/>
            <w:shd w:val="clear" w:color="auto" w:fill="auto"/>
            <w:vAlign w:val="center"/>
          </w:tcPr>
          <w:p w14:paraId="4BCF6C10">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单价（元）</w:t>
            </w:r>
          </w:p>
        </w:tc>
        <w:tc>
          <w:tcPr>
            <w:tcW w:w="1337" w:type="dxa"/>
            <w:vAlign w:val="center"/>
          </w:tcPr>
          <w:p w14:paraId="064F018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合计金额</w:t>
            </w:r>
          </w:p>
        </w:tc>
        <w:tc>
          <w:tcPr>
            <w:tcW w:w="1337" w:type="dxa"/>
            <w:vAlign w:val="center"/>
          </w:tcPr>
          <w:p w14:paraId="54C62F6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3A6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restart"/>
            <w:vAlign w:val="center"/>
          </w:tcPr>
          <w:p w14:paraId="5A5407F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2FB5B09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6792E3C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Align w:val="center"/>
          </w:tcPr>
          <w:p w14:paraId="3DCD73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3699A2D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598A440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183A069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37C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continue"/>
            <w:vAlign w:val="center"/>
          </w:tcPr>
          <w:p w14:paraId="544F0273">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014FEFA1">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6752115B">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Align w:val="center"/>
          </w:tcPr>
          <w:p w14:paraId="152CC96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63998D0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1F282B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B5AF1E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1CF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355" w:type="dxa"/>
            <w:gridSpan w:val="7"/>
            <w:vAlign w:val="center"/>
          </w:tcPr>
          <w:p w14:paraId="5E65DD5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注：口蹄疫产品须将头份单位换算为毫升单位；</w:t>
            </w:r>
          </w:p>
        </w:tc>
      </w:tr>
    </w:tbl>
    <w:p w14:paraId="48E051EC">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p w14:paraId="421E812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61" w:name="_Toc18123"/>
      <w:bookmarkStart w:id="262" w:name="_Toc3600"/>
      <w:bookmarkStart w:id="263" w:name="_Toc31030"/>
      <w:bookmarkStart w:id="264" w:name="_Toc15252"/>
      <w:bookmarkStart w:id="265" w:name="_Toc10701"/>
      <w:r>
        <w:rPr>
          <w:rFonts w:hint="eastAsia" w:ascii="宋体" w:hAnsi="宋体" w:eastAsia="宋体" w:cs="宋体"/>
          <w:b/>
          <w:bCs/>
          <w:color w:val="auto"/>
          <w:sz w:val="30"/>
          <w:szCs w:val="30"/>
          <w:highlight w:val="none"/>
          <w:lang w:val="en-US" w:eastAsia="zh-CN"/>
        </w:rPr>
        <w:t>二、合同金额</w:t>
      </w:r>
      <w:bookmarkEnd w:id="261"/>
      <w:bookmarkEnd w:id="262"/>
      <w:bookmarkEnd w:id="263"/>
      <w:bookmarkEnd w:id="264"/>
      <w:bookmarkEnd w:id="265"/>
    </w:p>
    <w:p w14:paraId="4DD7DEF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、合同总价:人民币大写：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元；</w:t>
      </w:r>
      <w:r>
        <w:rPr>
          <w:rFonts w:hint="eastAsia" w:ascii="宋体" w:hAnsi="宋体" w:eastAsia="宋体" w:cs="宋体"/>
          <w:color w:val="auto"/>
          <w:sz w:val="24"/>
          <w:szCs w:val="24"/>
          <w:highlight w:val="none"/>
          <w:lang w:val="en-US" w:eastAsia="zh-CN"/>
        </w:rPr>
        <w:t xml:space="preserve">            </w:t>
      </w:r>
    </w:p>
    <w:p w14:paraId="1EC70CB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、本合同总价是货物(产品)设计、成本、税款材料、制造、包装、运输、售后服务、验收合格交付使用之前及与备用物件等其他有关各项的含税费用。</w:t>
      </w:r>
    </w:p>
    <w:p w14:paraId="5F95A8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、本合同总价还包含乙方应当提供的伴随服务和售后服务费用。</w:t>
      </w:r>
    </w:p>
    <w:p w14:paraId="425F957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、本合同执行期间合同总价不变，甲方无须另向乙方支付本合同规定之外的其他任何费用。</w:t>
      </w:r>
    </w:p>
    <w:p w14:paraId="4C5617B2">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lang w:val="en-US" w:eastAsia="zh-CN" w:bidi="ar-SA"/>
        </w:rPr>
      </w:pPr>
      <w:bookmarkStart w:id="266" w:name="_Toc16950"/>
      <w:bookmarkStart w:id="267" w:name="_Toc21071"/>
      <w:bookmarkStart w:id="268" w:name="_Toc1503"/>
      <w:bookmarkStart w:id="269" w:name="_Toc17245"/>
      <w:bookmarkStart w:id="270" w:name="_Toc30748"/>
      <w:r>
        <w:rPr>
          <w:rFonts w:hint="eastAsia" w:ascii="宋体" w:hAnsi="宋体" w:eastAsia="宋体" w:cs="宋体"/>
          <w:b/>
          <w:bCs/>
          <w:color w:val="auto"/>
          <w:kern w:val="2"/>
          <w:sz w:val="30"/>
          <w:szCs w:val="30"/>
          <w:lang w:val="en-US" w:eastAsia="zh-CN" w:bidi="ar-SA"/>
        </w:rPr>
        <w:t>三</w:t>
      </w:r>
      <w:r>
        <w:rPr>
          <w:rFonts w:hint="eastAsia" w:ascii="宋体" w:hAnsi="宋体" w:eastAsia="宋体" w:cs="宋体"/>
          <w:b/>
          <w:bCs/>
          <w:color w:val="auto"/>
          <w:sz w:val="30"/>
          <w:szCs w:val="30"/>
          <w:highlight w:val="none"/>
          <w:lang w:val="en-US" w:eastAsia="zh-CN"/>
        </w:rPr>
        <w:t>、</w:t>
      </w:r>
      <w:r>
        <w:rPr>
          <w:rFonts w:hint="eastAsia" w:ascii="宋体" w:hAnsi="宋体" w:eastAsia="宋体" w:cs="宋体"/>
          <w:b/>
          <w:bCs/>
          <w:color w:val="auto"/>
          <w:kern w:val="2"/>
          <w:sz w:val="30"/>
          <w:szCs w:val="30"/>
          <w:lang w:val="en-US" w:eastAsia="zh-CN" w:bidi="ar-SA"/>
        </w:rPr>
        <w:t>供货时间及地点</w:t>
      </w:r>
      <w:bookmarkEnd w:id="266"/>
      <w:bookmarkEnd w:id="267"/>
      <w:bookmarkEnd w:id="268"/>
      <w:bookmarkEnd w:id="269"/>
      <w:bookmarkEnd w:id="270"/>
    </w:p>
    <w:p w14:paraId="463EF378">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1、供货时间： </w:t>
      </w:r>
      <w:r>
        <w:rPr>
          <w:rFonts w:hint="eastAsia" w:ascii="宋体" w:hAnsi="宋体" w:eastAsia="宋体" w:cs="宋体"/>
          <w:b w:val="0"/>
          <w:bCs w:val="0"/>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b w:val="0"/>
          <w:bCs w:val="0"/>
          <w:color w:val="auto"/>
          <w:sz w:val="24"/>
          <w:szCs w:val="24"/>
          <w:highlight w:val="none"/>
          <w:lang w:val="en-US" w:eastAsia="zh-CN"/>
        </w:rPr>
        <w:t>（分春季、秋季供货使用的疫苗， 按甲方通知要求分批供应）</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highlight w:val="none"/>
          <w:lang w:val="en-US" w:eastAsia="zh-CN"/>
        </w:rPr>
        <w:t xml:space="preserve"> </w:t>
      </w:r>
    </w:p>
    <w:p w14:paraId="38156FF9">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2、供货地点：为自治区动物疫病预防控制中心指定区域，一般为地、县两级动物疫控中心疫苗冷藏库。</w:t>
      </w:r>
    </w:p>
    <w:p w14:paraId="79822834">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highlight w:val="none"/>
          <w:lang w:val="en-US" w:eastAsia="zh-CN" w:bidi="ar-SA"/>
        </w:rPr>
      </w:pPr>
      <w:bookmarkStart w:id="271" w:name="_Toc9040"/>
      <w:bookmarkStart w:id="272" w:name="_Toc8591"/>
      <w:bookmarkStart w:id="273" w:name="_Toc25094"/>
      <w:bookmarkStart w:id="274" w:name="_Toc9144"/>
      <w:bookmarkStart w:id="275" w:name="_Toc10171"/>
      <w:r>
        <w:rPr>
          <w:rFonts w:hint="eastAsia" w:ascii="宋体" w:hAnsi="宋体" w:eastAsia="宋体" w:cs="宋体"/>
          <w:b/>
          <w:bCs/>
          <w:color w:val="auto"/>
          <w:kern w:val="2"/>
          <w:sz w:val="30"/>
          <w:szCs w:val="30"/>
          <w:highlight w:val="none"/>
          <w:lang w:val="en-US" w:eastAsia="zh-CN" w:bidi="ar-SA"/>
        </w:rPr>
        <w:t>四、付款方式（本项目无预付款）：</w:t>
      </w:r>
      <w:bookmarkEnd w:id="271"/>
      <w:bookmarkEnd w:id="272"/>
      <w:bookmarkEnd w:id="273"/>
      <w:bookmarkEnd w:id="274"/>
      <w:bookmarkEnd w:id="275"/>
    </w:p>
    <w:p w14:paraId="7FA12CDF">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10457929">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4033C09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533D343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38B4F98D">
      <w:pPr>
        <w:pageBreakBefore w:val="0"/>
        <w:kinsoku/>
        <w:wordWrap/>
        <w:overflowPunct/>
        <w:topLinePunct w:val="0"/>
        <w:bidi w:val="0"/>
        <w:spacing w:beforeAutospacing="0" w:afterAutospacing="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注：具体以实际签订合同为准，响应甲方要求。</w:t>
      </w:r>
    </w:p>
    <w:p w14:paraId="30514831">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76" w:name="_Toc4274"/>
      <w:bookmarkStart w:id="277" w:name="_Toc17453"/>
      <w:bookmarkStart w:id="278" w:name="_Toc32163"/>
      <w:bookmarkStart w:id="279" w:name="_Toc22005"/>
      <w:bookmarkStart w:id="280" w:name="_Toc22187"/>
      <w:r>
        <w:rPr>
          <w:rFonts w:hint="eastAsia" w:ascii="宋体" w:hAnsi="宋体" w:eastAsia="宋体" w:cs="宋体"/>
          <w:b/>
          <w:bCs/>
          <w:color w:val="auto"/>
          <w:sz w:val="30"/>
          <w:szCs w:val="30"/>
          <w:highlight w:val="none"/>
          <w:lang w:val="en-US" w:eastAsia="zh-CN"/>
        </w:rPr>
        <w:t>五、合同履行</w:t>
      </w:r>
      <w:bookmarkEnd w:id="276"/>
      <w:bookmarkEnd w:id="277"/>
      <w:bookmarkEnd w:id="278"/>
      <w:bookmarkEnd w:id="279"/>
      <w:bookmarkEnd w:id="280"/>
    </w:p>
    <w:p w14:paraId="3471E3F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 xml:space="preserve">签订合同起始日期：                              </w:t>
      </w:r>
    </w:p>
    <w:p w14:paraId="437361B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履约担保：履约保函</w:t>
      </w:r>
    </w:p>
    <w:p w14:paraId="27C88EC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3、履约保函期限：两年</w:t>
      </w:r>
    </w:p>
    <w:p w14:paraId="04F48F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交货验收方式：</w:t>
      </w:r>
    </w:p>
    <w:p w14:paraId="3362CF4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①在甲方指定交货地点验收，如发现损坏、缺件等问题，乙方应当在接到甲方通知（包括但不限于电话、传真、短信、电子邮件等通知方式）后10日内负责完成更换、补齐。</w:t>
      </w:r>
    </w:p>
    <w:p w14:paraId="6E67E1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②甲方应在货物到达指定交货地点10个工作日内完成到货验收工作，验收合格后在验收单上签署 “验收合格”字样。</w:t>
      </w:r>
    </w:p>
    <w:p w14:paraId="3117E79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甲方委托的验收人在疫苗验收中发现不符合合同要求和验收标准或有异议时，及时通知乙方，乙方应在接到甲方通知（包括但不限于电话、短信、传真、电子邮件等方式）后十日内完成货物更换、补齐，并负责处理，若需送法定质检部门检验，检验费用由乙方承担。</w:t>
      </w:r>
    </w:p>
    <w:p w14:paraId="5B72638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交货验收程序：乙方提出验收申请，甲乙双方按照合同要求逐一进行验收，验收合格后，在验收单上签字确认。</w:t>
      </w:r>
    </w:p>
    <w:p w14:paraId="7FDAD6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81" w:name="_Toc11188"/>
      <w:bookmarkStart w:id="282" w:name="_Toc15155"/>
      <w:bookmarkStart w:id="283" w:name="_Toc6318"/>
      <w:bookmarkStart w:id="284" w:name="_Toc7852"/>
      <w:bookmarkStart w:id="285" w:name="_Toc2950"/>
      <w:r>
        <w:rPr>
          <w:rFonts w:hint="eastAsia" w:ascii="宋体" w:hAnsi="宋体" w:eastAsia="宋体" w:cs="宋体"/>
          <w:b/>
          <w:bCs/>
          <w:color w:val="auto"/>
          <w:sz w:val="30"/>
          <w:szCs w:val="30"/>
          <w:highlight w:val="none"/>
          <w:lang w:val="en-US" w:eastAsia="zh-CN"/>
        </w:rPr>
        <w:t>六、合同内容</w:t>
      </w:r>
      <w:bookmarkEnd w:id="281"/>
      <w:bookmarkEnd w:id="282"/>
      <w:bookmarkEnd w:id="283"/>
      <w:bookmarkEnd w:id="284"/>
      <w:bookmarkEnd w:id="285"/>
    </w:p>
    <w:p w14:paraId="4915D01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乙方所提供的动物疫苗符合国家现行有效标准，因质量问题而发生的任何损失由乙方负责。</w:t>
      </w:r>
    </w:p>
    <w:p w14:paraId="122895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乙方承担货物供应和售后服务等一切责任和费用。</w:t>
      </w:r>
    </w:p>
    <w:p w14:paraId="230C13E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3、甲方委托各地动物疫病预防控制机构在交货地点验收，包括数量、规格、包装、冷链记录等，如发现损坏、缺件、脱温等问题，由乙方负责。</w:t>
      </w:r>
    </w:p>
    <w:p w14:paraId="35539D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4、乙方在发运疫苗时需提供相应的技术文件，包括使用说明等，如甲方提出需求，乙方需培训疫苗注射使用方法。</w:t>
      </w:r>
    </w:p>
    <w:p w14:paraId="298D6E3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5、乙方对所供产品有效期需满足采购参数要求，产品有效期12个月的疫苗交货时，该批疫苗效期需不低于8个月；产品有效期24个月的疫苗交货时，效期需不低于14个月。</w:t>
      </w:r>
    </w:p>
    <w:p w14:paraId="473EE24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农业农村部将强制免疫病种疫苗毒株进行更换或调整，乙方应根据农业农村部调整后的疫苗毒株进行生产，并按合同签订的数量及价格向甲方提供调整毒株后的疫苗。乙方在投标之前应当充分考虑到这些方面的因素及风险。</w:t>
      </w:r>
    </w:p>
    <w:p w14:paraId="65D605E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凡货款由财政国库或甲方支付的，乙方凭甲方的调拨通知单和合同向甲方指定的地点供货，未见疫苗调拨通知单或未按合同供货而造成的一切后果由乙方负责。</w:t>
      </w:r>
    </w:p>
    <w:p w14:paraId="4B17756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采购合同履行中，甲方需追加与合同标的相同的货物，在不改变其他条款的前提下，可与乙方协商签订补充合同，所有补充合同的采购金额不超过原合同采购金额的百分之十。</w:t>
      </w:r>
    </w:p>
    <w:p w14:paraId="597E7EE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包装要求：</w:t>
      </w:r>
      <w:r>
        <w:rPr>
          <w:rFonts w:hint="eastAsia" w:ascii="宋体" w:hAnsi="宋体" w:eastAsia="宋体" w:cs="宋体"/>
          <w:b w:val="0"/>
          <w:bCs w:val="0"/>
          <w:color w:val="auto"/>
          <w:sz w:val="24"/>
          <w:szCs w:val="24"/>
          <w:highlight w:val="none"/>
          <w:lang w:eastAsia="zh-CN"/>
        </w:rPr>
        <w:t>疫苗产品包装应符合《中华人民共和国兽药典》关于兽用生物制品的标签、说明书与包装规定。要配套泡沫保温箱和外包装箱，并附有兽药标签、使用说明书等相关资料。</w:t>
      </w:r>
      <w:r>
        <w:rPr>
          <w:rFonts w:hint="eastAsia" w:ascii="宋体" w:hAnsi="宋体" w:eastAsia="宋体" w:cs="宋体"/>
          <w:color w:val="auto"/>
          <w:sz w:val="24"/>
          <w:szCs w:val="24"/>
          <w:highlight w:val="none"/>
          <w:lang w:val="en-US" w:eastAsia="zh-CN"/>
        </w:rPr>
        <w:t>乙方需确保货品无破损，无污染，且方便二次运输。产品包装按照大小包装分配成一定比例供货，而且标识清楚，以方便散养动物免疫注射使用，避免造成疫苗浪费。因包装不当造成的损失由乙方负责，包退包换。</w:t>
      </w:r>
    </w:p>
    <w:p w14:paraId="218548E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10、冷链运输全程温度记录随车同行，交货有效期不少于8个月，不符合的无条件免费更换。</w:t>
      </w:r>
    </w:p>
    <w:p w14:paraId="46227BD5">
      <w:pPr>
        <w:pStyle w:val="152"/>
        <w:ind w:left="0" w:leftChars="0"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11、其它：乙方在响应文件内承诺的相应事项作为本合同的附加条款，乙方需严格按承诺履行。</w:t>
      </w:r>
    </w:p>
    <w:p w14:paraId="31BE9168">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86" w:name="_Toc5214"/>
      <w:bookmarkStart w:id="287" w:name="_Toc17308"/>
      <w:bookmarkStart w:id="288" w:name="_Toc530"/>
      <w:bookmarkStart w:id="289" w:name="_Toc14575"/>
      <w:bookmarkStart w:id="290" w:name="_Toc31940"/>
      <w:r>
        <w:rPr>
          <w:rFonts w:hint="eastAsia" w:ascii="宋体" w:hAnsi="宋体" w:eastAsia="宋体" w:cs="宋体"/>
          <w:b/>
          <w:bCs/>
          <w:color w:val="auto"/>
          <w:sz w:val="30"/>
          <w:szCs w:val="30"/>
          <w:highlight w:val="none"/>
          <w:lang w:val="en-US" w:eastAsia="zh-CN"/>
        </w:rPr>
        <w:t>七、经济责任</w:t>
      </w:r>
      <w:bookmarkEnd w:id="286"/>
      <w:bookmarkEnd w:id="287"/>
      <w:bookmarkEnd w:id="288"/>
      <w:bookmarkEnd w:id="289"/>
      <w:bookmarkEnd w:id="290"/>
    </w:p>
    <w:p w14:paraId="15F4E73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1、乙方不履行合同或交付的疫苗不符合采购文件和合同要求的，甲方或甲方委托验收人有权拒收不符合质量要求的全部或部分疫苗。</w:t>
      </w:r>
    </w:p>
    <w:p w14:paraId="5527046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2、疫苗质量不符合采购文件和合同规定时，乙方负责包退包换。由于上述原因导致延误交货时间的，每延误一日，乙方应按逾期交货部分疫苗价款总值的</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‰向甲方偿付违约金。</w:t>
      </w:r>
    </w:p>
    <w:p w14:paraId="480E0B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3、乙方必须按合同规定的日期交货，每逾期一日，乙方必须向甲方支付逾期交货疫苗总额</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‰的违约金。逾期交货超过10日，甲方有权解除合同。</w:t>
      </w:r>
    </w:p>
    <w:p w14:paraId="2ED1036C">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乙方提供的同一批次的疫苗，若检测存在不符合质量要求的，视为整批疫苗不合格。</w:t>
      </w:r>
    </w:p>
    <w:p w14:paraId="1619EEF1">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疫苗属于特殊生物制品，必须按照生物制品运输保存的条件要求进行冷链运送，运输工具要配温度记录装置，疫苗接收单位将现场测温，并核查全程温度记录，对不符合动物疫苗运输条件的疫苗，接收单位有权拒收。由此造成的一切损失由乙方承担，而且由此延误了供苗时间造成的损失应由乙方负责补偿。</w:t>
      </w:r>
    </w:p>
    <w:p w14:paraId="5928616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91" w:name="_Toc11091"/>
      <w:bookmarkStart w:id="292" w:name="_Toc9980"/>
      <w:bookmarkStart w:id="293" w:name="_Toc1824"/>
      <w:bookmarkStart w:id="294" w:name="_Toc24833"/>
      <w:bookmarkStart w:id="295" w:name="_Toc9942"/>
      <w:r>
        <w:rPr>
          <w:rFonts w:hint="eastAsia" w:ascii="宋体" w:hAnsi="宋体" w:eastAsia="宋体" w:cs="宋体"/>
          <w:b/>
          <w:bCs/>
          <w:color w:val="auto"/>
          <w:sz w:val="30"/>
          <w:szCs w:val="30"/>
          <w:highlight w:val="none"/>
          <w:lang w:val="en-US" w:eastAsia="zh-CN"/>
        </w:rPr>
        <w:t>八、特殊条款</w:t>
      </w:r>
      <w:bookmarkEnd w:id="291"/>
      <w:bookmarkEnd w:id="292"/>
      <w:bookmarkEnd w:id="293"/>
      <w:bookmarkEnd w:id="294"/>
      <w:bookmarkEnd w:id="295"/>
    </w:p>
    <w:p w14:paraId="5198CDE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1、乙方需充分满足甲方培训需求，提供免疫相关知识的培训，甲方可以提出培训计划，由乙方举办培训班，培训对象由甲方确定。</w:t>
      </w:r>
    </w:p>
    <w:p w14:paraId="4FC19D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2、若因注射乙方所供疫苗引发疫情，甲、乙双方应联合相关部门组建调查小组彻查原因；经确认疫情确由疫苗问题导致的，乙方须承担全部扑疫费用，并赔偿由此造成的相应经济损失。</w:t>
      </w:r>
    </w:p>
    <w:p w14:paraId="523D10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3、若因疫苗质量问题导致已免疫畜禽出现大面积严重应激反应，乙方须在 24 小时内派遣专业技术人员赶赴现场，开展采样、分析及问题处置工作，并承担该应激反应造成的全部损失。</w:t>
      </w:r>
    </w:p>
    <w:p w14:paraId="531F7EE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因疫苗注射发生应激反应导致畜禽死亡的，乙方通过副反应死亡补偿准备金、商业保险理赔等方式进行赔付补偿；赔付标准综合畜禽品种、体重、市场价值等因素确定，且须严格兑现投标承诺，由当地动物疫控机构或畜牧兽医主管部门备案汇总相关情况。春防期应激死亡赔付需在7月底前完成，秋防期应激死亡赔付需在12月底前完成。</w:t>
      </w:r>
    </w:p>
    <w:p w14:paraId="331BD60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5、乙方向甲方指定的疫苗接收单位供货时，产品大、小包装按规定比例配送，包装标识须清晰规范，按该比例分送至各疫苗接收单位，保障散养动物免疫注射使用便捷性，杜绝疫苗浪费。</w:t>
      </w:r>
    </w:p>
    <w:p w14:paraId="42E3831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6、由于疫苗质量问题造成免疫畜禽大面积出现严重应激反应的，甲方根据造成危害程度的大小，可以决定终止合同，由此造成的一切损失由乙方承担。</w:t>
      </w:r>
    </w:p>
    <w:p w14:paraId="3DDE3FD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因国家强制免疫政策调整，甲方有权减少或取消该品种的疫苗使用，如果乙方未取得国家调整后的疫苗生产资格，且国家明文要求停用本次招标毒株种类的疫苗，则甲方严格执行国家政策，有权停止使用该疫苗，甲方不承担任何责任。</w:t>
      </w:r>
    </w:p>
    <w:p w14:paraId="2D53BA0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8、乙方的其他售后服务承诺。</w:t>
      </w:r>
    </w:p>
    <w:p w14:paraId="696353E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96" w:name="_Toc18730"/>
      <w:bookmarkStart w:id="297" w:name="_Toc5675"/>
      <w:bookmarkStart w:id="298" w:name="_Toc25754"/>
      <w:bookmarkStart w:id="299" w:name="_Toc29925"/>
      <w:bookmarkStart w:id="300" w:name="_Toc18951"/>
      <w:r>
        <w:rPr>
          <w:rFonts w:hint="eastAsia" w:ascii="宋体" w:hAnsi="宋体" w:eastAsia="宋体" w:cs="宋体"/>
          <w:b/>
          <w:bCs/>
          <w:color w:val="auto"/>
          <w:sz w:val="30"/>
          <w:szCs w:val="30"/>
          <w:highlight w:val="none"/>
          <w:lang w:val="en-US" w:eastAsia="zh-CN"/>
        </w:rPr>
        <w:t>九、违约</w:t>
      </w:r>
      <w:bookmarkEnd w:id="296"/>
      <w:r>
        <w:rPr>
          <w:rFonts w:hint="eastAsia" w:ascii="宋体" w:hAnsi="宋体" w:eastAsia="宋体" w:cs="宋体"/>
          <w:b/>
          <w:bCs/>
          <w:color w:val="auto"/>
          <w:sz w:val="30"/>
          <w:szCs w:val="30"/>
          <w:highlight w:val="none"/>
          <w:lang w:val="en-US" w:eastAsia="zh-CN"/>
        </w:rPr>
        <w:t>责任</w:t>
      </w:r>
      <w:bookmarkEnd w:id="297"/>
      <w:bookmarkEnd w:id="298"/>
      <w:bookmarkEnd w:id="299"/>
      <w:bookmarkEnd w:id="300"/>
    </w:p>
    <w:p w14:paraId="255875F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1、甲方违约责任</w:t>
      </w:r>
    </w:p>
    <w:p w14:paraId="411D8C9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(1)甲方无正当理由拒收货物的，甲方应偿付合同总价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022ECF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2、乙方违约责任</w:t>
      </w:r>
    </w:p>
    <w:p w14:paraId="05EAEE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(1)如乙方不能交付货物，甲方有权行使履约保函的履约担保功能，同时乙方应向甲方支付合同总价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1DE6B6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(2)乙方所交付的货物品种、型号、规格不符合合同规定的，甲方有权拒收。乙方拒不执行退换货责任的，乙方应向甲方支付合同总价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783913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(3)乙方货物经具有法定资格条件的质量技术监督机构检测后，如检测结果认定货物质量不符合本合同规定标准的，则视为乙方没有按时交货而违约，乙方须在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天内无条件更换合格的货物,如逾期不能更换合格的货物，甲方有权终止本合同，乙方应另向甲方支付合同总价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2E5501D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(4)乙方未按本合同的规定和“服务承诺”提供伴随服务/售后服务的，应按合同总价款的</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%向甲方承担违约责任；</w:t>
      </w:r>
    </w:p>
    <w:p w14:paraId="17E5CB9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(5)乙方在承担上述1-4款一项或多项违约责任后，仍应维续履行合同规定的义务(甲方解除合同的除外)，甲方未能及时追究乙方的任何一项违约责任并不表明甲方放弃追究乙方该项或其他违约责任；</w:t>
      </w:r>
    </w:p>
    <w:p w14:paraId="0B0E84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01" w:name="_Toc31189"/>
      <w:bookmarkStart w:id="302" w:name="_Toc11660"/>
      <w:bookmarkStart w:id="303" w:name="_Toc28227"/>
      <w:bookmarkStart w:id="304" w:name="_Toc31480"/>
      <w:bookmarkStart w:id="305" w:name="_Toc10677"/>
      <w:r>
        <w:rPr>
          <w:rFonts w:hint="eastAsia" w:ascii="宋体" w:hAnsi="宋体" w:eastAsia="宋体" w:cs="宋体"/>
          <w:b/>
          <w:bCs/>
          <w:color w:val="auto"/>
          <w:sz w:val="30"/>
          <w:szCs w:val="30"/>
          <w:highlight w:val="none"/>
          <w:lang w:val="en-US" w:eastAsia="zh-CN"/>
        </w:rPr>
        <w:t>十、合同的变更和终止</w:t>
      </w:r>
      <w:bookmarkEnd w:id="301"/>
      <w:bookmarkEnd w:id="302"/>
      <w:bookmarkEnd w:id="303"/>
      <w:bookmarkEnd w:id="304"/>
      <w:bookmarkEnd w:id="305"/>
    </w:p>
    <w:p w14:paraId="790B258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除&lt;&lt;中华人民共和国政府采购法&gt;&gt;第49条、第50条第二款规定的情形外，本合同一经签订，甲乙双方不得擅自变更、中止或终止合同。</w:t>
      </w:r>
    </w:p>
    <w:p w14:paraId="364B757F">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06" w:name="_Toc21651"/>
      <w:bookmarkStart w:id="307" w:name="_Toc261"/>
      <w:bookmarkStart w:id="308" w:name="_Toc482"/>
      <w:bookmarkStart w:id="309" w:name="_Toc28956"/>
      <w:bookmarkStart w:id="310" w:name="_Toc6821"/>
      <w:r>
        <w:rPr>
          <w:rFonts w:hint="eastAsia" w:ascii="宋体" w:hAnsi="宋体" w:eastAsia="宋体" w:cs="宋体"/>
          <w:b/>
          <w:bCs/>
          <w:color w:val="auto"/>
          <w:sz w:val="30"/>
          <w:szCs w:val="30"/>
          <w:highlight w:val="none"/>
          <w:lang w:val="en-US" w:eastAsia="zh-CN"/>
        </w:rPr>
        <w:t>十一、争议的解决</w:t>
      </w:r>
      <w:bookmarkEnd w:id="306"/>
      <w:bookmarkEnd w:id="307"/>
      <w:bookmarkEnd w:id="308"/>
      <w:bookmarkEnd w:id="309"/>
      <w:bookmarkEnd w:id="310"/>
    </w:p>
    <w:p w14:paraId="3D6572E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1、因货物的质量问题发生争议，由质量技术监督部门或其指定的质量鉴定机构进行质量鉴定，鉴定费由乙方承担；</w:t>
      </w:r>
    </w:p>
    <w:p w14:paraId="405F9B8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2、因履行本合同引起的或与本合同有关的争议，甲、乙双方应首先通过友好协商解决，如果协商不成，则采取以下第(1)种方式解决争议；</w:t>
      </w:r>
    </w:p>
    <w:p w14:paraId="7598A09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(1)向甲方所在地有管辖权的人民法院提起诉讼；</w:t>
      </w:r>
    </w:p>
    <w:p w14:paraId="0AB728A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3、在仲裁期间，本合同应继续履行。</w:t>
      </w:r>
    </w:p>
    <w:p w14:paraId="2854DC56">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11" w:name="_Toc23265"/>
      <w:bookmarkStart w:id="312" w:name="_Toc18096"/>
      <w:bookmarkStart w:id="313" w:name="_Toc18085"/>
      <w:bookmarkStart w:id="314" w:name="_Toc16052"/>
      <w:bookmarkStart w:id="315" w:name="_Toc10216"/>
      <w:r>
        <w:rPr>
          <w:rFonts w:hint="eastAsia" w:ascii="宋体" w:hAnsi="宋体" w:eastAsia="宋体" w:cs="宋体"/>
          <w:b/>
          <w:bCs/>
          <w:color w:val="auto"/>
          <w:sz w:val="30"/>
          <w:szCs w:val="30"/>
          <w:highlight w:val="none"/>
          <w:lang w:val="en-US" w:eastAsia="zh-CN"/>
        </w:rPr>
        <w:t>十二、合同生效</w:t>
      </w:r>
      <w:bookmarkEnd w:id="311"/>
      <w:bookmarkEnd w:id="312"/>
      <w:bookmarkEnd w:id="313"/>
      <w:bookmarkEnd w:id="314"/>
      <w:bookmarkEnd w:id="315"/>
    </w:p>
    <w:p w14:paraId="18EFB9D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本合同经甲乙双方签字盖章后生效。本合同具有法律效力，受国家法律保护。</w:t>
      </w:r>
    </w:p>
    <w:p w14:paraId="766A156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16" w:name="_Toc17881"/>
      <w:bookmarkStart w:id="317" w:name="_Toc29400"/>
      <w:bookmarkStart w:id="318" w:name="_Toc31145"/>
      <w:bookmarkStart w:id="319" w:name="_Toc10896"/>
      <w:bookmarkStart w:id="320" w:name="_Toc16265"/>
      <w:r>
        <w:rPr>
          <w:rFonts w:hint="eastAsia" w:ascii="宋体" w:hAnsi="宋体" w:eastAsia="宋体" w:cs="宋体"/>
          <w:b/>
          <w:bCs/>
          <w:color w:val="auto"/>
          <w:sz w:val="30"/>
          <w:szCs w:val="30"/>
          <w:highlight w:val="none"/>
          <w:lang w:val="en-US" w:eastAsia="zh-CN"/>
        </w:rPr>
        <w:t>十三、合同生效及其他</w:t>
      </w:r>
      <w:bookmarkEnd w:id="316"/>
      <w:bookmarkEnd w:id="317"/>
      <w:bookmarkEnd w:id="318"/>
      <w:bookmarkEnd w:id="319"/>
      <w:bookmarkEnd w:id="320"/>
    </w:p>
    <w:p w14:paraId="2AA50AB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1.如有未尽事宜，由双方依法订立补充合同。</w:t>
      </w:r>
    </w:p>
    <w:p w14:paraId="1CD403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2.本合同自签订之日起生效。</w:t>
      </w:r>
    </w:p>
    <w:p w14:paraId="6101EED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3.本合同一式</w:t>
      </w:r>
      <w:r>
        <w:rPr>
          <w:rFonts w:hint="eastAsia" w:ascii="宋体" w:hAnsi="宋体" w:eastAsia="宋体" w:cs="宋体"/>
          <w:color w:val="auto"/>
          <w:sz w:val="24"/>
          <w:szCs w:val="24"/>
          <w:highlight w:val="none"/>
          <w:u w:val="single"/>
          <w:lang w:val="en-US" w:eastAsia="zh-CN"/>
        </w:rPr>
        <w:t>陆</w:t>
      </w:r>
      <w:r>
        <w:rPr>
          <w:rFonts w:hint="eastAsia" w:ascii="宋体" w:hAnsi="宋体" w:eastAsia="宋体" w:cs="宋体"/>
          <w:color w:val="auto"/>
          <w:sz w:val="24"/>
          <w:szCs w:val="24"/>
          <w:highlight w:val="none"/>
          <w:lang w:val="en-US" w:eastAsia="zh-CN"/>
        </w:rPr>
        <w:t>份,具有同等法律效力，甲方执</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份报送监督管理部门备案。</w:t>
      </w:r>
    </w:p>
    <w:p w14:paraId="100B67E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854BD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bl>
      <w:tblPr>
        <w:tblStyle w:val="29"/>
        <w:tblpPr w:leftFromText="180" w:rightFromText="180" w:vertAnchor="text" w:horzAnchor="page" w:tblpX="879" w:tblpY="259"/>
        <w:tblOverlap w:val="never"/>
        <w:tblW w:w="104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743"/>
        <w:gridCol w:w="2453"/>
        <w:gridCol w:w="2771"/>
        <w:gridCol w:w="2467"/>
      </w:tblGrid>
      <w:tr w14:paraId="66E02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5196" w:type="dxa"/>
            <w:gridSpan w:val="2"/>
            <w:tcBorders>
              <w:bottom w:val="single" w:color="auto" w:sz="2" w:space="0"/>
              <w:right w:val="single" w:color="auto" w:sz="2" w:space="0"/>
            </w:tcBorders>
            <w:vAlign w:val="center"/>
          </w:tcPr>
          <w:p w14:paraId="2FA31D3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甲方</w:t>
            </w:r>
          </w:p>
        </w:tc>
        <w:tc>
          <w:tcPr>
            <w:tcW w:w="5238" w:type="dxa"/>
            <w:gridSpan w:val="2"/>
            <w:tcBorders>
              <w:left w:val="single" w:color="auto" w:sz="2" w:space="0"/>
              <w:bottom w:val="single" w:color="auto" w:sz="2" w:space="0"/>
            </w:tcBorders>
            <w:vAlign w:val="center"/>
          </w:tcPr>
          <w:p w14:paraId="77EA05E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乙方</w:t>
            </w:r>
          </w:p>
        </w:tc>
      </w:tr>
      <w:tr w14:paraId="23F791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4" w:hRule="atLeast"/>
        </w:trPr>
        <w:tc>
          <w:tcPr>
            <w:tcW w:w="2743" w:type="dxa"/>
            <w:tcBorders>
              <w:top w:val="single" w:color="auto" w:sz="2" w:space="0"/>
              <w:bottom w:val="single" w:color="auto" w:sz="2" w:space="0"/>
              <w:right w:val="single" w:color="auto" w:sz="2" w:space="0"/>
            </w:tcBorders>
            <w:vAlign w:val="center"/>
          </w:tcPr>
          <w:p w14:paraId="4F996C8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4589788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（合同章）</w:t>
            </w:r>
          </w:p>
        </w:tc>
        <w:tc>
          <w:tcPr>
            <w:tcW w:w="2453" w:type="dxa"/>
            <w:tcBorders>
              <w:top w:val="single" w:color="auto" w:sz="2" w:space="0"/>
              <w:left w:val="single" w:color="auto" w:sz="2" w:space="0"/>
              <w:bottom w:val="single" w:color="auto" w:sz="2" w:space="0"/>
              <w:right w:val="single" w:color="auto" w:sz="2" w:space="0"/>
            </w:tcBorders>
            <w:vAlign w:val="center"/>
          </w:tcPr>
          <w:p w14:paraId="0DD5A9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5C08005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75483A4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（公章或合同章）</w:t>
            </w:r>
          </w:p>
        </w:tc>
        <w:tc>
          <w:tcPr>
            <w:tcW w:w="2467" w:type="dxa"/>
            <w:tcBorders>
              <w:top w:val="single" w:color="auto" w:sz="2" w:space="0"/>
              <w:left w:val="single" w:color="auto" w:sz="2" w:space="0"/>
              <w:bottom w:val="single" w:color="auto" w:sz="2" w:space="0"/>
            </w:tcBorders>
            <w:vAlign w:val="center"/>
          </w:tcPr>
          <w:p w14:paraId="280BEA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F30A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2743" w:type="dxa"/>
            <w:tcBorders>
              <w:top w:val="single" w:color="auto" w:sz="2" w:space="0"/>
              <w:right w:val="single" w:color="auto" w:sz="2" w:space="0"/>
            </w:tcBorders>
            <w:vAlign w:val="center"/>
          </w:tcPr>
          <w:p w14:paraId="11E7D1D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53" w:type="dxa"/>
            <w:tcBorders>
              <w:top w:val="single" w:color="auto" w:sz="2" w:space="0"/>
              <w:left w:val="single" w:color="auto" w:sz="2" w:space="0"/>
              <w:right w:val="single" w:color="auto" w:sz="2" w:space="0"/>
            </w:tcBorders>
            <w:vAlign w:val="center"/>
          </w:tcPr>
          <w:p w14:paraId="4C7635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right w:val="single" w:color="auto" w:sz="2" w:space="0"/>
            </w:tcBorders>
            <w:vAlign w:val="center"/>
          </w:tcPr>
          <w:p w14:paraId="3A05E5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67" w:type="dxa"/>
            <w:tcBorders>
              <w:top w:val="single" w:color="auto" w:sz="2" w:space="0"/>
              <w:left w:val="single" w:color="auto" w:sz="2" w:space="0"/>
              <w:bottom w:val="single" w:color="auto" w:sz="2" w:space="0"/>
            </w:tcBorders>
            <w:vAlign w:val="center"/>
          </w:tcPr>
          <w:p w14:paraId="5BEEAF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65EC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79DC57C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联系人</w:t>
            </w:r>
          </w:p>
        </w:tc>
        <w:tc>
          <w:tcPr>
            <w:tcW w:w="2453" w:type="dxa"/>
            <w:tcBorders>
              <w:top w:val="single" w:color="auto" w:sz="2" w:space="0"/>
              <w:left w:val="single" w:color="auto" w:sz="2" w:space="0"/>
              <w:bottom w:val="single" w:color="auto" w:sz="2" w:space="0"/>
              <w:right w:val="single" w:color="auto" w:sz="2" w:space="0"/>
            </w:tcBorders>
            <w:vAlign w:val="center"/>
          </w:tcPr>
          <w:p w14:paraId="7F480D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00F952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联系人</w:t>
            </w:r>
          </w:p>
        </w:tc>
        <w:tc>
          <w:tcPr>
            <w:tcW w:w="2467" w:type="dxa"/>
            <w:tcBorders>
              <w:top w:val="single" w:color="auto" w:sz="2" w:space="0"/>
              <w:left w:val="single" w:color="auto" w:sz="2" w:space="0"/>
              <w:bottom w:val="single" w:color="auto" w:sz="2" w:space="0"/>
            </w:tcBorders>
            <w:vAlign w:val="center"/>
          </w:tcPr>
          <w:p w14:paraId="231DEC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05932F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F6B30F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联系电话</w:t>
            </w:r>
          </w:p>
        </w:tc>
        <w:tc>
          <w:tcPr>
            <w:tcW w:w="2453" w:type="dxa"/>
            <w:tcBorders>
              <w:top w:val="single" w:color="auto" w:sz="2" w:space="0"/>
              <w:left w:val="single" w:color="auto" w:sz="2" w:space="0"/>
              <w:bottom w:val="single" w:color="auto" w:sz="2" w:space="0"/>
              <w:right w:val="single" w:color="auto" w:sz="2" w:space="0"/>
            </w:tcBorders>
            <w:vAlign w:val="center"/>
          </w:tcPr>
          <w:p w14:paraId="5B732C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39177F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联系电话</w:t>
            </w:r>
          </w:p>
        </w:tc>
        <w:tc>
          <w:tcPr>
            <w:tcW w:w="2467" w:type="dxa"/>
            <w:tcBorders>
              <w:top w:val="single" w:color="auto" w:sz="2" w:space="0"/>
              <w:left w:val="single" w:color="auto" w:sz="2" w:space="0"/>
              <w:bottom w:val="single" w:color="auto" w:sz="2" w:space="0"/>
            </w:tcBorders>
            <w:vAlign w:val="center"/>
          </w:tcPr>
          <w:p w14:paraId="0DEA3D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58CE5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3E4BB3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53" w:type="dxa"/>
            <w:tcBorders>
              <w:top w:val="single" w:color="auto" w:sz="2" w:space="0"/>
              <w:left w:val="single" w:color="auto" w:sz="2" w:space="0"/>
              <w:bottom w:val="single" w:color="auto" w:sz="2" w:space="0"/>
              <w:right w:val="single" w:color="auto" w:sz="2" w:space="0"/>
            </w:tcBorders>
            <w:vAlign w:val="center"/>
          </w:tcPr>
          <w:p w14:paraId="6ACA63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3253A6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67" w:type="dxa"/>
            <w:tcBorders>
              <w:top w:val="single" w:color="auto" w:sz="2" w:space="0"/>
              <w:left w:val="single" w:color="auto" w:sz="2" w:space="0"/>
              <w:bottom w:val="single" w:color="auto" w:sz="2" w:space="0"/>
            </w:tcBorders>
            <w:vAlign w:val="center"/>
          </w:tcPr>
          <w:p w14:paraId="495288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8C6F5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64700C7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53" w:type="dxa"/>
            <w:tcBorders>
              <w:top w:val="single" w:color="auto" w:sz="2" w:space="0"/>
              <w:left w:val="single" w:color="auto" w:sz="2" w:space="0"/>
              <w:bottom w:val="single" w:color="auto" w:sz="2" w:space="0"/>
              <w:right w:val="single" w:color="auto" w:sz="2" w:space="0"/>
            </w:tcBorders>
            <w:vAlign w:val="center"/>
          </w:tcPr>
          <w:p w14:paraId="77AAFD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FD8793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67" w:type="dxa"/>
            <w:tcBorders>
              <w:top w:val="single" w:color="auto" w:sz="2" w:space="0"/>
              <w:left w:val="single" w:color="auto" w:sz="2" w:space="0"/>
              <w:bottom w:val="single" w:color="auto" w:sz="2" w:space="0"/>
            </w:tcBorders>
            <w:vAlign w:val="center"/>
          </w:tcPr>
          <w:p w14:paraId="627FAA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1B7E8F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2BB0FE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53" w:type="dxa"/>
            <w:tcBorders>
              <w:top w:val="single" w:color="auto" w:sz="2" w:space="0"/>
              <w:left w:val="single" w:color="auto" w:sz="2" w:space="0"/>
              <w:bottom w:val="single" w:color="auto" w:sz="2" w:space="0"/>
              <w:right w:val="single" w:color="auto" w:sz="2" w:space="0"/>
            </w:tcBorders>
            <w:vAlign w:val="center"/>
          </w:tcPr>
          <w:p w14:paraId="2F4EAB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3B9607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67" w:type="dxa"/>
            <w:tcBorders>
              <w:top w:val="single" w:color="auto" w:sz="2" w:space="0"/>
              <w:left w:val="single" w:color="auto" w:sz="2" w:space="0"/>
              <w:bottom w:val="single" w:color="auto" w:sz="2" w:space="0"/>
            </w:tcBorders>
            <w:vAlign w:val="center"/>
          </w:tcPr>
          <w:p w14:paraId="561EF2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4C51F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743" w:type="dxa"/>
            <w:tcBorders>
              <w:top w:val="single" w:color="auto" w:sz="2" w:space="0"/>
              <w:bottom w:val="single" w:color="auto" w:sz="2" w:space="0"/>
              <w:right w:val="single" w:color="auto" w:sz="2" w:space="0"/>
            </w:tcBorders>
            <w:shd w:val="clear" w:color="auto" w:fill="auto"/>
            <w:vAlign w:val="center"/>
          </w:tcPr>
          <w:p w14:paraId="4AEB3BD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53" w:type="dxa"/>
            <w:tcBorders>
              <w:top w:val="single" w:color="auto" w:sz="2" w:space="0"/>
              <w:left w:val="single" w:color="auto" w:sz="2" w:space="0"/>
              <w:bottom w:val="single" w:color="auto" w:sz="2" w:space="0"/>
              <w:right w:val="single" w:color="auto" w:sz="2" w:space="0"/>
            </w:tcBorders>
            <w:vAlign w:val="center"/>
          </w:tcPr>
          <w:p w14:paraId="1F92B9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381166C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67" w:type="dxa"/>
            <w:tcBorders>
              <w:top w:val="single" w:color="auto" w:sz="2" w:space="0"/>
              <w:left w:val="single" w:color="auto" w:sz="2" w:space="0"/>
              <w:bottom w:val="single" w:color="auto" w:sz="2" w:space="0"/>
            </w:tcBorders>
            <w:vAlign w:val="center"/>
          </w:tcPr>
          <w:p w14:paraId="5E2B30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C9E9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vAlign w:val="center"/>
          </w:tcPr>
          <w:p w14:paraId="65D5F7F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签订日期</w:t>
            </w:r>
          </w:p>
        </w:tc>
        <w:tc>
          <w:tcPr>
            <w:tcW w:w="2453" w:type="dxa"/>
            <w:tcBorders>
              <w:top w:val="single" w:color="auto" w:sz="2" w:space="0"/>
              <w:left w:val="single" w:color="auto" w:sz="2" w:space="0"/>
              <w:bottom w:val="single" w:color="auto" w:sz="2" w:space="0"/>
              <w:right w:val="single" w:color="auto" w:sz="2" w:space="0"/>
            </w:tcBorders>
            <w:vAlign w:val="center"/>
          </w:tcPr>
          <w:p w14:paraId="041E47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777222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签订日期</w:t>
            </w:r>
          </w:p>
        </w:tc>
        <w:tc>
          <w:tcPr>
            <w:tcW w:w="2467" w:type="dxa"/>
            <w:tcBorders>
              <w:top w:val="single" w:color="auto" w:sz="2" w:space="0"/>
              <w:left w:val="single" w:color="auto" w:sz="2" w:space="0"/>
              <w:bottom w:val="single" w:color="auto" w:sz="2" w:space="0"/>
            </w:tcBorders>
            <w:vAlign w:val="center"/>
          </w:tcPr>
          <w:p w14:paraId="08538B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AAC8F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10434" w:type="dxa"/>
            <w:gridSpan w:val="4"/>
            <w:tcBorders>
              <w:top w:val="single" w:color="auto" w:sz="2" w:space="0"/>
            </w:tcBorders>
            <w:vAlign w:val="center"/>
          </w:tcPr>
          <w:p w14:paraId="3E2BD5B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注：涉及联合体或其他合同主体的信息应按上表格式加列。</w:t>
            </w:r>
          </w:p>
        </w:tc>
      </w:tr>
    </w:tbl>
    <w:p w14:paraId="71F1DC87">
      <w:pPr>
        <w:rPr>
          <w:rFonts w:hint="eastAsia" w:ascii="宋体" w:hAnsi="宋体" w:eastAsia="宋体" w:cs="宋体"/>
          <w:b/>
          <w:color w:val="auto"/>
          <w:sz w:val="36"/>
        </w:rPr>
      </w:pPr>
      <w:r>
        <w:rPr>
          <w:rFonts w:hint="eastAsia" w:ascii="宋体" w:hAnsi="宋体" w:eastAsia="宋体" w:cs="宋体"/>
          <w:b/>
          <w:color w:val="auto"/>
          <w:sz w:val="36"/>
        </w:rPr>
        <w:br w:type="page"/>
      </w:r>
    </w:p>
    <w:bookmarkEnd w:id="254"/>
    <w:p w14:paraId="009FB926">
      <w:pPr>
        <w:keepNext w:val="0"/>
        <w:keepLines w:val="0"/>
        <w:pageBreakBefore w:val="0"/>
        <w:widowControl w:val="0"/>
        <w:kinsoku/>
        <w:wordWrap/>
        <w:overflowPunct/>
        <w:topLinePunct w:val="0"/>
        <w:autoSpaceDE/>
        <w:autoSpaceDN/>
        <w:bidi w:val="0"/>
        <w:adjustRightInd/>
        <w:snapToGrid/>
        <w:spacing w:before="167" w:beforeLines="50" w:after="167" w:afterLines="50" w:line="240" w:lineRule="auto"/>
        <w:jc w:val="center"/>
        <w:textAlignment w:val="auto"/>
        <w:outlineLvl w:val="0"/>
        <w:rPr>
          <w:rFonts w:hint="eastAsia" w:ascii="宋体" w:hAnsi="宋体" w:eastAsia="宋体" w:cs="宋体"/>
          <w:b/>
          <w:bCs/>
          <w:color w:val="auto"/>
          <w:sz w:val="44"/>
          <w:szCs w:val="44"/>
          <w:lang w:eastAsia="zh-CN"/>
        </w:rPr>
      </w:pPr>
      <w:bookmarkStart w:id="321" w:name="_Toc4261"/>
      <w:bookmarkStart w:id="322" w:name="_Toc26350"/>
      <w:bookmarkStart w:id="323" w:name="_Toc16988"/>
      <w:bookmarkStart w:id="324" w:name="_Toc17477"/>
      <w:bookmarkStart w:id="325" w:name="_Toc7015"/>
      <w:bookmarkStart w:id="326" w:name="_Toc15828"/>
      <w:bookmarkStart w:id="327" w:name="_Toc21819"/>
      <w:bookmarkStart w:id="328" w:name="_Toc14746"/>
      <w:bookmarkStart w:id="329" w:name="_Toc23620"/>
      <w:bookmarkStart w:id="330" w:name="_Toc11139"/>
      <w:r>
        <w:rPr>
          <w:rFonts w:hint="eastAsia" w:ascii="宋体" w:hAnsi="宋体" w:eastAsia="宋体" w:cs="宋体"/>
          <w:b/>
          <w:bCs/>
          <w:color w:val="auto"/>
          <w:sz w:val="44"/>
          <w:szCs w:val="44"/>
        </w:rPr>
        <w:t>第六章</w:t>
      </w:r>
      <w:r>
        <w:rPr>
          <w:rFonts w:hint="eastAsia" w:ascii="宋体" w:hAnsi="宋体" w:eastAsia="宋体" w:cs="宋体"/>
          <w:b/>
          <w:bCs/>
          <w:color w:val="auto"/>
          <w:sz w:val="44"/>
          <w:szCs w:val="44"/>
          <w:lang w:val="en-US" w:eastAsia="zh-CN"/>
        </w:rPr>
        <w:t xml:space="preserve"> 响应</w:t>
      </w:r>
      <w:r>
        <w:rPr>
          <w:rFonts w:hint="eastAsia" w:ascii="宋体" w:hAnsi="宋体" w:eastAsia="宋体" w:cs="宋体"/>
          <w:b/>
          <w:bCs/>
          <w:color w:val="auto"/>
          <w:sz w:val="44"/>
          <w:szCs w:val="44"/>
        </w:rPr>
        <w:t>文件格式</w:t>
      </w:r>
      <w:bookmarkEnd w:id="321"/>
      <w:bookmarkEnd w:id="322"/>
      <w:bookmarkEnd w:id="323"/>
      <w:bookmarkEnd w:id="324"/>
      <w:bookmarkEnd w:id="325"/>
      <w:bookmarkEnd w:id="326"/>
      <w:bookmarkEnd w:id="327"/>
      <w:bookmarkEnd w:id="328"/>
      <w:bookmarkEnd w:id="329"/>
      <w:bookmarkEnd w:id="330"/>
    </w:p>
    <w:p w14:paraId="376CBEB6">
      <w:pPr>
        <w:pageBreakBefore w:val="0"/>
        <w:wordWrap/>
        <w:topLinePunct w:val="0"/>
        <w:bidi w:val="0"/>
        <w:spacing w:beforeAutospacing="0" w:line="240" w:lineRule="auto"/>
        <w:jc w:val="center"/>
        <w:rPr>
          <w:rFonts w:hint="eastAsia" w:ascii="宋体" w:hAnsi="宋体" w:eastAsia="宋体" w:cs="宋体"/>
          <w:b/>
          <w:color w:val="auto"/>
          <w:spacing w:val="20"/>
          <w:sz w:val="44"/>
          <w:szCs w:val="44"/>
          <w:highlight w:val="none"/>
          <w:lang w:eastAsia="zh-CN"/>
        </w:rPr>
      </w:pPr>
    </w:p>
    <w:p w14:paraId="481562ED">
      <w:pPr>
        <w:pageBreakBefore w:val="0"/>
        <w:wordWrap/>
        <w:topLinePunct w:val="0"/>
        <w:bidi w:val="0"/>
        <w:spacing w:beforeAutospacing="0" w:line="240" w:lineRule="auto"/>
        <w:jc w:val="center"/>
        <w:rPr>
          <w:rFonts w:hint="eastAsia" w:ascii="宋体" w:hAnsi="宋体" w:eastAsia="宋体" w:cs="宋体"/>
          <w:b/>
          <w:color w:val="auto"/>
          <w:spacing w:val="20"/>
          <w:sz w:val="44"/>
          <w:szCs w:val="44"/>
          <w:highlight w:val="none"/>
          <w:lang w:eastAsia="zh-CN"/>
        </w:rPr>
      </w:pPr>
    </w:p>
    <w:p w14:paraId="7CE5D337">
      <w:pPr>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20"/>
          <w:highlight w:val="none"/>
        </w:rPr>
      </w:pPr>
      <w:bookmarkStart w:id="331" w:name="_Toc14830"/>
      <w:bookmarkStart w:id="332" w:name="_Toc138610907"/>
      <w:bookmarkStart w:id="333" w:name="_Toc140742538"/>
      <w:bookmarkStart w:id="334" w:name="_Toc140741993"/>
      <w:r>
        <w:rPr>
          <w:rFonts w:hint="eastAsia" w:ascii="宋体" w:hAnsi="宋体" w:eastAsia="宋体" w:cs="宋体"/>
          <w:color w:val="auto"/>
          <w:sz w:val="32"/>
          <w:szCs w:val="20"/>
          <w:highlight w:val="none"/>
        </w:rPr>
        <w:t>（项目名称）</w:t>
      </w:r>
      <w:bookmarkEnd w:id="331"/>
    </w:p>
    <w:p w14:paraId="64E57223">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（项目编号）</w:t>
      </w:r>
    </w:p>
    <w:p w14:paraId="664B271B">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textAlignment w:val="auto"/>
        <w:rPr>
          <w:rFonts w:hint="eastAsia" w:ascii="宋体" w:hAnsi="宋体" w:eastAsia="宋体" w:cs="宋体"/>
          <w:color w:val="auto"/>
          <w:sz w:val="28"/>
          <w:szCs w:val="28"/>
          <w:highlight w:val="none"/>
          <w:lang w:eastAsia="zh-CN"/>
        </w:rPr>
      </w:pPr>
    </w:p>
    <w:p w14:paraId="63ACA636">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39A7CE24">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6AFB0A3">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响应文件</w:t>
      </w:r>
    </w:p>
    <w:p w14:paraId="6AC97D04">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C5B8410">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2C76FEC9">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7EE9FB36">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23C590B0">
      <w:pPr>
        <w:pStyle w:val="155"/>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E03DA16">
      <w:pPr>
        <w:pStyle w:val="155"/>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3BCF354">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0E9B70FC">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供应商：（电子</w:t>
      </w:r>
      <w:r>
        <w:rPr>
          <w:rFonts w:hint="eastAsia" w:ascii="宋体" w:hAnsi="宋体" w:eastAsia="宋体" w:cs="宋体"/>
          <w:color w:val="auto"/>
          <w:sz w:val="28"/>
          <w:szCs w:val="28"/>
          <w:highlight w:val="none"/>
          <w:lang w:eastAsia="zh-CN"/>
        </w:rPr>
        <w:t>公</w:t>
      </w:r>
      <w:r>
        <w:rPr>
          <w:rFonts w:hint="eastAsia" w:ascii="宋体" w:hAnsi="宋体" w:eastAsia="宋体" w:cs="宋体"/>
          <w:color w:val="auto"/>
          <w:sz w:val="28"/>
          <w:szCs w:val="28"/>
          <w:highlight w:val="none"/>
        </w:rPr>
        <w:t>章）</w:t>
      </w:r>
    </w:p>
    <w:p w14:paraId="7610EB7E">
      <w:pPr>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highlight w:val="none"/>
        </w:rPr>
      </w:pPr>
      <w:bookmarkStart w:id="335" w:name="_Toc28221"/>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bookmarkEnd w:id="335"/>
    </w:p>
    <w:p w14:paraId="34352E64">
      <w:pPr>
        <w:pStyle w:val="155"/>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联系人：</w:t>
      </w:r>
    </w:p>
    <w:p w14:paraId="7071F36D">
      <w:pPr>
        <w:pStyle w:val="155"/>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联系电话：</w:t>
      </w:r>
    </w:p>
    <w:p w14:paraId="6495319E">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6AE2628">
      <w:pPr>
        <w:pageBreakBefore w:val="0"/>
        <w:wordWrap/>
        <w:topLinePunct w:val="0"/>
        <w:bidi w:val="0"/>
        <w:spacing w:beforeAutospacing="0" w:line="240" w:lineRule="auto"/>
        <w:rPr>
          <w:rFonts w:hint="eastAsia" w:ascii="宋体" w:hAnsi="宋体" w:eastAsia="宋体" w:cs="宋体"/>
          <w:color w:val="auto"/>
          <w:highlight w:val="none"/>
        </w:rPr>
      </w:pPr>
    </w:p>
    <w:p w14:paraId="57AFBDBB">
      <w:pPr>
        <w:pageBreakBefore w:val="0"/>
        <w:wordWrap/>
        <w:topLinePunct w:val="0"/>
        <w:bidi w:val="0"/>
        <w:spacing w:beforeAutospacing="0" w:line="240" w:lineRule="auto"/>
        <w:rPr>
          <w:rFonts w:hint="eastAsia" w:ascii="宋体" w:hAnsi="宋体" w:eastAsia="宋体" w:cs="宋体"/>
          <w:color w:val="auto"/>
          <w:highlight w:val="none"/>
        </w:rPr>
      </w:pPr>
    </w:p>
    <w:p w14:paraId="2A70B17D">
      <w:pPr>
        <w:pageBreakBefore w:val="0"/>
        <w:wordWrap/>
        <w:topLinePunct w:val="0"/>
        <w:bidi w:val="0"/>
        <w:spacing w:beforeAutospacing="0" w:line="240" w:lineRule="auto"/>
        <w:rPr>
          <w:rFonts w:hint="eastAsia" w:ascii="宋体" w:hAnsi="宋体" w:eastAsia="宋体" w:cs="宋体"/>
          <w:color w:val="auto"/>
          <w:highlight w:val="none"/>
        </w:rPr>
      </w:pPr>
    </w:p>
    <w:p w14:paraId="73E6DF4C">
      <w:pPr>
        <w:pageBreakBefore w:val="0"/>
        <w:wordWrap/>
        <w:topLinePunct w:val="0"/>
        <w:bidi w:val="0"/>
        <w:spacing w:beforeAutospacing="0" w:line="240" w:lineRule="auto"/>
        <w:rPr>
          <w:rFonts w:hint="eastAsia" w:ascii="宋体" w:hAnsi="宋体" w:eastAsia="宋体" w:cs="宋体"/>
          <w:color w:val="auto"/>
          <w:highlight w:val="none"/>
        </w:rPr>
      </w:pPr>
    </w:p>
    <w:bookmarkEnd w:id="332"/>
    <w:bookmarkEnd w:id="333"/>
    <w:bookmarkEnd w:id="334"/>
    <w:p w14:paraId="11E55E04">
      <w:pPr>
        <w:pageBreakBefore w:val="0"/>
        <w:wordWrap/>
        <w:topLinePunct w:val="0"/>
        <w:bidi w:val="0"/>
        <w:spacing w:beforeAutospacing="0" w:line="240" w:lineRule="auto"/>
        <w:jc w:val="center"/>
        <w:rPr>
          <w:rFonts w:hint="eastAsia" w:ascii="宋体" w:hAnsi="宋体" w:eastAsia="宋体" w:cs="宋体"/>
          <w:b/>
          <w:color w:val="auto"/>
          <w:kern w:val="0"/>
          <w:sz w:val="28"/>
          <w:szCs w:val="28"/>
          <w:highlight w:val="none"/>
        </w:rPr>
      </w:pPr>
    </w:p>
    <w:p w14:paraId="6701F853">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bookmarkEnd w:id="255"/>
    <w:p w14:paraId="6C7C4A0D">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资格证明文件目录</w:t>
      </w:r>
    </w:p>
    <w:p w14:paraId="12DD2A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合法有效的营业执照…………………………………………………………………（页码）</w:t>
      </w:r>
    </w:p>
    <w:p w14:paraId="30ADC1FB">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二、具有良好的商业信誉和健全的财务会计制度…………………………………………（页码）</w:t>
      </w:r>
    </w:p>
    <w:p w14:paraId="17B437D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三、根据项目需求提供具有履行合同所必需的设备和专业技术能力的加盖单位公章的书面承诺函………………………………………………………………………………………………（页码）</w:t>
      </w:r>
    </w:p>
    <w:p w14:paraId="25697342">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四、提供参加本次政府采购活动前近半年任意一个月的依法缴纳税收和社会保障资金的相关材料………………………………………………………………………………………………（页码）</w:t>
      </w:r>
    </w:p>
    <w:p w14:paraId="5ECAE96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五、提供参加本次政府采购活动前3年内在经营活动中没有重大违法记录的书面承诺函并加盖单位公章………………………………………………………………………………………（页码）</w:t>
      </w:r>
    </w:p>
    <w:p w14:paraId="0DD7501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六、法律、行政法规规定的其他条件…………………………………………………………（页码）</w:t>
      </w:r>
    </w:p>
    <w:p w14:paraId="6E0D694E">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七、有效的投标保证金凭证…………………………………………………………………（页码）</w:t>
      </w:r>
    </w:p>
    <w:p w14:paraId="5FB49D7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特定资格要求……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（页码）</w:t>
      </w:r>
    </w:p>
    <w:p w14:paraId="6F610DAC">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报价文件目录</w:t>
      </w:r>
    </w:p>
    <w:p w14:paraId="00FC8B4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一、投标函………………………………………………………………………………………（页码）</w:t>
      </w:r>
    </w:p>
    <w:p w14:paraId="30EE1A0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二、开标一览表………………………………………………………………………………（页码）</w:t>
      </w:r>
    </w:p>
    <w:p w14:paraId="4EDEA8B2">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商务、技术</w:t>
      </w:r>
      <w:r>
        <w:rPr>
          <w:rFonts w:hint="eastAsia" w:ascii="宋体" w:hAnsi="宋体" w:eastAsia="宋体" w:cs="宋体"/>
          <w:b/>
          <w:color w:val="auto"/>
          <w:kern w:val="0"/>
          <w:sz w:val="24"/>
          <w:szCs w:val="24"/>
          <w:highlight w:val="none"/>
        </w:rPr>
        <w:t>文件目录</w:t>
      </w:r>
    </w:p>
    <w:p w14:paraId="430C9AE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sz w:val="24"/>
          <w:szCs w:val="24"/>
          <w:highlight w:val="none"/>
        </w:rPr>
        <w:t>无串通投标行为的承诺函</w:t>
      </w:r>
      <w:r>
        <w:rPr>
          <w:rFonts w:hint="eastAsia" w:ascii="宋体" w:hAnsi="宋体" w:eastAsia="宋体" w:cs="宋体"/>
          <w:color w:val="auto"/>
          <w:kern w:val="0"/>
          <w:sz w:val="24"/>
          <w:szCs w:val="24"/>
          <w:highlight w:val="none"/>
        </w:rPr>
        <w:t>………………………………………………………………（页码）</w:t>
      </w:r>
    </w:p>
    <w:p w14:paraId="04F3BC6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kern w:val="0"/>
          <w:sz w:val="24"/>
          <w:szCs w:val="24"/>
          <w:highlight w:val="none"/>
        </w:rPr>
        <w:t>………………………………………………………………………（页码）</w:t>
      </w:r>
    </w:p>
    <w:p w14:paraId="0E45E007">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eastAsia="zh-CN"/>
        </w:rPr>
        <w:t>（如有委托时）</w:t>
      </w:r>
      <w:r>
        <w:rPr>
          <w:rFonts w:hint="eastAsia" w:ascii="宋体" w:hAnsi="宋体" w:eastAsia="宋体" w:cs="宋体"/>
          <w:color w:val="auto"/>
          <w:kern w:val="0"/>
          <w:sz w:val="24"/>
          <w:szCs w:val="24"/>
          <w:highlight w:val="none"/>
        </w:rPr>
        <w:t>………………………………………………（页码）</w:t>
      </w:r>
    </w:p>
    <w:p w14:paraId="156D3C86">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四、技术需求偏离表</w:t>
      </w:r>
    </w:p>
    <w:p w14:paraId="75D1974C">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sz w:val="24"/>
          <w:szCs w:val="24"/>
          <w:highlight w:val="none"/>
        </w:rPr>
        <w:t>商务条款偏离表</w:t>
      </w:r>
      <w:r>
        <w:rPr>
          <w:rFonts w:hint="eastAsia" w:ascii="宋体" w:hAnsi="宋体" w:eastAsia="宋体" w:cs="宋体"/>
          <w:color w:val="auto"/>
          <w:kern w:val="0"/>
          <w:sz w:val="24"/>
          <w:szCs w:val="24"/>
          <w:highlight w:val="none"/>
        </w:rPr>
        <w:t>……………………………………………………………………………（页码）</w:t>
      </w:r>
    </w:p>
    <w:p w14:paraId="07C3C8C1">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r>
        <w:rPr>
          <w:rFonts w:hint="eastAsia" w:ascii="宋体" w:hAnsi="宋体" w:eastAsia="宋体" w:cs="宋体"/>
          <w:color w:val="auto"/>
          <w:kern w:val="0"/>
          <w:sz w:val="24"/>
          <w:szCs w:val="24"/>
          <w:highlight w:val="none"/>
        </w:rPr>
        <w:t>……………………………………………………………………………（页码）</w:t>
      </w:r>
    </w:p>
    <w:p w14:paraId="7F1BF260">
      <w:pPr>
        <w:keepNext w:val="0"/>
        <w:keepLines w:val="0"/>
        <w:pageBreakBefore w:val="0"/>
        <w:widowControl w:val="0"/>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0"/>
          <w:sz w:val="24"/>
          <w:szCs w:val="24"/>
          <w:highlight w:val="none"/>
        </w:rPr>
        <w:t>…………………………………………………（页码）</w:t>
      </w:r>
    </w:p>
    <w:p w14:paraId="0719B8E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en-US" w:eastAsia="zh-CN"/>
        </w:rPr>
        <w:t>拟投入</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人员情况</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7E3872E">
      <w:pPr>
        <w:keepNext w:val="0"/>
        <w:keepLines w:val="0"/>
        <w:pageBreakBefore w:val="0"/>
        <w:widowControl/>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kern w:val="0"/>
          <w:sz w:val="24"/>
          <w:szCs w:val="24"/>
          <w:highlight w:val="none"/>
        </w:rPr>
        <w:t>、中小企业</w:t>
      </w:r>
      <w:r>
        <w:rPr>
          <w:rFonts w:hint="eastAsia" w:ascii="宋体" w:hAnsi="宋体" w:eastAsia="宋体" w:cs="宋体"/>
          <w:color w:val="auto"/>
          <w:kern w:val="0"/>
          <w:sz w:val="24"/>
          <w:szCs w:val="24"/>
          <w:highlight w:val="none"/>
          <w:lang w:eastAsia="zh-CN"/>
        </w:rPr>
        <w:t>声</w:t>
      </w:r>
      <w:r>
        <w:rPr>
          <w:rFonts w:hint="eastAsia" w:ascii="宋体" w:hAnsi="宋体" w:eastAsia="宋体" w:cs="宋体"/>
          <w:color w:val="auto"/>
          <w:kern w:val="0"/>
          <w:sz w:val="24"/>
          <w:szCs w:val="24"/>
          <w:highlight w:val="none"/>
        </w:rPr>
        <w:t>明函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如涉及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……………………………………………………………（页码）</w:t>
      </w:r>
    </w:p>
    <w:p w14:paraId="2B3D0C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十、产品及性能</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D830975">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十一、技术方案</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2D78310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val="en-US" w:eastAsia="zh-CN"/>
        </w:rPr>
        <w:t>十二、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eastAsia="zh-CN"/>
        </w:rPr>
        <w:t>商务文件</w:t>
      </w:r>
      <w:r>
        <w:rPr>
          <w:rFonts w:hint="eastAsia" w:ascii="宋体" w:hAnsi="宋体" w:eastAsia="宋体" w:cs="宋体"/>
          <w:color w:val="auto"/>
          <w:sz w:val="24"/>
          <w:szCs w:val="24"/>
          <w:highlight w:val="none"/>
        </w:rPr>
        <w:t>材料</w:t>
      </w:r>
      <w:r>
        <w:rPr>
          <w:rFonts w:hint="eastAsia" w:ascii="宋体" w:hAnsi="宋体" w:eastAsia="宋体" w:cs="宋体"/>
          <w:color w:val="auto"/>
          <w:kern w:val="0"/>
          <w:sz w:val="24"/>
          <w:szCs w:val="24"/>
          <w:highlight w:val="none"/>
        </w:rPr>
        <w:t>…………………………………………（页码）</w:t>
      </w:r>
    </w:p>
    <w:p w14:paraId="1C1C9600">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p>
    <w:p w14:paraId="1D8A4B37">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可根据自身情况进一步向下增加内容或细化。</w:t>
      </w:r>
    </w:p>
    <w:p w14:paraId="6C221CE7">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36" w:name="_Toc15636"/>
      <w:bookmarkStart w:id="337" w:name="_Toc16712"/>
      <w:bookmarkStart w:id="338" w:name="_Toc1579"/>
      <w:bookmarkStart w:id="339" w:name="_Toc27711"/>
      <w:bookmarkStart w:id="340" w:name="_Toc19907"/>
      <w:bookmarkStart w:id="341" w:name="_Toc9820"/>
      <w:bookmarkStart w:id="342" w:name="_Toc25755"/>
      <w:bookmarkStart w:id="343" w:name="_Toc22786"/>
      <w:r>
        <w:rPr>
          <w:rFonts w:hint="eastAsia" w:ascii="宋体" w:hAnsi="宋体" w:eastAsia="宋体" w:cs="宋体"/>
          <w:color w:val="auto"/>
          <w:sz w:val="30"/>
          <w:szCs w:val="30"/>
          <w:highlight w:val="none"/>
          <w:lang w:eastAsia="zh-CN"/>
        </w:rPr>
        <w:t>第一节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资格证明文件格式</w:t>
      </w:r>
      <w:bookmarkEnd w:id="336"/>
      <w:bookmarkEnd w:id="337"/>
      <w:bookmarkEnd w:id="338"/>
      <w:bookmarkEnd w:id="339"/>
      <w:bookmarkEnd w:id="340"/>
      <w:bookmarkEnd w:id="341"/>
      <w:bookmarkEnd w:id="342"/>
      <w:bookmarkEnd w:id="343"/>
    </w:p>
    <w:p w14:paraId="07E668AB">
      <w:pPr>
        <w:pStyle w:val="15"/>
        <w:pageBreakBefore w:val="0"/>
        <w:wordWrap/>
        <w:topLinePunct w:val="0"/>
        <w:bidi w:val="0"/>
        <w:spacing w:beforeAutospacing="0" w:line="240" w:lineRule="auto"/>
        <w:rPr>
          <w:rFonts w:hint="eastAsia" w:ascii="宋体" w:hAnsi="宋体" w:eastAsia="宋体" w:cs="宋体"/>
          <w:color w:val="auto"/>
          <w:highlight w:val="none"/>
        </w:rPr>
      </w:pPr>
    </w:p>
    <w:p w14:paraId="0352D9F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具有</w:t>
      </w:r>
      <w:r>
        <w:rPr>
          <w:rFonts w:hint="eastAsia" w:ascii="宋体" w:hAnsi="宋体" w:eastAsia="宋体" w:cs="宋体"/>
          <w:b/>
          <w:bCs/>
          <w:color w:val="auto"/>
          <w:sz w:val="28"/>
          <w:szCs w:val="28"/>
          <w:highlight w:val="none"/>
        </w:rPr>
        <w:t>合法有效的营业执照</w:t>
      </w:r>
    </w:p>
    <w:p w14:paraId="3758EBE3">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附：企业营业执照</w:t>
      </w:r>
    </w:p>
    <w:p w14:paraId="0BF5E32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4108E6">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D5C0B2D">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EB80765">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7E806C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ADF9588">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2349D1E">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9AABF8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30136DA">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A846F34">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D16C0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B436AFC">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E3AE3C8">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4A5A777">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60C9469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929952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001335D">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5990AA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695605">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二、具有良好的商业信誉和健全的财务会计制度</w:t>
      </w:r>
    </w:p>
    <w:p w14:paraId="2C4D6082">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提供2023-2025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79115AFA">
      <w:pPr>
        <w:keepNext w:val="0"/>
        <w:keepLines w:val="0"/>
        <w:pageBreakBefore w:val="0"/>
        <w:kinsoku/>
        <w:wordWrap/>
        <w:overflowPunct/>
        <w:topLinePunct w:val="0"/>
        <w:bidi w:val="0"/>
        <w:adjustRightInd/>
        <w:snapToGrid/>
        <w:spacing w:beforeAutospacing="0" w:line="240" w:lineRule="auto"/>
        <w:ind w:left="0" w:leftChars="0" w:firstLine="0" w:firstLineChars="0"/>
        <w:textAlignment w:val="auto"/>
        <w:rPr>
          <w:rFonts w:hint="eastAsia" w:ascii="宋体" w:hAnsi="宋体" w:eastAsia="宋体" w:cs="宋体"/>
          <w:color w:val="auto"/>
          <w:sz w:val="28"/>
          <w:szCs w:val="28"/>
          <w:highlight w:val="none"/>
          <w:lang w:eastAsia="zh-CN"/>
        </w:rPr>
      </w:pPr>
    </w:p>
    <w:p w14:paraId="2C63A64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0A7566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7C2D3D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4FC9BA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2F0EF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D6E64F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41A829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9A7DF2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FDFB09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68A4E935">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EC450B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5579D70">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1FD164F">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AF44AD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D23B20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1C35D58F">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0ABF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三、根据项目需求提供</w:t>
      </w:r>
      <w:r>
        <w:rPr>
          <w:rFonts w:hint="eastAsia" w:ascii="宋体" w:hAnsi="宋体" w:eastAsia="宋体" w:cs="宋体"/>
          <w:b/>
          <w:color w:val="auto"/>
          <w:kern w:val="0"/>
          <w:sz w:val="28"/>
          <w:szCs w:val="28"/>
          <w:highlight w:val="none"/>
          <w:lang w:val="en-US" w:eastAsia="zh-CN"/>
        </w:rPr>
        <w:t>具有</w:t>
      </w:r>
      <w:r>
        <w:rPr>
          <w:rFonts w:hint="eastAsia" w:ascii="宋体" w:hAnsi="宋体" w:eastAsia="宋体" w:cs="宋体"/>
          <w:b/>
          <w:color w:val="auto"/>
          <w:kern w:val="0"/>
          <w:sz w:val="28"/>
          <w:szCs w:val="28"/>
          <w:highlight w:val="none"/>
        </w:rPr>
        <w:t>履行合同所必需的设备和专业技术能力的加盖单位公章的书面承诺函</w:t>
      </w:r>
    </w:p>
    <w:p w14:paraId="72B8FCF8">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致：（采购人名称）</w:t>
      </w:r>
    </w:p>
    <w:p w14:paraId="1C41513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single"/>
          <w:lang w:val="en-US" w:eastAsia="zh-CN"/>
        </w:rPr>
        <w:t>（项目名称、项目编号）</w:t>
      </w:r>
      <w:r>
        <w:rPr>
          <w:rFonts w:hint="eastAsia" w:ascii="宋体" w:hAnsi="宋体" w:eastAsia="宋体" w:cs="宋体"/>
          <w:color w:val="auto"/>
          <w:sz w:val="24"/>
          <w:szCs w:val="24"/>
          <w:highlight w:val="none"/>
          <w:lang w:val="en-US" w:eastAsia="zh-CN"/>
        </w:rPr>
        <w:t>，我公司在完全理解本项目招标的技术要求、商务条款及其他内容后，决定参与该项目的投标活动。并承诺，如成交，我公司将提供足够的设备和专业技术能力保证本合同履行。</w:t>
      </w:r>
    </w:p>
    <w:p w14:paraId="277FA42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本公司对上述承诺的真实性负责。如有虚假，我公司同意按我方合同违约处理并依法承担相应法律责任。</w:t>
      </w:r>
    </w:p>
    <w:p w14:paraId="4051B89F">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2B3CDC0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65AA38A3">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供应商名称(电子公章)：</w:t>
      </w:r>
    </w:p>
    <w:p w14:paraId="5E4551AF">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rPr>
        <w:t>法定代表人或其委托代理人（签字</w:t>
      </w:r>
      <w:r>
        <w:rPr>
          <w:rFonts w:hint="eastAsia" w:ascii="宋体" w:hAnsi="宋体" w:eastAsia="宋体" w:cs="宋体"/>
          <w:color w:val="auto"/>
          <w:sz w:val="28"/>
          <w:szCs w:val="28"/>
          <w:highlight w:val="none"/>
          <w:lang w:val="zh-CN" w:eastAsia="zh-CN"/>
        </w:rPr>
        <w:t>或</w:t>
      </w:r>
      <w:r>
        <w:rPr>
          <w:rFonts w:hint="eastAsia" w:ascii="宋体" w:hAnsi="宋体" w:eastAsia="宋体" w:cs="宋体"/>
          <w:color w:val="auto"/>
          <w:sz w:val="28"/>
          <w:szCs w:val="28"/>
          <w:highlight w:val="none"/>
          <w:lang w:val="zh-CN"/>
        </w:rPr>
        <w:t>盖章）：</w:t>
      </w:r>
    </w:p>
    <w:p w14:paraId="2278C11B">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日</w:t>
      </w:r>
    </w:p>
    <w:p w14:paraId="6543999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59A44E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D8D7A3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1841381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6A4BA91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7CEA221C">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3F1B5BE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03EC1D5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D4FCA5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2E40512">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0D6EBA5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四、提供</w:t>
      </w:r>
      <w:r>
        <w:rPr>
          <w:rFonts w:hint="eastAsia" w:ascii="宋体" w:hAnsi="宋体" w:eastAsia="宋体" w:cs="宋体"/>
          <w:b/>
          <w:color w:val="auto"/>
          <w:kern w:val="0"/>
          <w:sz w:val="28"/>
          <w:szCs w:val="28"/>
          <w:highlight w:val="none"/>
          <w:lang w:val="en-US" w:eastAsia="zh-CN"/>
        </w:rPr>
        <w:t>开标时间</w:t>
      </w:r>
      <w:r>
        <w:rPr>
          <w:rFonts w:hint="eastAsia" w:ascii="宋体" w:hAnsi="宋体" w:eastAsia="宋体" w:cs="宋体"/>
          <w:b/>
          <w:color w:val="auto"/>
          <w:kern w:val="0"/>
          <w:sz w:val="28"/>
          <w:szCs w:val="28"/>
          <w:highlight w:val="none"/>
        </w:rPr>
        <w:t>前近半年任意一个月的依法缴纳税收和社会保障资金的相关材料</w:t>
      </w:r>
    </w:p>
    <w:p w14:paraId="24DD0821">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附：企业近半年任意一个月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依法缴纳税收证明和社会保障资金缴纳凭证</w:t>
      </w:r>
    </w:p>
    <w:p w14:paraId="0D7E194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32D1A3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4D709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6C0313B">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B471B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C1071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3F95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1C9B3B4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5C437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FE971A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0BABA9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4E818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16C5A8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2E40AF0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2023C1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2292E9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90BFAD9">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3FD4923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五、提供参加本次政府采购活动前3年内在经营活动中没有重大违法记录的书面承诺函并加盖单位公章</w:t>
      </w:r>
    </w:p>
    <w:p w14:paraId="59385894">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14:paraId="17D2C6FE">
      <w:pPr>
        <w:pStyle w:val="12"/>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2A7CBB47">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rPr>
        <w:t>编号）</w:t>
      </w:r>
      <w:r>
        <w:rPr>
          <w:rFonts w:hint="eastAsia" w:ascii="宋体" w:hAnsi="宋体" w:eastAsia="宋体" w:cs="宋体"/>
          <w:color w:val="auto"/>
          <w:sz w:val="24"/>
          <w:szCs w:val="24"/>
          <w:highlight w:val="none"/>
        </w:rPr>
        <w:t>投标，本公司郑重声明，我方参加本项目政府采购活动前三年内无重大违法记录，符合《政府采购法》规定的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条件。若贵方在本项目采购过程中发现我方政府采购活动前三年内有重大违法记录，我公司将无条件退出本项目的投标，并承担因此引起的一切后果。我方对此声明负全部法律责任。</w:t>
      </w:r>
    </w:p>
    <w:p w14:paraId="2B73A541">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14:paraId="4F9F397E">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7C3266B3">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1853AC73">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3646E457">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53AF539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7916129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6C0B536">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4811F331">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16A3534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0D684C90">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2466D55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58D4B81E">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540BD01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六、</w:t>
      </w:r>
      <w:r>
        <w:rPr>
          <w:rFonts w:hint="eastAsia" w:ascii="宋体" w:hAnsi="宋体" w:eastAsia="宋体" w:cs="宋体"/>
          <w:b/>
          <w:bCs/>
          <w:i w:val="0"/>
          <w:caps w:val="0"/>
          <w:color w:val="auto"/>
          <w:spacing w:val="0"/>
          <w:kern w:val="2"/>
          <w:sz w:val="28"/>
          <w:szCs w:val="28"/>
          <w:highlight w:val="none"/>
          <w:lang w:val="en-US" w:eastAsia="zh-CN" w:bidi="ar-SA"/>
        </w:rPr>
        <w:t>法律、行政法规规定的其他条件。</w:t>
      </w:r>
    </w:p>
    <w:p w14:paraId="4FA83A36">
      <w:pPr>
        <w:pStyle w:val="12"/>
        <w:keepNext w:val="0"/>
        <w:keepLines w:val="0"/>
        <w:pageBreakBefore w:val="0"/>
        <w:widowControl w:val="0"/>
        <w:kinsoku/>
        <w:wordWrap/>
        <w:overflowPunct/>
        <w:topLinePunct w:val="0"/>
        <w:bidi w:val="0"/>
        <w:adjustRightInd/>
        <w:snapToGrid/>
        <w:spacing w:beforeAutospacing="0" w:after="0" w:line="240" w:lineRule="auto"/>
        <w:jc w:val="center"/>
        <w:textAlignment w:val="auto"/>
        <w:rPr>
          <w:rFonts w:hint="eastAsia" w:ascii="宋体" w:hAnsi="宋体" w:eastAsia="宋体" w:cs="宋体"/>
          <w:color w:val="auto"/>
          <w:sz w:val="28"/>
          <w:szCs w:val="28"/>
          <w:highlight w:val="none"/>
          <w:lang w:eastAsia="zh-CN"/>
        </w:rPr>
      </w:pPr>
    </w:p>
    <w:p w14:paraId="1B0710C9">
      <w:pPr>
        <w:pStyle w:val="12"/>
        <w:keepNext w:val="0"/>
        <w:keepLines w:val="0"/>
        <w:pageBreakBefore w:val="0"/>
        <w:widowControl w:val="0"/>
        <w:kinsoku/>
        <w:wordWrap/>
        <w:overflowPunct/>
        <w:topLinePunct w:val="0"/>
        <w:bidi w:val="0"/>
        <w:adjustRightInd/>
        <w:snapToGrid/>
        <w:spacing w:beforeAutospacing="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信用信誉承诺函</w:t>
      </w:r>
    </w:p>
    <w:p w14:paraId="289F0997">
      <w:pPr>
        <w:pStyle w:val="12"/>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5AA7DC9C">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u w:val="single"/>
          <w:lang w:eastAsia="zh-CN"/>
        </w:rPr>
        <w:t>、项目编号</w:t>
      </w:r>
      <w:r>
        <w:rPr>
          <w:rFonts w:hint="eastAsia" w:ascii="宋体" w:hAnsi="宋体" w:eastAsia="宋体" w:cs="宋体"/>
          <w:color w:val="auto"/>
          <w:kern w:val="0"/>
          <w:sz w:val="24"/>
          <w:szCs w:val="24"/>
          <w:highlight w:val="none"/>
        </w:rPr>
        <w:t>，我公司</w:t>
      </w:r>
      <w:r>
        <w:rPr>
          <w:rFonts w:hint="eastAsia" w:ascii="宋体" w:hAnsi="宋体" w:eastAsia="宋体" w:cs="宋体"/>
          <w:color w:val="auto"/>
          <w:kern w:val="0"/>
          <w:sz w:val="24"/>
          <w:szCs w:val="24"/>
          <w:highlight w:val="none"/>
          <w:lang w:eastAsia="zh-CN"/>
        </w:rPr>
        <w:t>承诺，</w:t>
      </w:r>
      <w:r>
        <w:rPr>
          <w:rFonts w:hint="eastAsia" w:ascii="宋体" w:hAnsi="宋体" w:eastAsia="宋体" w:cs="宋体"/>
          <w:color w:val="auto"/>
          <w:kern w:val="0"/>
          <w:sz w:val="24"/>
          <w:szCs w:val="24"/>
          <w:highlight w:val="none"/>
        </w:rPr>
        <w:t>在“信用中国”网站</w:t>
      </w:r>
      <w:r>
        <w:rPr>
          <w:rFonts w:hint="eastAsia" w:ascii="宋体" w:hAnsi="宋体" w:eastAsia="宋体" w:cs="宋体"/>
          <w:color w:val="auto"/>
          <w:kern w:val="0"/>
          <w:sz w:val="24"/>
          <w:szCs w:val="24"/>
          <w:highlight w:val="none"/>
          <w:lang w:eastAsia="zh-CN"/>
        </w:rPr>
        <w:t>未</w:t>
      </w:r>
      <w:r>
        <w:rPr>
          <w:rFonts w:hint="eastAsia" w:ascii="宋体" w:hAnsi="宋体" w:eastAsia="宋体" w:cs="宋体"/>
          <w:color w:val="auto"/>
          <w:kern w:val="0"/>
          <w:sz w:val="24"/>
          <w:szCs w:val="24"/>
          <w:highlight w:val="none"/>
        </w:rPr>
        <w:t>被列入失信被执行人</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重大税收违法失信主体、</w:t>
      </w:r>
      <w:r>
        <w:rPr>
          <w:rFonts w:hint="eastAsia" w:ascii="宋体" w:hAnsi="宋体" w:eastAsia="宋体" w:cs="宋体"/>
          <w:color w:val="auto"/>
          <w:kern w:val="0"/>
          <w:sz w:val="24"/>
          <w:szCs w:val="24"/>
          <w:highlight w:val="none"/>
          <w:lang w:eastAsia="zh-CN"/>
        </w:rPr>
        <w:t>在</w:t>
      </w:r>
      <w:r>
        <w:rPr>
          <w:rFonts w:hint="eastAsia" w:ascii="宋体" w:hAnsi="宋体" w:eastAsia="宋体" w:cs="宋体"/>
          <w:color w:val="auto"/>
          <w:kern w:val="0"/>
          <w:sz w:val="24"/>
          <w:szCs w:val="24"/>
          <w:highlight w:val="none"/>
        </w:rPr>
        <w:t>中国政府采购网</w:t>
      </w:r>
      <w:r>
        <w:rPr>
          <w:rFonts w:hint="eastAsia" w:ascii="宋体" w:hAnsi="宋体" w:eastAsia="宋体" w:cs="宋体"/>
          <w:color w:val="auto"/>
          <w:kern w:val="0"/>
          <w:sz w:val="24"/>
          <w:szCs w:val="24"/>
          <w:highlight w:val="none"/>
          <w:lang w:eastAsia="zh-CN"/>
        </w:rPr>
        <w:t>中未被列入</w:t>
      </w:r>
      <w:r>
        <w:rPr>
          <w:rFonts w:hint="eastAsia" w:ascii="宋体" w:hAnsi="宋体" w:eastAsia="宋体" w:cs="宋体"/>
          <w:color w:val="auto"/>
          <w:kern w:val="0"/>
          <w:sz w:val="24"/>
          <w:szCs w:val="24"/>
          <w:highlight w:val="none"/>
        </w:rPr>
        <w:t>严重违法失信行为记录名单的（尚在处罚期内的）</w:t>
      </w:r>
      <w:r>
        <w:rPr>
          <w:rFonts w:hint="eastAsia" w:ascii="宋体" w:hAnsi="宋体" w:eastAsia="宋体" w:cs="宋体"/>
          <w:color w:val="auto"/>
          <w:kern w:val="0"/>
          <w:sz w:val="24"/>
          <w:szCs w:val="24"/>
          <w:highlight w:val="none"/>
          <w:lang w:eastAsia="zh-CN"/>
        </w:rPr>
        <w:t>。</w:t>
      </w:r>
    </w:p>
    <w:p w14:paraId="5314E999">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本公司对上述承诺的真实性负责。如有虚假，我公司同意</w:t>
      </w:r>
      <w:r>
        <w:rPr>
          <w:rFonts w:hint="eastAsia" w:ascii="宋体" w:hAnsi="宋体" w:eastAsia="宋体" w:cs="宋体"/>
          <w:color w:val="auto"/>
          <w:kern w:val="0"/>
          <w:sz w:val="24"/>
          <w:szCs w:val="24"/>
          <w:highlight w:val="none"/>
          <w:lang w:val="en-US" w:eastAsia="zh-CN"/>
        </w:rPr>
        <w:t>承担一切相关的后果，并</w:t>
      </w:r>
      <w:r>
        <w:rPr>
          <w:rFonts w:hint="eastAsia" w:ascii="宋体" w:hAnsi="宋体" w:eastAsia="宋体" w:cs="宋体"/>
          <w:color w:val="auto"/>
          <w:kern w:val="0"/>
          <w:sz w:val="24"/>
          <w:szCs w:val="24"/>
          <w:highlight w:val="none"/>
        </w:rPr>
        <w:t>依法承担相应法律责任。</w:t>
      </w:r>
    </w:p>
    <w:p w14:paraId="6404B00B">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75A63C5">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1534FD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0378FC9E">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05924CE9">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234CD6CC">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lang w:val="zh-CN"/>
        </w:rPr>
        <w:t>（供应商提供信用中国网站（https://www.creditchina.gov.cn）查询截图（共需“失信被执行人”、“重大税收违法失信主体)和中国政府采购网网站（http://www.ccgp.gov.cn）查询截图（政府采购严重违法失信行为记录名单））</w:t>
      </w:r>
    </w:p>
    <w:p w14:paraId="3CE78114">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54104640">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2CEC3A9">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1B866C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2E60377">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b/>
          <w:color w:val="auto"/>
          <w:sz w:val="28"/>
          <w:szCs w:val="28"/>
          <w:highlight w:val="none"/>
          <w:lang w:val="en-US" w:eastAsia="zh-CN"/>
        </w:rPr>
        <w:t>有效的投标</w:t>
      </w:r>
      <w:r>
        <w:rPr>
          <w:rFonts w:hint="eastAsia" w:ascii="宋体" w:hAnsi="宋体" w:eastAsia="宋体" w:cs="宋体"/>
          <w:b/>
          <w:color w:val="auto"/>
          <w:sz w:val="28"/>
          <w:szCs w:val="28"/>
          <w:highlight w:val="none"/>
        </w:rPr>
        <w:t>保证金凭证</w:t>
      </w:r>
    </w:p>
    <w:p w14:paraId="0A2E28B1">
      <w:pPr>
        <w:pStyle w:val="150"/>
        <w:pageBreakBefore w:val="0"/>
        <w:tabs>
          <w:tab w:val="left" w:pos="1429"/>
        </w:tabs>
        <w:wordWrap/>
        <w:topLinePunct w:val="0"/>
        <w:bidi w:val="0"/>
        <w:spacing w:beforeAutospacing="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说明：此处上传投标保证金缴纳证明文件</w:t>
      </w:r>
    </w:p>
    <w:p w14:paraId="3F45901B">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22301B2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特定资格要求</w:t>
      </w:r>
    </w:p>
    <w:p w14:paraId="049D8DB1">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640C2D63">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30F7D9CA">
      <w:pPr>
        <w:pStyle w:val="12"/>
        <w:pageBreakBefore w:val="0"/>
        <w:topLinePunct w:val="0"/>
        <w:bidi w:val="0"/>
        <w:spacing w:beforeAutospacing="0" w:after="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（3）所投产品具有有效的兽药产品批准文号批件；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05185B62">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F74756">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56F3116">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66E08D5">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CD2CA8">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41E48A">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6093D08">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0157CE1C">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7ACF21F">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777CFC5C">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7262E23">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D836A0">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45616BD4">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3CF6469">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2B95C14">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37811ED1">
      <w:pPr>
        <w:rPr>
          <w:rFonts w:hint="eastAsia" w:ascii="宋体" w:hAnsi="宋体" w:eastAsia="宋体" w:cs="宋体"/>
          <w:color w:val="auto"/>
          <w:highlight w:val="none"/>
        </w:rPr>
      </w:pPr>
      <w:bookmarkStart w:id="344" w:name="_Toc138610910"/>
      <w:bookmarkStart w:id="345" w:name="_Toc140741996"/>
      <w:bookmarkStart w:id="346" w:name="_Toc27725"/>
      <w:bookmarkStart w:id="347" w:name="_Toc140742541"/>
      <w:bookmarkStart w:id="348" w:name="_Toc138610908"/>
      <w:bookmarkStart w:id="349" w:name="_Toc19686838"/>
      <w:bookmarkStart w:id="350" w:name="_Toc140742539"/>
      <w:bookmarkStart w:id="351" w:name="_Toc140741994"/>
      <w:r>
        <w:rPr>
          <w:rFonts w:hint="eastAsia" w:ascii="宋体" w:hAnsi="宋体" w:eastAsia="宋体" w:cs="宋体"/>
          <w:color w:val="auto"/>
          <w:highlight w:val="none"/>
        </w:rPr>
        <w:br w:type="page"/>
      </w:r>
    </w:p>
    <w:p w14:paraId="674A69BD">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52" w:name="_Toc14649"/>
      <w:bookmarkStart w:id="353" w:name="_Toc24895"/>
      <w:bookmarkStart w:id="354" w:name="_Toc5210"/>
      <w:bookmarkStart w:id="355" w:name="_Toc25728"/>
      <w:bookmarkStart w:id="356" w:name="_Toc31913"/>
      <w:bookmarkStart w:id="357" w:name="_Toc7787"/>
      <w:bookmarkStart w:id="358" w:name="_Toc29220"/>
      <w:r>
        <w:rPr>
          <w:rFonts w:hint="eastAsia" w:ascii="宋体" w:hAnsi="宋体" w:eastAsia="宋体" w:cs="宋体"/>
          <w:color w:val="auto"/>
          <w:sz w:val="30"/>
          <w:szCs w:val="30"/>
          <w:highlight w:val="none"/>
          <w:lang w:eastAsia="zh-CN"/>
        </w:rPr>
        <w:t>第二节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报价文件格式</w:t>
      </w:r>
      <w:bookmarkEnd w:id="344"/>
      <w:bookmarkEnd w:id="345"/>
      <w:bookmarkEnd w:id="346"/>
      <w:bookmarkEnd w:id="347"/>
      <w:bookmarkEnd w:id="352"/>
      <w:bookmarkEnd w:id="353"/>
      <w:bookmarkEnd w:id="354"/>
      <w:bookmarkEnd w:id="355"/>
      <w:bookmarkEnd w:id="356"/>
      <w:bookmarkEnd w:id="357"/>
      <w:bookmarkEnd w:id="358"/>
    </w:p>
    <w:p w14:paraId="22AFC323">
      <w:pPr>
        <w:keepNext w:val="0"/>
        <w:keepLines w:val="0"/>
        <w:pageBreakBefore w:val="0"/>
        <w:kinsoku/>
        <w:wordWrap/>
        <w:overflowPunct/>
        <w:topLinePunct w:val="0"/>
        <w:bidi w:val="0"/>
        <w:adjustRightInd/>
        <w:snapToGrid/>
        <w:spacing w:beforeAutospacing="0" w:line="240" w:lineRule="auto"/>
        <w:ind w:left="0" w:leftChars="0" w:firstLine="0" w:firstLineChars="0"/>
        <w:jc w:val="center"/>
        <w:textAlignment w:val="auto"/>
        <w:outlineLvl w:val="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一、投标函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实质性要求</w:t>
      </w:r>
      <w:r>
        <w:rPr>
          <w:rFonts w:hint="eastAsia" w:ascii="宋体" w:hAnsi="宋体" w:eastAsia="宋体" w:cs="宋体"/>
          <w:b/>
          <w:bCs/>
          <w:color w:val="auto"/>
          <w:sz w:val="28"/>
          <w:szCs w:val="28"/>
          <w:highlight w:val="none"/>
          <w:lang w:eastAsia="zh-CN"/>
        </w:rPr>
        <w:t>）</w:t>
      </w:r>
    </w:p>
    <w:p w14:paraId="3E544EA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（采购人名称）</w:t>
      </w:r>
    </w:p>
    <w:p w14:paraId="6E47D2D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的全部内容，授权(全权代表姓名)(职务、职称)为全权代表，现正式</w:t>
      </w:r>
      <w:r>
        <w:rPr>
          <w:rFonts w:hint="eastAsia" w:ascii="宋体" w:hAnsi="宋体" w:eastAsia="宋体" w:cs="宋体"/>
          <w:color w:val="auto"/>
          <w:sz w:val="24"/>
          <w:szCs w:val="24"/>
          <w:highlight w:val="none"/>
          <w:lang w:val="en-US" w:eastAsia="zh-CN"/>
        </w:rPr>
        <w:t>在政采云平台上传</w:t>
      </w:r>
      <w:r>
        <w:rPr>
          <w:rFonts w:hint="eastAsia" w:ascii="宋体" w:hAnsi="宋体" w:eastAsia="宋体" w:cs="宋体"/>
          <w:color w:val="auto"/>
          <w:sz w:val="24"/>
          <w:szCs w:val="24"/>
          <w:highlight w:val="none"/>
        </w:rPr>
        <w:t>下述文件参加贵方组织的本次政府采购活动：</w:t>
      </w:r>
    </w:p>
    <w:p w14:paraId="55AB20F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0C8827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68A537A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三、技术文件电子版一份（包含按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0E961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729E3D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6E339B2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1、我方愿意以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，提供本项目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第三章“采购需求”中的相应的采购内容。</w:t>
      </w:r>
    </w:p>
    <w:p w14:paraId="2014437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2、我方同意自本项目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单一来源采购邀请</w:t>
      </w:r>
      <w:r>
        <w:rPr>
          <w:rFonts w:hint="eastAsia" w:ascii="宋体" w:hAnsi="宋体" w:eastAsia="宋体" w:cs="宋体"/>
          <w:color w:val="auto"/>
          <w:sz w:val="24"/>
          <w:szCs w:val="24"/>
          <w:highlight w:val="none"/>
        </w:rPr>
        <w:t>”的投标截止时间（开标时间）起遵循本投标函，并承诺在“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须知前附表”的投标有效期内不修改、撤销</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5F2404E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及有关资料都是内容完整、真实和准确的。</w:t>
      </w:r>
    </w:p>
    <w:p w14:paraId="0FF183F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4、如本项目采购内容涉及须符合国家强制规定的，我方承诺我方本次投标（包括资格条件和所投产品）均符合国家有关强制规定。</w:t>
      </w:r>
    </w:p>
    <w:p w14:paraId="2DDDBC7C">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，我方承诺在收到</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通知书规定的期限内，根据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及有关澄清承诺书的要求按第五章“拟签订的合同文本”与采购人订立书面合同，并按照合同约定承担完成合同的责任和义务。</w:t>
      </w:r>
    </w:p>
    <w:p w14:paraId="232DEC0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6、我方已详细审核</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，我方知道必须放弃提出含糊不清或误解问题的权利。</w:t>
      </w:r>
    </w:p>
    <w:p w14:paraId="41B61D6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7、我方同意应贵方要求提供与本投标有关的任何数据或资料。若贵方需要，我方愿意提供我方作出的一切承诺的证明材料。</w:t>
      </w:r>
    </w:p>
    <w:p w14:paraId="7C422A8F">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8、我方完全理解贵方不一定接受投标报价最低的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供应商的行为。</w:t>
      </w:r>
    </w:p>
    <w:p w14:paraId="6A0898A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96AAB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、成交的；</w:t>
      </w:r>
    </w:p>
    <w:p w14:paraId="1C47165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采取不正当手段诋毁、排挤其他供应商的；</w:t>
      </w:r>
    </w:p>
    <w:p w14:paraId="754F99E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与采购人、其他供应商或者采购代理机构恶意串通的；</w:t>
      </w:r>
    </w:p>
    <w:p w14:paraId="15CF3FE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向采购人、采购代理机构行贿或者提供其他不正当利益的；</w:t>
      </w:r>
    </w:p>
    <w:p w14:paraId="528CD68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在招标采购过程中与采购人进行协商谈判的；</w:t>
      </w:r>
    </w:p>
    <w:p w14:paraId="742A24F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拒绝有关部门监督检查或提供虚假情况的。</w:t>
      </w:r>
    </w:p>
    <w:p w14:paraId="3F4CAC0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10、我方及由本人担任法定代表人的其他机构最近三年内被处罚的违法行为有：</w:t>
      </w:r>
    </w:p>
    <w:p w14:paraId="0FAF2A8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11、以上事项如有虚假或隐瞒，我方愿意承担一切后果，并不再寻求任何旨在减轻或免除法律责任的辩解。</w:t>
      </w:r>
    </w:p>
    <w:p w14:paraId="59196AC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12、与本投标有关的一切正式往来信函请寄：</w:t>
      </w:r>
    </w:p>
    <w:p w14:paraId="0634FC8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p>
    <w:p w14:paraId="1F56A4C4">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w:t>
      </w:r>
    </w:p>
    <w:p w14:paraId="5B1659E7">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w:t>
      </w:r>
    </w:p>
    <w:p w14:paraId="51C2109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p>
    <w:p w14:paraId="776744FD">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p>
    <w:p w14:paraId="71CDB32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p>
    <w:p w14:paraId="73ACF77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银行账号：</w:t>
      </w:r>
    </w:p>
    <w:p w14:paraId="58049539">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pPr>
    </w:p>
    <w:p w14:paraId="34236AB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9EF32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BBC6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5EBBAC15">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sectPr>
          <w:footerReference r:id="rId3" w:type="default"/>
          <w:pgSz w:w="11906" w:h="16838"/>
          <w:pgMar w:top="1440" w:right="1080" w:bottom="1440" w:left="1080" w:header="720" w:footer="720" w:gutter="0"/>
          <w:pgBorders>
            <w:top w:val="none" w:sz="0" w:space="0"/>
            <w:left w:val="none" w:sz="0" w:space="0"/>
            <w:bottom w:val="none" w:sz="0" w:space="0"/>
            <w:right w:val="none" w:sz="0" w:space="0"/>
          </w:pgBorders>
          <w:pgNumType w:fmt="decimal" w:start="1"/>
          <w:cols w:space="720" w:num="1"/>
          <w:docGrid w:type="lines" w:linePitch="331" w:charSpace="0"/>
        </w:sectPr>
      </w:pPr>
    </w:p>
    <w:p w14:paraId="09E93107">
      <w:pPr>
        <w:pStyle w:val="15"/>
        <w:pageBreakBefore w:val="0"/>
        <w:wordWrap/>
        <w:topLinePunct w:val="0"/>
        <w:bidi w:val="0"/>
        <w:spacing w:beforeAutospacing="0" w:line="240" w:lineRule="auto"/>
        <w:jc w:val="center"/>
        <w:outlineLvl w:val="2"/>
        <w:rPr>
          <w:rFonts w:hint="eastAsia" w:ascii="宋体" w:hAnsi="宋体" w:eastAsia="宋体" w:cs="宋体"/>
          <w:b/>
          <w:bCs/>
          <w:color w:val="auto"/>
          <w:highlight w:val="none"/>
          <w:lang w:eastAsia="zh-CN"/>
        </w:rPr>
      </w:pPr>
      <w:r>
        <w:rPr>
          <w:rFonts w:hint="eastAsia" w:ascii="宋体" w:hAnsi="宋体" w:eastAsia="宋体" w:cs="宋体"/>
          <w:b/>
          <w:bCs/>
          <w:color w:val="auto"/>
          <w:sz w:val="28"/>
          <w:szCs w:val="28"/>
          <w:highlight w:val="none"/>
        </w:rPr>
        <w:t>二、开标一览表</w:t>
      </w:r>
      <w:r>
        <w:rPr>
          <w:rFonts w:hint="eastAsia" w:ascii="宋体" w:hAnsi="宋体" w:eastAsia="宋体" w:cs="宋体"/>
          <w:b/>
          <w:bCs/>
          <w:color w:val="auto"/>
          <w:sz w:val="28"/>
          <w:szCs w:val="28"/>
          <w:highlight w:val="none"/>
          <w:lang w:val="zh-CN"/>
        </w:rPr>
        <w:t>(单位均为人民币元)</w:t>
      </w:r>
    </w:p>
    <w:tbl>
      <w:tblPr>
        <w:tblStyle w:val="29"/>
        <w:tblW w:w="95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A8E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22FF97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名称：</w:t>
            </w:r>
          </w:p>
        </w:tc>
      </w:tr>
      <w:tr w14:paraId="55D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404DCD8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c>
      </w:tr>
      <w:tr w14:paraId="794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9580" w:type="dxa"/>
            <w:tcBorders>
              <w:top w:val="single" w:color="auto" w:sz="4" w:space="0"/>
              <w:left w:val="single" w:color="auto" w:sz="4" w:space="0"/>
              <w:bottom w:val="single" w:color="auto" w:sz="4" w:space="0"/>
              <w:right w:val="single" w:color="auto" w:sz="4" w:space="0"/>
            </w:tcBorders>
            <w:vAlign w:val="center"/>
          </w:tcPr>
          <w:p w14:paraId="41D2FAB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w:t>
            </w:r>
          </w:p>
          <w:p w14:paraId="1FE3DF0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25FED039">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7FD6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1AA7436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规格型号：</w:t>
            </w:r>
          </w:p>
        </w:tc>
      </w:tr>
      <w:tr w14:paraId="68B9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572265C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w:t>
            </w:r>
          </w:p>
        </w:tc>
      </w:tr>
      <w:tr w14:paraId="67EF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F0F3DF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r>
      <w:tr w14:paraId="3176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80" w:type="dxa"/>
            <w:tcBorders>
              <w:top w:val="single" w:color="auto" w:sz="4" w:space="0"/>
              <w:left w:val="single" w:color="auto" w:sz="4" w:space="0"/>
              <w:bottom w:val="single" w:color="auto" w:sz="4" w:space="0"/>
              <w:right w:val="single" w:color="auto" w:sz="4" w:space="0"/>
            </w:tcBorders>
            <w:vAlign w:val="center"/>
          </w:tcPr>
          <w:p w14:paraId="0037CBD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53A667">
            <w:pPr>
              <w:keepNext w:val="0"/>
              <w:keepLines w:val="0"/>
              <w:pageBreakBefore w:val="0"/>
              <w:widowControl w:val="0"/>
              <w:numPr>
                <w:ilvl w:val="0"/>
                <w:numId w:val="0"/>
              </w:numPr>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报价单位：详见附件，供应商根据所投疫苗填写。</w:t>
            </w:r>
          </w:p>
          <w:p w14:paraId="36A9694E">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不得</w:t>
            </w:r>
            <w:r>
              <w:rPr>
                <w:rFonts w:hint="eastAsia" w:ascii="宋体" w:hAnsi="宋体" w:eastAsia="宋体" w:cs="宋体"/>
                <w:color w:val="auto"/>
                <w:sz w:val="24"/>
                <w:szCs w:val="24"/>
                <w:highlight w:val="none"/>
              </w:rPr>
              <w:t>超出</w:t>
            </w:r>
            <w:r>
              <w:rPr>
                <w:rFonts w:hint="eastAsia" w:ascii="宋体" w:hAnsi="宋体" w:eastAsia="宋体" w:cs="宋体"/>
                <w:color w:val="auto"/>
                <w:sz w:val="24"/>
                <w:szCs w:val="24"/>
                <w:highlight w:val="none"/>
                <w:lang w:val="en-US" w:eastAsia="zh-CN"/>
              </w:rPr>
              <w:t>单价限价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否则视为</w:t>
            </w:r>
            <w:r>
              <w:rPr>
                <w:rFonts w:hint="eastAsia" w:ascii="宋体" w:hAnsi="宋体" w:eastAsia="宋体" w:cs="宋体"/>
                <w:color w:val="auto"/>
                <w:sz w:val="24"/>
                <w:szCs w:val="24"/>
                <w:highlight w:val="none"/>
              </w:rPr>
              <w:t>不实质性响应</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处理。</w:t>
            </w:r>
          </w:p>
        </w:tc>
      </w:tr>
    </w:tbl>
    <w:p w14:paraId="2A4B413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14:paraId="783F5EA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b w:val="0"/>
          <w:bCs/>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1、供应商需按本表格式填写，不得自行更改，也不得留空,如有多分标，按分标分别提供开标一览表，必须加盖供应商有效电子公章，</w:t>
      </w:r>
      <w:r>
        <w:rPr>
          <w:rFonts w:hint="eastAsia" w:ascii="宋体" w:hAnsi="宋体" w:eastAsia="宋体" w:cs="宋体"/>
          <w:b w:val="0"/>
          <w:bCs/>
          <w:color w:val="auto"/>
          <w:kern w:val="0"/>
          <w:sz w:val="24"/>
          <w:szCs w:val="24"/>
          <w:highlight w:val="none"/>
          <w:lang w:val="zh-CN"/>
        </w:rPr>
        <w:t>否则其投标作无效标处理。</w:t>
      </w:r>
    </w:p>
    <w:p w14:paraId="4CABA1AF">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5C8655F1">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rPr>
        <w:t>3、本项目报价需包含完成本项目所需的全部费用（包括但不限于各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p>
    <w:p w14:paraId="278CA1C6">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eastAsia="zh-CN"/>
        </w:rPr>
        <w:t>所有报价均用人民币表示,所报价格是交货地的验收价格，其总价即为履行合同的固定价格。</w:t>
      </w:r>
    </w:p>
    <w:p w14:paraId="60689E9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03481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1B2F39C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089D8AC">
      <w:pPr>
        <w:rPr>
          <w:rFonts w:hint="eastAsia" w:ascii="宋体" w:hAnsi="宋体" w:eastAsia="宋体" w:cs="宋体"/>
          <w:color w:val="auto"/>
          <w:kern w:val="0"/>
          <w:sz w:val="24"/>
          <w:highlight w:val="none"/>
          <w:vertAlign w:val="baseline"/>
          <w:lang w:val="zh-CN"/>
        </w:rPr>
      </w:pPr>
      <w:r>
        <w:rPr>
          <w:rFonts w:hint="eastAsia" w:ascii="宋体" w:hAnsi="宋体" w:eastAsia="宋体" w:cs="宋体"/>
          <w:color w:val="auto"/>
          <w:kern w:val="0"/>
          <w:sz w:val="24"/>
          <w:highlight w:val="none"/>
          <w:lang w:val="zh-CN"/>
        </w:rPr>
        <w:br w:type="page"/>
      </w:r>
      <w:r>
        <w:rPr>
          <w:rFonts w:hint="eastAsia" w:ascii="宋体" w:hAnsi="宋体" w:eastAsia="宋体" w:cs="宋体"/>
          <w:b/>
          <w:bCs/>
          <w:color w:val="auto"/>
          <w:kern w:val="0"/>
          <w:sz w:val="24"/>
          <w:highlight w:val="none"/>
          <w:lang w:val="en-US" w:eastAsia="zh-CN"/>
        </w:rPr>
        <w:t>附件：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928"/>
        <w:gridCol w:w="3242"/>
      </w:tblGrid>
      <w:tr w14:paraId="56B4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344" w:type="dxa"/>
            <w:vAlign w:val="center"/>
          </w:tcPr>
          <w:p w14:paraId="6854578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4928" w:type="dxa"/>
            <w:vAlign w:val="center"/>
          </w:tcPr>
          <w:p w14:paraId="29A43E53">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en-US"/>
              </w:rPr>
            </w:pPr>
            <w:r>
              <w:rPr>
                <w:rFonts w:hint="eastAsia" w:ascii="宋体" w:hAnsi="宋体" w:eastAsia="宋体" w:cs="宋体"/>
                <w:b/>
                <w:bCs/>
                <w:i w:val="0"/>
                <w:iCs w:val="0"/>
                <w:color w:val="auto"/>
                <w:kern w:val="0"/>
                <w:sz w:val="24"/>
                <w:szCs w:val="24"/>
                <w:u w:val="none"/>
                <w:lang w:val="en-US" w:eastAsia="zh-CN" w:bidi="ar"/>
              </w:rPr>
              <w:t>疫苗品种</w:t>
            </w:r>
          </w:p>
        </w:tc>
        <w:tc>
          <w:tcPr>
            <w:tcW w:w="3242" w:type="dxa"/>
            <w:vAlign w:val="center"/>
          </w:tcPr>
          <w:p w14:paraId="05147AD5">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b/>
                <w:bCs/>
                <w:i w:val="0"/>
                <w:iCs w:val="0"/>
                <w:color w:val="auto"/>
                <w:kern w:val="0"/>
                <w:sz w:val="24"/>
                <w:szCs w:val="24"/>
                <w:u w:val="none"/>
                <w:lang w:val="en-US" w:eastAsia="zh-CN" w:bidi="ar"/>
              </w:rPr>
              <w:t>单位</w:t>
            </w:r>
          </w:p>
        </w:tc>
      </w:tr>
      <w:tr w14:paraId="40F8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4" w:type="dxa"/>
            <w:vAlign w:val="center"/>
          </w:tcPr>
          <w:p w14:paraId="6DC3F810">
            <w:pPr>
              <w:keepNext w:val="0"/>
              <w:keepLines w:val="0"/>
              <w:widowControl/>
              <w:numPr>
                <w:ilvl w:val="0"/>
                <w:numId w:val="5"/>
              </w:numPr>
              <w:suppressLineNumbers w:val="0"/>
              <w:ind w:left="454" w:leftChars="0" w:hanging="227"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4928" w:type="dxa"/>
            <w:vAlign w:val="center"/>
          </w:tcPr>
          <w:p w14:paraId="1632FAA9">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布鲁氏菌病活疫苗（S19株）</w:t>
            </w:r>
          </w:p>
        </w:tc>
        <w:tc>
          <w:tcPr>
            <w:tcW w:w="3242" w:type="dxa"/>
            <w:vAlign w:val="center"/>
          </w:tcPr>
          <w:p w14:paraId="6328B246">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元/头份</w:t>
            </w:r>
          </w:p>
        </w:tc>
      </w:tr>
    </w:tbl>
    <w:p w14:paraId="6E53E469">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7F33E907">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59" w:name="_Toc10243"/>
      <w:bookmarkStart w:id="360" w:name="_Toc15875"/>
      <w:bookmarkStart w:id="361" w:name="_Toc13399"/>
      <w:bookmarkStart w:id="362" w:name="_Toc20804"/>
      <w:bookmarkStart w:id="363" w:name="_Toc7249"/>
      <w:bookmarkStart w:id="364" w:name="_Toc16250"/>
      <w:bookmarkStart w:id="365" w:name="_Toc26287"/>
      <w:bookmarkStart w:id="366" w:name="_Toc8707"/>
      <w:r>
        <w:rPr>
          <w:rFonts w:hint="eastAsia" w:ascii="宋体" w:hAnsi="宋体" w:eastAsia="宋体" w:cs="宋体"/>
          <w:color w:val="auto"/>
          <w:sz w:val="30"/>
          <w:szCs w:val="30"/>
          <w:highlight w:val="none"/>
          <w:lang w:eastAsia="zh-CN"/>
        </w:rPr>
        <w:t>第三节</w:t>
      </w:r>
      <w:r>
        <w:rPr>
          <w:rFonts w:hint="eastAsia" w:ascii="宋体" w:hAnsi="宋体" w:eastAsia="宋体" w:cs="宋体"/>
          <w:color w:val="auto"/>
          <w:sz w:val="30"/>
          <w:szCs w:val="30"/>
          <w:highlight w:val="none"/>
          <w:lang w:val="en-US" w:eastAsia="zh-CN"/>
        </w:rPr>
        <w:t xml:space="preserve"> 商务、技术</w:t>
      </w:r>
      <w:r>
        <w:rPr>
          <w:rFonts w:hint="eastAsia" w:ascii="宋体" w:hAnsi="宋体" w:eastAsia="宋体" w:cs="宋体"/>
          <w:color w:val="auto"/>
          <w:sz w:val="30"/>
          <w:szCs w:val="30"/>
          <w:highlight w:val="none"/>
          <w:lang w:eastAsia="zh-CN"/>
        </w:rPr>
        <w:t>文件格式</w:t>
      </w:r>
      <w:bookmarkEnd w:id="348"/>
      <w:bookmarkEnd w:id="349"/>
      <w:bookmarkEnd w:id="350"/>
      <w:bookmarkEnd w:id="351"/>
      <w:bookmarkEnd w:id="359"/>
      <w:bookmarkEnd w:id="360"/>
      <w:bookmarkEnd w:id="361"/>
      <w:bookmarkEnd w:id="362"/>
      <w:bookmarkEnd w:id="363"/>
      <w:bookmarkEnd w:id="364"/>
      <w:bookmarkEnd w:id="365"/>
      <w:bookmarkEnd w:id="366"/>
    </w:p>
    <w:p w14:paraId="1D1DC5A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一、无串标行为承诺函</w:t>
      </w:r>
    </w:p>
    <w:p w14:paraId="4365737C">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一</w:t>
      </w:r>
      <w:r>
        <w:rPr>
          <w:rFonts w:hint="eastAsia" w:ascii="宋体" w:hAnsi="宋体" w:eastAsia="宋体" w:cs="宋体"/>
          <w:b/>
          <w:bCs/>
          <w:color w:val="auto"/>
          <w:kern w:val="0"/>
          <w:sz w:val="24"/>
          <w:szCs w:val="24"/>
          <w:highlight w:val="none"/>
          <w:lang w:val="zh-CN" w:eastAsia="zh-CN" w:bidi="ar-SA"/>
        </w:rPr>
        <w:t>）我方承诺无下列相互串通投标的情形：</w:t>
      </w:r>
    </w:p>
    <w:p w14:paraId="4A10F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1.不同供应商的响应文件由同一单位或者个人编制；或者不同供应商报名的IP地址一致的；或者编制标书硬件设备CPU编号、硬盘编号、网卡地址一致的情况。</w:t>
      </w:r>
    </w:p>
    <w:p w14:paraId="29846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2.不同供应商委托同一单位或者个人办理投标事宜；</w:t>
      </w:r>
    </w:p>
    <w:p w14:paraId="164DD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3.不同的供应商的响应文件载明的项目管理员为同一个人；</w:t>
      </w:r>
    </w:p>
    <w:p w14:paraId="71BED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4.不同供应商的响应文件异常一致或者投标报价呈规律性差异；</w:t>
      </w:r>
    </w:p>
    <w:p w14:paraId="174F5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5.不同供应商的响应文件相互混装；</w:t>
      </w:r>
    </w:p>
    <w:p w14:paraId="6AF67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6.不同供应商的投标保证金从同一单位或者个人账户转出。</w:t>
      </w:r>
    </w:p>
    <w:p w14:paraId="15C72778">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szCs w:val="24"/>
          <w:highlight w:val="none"/>
          <w:lang w:val="zh-CN" w:eastAsia="zh-CN" w:bidi="ar-SA"/>
        </w:rPr>
        <w:t>）我方承诺无下列恶意串通的情形：</w:t>
      </w:r>
    </w:p>
    <w:p w14:paraId="68018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1.供应商直接或者间接从采购人或者采购代理机构处获得其他供应商的相关信息并修改其投标文件或者响应文件；</w:t>
      </w:r>
    </w:p>
    <w:p w14:paraId="4C75F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2.供应商按照采购人或者采购代理机构的授意撤换、修改投标文件或者响应文件；</w:t>
      </w:r>
    </w:p>
    <w:p w14:paraId="21F04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3.供应商之间协商报价、技术方案等投标文件或者响应文件的实质性内容；</w:t>
      </w:r>
    </w:p>
    <w:p w14:paraId="56FF8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4.属于同一集团、协会、商会等组织成员的供应商按照该组织要求协同参加政府采购活动；</w:t>
      </w:r>
    </w:p>
    <w:p w14:paraId="58FEB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5.供应商之间事先约定一致抬高或者压低投标报价，或者在招标项目中事先约定轮流以高价位或者低价位成交，或者事先约定由某一特定供应商成交，然后再参加投标；</w:t>
      </w:r>
    </w:p>
    <w:p w14:paraId="53C8E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6.供应商之间商定部分供应商放弃参加政府采购活动或者放弃成交；</w:t>
      </w:r>
    </w:p>
    <w:p w14:paraId="1F568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7.供应商与采购人或者采购代理机构之间、供应商相互之间，为谋求特定供应商成交或者排斥其他供应商的其他串通行为。</w:t>
      </w:r>
    </w:p>
    <w:p w14:paraId="4AFB0D00">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以上情形一经核查属实，接受政府采购监管部门对我方认定存在围标串标行为，我方愿意承担一切后果，并不再寻求任何旨在减轻或者免除法律责任的辩解。</w:t>
      </w:r>
    </w:p>
    <w:p w14:paraId="57951D04">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7B26FB62">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63DF9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D8272CE">
      <w:pPr>
        <w:spacing w:line="360" w:lineRule="auto"/>
        <w:jc w:val="center"/>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kern w:val="0"/>
          <w:sz w:val="28"/>
          <w:szCs w:val="28"/>
          <w:highlight w:val="none"/>
          <w:lang w:val="zh-CN" w:eastAsia="zh-CN" w:bidi="ar-SA"/>
        </w:rPr>
        <w:t>二、法定代表人身份证明</w:t>
      </w:r>
    </w:p>
    <w:p w14:paraId="32EF8850">
      <w:pPr>
        <w:pageBreakBefore w:val="0"/>
        <w:wordWrap/>
        <w:topLinePunct w:val="0"/>
        <w:bidi w:val="0"/>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61418159">
      <w:pPr>
        <w:pageBreakBefore w:val="0"/>
        <w:wordWrap/>
        <w:topLinePunct w:val="0"/>
        <w:bidi w:val="0"/>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125539C">
      <w:pPr>
        <w:pStyle w:val="1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企业性质：</w:t>
      </w:r>
      <w:r>
        <w:rPr>
          <w:rFonts w:hint="eastAsia" w:ascii="宋体" w:hAnsi="宋体" w:eastAsia="宋体" w:cs="宋体"/>
          <w:color w:val="auto"/>
          <w:sz w:val="24"/>
          <w:szCs w:val="24"/>
          <w:highlight w:val="none"/>
          <w:u w:val="single"/>
          <w:lang w:val="en-US" w:eastAsia="zh-CN"/>
        </w:rPr>
        <w:t xml:space="preserve">                                            </w:t>
      </w:r>
    </w:p>
    <w:p w14:paraId="7FDE488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成立时间：</w:t>
      </w:r>
      <w:r>
        <w:rPr>
          <w:rFonts w:hint="eastAsia" w:ascii="宋体" w:hAnsi="宋体" w:eastAsia="宋体" w:cs="宋体"/>
          <w:color w:val="auto"/>
          <w:sz w:val="24"/>
          <w:szCs w:val="24"/>
          <w:highlight w:val="none"/>
          <w:u w:val="single"/>
          <w:lang w:val="en-US" w:eastAsia="zh-CN"/>
        </w:rPr>
        <w:t xml:space="preserve">                                            </w:t>
      </w:r>
    </w:p>
    <w:p w14:paraId="2BCFD09B">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p>
    <w:p w14:paraId="200EFF80">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6C01075F">
      <w:pPr>
        <w:pageBreakBefore w:val="0"/>
        <w:wordWrap/>
        <w:topLinePunct w:val="0"/>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同志为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公司法定代表人，代表我公司办理一切社会公务事宜，具有法律效力。</w:t>
      </w:r>
      <w:r>
        <w:rPr>
          <w:rFonts w:hint="eastAsia" w:ascii="宋体" w:hAnsi="宋体" w:eastAsia="宋体" w:cs="宋体"/>
          <w:color w:val="auto"/>
          <w:sz w:val="24"/>
          <w:szCs w:val="24"/>
          <w:highlight w:val="none"/>
        </w:rPr>
        <w:t>特此证明。</w:t>
      </w:r>
    </w:p>
    <w:p w14:paraId="45A25A9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0EB96A84">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61C657F2">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431681D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54FAE6A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4E44BD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93416E5">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0128986A">
      <w:pPr>
        <w:pageBreakBefore w:val="0"/>
        <w:wordWrap/>
        <w:topLinePunct w:val="0"/>
        <w:bidi w:val="0"/>
        <w:snapToGrid w:val="0"/>
        <w:spacing w:beforeAutospacing="0" w:line="240" w:lineRule="auto"/>
        <w:jc w:val="left"/>
        <w:rPr>
          <w:rFonts w:hint="eastAsia" w:ascii="宋体" w:hAnsi="宋体" w:eastAsia="宋体" w:cs="宋体"/>
          <w:color w:val="auto"/>
          <w:sz w:val="24"/>
          <w:highlight w:val="none"/>
        </w:rPr>
      </w:pPr>
    </w:p>
    <w:p w14:paraId="0AD6F9E8">
      <w:pPr>
        <w:pageBreakBefore w:val="0"/>
        <w:wordWrap/>
        <w:topLinePunct w:val="0"/>
        <w:bidi w:val="0"/>
        <w:snapToGrid w:val="0"/>
        <w:spacing w:beforeAutospacing="0" w:line="240" w:lineRule="auto"/>
        <w:ind w:firstLine="602" w:firstLineChars="250"/>
        <w:jc w:val="left"/>
        <w:rPr>
          <w:rFonts w:hint="eastAsia" w:ascii="宋体" w:hAnsi="宋体" w:eastAsia="宋体" w:cs="宋体"/>
          <w:b/>
          <w:color w:val="auto"/>
          <w:sz w:val="24"/>
          <w:szCs w:val="20"/>
          <w:highlight w:val="none"/>
        </w:rPr>
      </w:pPr>
    </w:p>
    <w:tbl>
      <w:tblPr>
        <w:tblStyle w:val="29"/>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990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jc w:val="center"/>
        </w:trPr>
        <w:tc>
          <w:tcPr>
            <w:tcW w:w="8460" w:type="dxa"/>
            <w:tcBorders>
              <w:top w:val="single" w:color="auto" w:sz="4" w:space="0"/>
              <w:left w:val="single" w:color="auto" w:sz="4" w:space="0"/>
              <w:bottom w:val="single" w:color="auto" w:sz="4" w:space="0"/>
              <w:right w:val="single" w:color="auto" w:sz="4" w:space="0"/>
            </w:tcBorders>
          </w:tcPr>
          <w:p w14:paraId="314100D1">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法定代表身份证复印件粘帖处（正、反面）</w:t>
            </w:r>
          </w:p>
        </w:tc>
      </w:tr>
    </w:tbl>
    <w:p w14:paraId="61561AF9">
      <w:pPr>
        <w:pStyle w:val="15"/>
        <w:pageBreakBefore w:val="0"/>
        <w:wordWrap/>
        <w:topLinePunct w:val="0"/>
        <w:bidi w:val="0"/>
        <w:spacing w:beforeAutospacing="0" w:line="240" w:lineRule="auto"/>
        <w:jc w:val="both"/>
        <w:rPr>
          <w:rFonts w:hint="eastAsia" w:ascii="宋体" w:hAnsi="宋体" w:eastAsia="宋体" w:cs="宋体"/>
          <w:color w:val="auto"/>
          <w:highlight w:val="none"/>
        </w:rPr>
      </w:pPr>
      <w:r>
        <w:rPr>
          <w:rFonts w:hint="eastAsia" w:ascii="宋体" w:hAnsi="宋体" w:eastAsia="宋体" w:cs="宋体"/>
          <w:color w:val="auto"/>
          <w:sz w:val="28"/>
          <w:szCs w:val="28"/>
          <w:highlight w:val="none"/>
        </w:rPr>
        <w:t>附件：</w:t>
      </w:r>
    </w:p>
    <w:p w14:paraId="70F48578">
      <w:pPr>
        <w:pStyle w:val="15"/>
        <w:pageBreakBefore w:val="0"/>
        <w:wordWrap/>
        <w:topLinePunct w:val="0"/>
        <w:bidi w:val="0"/>
        <w:spacing w:beforeAutospacing="0" w:line="240" w:lineRule="auto"/>
        <w:rPr>
          <w:rFonts w:hint="eastAsia" w:ascii="宋体" w:hAnsi="宋体" w:eastAsia="宋体" w:cs="宋体"/>
          <w:color w:val="auto"/>
          <w:highlight w:val="none"/>
        </w:rPr>
      </w:pPr>
    </w:p>
    <w:p w14:paraId="773D5D05">
      <w:pPr>
        <w:pageBreakBefore w:val="0"/>
        <w:widowControl/>
        <w:wordWrap/>
        <w:topLinePunct w:val="0"/>
        <w:bidi w:val="0"/>
        <w:spacing w:beforeAutospacing="0" w:line="24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p>
    <w:p w14:paraId="5E9E8C8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三、法定代表人授权委托书（如有委托时）</w:t>
      </w:r>
    </w:p>
    <w:p w14:paraId="0F6E643A">
      <w:pPr>
        <w:pageBreakBefore w:val="0"/>
        <w:wordWrap/>
        <w:topLinePunct w:val="0"/>
        <w:bidi w:val="0"/>
        <w:spacing w:beforeAutospacing="0" w:line="240" w:lineRule="auto"/>
        <w:rPr>
          <w:rFonts w:hint="eastAsia" w:ascii="宋体" w:hAnsi="宋体" w:eastAsia="宋体" w:cs="宋体"/>
          <w:color w:val="auto"/>
          <w:sz w:val="28"/>
          <w:szCs w:val="28"/>
          <w:highlight w:val="none"/>
        </w:rPr>
      </w:pPr>
    </w:p>
    <w:p w14:paraId="10158223">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采购人名称）</w:t>
      </w:r>
    </w:p>
    <w:p w14:paraId="60D4DBB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的法定代表人，现授权我单位在职正式员工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（姓名和职务）</w:t>
      </w:r>
      <w:r>
        <w:rPr>
          <w:rFonts w:hint="eastAsia" w:ascii="宋体" w:hAnsi="宋体" w:eastAsia="宋体" w:cs="宋体"/>
          <w:color w:val="auto"/>
          <w:sz w:val="24"/>
          <w:szCs w:val="24"/>
          <w:highlight w:val="none"/>
        </w:rPr>
        <w:t>为我方代理人。代理人根据授权，以我方名义签署、澄清、说明、补正、递交、撤回、修改贵方组织的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、签订合同和处理一切有关事宜，其法律后果由我方承担。</w:t>
      </w:r>
    </w:p>
    <w:p w14:paraId="739B4D4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本授权书于年月日签字生效，委托期限：。</w:t>
      </w:r>
    </w:p>
    <w:p w14:paraId="7C48A17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32D9A6D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14:paraId="096F3A0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6EC1E0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229C3A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BF4DF24">
      <w:pPr>
        <w:pageBreakBefore w:val="0"/>
        <w:wordWrap/>
        <w:topLinePunct w:val="0"/>
        <w:autoSpaceDE w:val="0"/>
        <w:autoSpaceDN w:val="0"/>
        <w:bidi w:val="0"/>
        <w:adjustRightInd w:val="0"/>
        <w:spacing w:beforeAutospacing="0" w:line="360" w:lineRule="auto"/>
        <w:jc w:val="left"/>
        <w:rPr>
          <w:rFonts w:hint="eastAsia" w:ascii="宋体" w:hAnsi="宋体" w:eastAsia="宋体" w:cs="宋体"/>
          <w:color w:val="auto"/>
          <w:kern w:val="0"/>
          <w:sz w:val="24"/>
          <w:szCs w:val="24"/>
          <w:highlight w:val="none"/>
        </w:rPr>
      </w:pPr>
    </w:p>
    <w:p w14:paraId="5A144E4F">
      <w:pPr>
        <w:pageBreakBefore w:val="0"/>
        <w:wordWrap/>
        <w:topLinePunct w:val="0"/>
        <w:autoSpaceDE w:val="0"/>
        <w:autoSpaceDN w:val="0"/>
        <w:bidi w:val="0"/>
        <w:adjustRightInd w:val="0"/>
        <w:spacing w:beforeAutospacing="0" w:line="360" w:lineRule="auto"/>
        <w:ind w:firstLine="480" w:firstLineChars="200"/>
        <w:jc w:val="left"/>
        <w:rPr>
          <w:rFonts w:hint="eastAsia" w:ascii="宋体" w:hAnsi="宋体" w:eastAsia="宋体" w:cs="宋体"/>
          <w:color w:val="auto"/>
          <w:kern w:val="0"/>
          <w:sz w:val="24"/>
          <w:szCs w:val="24"/>
          <w:highlight w:val="none"/>
        </w:rPr>
      </w:pPr>
    </w:p>
    <w:p w14:paraId="31F64FD8">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B6E8D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1.供应商为其他组织或者自然人时，本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规定的法定代表人指负责人或者自然人。本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所称负责人是指参加投标的其他组织营业执照上的负责人，本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所称自然人指参与投标的自然人本人。</w:t>
      </w:r>
    </w:p>
    <w:p w14:paraId="2CD91A6C">
      <w:pPr>
        <w:pageBreakBefore w:val="0"/>
        <w:widowControl/>
        <w:wordWrap/>
        <w:topLinePunct w:val="0"/>
        <w:bidi w:val="0"/>
        <w:spacing w:beforeAutospacing="0" w:line="240" w:lineRule="auto"/>
        <w:jc w:val="left"/>
        <w:rPr>
          <w:rFonts w:hint="eastAsia" w:ascii="宋体" w:hAnsi="宋体" w:eastAsia="宋体" w:cs="宋体"/>
          <w:b/>
          <w:color w:val="auto"/>
          <w:sz w:val="24"/>
          <w:highlight w:val="none"/>
        </w:rPr>
      </w:pPr>
    </w:p>
    <w:p w14:paraId="29C502D9">
      <w:pPr>
        <w:pageBreakBefore w:val="0"/>
        <w:wordWrap/>
        <w:topLinePunct w:val="0"/>
        <w:bidi w:val="0"/>
        <w:spacing w:beforeAutospacing="0" w:line="240" w:lineRule="auto"/>
        <w:rPr>
          <w:rFonts w:hint="eastAsia" w:ascii="宋体" w:hAnsi="宋体" w:eastAsia="宋体" w:cs="宋体"/>
          <w:b/>
          <w:color w:val="auto"/>
          <w:sz w:val="24"/>
          <w:highlight w:val="none"/>
        </w:rPr>
      </w:pPr>
    </w:p>
    <w:p w14:paraId="56B02CB8">
      <w:pPr>
        <w:pageBreakBefore w:val="0"/>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tbl>
      <w:tblPr>
        <w:tblStyle w:val="29"/>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1A97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7990" w:type="dxa"/>
            <w:tcBorders>
              <w:top w:val="single" w:color="auto" w:sz="4" w:space="0"/>
              <w:left w:val="single" w:color="auto" w:sz="4" w:space="0"/>
              <w:bottom w:val="single" w:color="auto" w:sz="4" w:space="0"/>
              <w:right w:val="single" w:color="auto" w:sz="4" w:space="0"/>
            </w:tcBorders>
          </w:tcPr>
          <w:p w14:paraId="0FB0D289">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全权代表身份证复印件粘帖处（正、反面）</w:t>
            </w:r>
          </w:p>
        </w:tc>
      </w:tr>
    </w:tbl>
    <w:p w14:paraId="0B7F8DBC">
      <w:pPr>
        <w:pageBreakBefore w:val="0"/>
        <w:wordWrap/>
        <w:topLinePunct w:val="0"/>
        <w:bidi w:val="0"/>
        <w:snapToGrid w:val="0"/>
        <w:spacing w:beforeAutospacing="0" w:line="240" w:lineRule="auto"/>
        <w:jc w:val="left"/>
        <w:rPr>
          <w:rFonts w:hint="eastAsia" w:ascii="宋体" w:hAnsi="宋体" w:eastAsia="宋体" w:cs="宋体"/>
          <w:color w:val="auto"/>
          <w:szCs w:val="21"/>
          <w:highlight w:val="none"/>
        </w:rPr>
      </w:pPr>
    </w:p>
    <w:p w14:paraId="201A4C61">
      <w:pPr>
        <w:pageBreakBefore w:val="0"/>
        <w:wordWrap/>
        <w:topLinePunct w:val="0"/>
        <w:bidi w:val="0"/>
        <w:snapToGrid w:val="0"/>
        <w:spacing w:beforeAutospacing="0" w:line="240" w:lineRule="auto"/>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3CE280D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四</w:t>
      </w:r>
      <w:r>
        <w:rPr>
          <w:rFonts w:hint="eastAsia" w:ascii="宋体" w:hAnsi="宋体" w:eastAsia="宋体" w:cs="宋体"/>
          <w:b/>
          <w:bCs/>
          <w:color w:val="auto"/>
          <w:kern w:val="0"/>
          <w:sz w:val="28"/>
          <w:szCs w:val="28"/>
          <w:highlight w:val="none"/>
          <w:lang w:val="zh-CN" w:eastAsia="zh-CN" w:bidi="ar-SA"/>
        </w:rPr>
        <w:t>、技术需求偏离表</w:t>
      </w:r>
    </w:p>
    <w:tbl>
      <w:tblPr>
        <w:tblStyle w:val="29"/>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2378"/>
        <w:gridCol w:w="1732"/>
      </w:tblGrid>
      <w:tr w14:paraId="51CE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14:paraId="4BE0886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8" w:type="dxa"/>
            <w:vAlign w:val="center"/>
          </w:tcPr>
          <w:p w14:paraId="7C3F9E8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410" w:type="dxa"/>
            <w:vAlign w:val="center"/>
          </w:tcPr>
          <w:p w14:paraId="7113F9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招标产品参数</w:t>
            </w:r>
          </w:p>
        </w:tc>
        <w:tc>
          <w:tcPr>
            <w:tcW w:w="2378" w:type="dxa"/>
            <w:vAlign w:val="center"/>
          </w:tcPr>
          <w:p w14:paraId="7757584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投标产品参数</w:t>
            </w:r>
          </w:p>
        </w:tc>
        <w:tc>
          <w:tcPr>
            <w:tcW w:w="1732" w:type="dxa"/>
            <w:vAlign w:val="center"/>
          </w:tcPr>
          <w:p w14:paraId="1A917DD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6EEC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36991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28" w:type="dxa"/>
          </w:tcPr>
          <w:p w14:paraId="24C6A11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17FB3D6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831B60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EBD1AE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BA3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63E52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28" w:type="dxa"/>
          </w:tcPr>
          <w:p w14:paraId="1ADE96D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33897D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D6CAA7">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94A87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48C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97ADEC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28" w:type="dxa"/>
          </w:tcPr>
          <w:p w14:paraId="55F14F3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3350425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6455D3B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14FD85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0A2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FAB3F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28" w:type="dxa"/>
          </w:tcPr>
          <w:p w14:paraId="11B8014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F57F3C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97D9BE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514E94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926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7D8203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28" w:type="dxa"/>
          </w:tcPr>
          <w:p w14:paraId="482EFE2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712766E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71BDEDA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1E7C1E1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AF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0470CD6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28" w:type="dxa"/>
          </w:tcPr>
          <w:p w14:paraId="57A9613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95DFB9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4D9ED69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0FF509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4F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5AE359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5AED7B0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5EFF2AD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5AF596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517F06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20EA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179DD4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40C2A04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0A49B5A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EFCB43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3AAC715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DDF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vAlign w:val="center"/>
          </w:tcPr>
          <w:p w14:paraId="6FE189A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64DE0E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A2B9695">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3ED2C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86D17F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bl>
    <w:p w14:paraId="22CF86CB">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注：</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.相关证明材料</w:t>
      </w:r>
      <w:r>
        <w:rPr>
          <w:rFonts w:hint="eastAsia" w:ascii="宋体" w:hAnsi="宋体" w:eastAsia="宋体" w:cs="宋体"/>
          <w:b/>
          <w:bCs/>
          <w:color w:val="auto"/>
          <w:kern w:val="0"/>
          <w:sz w:val="24"/>
          <w:szCs w:val="24"/>
          <w:highlight w:val="none"/>
          <w:lang w:eastAsia="zh-CN"/>
        </w:rPr>
        <w:t>如有</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如有设备的</w:t>
      </w:r>
      <w:r>
        <w:rPr>
          <w:rFonts w:hint="eastAsia" w:ascii="宋体" w:hAnsi="宋体" w:eastAsia="宋体" w:cs="宋体"/>
          <w:b/>
          <w:bCs/>
          <w:color w:val="auto"/>
          <w:kern w:val="0"/>
          <w:sz w:val="24"/>
          <w:szCs w:val="24"/>
          <w:highlight w:val="none"/>
        </w:rPr>
        <w:t>检测报告、</w:t>
      </w:r>
      <w:r>
        <w:rPr>
          <w:rFonts w:hint="eastAsia" w:ascii="宋体" w:hAnsi="宋体" w:eastAsia="宋体" w:cs="宋体"/>
          <w:b/>
          <w:bCs/>
          <w:color w:val="auto"/>
          <w:kern w:val="0"/>
          <w:sz w:val="24"/>
          <w:szCs w:val="24"/>
          <w:highlight w:val="none"/>
          <w:lang w:eastAsia="zh-CN"/>
        </w:rPr>
        <w:t>彩页、照片</w:t>
      </w:r>
      <w:r>
        <w:rPr>
          <w:rFonts w:hint="eastAsia" w:ascii="宋体" w:hAnsi="宋体" w:eastAsia="宋体" w:cs="宋体"/>
          <w:b/>
          <w:bCs/>
          <w:color w:val="auto"/>
          <w:kern w:val="0"/>
          <w:sz w:val="24"/>
          <w:szCs w:val="24"/>
          <w:highlight w:val="none"/>
        </w:rPr>
        <w:t>等）。</w:t>
      </w:r>
    </w:p>
    <w:p w14:paraId="5A7368C0">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48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4"/>
          <w:szCs w:val="24"/>
          <w:highlight w:val="none"/>
          <w:lang w:val="en-US" w:eastAsia="zh-CN"/>
        </w:rPr>
        <w:t>2、供应商可根据自身需求自行加减行数。</w:t>
      </w:r>
    </w:p>
    <w:p w14:paraId="0E3B839E">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E145CBC">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0B9A7EA1">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1206C693">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79E352BF">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922A0EF">
      <w:pPr>
        <w:pStyle w:val="15"/>
        <w:pageBreakBefore w:val="0"/>
        <w:wordWrap/>
        <w:topLinePunct w:val="0"/>
        <w:bidi w:val="0"/>
        <w:spacing w:beforeAutospacing="0" w:line="240" w:lineRule="auto"/>
        <w:rPr>
          <w:rFonts w:hint="eastAsia" w:ascii="宋体" w:hAnsi="宋体" w:eastAsia="宋体" w:cs="宋体"/>
          <w:color w:val="auto"/>
          <w:highlight w:val="none"/>
        </w:rPr>
      </w:pPr>
    </w:p>
    <w:p w14:paraId="01D603D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97D23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五</w:t>
      </w:r>
      <w:r>
        <w:rPr>
          <w:rFonts w:hint="eastAsia" w:ascii="宋体" w:hAnsi="宋体" w:eastAsia="宋体" w:cs="宋体"/>
          <w:b/>
          <w:bCs/>
          <w:color w:val="auto"/>
          <w:kern w:val="0"/>
          <w:sz w:val="28"/>
          <w:szCs w:val="28"/>
          <w:highlight w:val="none"/>
          <w:lang w:val="zh-CN" w:eastAsia="zh-CN" w:bidi="ar-SA"/>
        </w:rPr>
        <w:t>、商务条款偏离表</w:t>
      </w:r>
    </w:p>
    <w:p w14:paraId="6F278C6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9"/>
        <w:tblpPr w:leftFromText="180" w:rightFromText="180" w:vertAnchor="text" w:horzAnchor="margin" w:tblpXSpec="center" w:tblpY="94"/>
        <w:tblW w:w="9908"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800"/>
        <w:gridCol w:w="3429"/>
        <w:gridCol w:w="1434"/>
      </w:tblGrid>
      <w:tr w14:paraId="1AC4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45" w:type="dxa"/>
            <w:tcBorders>
              <w:top w:val="single" w:color="auto" w:sz="4" w:space="0"/>
              <w:left w:val="single" w:color="auto" w:sz="4" w:space="0"/>
              <w:bottom w:val="single" w:color="auto" w:sz="4" w:space="0"/>
              <w:right w:val="single" w:color="auto" w:sz="4" w:space="0"/>
            </w:tcBorders>
            <w:vAlign w:val="center"/>
          </w:tcPr>
          <w:p w14:paraId="4581B3F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030E56A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的商务需求</w:t>
            </w:r>
          </w:p>
        </w:tc>
        <w:tc>
          <w:tcPr>
            <w:tcW w:w="3429" w:type="dxa"/>
            <w:tcBorders>
              <w:top w:val="single" w:color="auto" w:sz="4" w:space="0"/>
              <w:left w:val="single" w:color="auto" w:sz="4" w:space="0"/>
              <w:bottom w:val="single" w:color="auto" w:sz="4" w:space="0"/>
              <w:right w:val="single" w:color="auto" w:sz="4" w:space="0"/>
            </w:tcBorders>
            <w:vAlign w:val="center"/>
          </w:tcPr>
          <w:p w14:paraId="1295A4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承诺的商务条款</w:t>
            </w:r>
          </w:p>
        </w:tc>
        <w:tc>
          <w:tcPr>
            <w:tcW w:w="1434" w:type="dxa"/>
            <w:tcBorders>
              <w:top w:val="single" w:color="auto" w:sz="4" w:space="0"/>
              <w:left w:val="single" w:color="auto" w:sz="4" w:space="0"/>
              <w:bottom w:val="single" w:color="auto" w:sz="4" w:space="0"/>
              <w:right w:val="single" w:color="auto" w:sz="4" w:space="0"/>
            </w:tcBorders>
            <w:vAlign w:val="center"/>
          </w:tcPr>
          <w:p w14:paraId="579353C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BE0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45" w:type="dxa"/>
            <w:tcBorders>
              <w:top w:val="single" w:color="auto" w:sz="4" w:space="0"/>
              <w:left w:val="single" w:color="auto" w:sz="4" w:space="0"/>
              <w:bottom w:val="single" w:color="auto" w:sz="4" w:space="0"/>
              <w:right w:val="single" w:color="auto" w:sz="4" w:space="0"/>
            </w:tcBorders>
          </w:tcPr>
          <w:p w14:paraId="2D670F8E">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448A0D2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6863785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30D1D87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36F6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45" w:type="dxa"/>
            <w:tcBorders>
              <w:top w:val="single" w:color="auto" w:sz="4" w:space="0"/>
              <w:left w:val="single" w:color="auto" w:sz="4" w:space="0"/>
              <w:bottom w:val="single" w:color="auto" w:sz="4" w:space="0"/>
              <w:right w:val="single" w:color="auto" w:sz="4" w:space="0"/>
            </w:tcBorders>
          </w:tcPr>
          <w:p w14:paraId="037D61C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2DFC210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34524A8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269CC1D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409A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245" w:type="dxa"/>
            <w:tcBorders>
              <w:top w:val="single" w:color="auto" w:sz="4" w:space="0"/>
              <w:left w:val="single" w:color="auto" w:sz="4" w:space="0"/>
              <w:bottom w:val="single" w:color="auto" w:sz="4" w:space="0"/>
              <w:right w:val="single" w:color="auto" w:sz="4" w:space="0"/>
            </w:tcBorders>
          </w:tcPr>
          <w:p w14:paraId="68E744D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6839447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46F7948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1B978B0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bl>
    <w:p w14:paraId="4A27D296">
      <w:pPr>
        <w:pStyle w:val="15"/>
        <w:pageBreakBefore w:val="0"/>
        <w:wordWrap/>
        <w:topLinePunct w:val="0"/>
        <w:bidi w:val="0"/>
        <w:spacing w:beforeAutospacing="0" w:line="360" w:lineRule="auto"/>
        <w:rPr>
          <w:rFonts w:hint="eastAsia" w:ascii="宋体" w:hAnsi="宋体" w:eastAsia="宋体" w:cs="宋体"/>
          <w:color w:val="auto"/>
          <w:sz w:val="24"/>
          <w:szCs w:val="24"/>
          <w:highlight w:val="none"/>
        </w:rPr>
      </w:pPr>
    </w:p>
    <w:p w14:paraId="3993A61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C639062">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1.商务偏离表按本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自行填写。表格内容不得留空。</w:t>
      </w:r>
    </w:p>
    <w:p w14:paraId="12ED1EA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的商务内容低于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要求时，供应商应当如实写明“负偏离”，否则视为虚假应标。</w:t>
      </w:r>
    </w:p>
    <w:p w14:paraId="740DDDFE">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DD40ABB">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40E85E3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六</w:t>
      </w:r>
      <w:r>
        <w:rPr>
          <w:rFonts w:hint="eastAsia" w:ascii="宋体" w:hAnsi="宋体" w:eastAsia="宋体" w:cs="宋体"/>
          <w:b/>
          <w:bCs/>
          <w:color w:val="auto"/>
          <w:kern w:val="0"/>
          <w:sz w:val="28"/>
          <w:szCs w:val="28"/>
          <w:highlight w:val="none"/>
          <w:lang w:val="zh-CN" w:eastAsia="zh-CN" w:bidi="ar-SA"/>
        </w:rPr>
        <w:t>、供应商情况介绍</w:t>
      </w:r>
    </w:p>
    <w:tbl>
      <w:tblPr>
        <w:tblStyle w:val="29"/>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36"/>
        <w:gridCol w:w="1214"/>
        <w:gridCol w:w="1007"/>
        <w:gridCol w:w="1100"/>
        <w:gridCol w:w="1318"/>
        <w:gridCol w:w="43"/>
        <w:gridCol w:w="779"/>
        <w:gridCol w:w="1303"/>
      </w:tblGrid>
      <w:tr w14:paraId="64C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E5D7B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764" w:type="dxa"/>
            <w:gridSpan w:val="7"/>
            <w:vAlign w:val="center"/>
          </w:tcPr>
          <w:p w14:paraId="56B0BAB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F16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F138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21" w:type="dxa"/>
            <w:gridSpan w:val="3"/>
            <w:vAlign w:val="center"/>
          </w:tcPr>
          <w:p w14:paraId="35D30F2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730EE43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25" w:type="dxa"/>
            <w:gridSpan w:val="3"/>
            <w:vAlign w:val="center"/>
          </w:tcPr>
          <w:p w14:paraId="57AFBB8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381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restart"/>
            <w:vAlign w:val="center"/>
          </w:tcPr>
          <w:p w14:paraId="2BC1436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214" w:type="dxa"/>
            <w:vAlign w:val="center"/>
          </w:tcPr>
          <w:p w14:paraId="1BA1D6C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07" w:type="dxa"/>
            <w:gridSpan w:val="2"/>
            <w:vAlign w:val="center"/>
          </w:tcPr>
          <w:p w14:paraId="4A571B3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3584681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25" w:type="dxa"/>
            <w:gridSpan w:val="3"/>
            <w:vAlign w:val="center"/>
          </w:tcPr>
          <w:p w14:paraId="7FAED014">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62F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continue"/>
            <w:vAlign w:val="center"/>
          </w:tcPr>
          <w:p w14:paraId="7205277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214" w:type="dxa"/>
            <w:vAlign w:val="center"/>
          </w:tcPr>
          <w:p w14:paraId="73A52C4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107" w:type="dxa"/>
            <w:gridSpan w:val="2"/>
            <w:vAlign w:val="center"/>
          </w:tcPr>
          <w:p w14:paraId="79AD5D0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2660C7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25" w:type="dxa"/>
            <w:gridSpan w:val="3"/>
            <w:vAlign w:val="center"/>
          </w:tcPr>
          <w:p w14:paraId="489E664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5D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936" w:type="dxa"/>
            <w:vAlign w:val="center"/>
          </w:tcPr>
          <w:p w14:paraId="79B387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营业执照注册号</w:t>
            </w:r>
          </w:p>
        </w:tc>
        <w:tc>
          <w:tcPr>
            <w:tcW w:w="6764" w:type="dxa"/>
            <w:gridSpan w:val="7"/>
            <w:vAlign w:val="center"/>
          </w:tcPr>
          <w:p w14:paraId="7D440D1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1F9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05B7155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14" w:type="dxa"/>
            <w:vAlign w:val="center"/>
          </w:tcPr>
          <w:p w14:paraId="2B7C99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685B03C2">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19B7889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40DE60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0FAC763F">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546A39E3">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39FE699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80A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3AE1C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214" w:type="dxa"/>
            <w:vAlign w:val="center"/>
          </w:tcPr>
          <w:p w14:paraId="3423E12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5E85AED9">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38C9EC8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5A944D3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17E55EF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65F55A84">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789788A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84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1B8064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221" w:type="dxa"/>
            <w:gridSpan w:val="2"/>
            <w:vAlign w:val="center"/>
          </w:tcPr>
          <w:p w14:paraId="2AC1FD9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4543" w:type="dxa"/>
            <w:gridSpan w:val="5"/>
            <w:vAlign w:val="center"/>
          </w:tcPr>
          <w:p w14:paraId="75F99B74">
            <w:pPr>
              <w:pageBreakBefore w:val="0"/>
              <w:wordWrap/>
              <w:topLinePunct w:val="0"/>
              <w:bidi w:val="0"/>
              <w:spacing w:beforeAutospacing="0" w:line="360" w:lineRule="auto"/>
              <w:ind w:firstLine="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3FB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AD31AB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6764" w:type="dxa"/>
            <w:gridSpan w:val="7"/>
            <w:vAlign w:val="center"/>
          </w:tcPr>
          <w:p w14:paraId="5BB5E6A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C3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7ADBD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64" w:type="dxa"/>
            <w:gridSpan w:val="7"/>
            <w:vAlign w:val="center"/>
          </w:tcPr>
          <w:p w14:paraId="29570F6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0F00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171E00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6764" w:type="dxa"/>
            <w:gridSpan w:val="7"/>
            <w:vAlign w:val="center"/>
          </w:tcPr>
          <w:p w14:paraId="37BCF516">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72C2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68764DF3">
            <w:pPr>
              <w:pageBreakBefore w:val="0"/>
              <w:wordWrap/>
              <w:topLinePunct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行号</w:t>
            </w:r>
          </w:p>
        </w:tc>
        <w:tc>
          <w:tcPr>
            <w:tcW w:w="6764" w:type="dxa"/>
            <w:gridSpan w:val="7"/>
            <w:vAlign w:val="center"/>
          </w:tcPr>
          <w:p w14:paraId="6702B883">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2E9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restart"/>
            <w:vAlign w:val="center"/>
          </w:tcPr>
          <w:p w14:paraId="7DE5B13A">
            <w:pPr>
              <w:pStyle w:val="158"/>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企业关联情况</w:t>
            </w:r>
          </w:p>
        </w:tc>
        <w:tc>
          <w:tcPr>
            <w:tcW w:w="6764" w:type="dxa"/>
            <w:gridSpan w:val="7"/>
            <w:vAlign w:val="center"/>
          </w:tcPr>
          <w:p w14:paraId="0F6AA30A">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1：与我公司单位负责人为同一人的其他单位名称：</w:t>
            </w:r>
          </w:p>
        </w:tc>
      </w:tr>
      <w:tr w14:paraId="3DB1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 w:hRule="atLeast"/>
          <w:jc w:val="center"/>
        </w:trPr>
        <w:tc>
          <w:tcPr>
            <w:tcW w:w="1936" w:type="dxa"/>
            <w:vMerge w:val="continue"/>
            <w:vAlign w:val="center"/>
          </w:tcPr>
          <w:p w14:paraId="792568D6">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47EB317">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2F95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continue"/>
            <w:vAlign w:val="center"/>
          </w:tcPr>
          <w:p w14:paraId="6C88D2B3">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6355AFC5">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2、与我公司存在控股、管理关系的其他单位的名称：</w:t>
            </w:r>
          </w:p>
        </w:tc>
      </w:tr>
      <w:tr w14:paraId="4094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1936" w:type="dxa"/>
            <w:vMerge w:val="continue"/>
            <w:vAlign w:val="center"/>
          </w:tcPr>
          <w:p w14:paraId="7DA6595F">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C3C19F8">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53DB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3" w:hRule="atLeast"/>
          <w:jc w:val="center"/>
        </w:trPr>
        <w:tc>
          <w:tcPr>
            <w:tcW w:w="1936" w:type="dxa"/>
            <w:vMerge w:val="continue"/>
            <w:vAlign w:val="center"/>
          </w:tcPr>
          <w:p w14:paraId="47EB0B26">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224803E6">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备注：1、“单位负责人”是指单位法定代表人或者法律、行政法规规定代表单位行使职权的主要负责人。</w:t>
            </w:r>
          </w:p>
          <w:p w14:paraId="4DB6789C">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2、本条所规定的控股、管理关系仅限于直接控股、直接管理关系，不包括间接的控股或管理关系。</w:t>
            </w:r>
          </w:p>
        </w:tc>
      </w:tr>
    </w:tbl>
    <w:p w14:paraId="426742BD">
      <w:pPr>
        <w:pageBreakBefore w:val="0"/>
        <w:wordWrap/>
        <w:topLinePunct w:val="0"/>
        <w:bidi w:val="0"/>
        <w:snapToGrid w:val="0"/>
        <w:spacing w:beforeAutospacing="0" w:line="240" w:lineRule="auto"/>
        <w:ind w:firstLine="4935" w:firstLineChars="2350"/>
        <w:rPr>
          <w:rFonts w:hint="eastAsia" w:ascii="宋体" w:hAnsi="宋体" w:eastAsia="宋体" w:cs="宋体"/>
          <w:color w:val="auto"/>
          <w:szCs w:val="21"/>
          <w:highlight w:val="none"/>
          <w:lang w:eastAsia="zh-CN"/>
        </w:rPr>
      </w:pPr>
    </w:p>
    <w:p w14:paraId="465485B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4D52DF76">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七</w:t>
      </w:r>
      <w:r>
        <w:rPr>
          <w:rFonts w:hint="eastAsia" w:ascii="宋体" w:hAnsi="宋体" w:eastAsia="宋体" w:cs="宋体"/>
          <w:b/>
          <w:bCs/>
          <w:color w:val="auto"/>
          <w:kern w:val="0"/>
          <w:sz w:val="28"/>
          <w:szCs w:val="28"/>
          <w:highlight w:val="none"/>
          <w:lang w:val="zh-CN" w:eastAsia="zh-CN" w:bidi="ar-SA"/>
        </w:rPr>
        <w:t>、供应商所投产品类似业绩的证明文件</w:t>
      </w:r>
    </w:p>
    <w:tbl>
      <w:tblPr>
        <w:tblStyle w:val="2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6106"/>
      </w:tblGrid>
      <w:tr w14:paraId="4E81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715AC7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06" w:type="dxa"/>
            <w:vAlign w:val="center"/>
          </w:tcPr>
          <w:p w14:paraId="50ADCD6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72DC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51671E5">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06" w:type="dxa"/>
            <w:vAlign w:val="center"/>
          </w:tcPr>
          <w:p w14:paraId="1824B52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92F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5A656E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106" w:type="dxa"/>
            <w:vAlign w:val="center"/>
          </w:tcPr>
          <w:p w14:paraId="1772D9F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FA6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55572AB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名称</w:t>
            </w:r>
          </w:p>
        </w:tc>
        <w:tc>
          <w:tcPr>
            <w:tcW w:w="6106" w:type="dxa"/>
            <w:vAlign w:val="center"/>
          </w:tcPr>
          <w:p w14:paraId="480B21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D59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C08756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106" w:type="dxa"/>
            <w:vAlign w:val="center"/>
          </w:tcPr>
          <w:p w14:paraId="3F548FE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9D8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2EEA26A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106" w:type="dxa"/>
            <w:vAlign w:val="center"/>
          </w:tcPr>
          <w:p w14:paraId="6737FD8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880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47528EF">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w:t>
            </w:r>
          </w:p>
        </w:tc>
        <w:tc>
          <w:tcPr>
            <w:tcW w:w="6106" w:type="dxa"/>
            <w:vAlign w:val="center"/>
          </w:tcPr>
          <w:p w14:paraId="73D5665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0D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17" w:type="dxa"/>
            <w:vAlign w:val="center"/>
          </w:tcPr>
          <w:p w14:paraId="0B098D0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106" w:type="dxa"/>
            <w:vAlign w:val="center"/>
          </w:tcPr>
          <w:p w14:paraId="5B5CC6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5F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B219EA9">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06" w:type="dxa"/>
            <w:vAlign w:val="center"/>
          </w:tcPr>
          <w:p w14:paraId="401C2AE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bl>
    <w:p w14:paraId="58B80E0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可按上述的格式自行编制，须随表提交相应的合同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通知书。所投产品</w:t>
      </w:r>
      <w:r>
        <w:rPr>
          <w:rFonts w:hint="eastAsia" w:ascii="宋体" w:hAnsi="宋体" w:eastAsia="宋体" w:cs="宋体"/>
          <w:color w:val="auto"/>
          <w:sz w:val="24"/>
          <w:szCs w:val="24"/>
          <w:highlight w:val="none"/>
          <w:lang w:eastAsia="zh-CN"/>
        </w:rPr>
        <w:t>类似业绩：</w:t>
      </w:r>
      <w:r>
        <w:rPr>
          <w:rFonts w:hint="eastAsia" w:ascii="宋体" w:hAnsi="宋体" w:eastAsia="宋体" w:cs="宋体"/>
          <w:color w:val="auto"/>
          <w:sz w:val="24"/>
          <w:szCs w:val="24"/>
          <w:highlight w:val="none"/>
        </w:rPr>
        <w:t>近三年（202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1月1日</w:t>
      </w:r>
      <w:r>
        <w:rPr>
          <w:rFonts w:hint="eastAsia" w:ascii="宋体" w:hAnsi="宋体" w:eastAsia="宋体" w:cs="宋体"/>
          <w:color w:val="auto"/>
          <w:sz w:val="24"/>
          <w:szCs w:val="24"/>
          <w:highlight w:val="none"/>
        </w:rPr>
        <w:t>-至今）</w:t>
      </w:r>
      <w:r>
        <w:rPr>
          <w:rFonts w:hint="eastAsia" w:ascii="宋体" w:hAnsi="宋体" w:eastAsia="宋体" w:cs="宋体"/>
          <w:color w:val="auto"/>
          <w:sz w:val="24"/>
          <w:szCs w:val="24"/>
          <w:highlight w:val="none"/>
          <w:lang w:eastAsia="zh-CN"/>
        </w:rPr>
        <w:t>。</w:t>
      </w:r>
    </w:p>
    <w:p w14:paraId="0FF23C61">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jc w:val="center"/>
        <w:textAlignment w:val="auto"/>
        <w:rPr>
          <w:rFonts w:hint="eastAsia" w:ascii="宋体" w:hAnsi="宋体" w:eastAsia="宋体" w:cs="宋体"/>
          <w:color w:val="auto"/>
          <w:kern w:val="0"/>
          <w:sz w:val="28"/>
          <w:szCs w:val="28"/>
          <w:highlight w:val="none"/>
          <w:lang w:val="zh-CN"/>
        </w:rPr>
      </w:pPr>
    </w:p>
    <w:p w14:paraId="4626E514">
      <w:pPr>
        <w:pageBreakBefore w:val="0"/>
        <w:widowControl/>
        <w:wordWrap/>
        <w:topLinePunct w:val="0"/>
        <w:bidi w:val="0"/>
        <w:spacing w:beforeAutospacing="0" w:line="24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53BC238B">
      <w:pPr>
        <w:spacing w:line="360" w:lineRule="auto"/>
        <w:jc w:val="center"/>
        <w:outlineLvl w:val="2"/>
        <w:rPr>
          <w:rFonts w:hint="eastAsia" w:ascii="宋体" w:hAnsi="宋体" w:eastAsia="宋体" w:cs="宋体"/>
          <w:b/>
          <w:bCs/>
          <w:color w:val="auto"/>
          <w:kern w:val="0"/>
          <w:sz w:val="28"/>
          <w:szCs w:val="28"/>
          <w:highlight w:val="none"/>
          <w:lang w:val="en-US" w:eastAsia="zh-CN" w:bidi="ar-SA"/>
        </w:rPr>
      </w:pPr>
      <w:bookmarkStart w:id="367" w:name="_Toc19686839"/>
      <w:r>
        <w:rPr>
          <w:rFonts w:hint="eastAsia" w:ascii="宋体" w:hAnsi="宋体" w:eastAsia="宋体" w:cs="宋体"/>
          <w:b/>
          <w:bCs/>
          <w:color w:val="auto"/>
          <w:kern w:val="0"/>
          <w:sz w:val="28"/>
          <w:szCs w:val="28"/>
          <w:highlight w:val="none"/>
          <w:lang w:val="en-US" w:eastAsia="zh-CN" w:bidi="ar-SA"/>
        </w:rPr>
        <w:t>八、拟投入项目人员情况表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95"/>
        <w:gridCol w:w="1575"/>
        <w:gridCol w:w="1080"/>
        <w:gridCol w:w="1245"/>
        <w:gridCol w:w="1140"/>
        <w:gridCol w:w="1065"/>
      </w:tblGrid>
      <w:tr w14:paraId="4952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06487C4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项目名称</w:t>
            </w:r>
          </w:p>
        </w:tc>
        <w:tc>
          <w:tcPr>
            <w:tcW w:w="6105" w:type="dxa"/>
            <w:gridSpan w:val="5"/>
            <w:noWrap w:val="0"/>
            <w:vAlign w:val="center"/>
          </w:tcPr>
          <w:p w14:paraId="01F2F274">
            <w:pPr>
              <w:shd w:val="clear" w:color="auto" w:fill="auto"/>
              <w:spacing w:line="360" w:lineRule="auto"/>
              <w:jc w:val="center"/>
              <w:rPr>
                <w:rFonts w:hint="eastAsia" w:ascii="宋体" w:hAnsi="宋体" w:eastAsia="宋体" w:cs="宋体"/>
                <w:color w:val="auto"/>
                <w:sz w:val="24"/>
                <w:szCs w:val="24"/>
                <w:highlight w:val="none"/>
              </w:rPr>
            </w:pPr>
          </w:p>
        </w:tc>
      </w:tr>
      <w:tr w14:paraId="015C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20F7D5F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项目编号</w:t>
            </w:r>
          </w:p>
        </w:tc>
        <w:tc>
          <w:tcPr>
            <w:tcW w:w="6105" w:type="dxa"/>
            <w:gridSpan w:val="5"/>
            <w:noWrap w:val="0"/>
            <w:vAlign w:val="center"/>
          </w:tcPr>
          <w:p w14:paraId="7CBB3786">
            <w:pPr>
              <w:shd w:val="clear" w:color="auto" w:fill="auto"/>
              <w:spacing w:line="360" w:lineRule="auto"/>
              <w:jc w:val="center"/>
              <w:rPr>
                <w:rFonts w:hint="eastAsia" w:ascii="宋体" w:hAnsi="宋体" w:eastAsia="宋体" w:cs="宋体"/>
                <w:color w:val="auto"/>
                <w:sz w:val="24"/>
                <w:szCs w:val="24"/>
                <w:highlight w:val="none"/>
              </w:rPr>
            </w:pPr>
          </w:p>
        </w:tc>
      </w:tr>
      <w:tr w14:paraId="00B4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noWrap w:val="0"/>
            <w:vAlign w:val="center"/>
          </w:tcPr>
          <w:p w14:paraId="5922F92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395" w:type="dxa"/>
            <w:noWrap w:val="0"/>
            <w:vAlign w:val="center"/>
          </w:tcPr>
          <w:p w14:paraId="4AC9B8D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75" w:type="dxa"/>
            <w:noWrap w:val="0"/>
            <w:vAlign w:val="center"/>
          </w:tcPr>
          <w:p w14:paraId="0859586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80" w:type="dxa"/>
            <w:noWrap w:val="0"/>
            <w:vAlign w:val="center"/>
          </w:tcPr>
          <w:p w14:paraId="388D336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45" w:type="dxa"/>
            <w:noWrap w:val="0"/>
            <w:vAlign w:val="center"/>
          </w:tcPr>
          <w:p w14:paraId="61C07AE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140" w:type="dxa"/>
            <w:noWrap w:val="0"/>
            <w:vAlign w:val="center"/>
          </w:tcPr>
          <w:p w14:paraId="28673F4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065" w:type="dxa"/>
            <w:noWrap w:val="0"/>
            <w:vAlign w:val="center"/>
          </w:tcPr>
          <w:p w14:paraId="0143DB7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67F2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0AF69B9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26AED5A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3BB3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64EBF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D6729DB">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2736B96C">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4010361">
            <w:pPr>
              <w:shd w:val="clear" w:color="auto" w:fill="auto"/>
              <w:spacing w:line="360" w:lineRule="auto"/>
              <w:jc w:val="center"/>
              <w:rPr>
                <w:rFonts w:hint="eastAsia" w:ascii="宋体" w:hAnsi="宋体" w:eastAsia="宋体" w:cs="宋体"/>
                <w:color w:val="auto"/>
                <w:sz w:val="24"/>
                <w:szCs w:val="24"/>
                <w:highlight w:val="none"/>
              </w:rPr>
            </w:pPr>
          </w:p>
        </w:tc>
      </w:tr>
      <w:tr w14:paraId="41A1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29105B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2240B5B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4E0B2D3A">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26B3C9D">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68811E5">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4A94473">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CE13C23">
            <w:pPr>
              <w:shd w:val="clear" w:color="auto" w:fill="auto"/>
              <w:spacing w:line="360" w:lineRule="auto"/>
              <w:jc w:val="center"/>
              <w:rPr>
                <w:rFonts w:hint="eastAsia" w:ascii="宋体" w:hAnsi="宋体" w:eastAsia="宋体" w:cs="宋体"/>
                <w:color w:val="auto"/>
                <w:sz w:val="24"/>
                <w:szCs w:val="24"/>
                <w:highlight w:val="none"/>
              </w:rPr>
            </w:pPr>
          </w:p>
        </w:tc>
      </w:tr>
      <w:tr w14:paraId="4E7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522154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C510792">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712049F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AB81C5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6BB82A8A">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9B3CE74">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B73485D">
            <w:pPr>
              <w:shd w:val="clear" w:color="auto" w:fill="auto"/>
              <w:spacing w:line="360" w:lineRule="auto"/>
              <w:jc w:val="center"/>
              <w:rPr>
                <w:rFonts w:hint="eastAsia" w:ascii="宋体" w:hAnsi="宋体" w:eastAsia="宋体" w:cs="宋体"/>
                <w:color w:val="auto"/>
                <w:sz w:val="24"/>
                <w:szCs w:val="24"/>
                <w:highlight w:val="none"/>
              </w:rPr>
            </w:pPr>
          </w:p>
        </w:tc>
      </w:tr>
      <w:tr w14:paraId="1F94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43022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3E63D79D">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252D392">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339A16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EA89D1D">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05C2536">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56C0762">
            <w:pPr>
              <w:shd w:val="clear" w:color="auto" w:fill="auto"/>
              <w:spacing w:line="360" w:lineRule="auto"/>
              <w:jc w:val="center"/>
              <w:rPr>
                <w:rFonts w:hint="eastAsia" w:ascii="宋体" w:hAnsi="宋体" w:eastAsia="宋体" w:cs="宋体"/>
                <w:color w:val="auto"/>
                <w:sz w:val="24"/>
                <w:szCs w:val="24"/>
                <w:highlight w:val="none"/>
              </w:rPr>
            </w:pPr>
          </w:p>
        </w:tc>
      </w:tr>
      <w:tr w14:paraId="5276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709AF37">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509EE55C">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24597F03">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780712A9">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3324BEA6">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79D4099">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B7EC5FE">
            <w:pPr>
              <w:shd w:val="clear" w:color="auto" w:fill="auto"/>
              <w:spacing w:line="360" w:lineRule="auto"/>
              <w:jc w:val="center"/>
              <w:rPr>
                <w:rFonts w:hint="eastAsia" w:ascii="宋体" w:hAnsi="宋体" w:eastAsia="宋体" w:cs="宋体"/>
                <w:color w:val="auto"/>
                <w:sz w:val="24"/>
                <w:szCs w:val="24"/>
                <w:highlight w:val="none"/>
              </w:rPr>
            </w:pPr>
          </w:p>
        </w:tc>
      </w:tr>
      <w:tr w14:paraId="1B3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71226706">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443F3BE">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11BFC05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526650E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095C6363">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6C175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22FEF4E4">
            <w:pPr>
              <w:shd w:val="clear" w:color="auto" w:fill="auto"/>
              <w:spacing w:line="360" w:lineRule="auto"/>
              <w:jc w:val="center"/>
              <w:rPr>
                <w:rFonts w:hint="eastAsia" w:ascii="宋体" w:hAnsi="宋体" w:eastAsia="宋体" w:cs="宋体"/>
                <w:color w:val="auto"/>
                <w:sz w:val="24"/>
                <w:szCs w:val="24"/>
                <w:highlight w:val="none"/>
              </w:rPr>
            </w:pPr>
          </w:p>
        </w:tc>
      </w:tr>
      <w:tr w14:paraId="421A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2F5137">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1DD8B053">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4E1B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63D0AA3">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C844FF9">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B974740">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2B9EA3A">
            <w:pPr>
              <w:shd w:val="clear" w:color="auto" w:fill="auto"/>
              <w:spacing w:line="360" w:lineRule="auto"/>
              <w:jc w:val="center"/>
              <w:rPr>
                <w:rFonts w:hint="eastAsia" w:ascii="宋体" w:hAnsi="宋体" w:eastAsia="宋体" w:cs="宋体"/>
                <w:color w:val="auto"/>
                <w:sz w:val="24"/>
                <w:szCs w:val="24"/>
                <w:highlight w:val="none"/>
              </w:rPr>
            </w:pPr>
          </w:p>
        </w:tc>
      </w:tr>
      <w:tr w14:paraId="6831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62B68A60">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D5F0B6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1D2BAA8">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794701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378B59C">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E1722B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347CE4BF">
            <w:pPr>
              <w:shd w:val="clear" w:color="auto" w:fill="auto"/>
              <w:spacing w:line="360" w:lineRule="auto"/>
              <w:jc w:val="center"/>
              <w:rPr>
                <w:rFonts w:hint="eastAsia" w:ascii="宋体" w:hAnsi="宋体" w:eastAsia="宋体" w:cs="宋体"/>
                <w:color w:val="auto"/>
                <w:sz w:val="24"/>
                <w:szCs w:val="24"/>
                <w:highlight w:val="none"/>
              </w:rPr>
            </w:pPr>
          </w:p>
        </w:tc>
      </w:tr>
      <w:tr w14:paraId="7787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1EFB834">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96F111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1BDABF">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3D8BC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EA6ED47">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56052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53B1D0AB">
            <w:pPr>
              <w:shd w:val="clear" w:color="auto" w:fill="auto"/>
              <w:spacing w:line="360" w:lineRule="auto"/>
              <w:jc w:val="center"/>
              <w:rPr>
                <w:rFonts w:hint="eastAsia" w:ascii="宋体" w:hAnsi="宋体" w:eastAsia="宋体" w:cs="宋体"/>
                <w:color w:val="auto"/>
                <w:sz w:val="24"/>
                <w:szCs w:val="24"/>
                <w:highlight w:val="none"/>
              </w:rPr>
            </w:pPr>
          </w:p>
        </w:tc>
      </w:tr>
    </w:tbl>
    <w:p w14:paraId="7B46D95C">
      <w:pPr>
        <w:pageBreakBefore w:val="0"/>
        <w:wordWrap/>
        <w:topLinePunct w:val="0"/>
        <w:bidi w:val="0"/>
        <w:snapToGrid w:val="0"/>
        <w:spacing w:beforeAutospacing="0"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w:t>
      </w:r>
      <w:r>
        <w:rPr>
          <w:rFonts w:hint="eastAsia" w:ascii="宋体" w:hAnsi="宋体" w:eastAsia="宋体" w:cs="宋体"/>
          <w:b/>
          <w:bCs/>
          <w:color w:val="auto"/>
          <w:sz w:val="24"/>
          <w:szCs w:val="24"/>
          <w:highlight w:val="none"/>
        </w:rPr>
        <w:t>以上</w:t>
      </w:r>
      <w:r>
        <w:rPr>
          <w:rFonts w:hint="eastAsia" w:ascii="宋体" w:hAnsi="宋体" w:eastAsia="宋体" w:cs="宋体"/>
          <w:b/>
          <w:bCs/>
          <w:color w:val="auto"/>
          <w:sz w:val="24"/>
          <w:szCs w:val="24"/>
          <w:highlight w:val="none"/>
          <w:lang w:val="en-US" w:eastAsia="zh-CN"/>
        </w:rPr>
        <w:t>提供相关人员</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val="en-US" w:eastAsia="zh-CN"/>
        </w:rPr>
        <w:t>。</w:t>
      </w:r>
    </w:p>
    <w:p w14:paraId="369B8897">
      <w:pPr>
        <w:pageBreakBefore w:val="0"/>
        <w:wordWrap/>
        <w:topLinePunct w:val="0"/>
        <w:bidi w:val="0"/>
        <w:snapToGrid w:val="0"/>
        <w:spacing w:beforeAutospacing="0" w:line="240" w:lineRule="auto"/>
        <w:ind w:firstLine="602" w:firstLineChars="200"/>
        <w:jc w:val="center"/>
        <w:rPr>
          <w:rFonts w:hint="eastAsia" w:ascii="宋体" w:hAnsi="宋体" w:eastAsia="宋体" w:cs="宋体"/>
          <w:b/>
          <w:bCs/>
          <w:color w:val="auto"/>
          <w:sz w:val="30"/>
          <w:szCs w:val="30"/>
          <w:highlight w:val="none"/>
        </w:rPr>
      </w:pPr>
    </w:p>
    <w:p w14:paraId="05AC6FE0">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bookmarkEnd w:id="367"/>
    <w:p w14:paraId="5F8AA60A">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九、</w:t>
      </w:r>
      <w:r>
        <w:rPr>
          <w:rFonts w:hint="eastAsia" w:ascii="宋体" w:hAnsi="宋体" w:eastAsia="宋体" w:cs="宋体"/>
          <w:b/>
          <w:bCs/>
          <w:color w:val="auto"/>
          <w:kern w:val="0"/>
          <w:sz w:val="28"/>
          <w:szCs w:val="28"/>
          <w:highlight w:val="none"/>
          <w:lang w:val="zh-CN" w:eastAsia="zh-CN" w:bidi="ar-SA"/>
        </w:rPr>
        <w:t>中小企业声明函（</w:t>
      </w:r>
      <w:r>
        <w:rPr>
          <w:rFonts w:hint="eastAsia" w:ascii="宋体" w:hAnsi="宋体" w:eastAsia="宋体" w:cs="宋体"/>
          <w:b/>
          <w:bCs/>
          <w:color w:val="auto"/>
          <w:kern w:val="0"/>
          <w:sz w:val="28"/>
          <w:szCs w:val="28"/>
          <w:highlight w:val="none"/>
          <w:lang w:val="en-US" w:eastAsia="zh-CN" w:bidi="ar-SA"/>
        </w:rPr>
        <w:t>如涉及</w:t>
      </w:r>
      <w:r>
        <w:rPr>
          <w:rFonts w:hint="eastAsia" w:ascii="宋体" w:hAnsi="宋体" w:eastAsia="宋体" w:cs="宋体"/>
          <w:b/>
          <w:bCs/>
          <w:color w:val="auto"/>
          <w:kern w:val="0"/>
          <w:sz w:val="28"/>
          <w:szCs w:val="28"/>
          <w:highlight w:val="none"/>
          <w:lang w:val="zh-CN" w:eastAsia="zh-CN" w:bidi="ar-SA"/>
        </w:rPr>
        <w:t>）</w:t>
      </w:r>
    </w:p>
    <w:p w14:paraId="3FAA1D04">
      <w:pPr>
        <w:bidi w:val="0"/>
        <w:rPr>
          <w:rFonts w:hint="eastAsia" w:ascii="宋体" w:hAnsi="宋体" w:eastAsia="宋体" w:cs="宋体"/>
          <w:color w:val="auto"/>
          <w:lang w:val="zh-CN" w:eastAsia="zh-CN"/>
        </w:rPr>
      </w:pPr>
    </w:p>
    <w:p w14:paraId="713E7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本公司（联合体）郑重声明，根据《政府采购促进中小企业发展管理办法》（财库﹝2020﹞46号）的规定，本公司（联合体）参加</w:t>
      </w:r>
      <w:r>
        <w:rPr>
          <w:rFonts w:hint="eastAsia" w:ascii="宋体" w:hAnsi="宋体" w:eastAsia="宋体" w:cs="宋体"/>
          <w:b w:val="0"/>
          <w:bCs w:val="0"/>
          <w:color w:val="auto"/>
          <w:kern w:val="0"/>
          <w:sz w:val="24"/>
          <w:szCs w:val="24"/>
          <w:highlight w:val="none"/>
          <w:u w:val="single"/>
          <w:lang w:val="zh-CN" w:eastAsia="zh-CN" w:bidi="ar-SA"/>
        </w:rPr>
        <w:t>（单位名称）的（项目名称）</w:t>
      </w:r>
      <w:r>
        <w:rPr>
          <w:rFonts w:hint="eastAsia" w:ascii="宋体" w:hAnsi="宋体" w:eastAsia="宋体" w:cs="宋体"/>
          <w:b w:val="0"/>
          <w:bCs w:val="0"/>
          <w:color w:val="auto"/>
          <w:kern w:val="0"/>
          <w:sz w:val="24"/>
          <w:szCs w:val="24"/>
          <w:highlight w:val="none"/>
          <w:lang w:val="zh-CN" w:eastAsia="zh-CN" w:bidi="ar-SA"/>
        </w:rPr>
        <w:t>采购活动，提供的货物全部由符合政策要求的中小企业制造。相关企业（含联合体中的中小企业、签订分包意向协议的中小企业）的具体情况如下：</w:t>
      </w:r>
    </w:p>
    <w:p w14:paraId="71BC9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17755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767D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w:t>
      </w:r>
    </w:p>
    <w:p w14:paraId="2DC0B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以上企业，不属于大企业的分支机构，不存在控股股东为大企业的情形，也不存在与大企业的负责人为同一人的情形。</w:t>
      </w:r>
    </w:p>
    <w:p w14:paraId="51C13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本企业对上述声明内容的真实性负责。如有虚假，将依法承担相应责任。</w:t>
      </w:r>
    </w:p>
    <w:p w14:paraId="3E0CA8EF">
      <w:pPr>
        <w:spacing w:line="360" w:lineRule="auto"/>
        <w:rPr>
          <w:rFonts w:hint="eastAsia" w:ascii="宋体" w:hAnsi="宋体" w:eastAsia="宋体" w:cs="宋体"/>
          <w:b w:val="0"/>
          <w:bCs w:val="0"/>
          <w:color w:val="auto"/>
          <w:kern w:val="0"/>
          <w:sz w:val="24"/>
          <w:szCs w:val="24"/>
          <w:highlight w:val="none"/>
          <w:lang w:val="zh-CN" w:eastAsia="zh-CN" w:bidi="ar-SA"/>
        </w:rPr>
      </w:pPr>
    </w:p>
    <w:p w14:paraId="270772DC">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企业名称（电子公章）：</w:t>
      </w:r>
    </w:p>
    <w:p w14:paraId="1F0E6CDE">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日期：</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年</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月</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日</w:t>
      </w:r>
    </w:p>
    <w:p w14:paraId="266C61A8">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注：</w:t>
      </w:r>
    </w:p>
    <w:p w14:paraId="35141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从业人员、营业收入、资产总额填报上一年度数据，无上一年度数据的新成立企业可不填报。</w:t>
      </w:r>
    </w:p>
    <w:p w14:paraId="5F8843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请根据自己的真实情况出具《中小企业声明函》。依法享受中小企业优惠政策的，采购人或者采购代理机构在公告成交结果时，同时公告其《中小企业声明函》，接受社会监督。</w:t>
      </w:r>
    </w:p>
    <w:p w14:paraId="23C78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小型、微型企业提供中型企业提供的货物的，视同为中型企业。</w:t>
      </w:r>
    </w:p>
    <w:p w14:paraId="5A54ACC8">
      <w:pPr>
        <w:pageBreakBefore w:val="0"/>
        <w:widowControl/>
        <w:wordWrap/>
        <w:topLinePunct w:val="0"/>
        <w:bidi w:val="0"/>
        <w:spacing w:beforeAutospacing="0" w:line="240" w:lineRule="auto"/>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sz w:val="28"/>
          <w:szCs w:val="28"/>
          <w:highlight w:val="none"/>
        </w:rPr>
        <w:t>附件1：</w:t>
      </w:r>
    </w:p>
    <w:p w14:paraId="193C798B">
      <w:pPr>
        <w:pageBreakBefore w:val="0"/>
        <w:wordWrap/>
        <w:topLinePunct w:val="0"/>
        <w:bidi w:val="0"/>
        <w:spacing w:beforeAutospacing="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中小微企业划型标准</w:t>
      </w:r>
    </w:p>
    <w:tbl>
      <w:tblPr>
        <w:tblStyle w:val="29"/>
        <w:tblW w:w="9335" w:type="dxa"/>
        <w:tblInd w:w="250" w:type="dxa"/>
        <w:tblLayout w:type="fixed"/>
        <w:tblCellMar>
          <w:top w:w="0" w:type="dxa"/>
          <w:left w:w="108" w:type="dxa"/>
          <w:bottom w:w="0" w:type="dxa"/>
          <w:right w:w="108" w:type="dxa"/>
        </w:tblCellMar>
      </w:tblPr>
      <w:tblGrid>
        <w:gridCol w:w="1594"/>
        <w:gridCol w:w="1375"/>
        <w:gridCol w:w="1000"/>
        <w:gridCol w:w="1175"/>
        <w:gridCol w:w="1550"/>
        <w:gridCol w:w="1462"/>
        <w:gridCol w:w="1179"/>
      </w:tblGrid>
      <w:tr w14:paraId="0F81940D">
        <w:tblPrEx>
          <w:tblCellMar>
            <w:top w:w="0" w:type="dxa"/>
            <w:left w:w="108" w:type="dxa"/>
            <w:bottom w:w="0" w:type="dxa"/>
            <w:right w:w="108" w:type="dxa"/>
          </w:tblCellMar>
        </w:tblPrEx>
        <w:trPr>
          <w:trHeight w:val="702" w:hRule="atLeast"/>
        </w:trPr>
        <w:tc>
          <w:tcPr>
            <w:tcW w:w="1594" w:type="dxa"/>
            <w:tcBorders>
              <w:top w:val="single" w:color="auto" w:sz="4" w:space="0"/>
              <w:left w:val="single" w:color="auto" w:sz="4" w:space="0"/>
              <w:bottom w:val="single" w:color="auto" w:sz="4" w:space="0"/>
              <w:right w:val="single" w:color="auto" w:sz="4" w:space="0"/>
            </w:tcBorders>
            <w:vAlign w:val="center"/>
          </w:tcPr>
          <w:p w14:paraId="53DEE40D">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75" w:type="dxa"/>
            <w:tcBorders>
              <w:top w:val="single" w:color="auto" w:sz="4" w:space="0"/>
              <w:left w:val="nil"/>
              <w:bottom w:val="single" w:color="auto" w:sz="4" w:space="0"/>
              <w:right w:val="single" w:color="auto" w:sz="4" w:space="0"/>
            </w:tcBorders>
            <w:vAlign w:val="center"/>
          </w:tcPr>
          <w:p w14:paraId="7CC6E928">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1000" w:type="dxa"/>
            <w:tcBorders>
              <w:top w:val="single" w:color="auto" w:sz="4" w:space="0"/>
              <w:left w:val="nil"/>
              <w:bottom w:val="single" w:color="auto" w:sz="4" w:space="0"/>
              <w:right w:val="single" w:color="auto" w:sz="4" w:space="0"/>
            </w:tcBorders>
            <w:vAlign w:val="center"/>
          </w:tcPr>
          <w:p w14:paraId="6250A517">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175" w:type="dxa"/>
            <w:tcBorders>
              <w:top w:val="single" w:color="auto" w:sz="4" w:space="0"/>
              <w:left w:val="nil"/>
              <w:bottom w:val="single" w:color="auto" w:sz="4" w:space="0"/>
              <w:right w:val="single" w:color="auto" w:sz="4" w:space="0"/>
            </w:tcBorders>
            <w:vAlign w:val="center"/>
          </w:tcPr>
          <w:p w14:paraId="71CBBF09">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大型</w:t>
            </w:r>
          </w:p>
        </w:tc>
        <w:tc>
          <w:tcPr>
            <w:tcW w:w="1550" w:type="dxa"/>
            <w:tcBorders>
              <w:top w:val="single" w:color="auto" w:sz="4" w:space="0"/>
              <w:left w:val="nil"/>
              <w:bottom w:val="single" w:color="auto" w:sz="4" w:space="0"/>
              <w:right w:val="single" w:color="auto" w:sz="4" w:space="0"/>
            </w:tcBorders>
            <w:vAlign w:val="center"/>
          </w:tcPr>
          <w:p w14:paraId="294021E5">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62" w:type="dxa"/>
            <w:tcBorders>
              <w:top w:val="single" w:color="auto" w:sz="4" w:space="0"/>
              <w:left w:val="nil"/>
              <w:bottom w:val="single" w:color="auto" w:sz="4" w:space="0"/>
              <w:right w:val="single" w:color="auto" w:sz="4" w:space="0"/>
            </w:tcBorders>
            <w:vAlign w:val="center"/>
          </w:tcPr>
          <w:p w14:paraId="32928892">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79" w:type="dxa"/>
            <w:tcBorders>
              <w:top w:val="single" w:color="auto" w:sz="4" w:space="0"/>
              <w:left w:val="nil"/>
              <w:bottom w:val="single" w:color="auto" w:sz="4" w:space="0"/>
              <w:right w:val="single" w:color="auto" w:sz="4" w:space="0"/>
            </w:tcBorders>
            <w:vAlign w:val="center"/>
          </w:tcPr>
          <w:p w14:paraId="772BB6BA">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E6B3192">
        <w:tblPrEx>
          <w:tblCellMar>
            <w:top w:w="0" w:type="dxa"/>
            <w:left w:w="108" w:type="dxa"/>
            <w:bottom w:w="0" w:type="dxa"/>
            <w:right w:w="108" w:type="dxa"/>
          </w:tblCellMar>
        </w:tblPrEx>
        <w:trPr>
          <w:trHeight w:val="356" w:hRule="atLeast"/>
        </w:trPr>
        <w:tc>
          <w:tcPr>
            <w:tcW w:w="1594" w:type="dxa"/>
            <w:vMerge w:val="restart"/>
            <w:tcBorders>
              <w:top w:val="nil"/>
              <w:left w:val="single" w:color="auto" w:sz="4" w:space="0"/>
              <w:bottom w:val="single" w:color="auto" w:sz="4" w:space="0"/>
              <w:right w:val="single" w:color="auto" w:sz="4" w:space="0"/>
            </w:tcBorders>
            <w:vAlign w:val="center"/>
          </w:tcPr>
          <w:p w14:paraId="3620D844">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工业</w:t>
            </w:r>
          </w:p>
        </w:tc>
        <w:tc>
          <w:tcPr>
            <w:tcW w:w="1375" w:type="dxa"/>
            <w:tcBorders>
              <w:top w:val="nil"/>
              <w:left w:val="nil"/>
              <w:bottom w:val="single" w:color="auto" w:sz="4" w:space="0"/>
              <w:right w:val="single" w:color="auto" w:sz="4" w:space="0"/>
            </w:tcBorders>
            <w:vAlign w:val="center"/>
          </w:tcPr>
          <w:p w14:paraId="5862F94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000" w:type="dxa"/>
            <w:tcBorders>
              <w:top w:val="nil"/>
              <w:left w:val="nil"/>
              <w:bottom w:val="single" w:color="auto" w:sz="4" w:space="0"/>
              <w:right w:val="single" w:color="auto" w:sz="4" w:space="0"/>
            </w:tcBorders>
            <w:vAlign w:val="center"/>
          </w:tcPr>
          <w:p w14:paraId="18D18E2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175" w:type="dxa"/>
            <w:tcBorders>
              <w:top w:val="nil"/>
              <w:left w:val="nil"/>
              <w:bottom w:val="single" w:color="auto" w:sz="4" w:space="0"/>
              <w:right w:val="single" w:color="auto" w:sz="4" w:space="0"/>
            </w:tcBorders>
            <w:vAlign w:val="center"/>
          </w:tcPr>
          <w:p w14:paraId="64D277D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X≥1000</w:t>
            </w:r>
          </w:p>
        </w:tc>
        <w:tc>
          <w:tcPr>
            <w:tcW w:w="1550" w:type="dxa"/>
            <w:tcBorders>
              <w:top w:val="nil"/>
              <w:left w:val="nil"/>
              <w:bottom w:val="single" w:color="auto" w:sz="4" w:space="0"/>
              <w:right w:val="single" w:color="auto" w:sz="4" w:space="0"/>
            </w:tcBorders>
            <w:vAlign w:val="center"/>
          </w:tcPr>
          <w:p w14:paraId="4B468438">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462" w:type="dxa"/>
            <w:tcBorders>
              <w:top w:val="nil"/>
              <w:left w:val="nil"/>
              <w:bottom w:val="single" w:color="auto" w:sz="4" w:space="0"/>
              <w:right w:val="single" w:color="auto" w:sz="4" w:space="0"/>
            </w:tcBorders>
            <w:vAlign w:val="center"/>
          </w:tcPr>
          <w:p w14:paraId="49B61570">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79" w:type="dxa"/>
            <w:tcBorders>
              <w:top w:val="nil"/>
              <w:left w:val="nil"/>
              <w:bottom w:val="single" w:color="auto" w:sz="4" w:space="0"/>
              <w:right w:val="single" w:color="auto" w:sz="4" w:space="0"/>
            </w:tcBorders>
            <w:vAlign w:val="center"/>
          </w:tcPr>
          <w:p w14:paraId="66B3EF6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779E3731">
        <w:tblPrEx>
          <w:tblCellMar>
            <w:top w:w="0" w:type="dxa"/>
            <w:left w:w="108" w:type="dxa"/>
            <w:bottom w:w="0" w:type="dxa"/>
            <w:right w:w="108" w:type="dxa"/>
          </w:tblCellMar>
        </w:tblPrEx>
        <w:trPr>
          <w:trHeight w:val="356" w:hRule="atLeast"/>
        </w:trPr>
        <w:tc>
          <w:tcPr>
            <w:tcW w:w="1594" w:type="dxa"/>
            <w:vMerge w:val="continue"/>
            <w:tcBorders>
              <w:top w:val="nil"/>
              <w:left w:val="single" w:color="auto" w:sz="4" w:space="0"/>
              <w:bottom w:val="single" w:color="auto" w:sz="4" w:space="0"/>
              <w:right w:val="single" w:color="auto" w:sz="4" w:space="0"/>
            </w:tcBorders>
            <w:vAlign w:val="center"/>
          </w:tcPr>
          <w:p w14:paraId="0B4A51E6">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p>
        </w:tc>
        <w:tc>
          <w:tcPr>
            <w:tcW w:w="1375" w:type="dxa"/>
            <w:tcBorders>
              <w:top w:val="nil"/>
              <w:left w:val="nil"/>
              <w:bottom w:val="single" w:color="auto" w:sz="4" w:space="0"/>
              <w:right w:val="single" w:color="auto" w:sz="4" w:space="0"/>
            </w:tcBorders>
            <w:vAlign w:val="center"/>
          </w:tcPr>
          <w:p w14:paraId="23A27816">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000" w:type="dxa"/>
            <w:tcBorders>
              <w:top w:val="nil"/>
              <w:left w:val="nil"/>
              <w:bottom w:val="single" w:color="auto" w:sz="4" w:space="0"/>
              <w:right w:val="single" w:color="auto" w:sz="4" w:space="0"/>
            </w:tcBorders>
            <w:vAlign w:val="center"/>
          </w:tcPr>
          <w:p w14:paraId="148E8922">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175" w:type="dxa"/>
            <w:tcBorders>
              <w:top w:val="nil"/>
              <w:left w:val="nil"/>
              <w:bottom w:val="single" w:color="auto" w:sz="4" w:space="0"/>
              <w:right w:val="single" w:color="auto" w:sz="4" w:space="0"/>
            </w:tcBorders>
            <w:vAlign w:val="center"/>
          </w:tcPr>
          <w:p w14:paraId="16662BE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Y≥40000</w:t>
            </w:r>
          </w:p>
        </w:tc>
        <w:tc>
          <w:tcPr>
            <w:tcW w:w="1550" w:type="dxa"/>
            <w:tcBorders>
              <w:top w:val="nil"/>
              <w:left w:val="nil"/>
              <w:bottom w:val="single" w:color="auto" w:sz="4" w:space="0"/>
              <w:right w:val="single" w:color="auto" w:sz="4" w:space="0"/>
            </w:tcBorders>
            <w:vAlign w:val="center"/>
          </w:tcPr>
          <w:p w14:paraId="07559B3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2000≤Y＜40000</w:t>
            </w:r>
          </w:p>
        </w:tc>
        <w:tc>
          <w:tcPr>
            <w:tcW w:w="1462" w:type="dxa"/>
            <w:tcBorders>
              <w:top w:val="nil"/>
              <w:left w:val="nil"/>
              <w:bottom w:val="single" w:color="auto" w:sz="4" w:space="0"/>
              <w:right w:val="single" w:color="auto" w:sz="4" w:space="0"/>
            </w:tcBorders>
            <w:vAlign w:val="center"/>
          </w:tcPr>
          <w:p w14:paraId="046E41C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300≤Y＜2000</w:t>
            </w:r>
          </w:p>
        </w:tc>
        <w:tc>
          <w:tcPr>
            <w:tcW w:w="1179" w:type="dxa"/>
            <w:tcBorders>
              <w:top w:val="nil"/>
              <w:left w:val="nil"/>
              <w:bottom w:val="single" w:color="auto" w:sz="4" w:space="0"/>
              <w:right w:val="single" w:color="auto" w:sz="4" w:space="0"/>
            </w:tcBorders>
            <w:vAlign w:val="center"/>
          </w:tcPr>
          <w:p w14:paraId="00FE324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bl>
    <w:p w14:paraId="7655FBAD">
      <w:pPr>
        <w:pageBreakBefore w:val="0"/>
        <w:wordWrap/>
        <w:topLinePunct w:val="0"/>
        <w:bidi w:val="0"/>
        <w:spacing w:beforeAutospacing="0" w:line="240" w:lineRule="auto"/>
        <w:ind w:firstLine="550" w:firstLineChars="250"/>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说明：大型、中型和小型企业须同时满足所列指标的下限；微型企业只须满足所列指标中的一项即可。</w:t>
      </w:r>
    </w:p>
    <w:p w14:paraId="3B199397">
      <w:pPr>
        <w:rPr>
          <w:rFonts w:hint="eastAsia" w:ascii="宋体" w:hAnsi="宋体" w:eastAsia="宋体" w:cs="宋体"/>
          <w:b/>
          <w:bCs/>
          <w:color w:val="auto"/>
          <w:sz w:val="30"/>
          <w:szCs w:val="30"/>
          <w:highlight w:val="none"/>
          <w:lang w:val="en-US" w:eastAsia="zh-CN"/>
        </w:rPr>
      </w:pPr>
    </w:p>
    <w:p w14:paraId="449D159B">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w:t>
      </w:r>
      <w:r>
        <w:rPr>
          <w:rFonts w:hint="eastAsia" w:ascii="宋体" w:hAnsi="宋体" w:eastAsia="宋体" w:cs="宋体"/>
          <w:b/>
          <w:bCs/>
          <w:color w:val="auto"/>
          <w:kern w:val="0"/>
          <w:sz w:val="28"/>
          <w:szCs w:val="28"/>
          <w:highlight w:val="none"/>
          <w:lang w:val="zh-CN" w:eastAsia="zh-CN" w:bidi="ar-SA"/>
        </w:rPr>
        <w:t>、产品及性能</w:t>
      </w:r>
    </w:p>
    <w:p w14:paraId="7C4D87FC">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0C987BD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3BDB5AC6">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2C9501B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03A45CB7">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十一</w:t>
      </w:r>
      <w:r>
        <w:rPr>
          <w:rFonts w:hint="eastAsia" w:ascii="宋体" w:hAnsi="宋体" w:eastAsia="宋体" w:cs="宋体"/>
          <w:b/>
          <w:bCs/>
          <w:color w:val="auto"/>
          <w:kern w:val="0"/>
          <w:sz w:val="28"/>
          <w:szCs w:val="28"/>
          <w:highlight w:val="none"/>
          <w:lang w:val="zh-CN" w:eastAsia="zh-CN" w:bidi="ar-SA"/>
        </w:rPr>
        <w:t>、技术方案</w:t>
      </w:r>
    </w:p>
    <w:p w14:paraId="4BE01391">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47DA616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2AAF93F9">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7970FA6">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9897B26">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0834208">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1970CDD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39F81C01">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十二、</w:t>
      </w:r>
      <w:r>
        <w:rPr>
          <w:rFonts w:hint="eastAsia" w:ascii="宋体" w:hAnsi="宋体" w:eastAsia="宋体" w:cs="宋体"/>
          <w:b/>
          <w:bCs/>
          <w:color w:val="auto"/>
          <w:kern w:val="0"/>
          <w:sz w:val="28"/>
          <w:szCs w:val="28"/>
          <w:highlight w:val="none"/>
          <w:lang w:val="zh-CN" w:eastAsia="zh-CN" w:bidi="ar-SA"/>
        </w:rPr>
        <w:t>供应商认为需要提供的其他</w:t>
      </w:r>
      <w:r>
        <w:rPr>
          <w:rFonts w:hint="eastAsia" w:ascii="宋体" w:hAnsi="宋体" w:eastAsia="宋体" w:cs="宋体"/>
          <w:b/>
          <w:bCs/>
          <w:color w:val="auto"/>
          <w:kern w:val="0"/>
          <w:sz w:val="28"/>
          <w:szCs w:val="28"/>
          <w:highlight w:val="none"/>
          <w:lang w:val="en-US" w:eastAsia="zh-CN" w:bidi="ar-SA"/>
        </w:rPr>
        <w:t>证明</w:t>
      </w:r>
      <w:r>
        <w:rPr>
          <w:rFonts w:hint="eastAsia" w:ascii="宋体" w:hAnsi="宋体" w:eastAsia="宋体" w:cs="宋体"/>
          <w:b/>
          <w:bCs/>
          <w:color w:val="auto"/>
          <w:kern w:val="0"/>
          <w:sz w:val="28"/>
          <w:szCs w:val="28"/>
          <w:highlight w:val="none"/>
          <w:lang w:val="zh-CN" w:eastAsia="zh-CN" w:bidi="ar-SA"/>
        </w:rPr>
        <w:t>材料（如有）</w:t>
      </w:r>
    </w:p>
    <w:p w14:paraId="289506C2">
      <w:pPr>
        <w:rPr>
          <w:rFonts w:hint="eastAsia" w:ascii="宋体" w:hAnsi="宋体" w:eastAsia="宋体" w:cs="宋体"/>
          <w:color w:val="auto"/>
        </w:rPr>
      </w:pPr>
    </w:p>
    <w:bookmarkEnd w:id="368"/>
    <w:sectPr>
      <w:headerReference r:id="rId4" w:type="default"/>
      <w:footerReference r:id="rId5" w:type="default"/>
      <w:pgSz w:w="11906" w:h="16838"/>
      <w:pgMar w:top="1418" w:right="1304" w:bottom="1135" w:left="130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A812">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5E1EA">
                          <w:pPr>
                            <w:pStyle w:val="19"/>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D5E1EA">
                    <w:pPr>
                      <w:pStyle w:val="19"/>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D068">
    <w:pPr>
      <w:pStyle w:val="19"/>
      <w:jc w:val="center"/>
      <w:rPr>
        <w:rFonts w:hint="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019"/>
                          </w:sdtPr>
                          <w:sdtEndPr>
                            <w:rPr>
                              <w:sz w:val="21"/>
                              <w:szCs w:val="21"/>
                            </w:rPr>
                          </w:sdtEndPr>
                          <w:sdtContent>
                            <w:p w14:paraId="469B172A">
                              <w:pPr>
                                <w:pStyle w:val="1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16D8541">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9019"/>
                    </w:sdtPr>
                    <w:sdtEndPr>
                      <w:rPr>
                        <w:sz w:val="21"/>
                        <w:szCs w:val="21"/>
                      </w:rPr>
                    </w:sdtEndPr>
                    <w:sdtContent>
                      <w:p w14:paraId="469B172A">
                        <w:pPr>
                          <w:pStyle w:val="1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16D8541">
                    <w:pPr>
                      <w:rPr>
                        <w:sz w:val="21"/>
                        <w:szCs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43C6">
    <w:pPr>
      <w:pBdr>
        <w:bottom w:val="single" w:color="auto" w:sz="6" w:space="1"/>
      </w:pBdr>
      <w:tabs>
        <w:tab w:val="center" w:pos="4153"/>
        <w:tab w:val="right" w:pos="8306"/>
      </w:tabs>
      <w:snapToGrid w:val="0"/>
      <w:ind w:firstLine="180" w:firstLineChars="100"/>
      <w:rPr>
        <w:rFonts w:hint="eastAsia" w:eastAsia="宋体"/>
        <w:lang w:eastAsia="zh-CN"/>
      </w:rPr>
    </w:pPr>
    <w:r>
      <w:rPr>
        <w:rFonts w:hint="eastAsia"/>
        <w:iCs/>
        <w:sz w:val="18"/>
        <w:szCs w:val="18"/>
        <w:lang w:eastAsia="zh-CN"/>
      </w:rPr>
      <w:t>新疆诚誉工程项目管理有限公司</w:t>
    </w:r>
    <w:r>
      <w:rPr>
        <w:rFonts w:hint="eastAsia"/>
        <w:iCs/>
        <w:sz w:val="18"/>
        <w:szCs w:val="18"/>
      </w:rPr>
      <w:t>联系电话：</w:t>
    </w:r>
    <w:r>
      <w:rPr>
        <w:rFonts w:hint="eastAsia"/>
        <w:iCs/>
        <w:sz w:val="18"/>
        <w:szCs w:val="18"/>
        <w:lang w:eastAsia="zh-CN"/>
      </w:rPr>
      <w:t>0902-2307055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F1A74B8C"/>
    <w:multiLevelType w:val="singleLevel"/>
    <w:tmpl w:val="F1A74B8C"/>
    <w:lvl w:ilvl="0" w:tentative="0">
      <w:start w:val="1"/>
      <w:numFmt w:val="decimal"/>
      <w:lvlText w:val="%1"/>
      <w:lvlJc w:val="center"/>
      <w:pPr>
        <w:tabs>
          <w:tab w:val="left" w:pos="397"/>
        </w:tabs>
        <w:ind w:left="454" w:leftChars="0" w:hanging="227" w:firstLineChars="0"/>
      </w:pPr>
      <w:rPr>
        <w:rFonts w:hint="default"/>
      </w:rPr>
    </w:lvl>
  </w:abstractNum>
  <w:abstractNum w:abstractNumId="2">
    <w:nsid w:val="36410F74"/>
    <w:multiLevelType w:val="singleLevel"/>
    <w:tmpl w:val="36410F74"/>
    <w:lvl w:ilvl="0" w:tentative="0">
      <w:start w:val="1"/>
      <w:numFmt w:val="decimal"/>
      <w:lvlText w:val="%1"/>
      <w:lvlJc w:val="center"/>
      <w:pPr>
        <w:tabs>
          <w:tab w:val="left" w:pos="397"/>
        </w:tabs>
        <w:ind w:left="454" w:leftChars="0" w:hanging="227" w:firstLineChars="0"/>
      </w:pPr>
      <w:rPr>
        <w:rFonts w:hint="default"/>
      </w:rPr>
    </w:lvl>
  </w:abstractNum>
  <w:abstractNum w:abstractNumId="3">
    <w:nsid w:val="5CCB7248"/>
    <w:multiLevelType w:val="singleLevel"/>
    <w:tmpl w:val="5CCB7248"/>
    <w:lvl w:ilvl="0" w:tentative="0">
      <w:start w:val="1"/>
      <w:numFmt w:val="decimal"/>
      <w:lvlText w:val="%1"/>
      <w:lvlJc w:val="center"/>
      <w:pPr>
        <w:tabs>
          <w:tab w:val="left" w:pos="397"/>
        </w:tabs>
        <w:ind w:left="454" w:leftChars="0" w:hanging="227" w:firstLineChars="0"/>
      </w:pPr>
      <w:rPr>
        <w:rFonts w:hint="default"/>
      </w:rPr>
    </w:lvl>
  </w:abstractNum>
  <w:abstractNum w:abstractNumId="4">
    <w:nsid w:val="757ED0B0"/>
    <w:multiLevelType w:val="singleLevel"/>
    <w:tmpl w:val="757ED0B0"/>
    <w:lvl w:ilvl="0" w:tentative="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g5ZDQ5ZDJjMWU5Nzk2MTc0OTAzZWQ0Y2U4YWEifQ=="/>
  </w:docVars>
  <w:rsids>
    <w:rsidRoot w:val="00D84C0D"/>
    <w:rsid w:val="00007214"/>
    <w:rsid w:val="00007FAC"/>
    <w:rsid w:val="00021E69"/>
    <w:rsid w:val="00035894"/>
    <w:rsid w:val="00051C7F"/>
    <w:rsid w:val="000808BB"/>
    <w:rsid w:val="00085D3B"/>
    <w:rsid w:val="000D40F5"/>
    <w:rsid w:val="000E4DA6"/>
    <w:rsid w:val="000E56E6"/>
    <w:rsid w:val="000F3306"/>
    <w:rsid w:val="000F6F69"/>
    <w:rsid w:val="0012706D"/>
    <w:rsid w:val="00140157"/>
    <w:rsid w:val="00174C9D"/>
    <w:rsid w:val="00183F77"/>
    <w:rsid w:val="0019695A"/>
    <w:rsid w:val="00196E36"/>
    <w:rsid w:val="001D3687"/>
    <w:rsid w:val="001F1417"/>
    <w:rsid w:val="00201BCB"/>
    <w:rsid w:val="00213973"/>
    <w:rsid w:val="00224602"/>
    <w:rsid w:val="00226F53"/>
    <w:rsid w:val="00242270"/>
    <w:rsid w:val="0027126F"/>
    <w:rsid w:val="00272741"/>
    <w:rsid w:val="002946E4"/>
    <w:rsid w:val="0029530A"/>
    <w:rsid w:val="002979CB"/>
    <w:rsid w:val="00297C6D"/>
    <w:rsid w:val="002A3B94"/>
    <w:rsid w:val="002B06D1"/>
    <w:rsid w:val="002F02E8"/>
    <w:rsid w:val="002F4A4A"/>
    <w:rsid w:val="00302A52"/>
    <w:rsid w:val="00311C86"/>
    <w:rsid w:val="00312E9F"/>
    <w:rsid w:val="00335F99"/>
    <w:rsid w:val="00355CE3"/>
    <w:rsid w:val="00373F6F"/>
    <w:rsid w:val="00381EE1"/>
    <w:rsid w:val="00382CCF"/>
    <w:rsid w:val="00387839"/>
    <w:rsid w:val="003B4159"/>
    <w:rsid w:val="003B6813"/>
    <w:rsid w:val="003C03CE"/>
    <w:rsid w:val="003C5B94"/>
    <w:rsid w:val="003C7EC9"/>
    <w:rsid w:val="003D2593"/>
    <w:rsid w:val="003E1E10"/>
    <w:rsid w:val="004071BA"/>
    <w:rsid w:val="00435A3A"/>
    <w:rsid w:val="00460712"/>
    <w:rsid w:val="00472B48"/>
    <w:rsid w:val="0048459E"/>
    <w:rsid w:val="00492DF7"/>
    <w:rsid w:val="004977D8"/>
    <w:rsid w:val="004B1812"/>
    <w:rsid w:val="004E4C2B"/>
    <w:rsid w:val="00506AC3"/>
    <w:rsid w:val="00515314"/>
    <w:rsid w:val="00515428"/>
    <w:rsid w:val="0051695E"/>
    <w:rsid w:val="00523494"/>
    <w:rsid w:val="00546388"/>
    <w:rsid w:val="005465AE"/>
    <w:rsid w:val="00557262"/>
    <w:rsid w:val="00560FDB"/>
    <w:rsid w:val="0057418C"/>
    <w:rsid w:val="00576B6D"/>
    <w:rsid w:val="005A1481"/>
    <w:rsid w:val="005B5A12"/>
    <w:rsid w:val="005C3E0B"/>
    <w:rsid w:val="005C5520"/>
    <w:rsid w:val="005D71BD"/>
    <w:rsid w:val="005E1118"/>
    <w:rsid w:val="005E1831"/>
    <w:rsid w:val="005F04B7"/>
    <w:rsid w:val="006105F0"/>
    <w:rsid w:val="00630AFC"/>
    <w:rsid w:val="00643EAD"/>
    <w:rsid w:val="00644379"/>
    <w:rsid w:val="0064731C"/>
    <w:rsid w:val="00674048"/>
    <w:rsid w:val="00674F78"/>
    <w:rsid w:val="006764DD"/>
    <w:rsid w:val="006812FF"/>
    <w:rsid w:val="00690602"/>
    <w:rsid w:val="00695396"/>
    <w:rsid w:val="00695F87"/>
    <w:rsid w:val="006A7E61"/>
    <w:rsid w:val="006B63CA"/>
    <w:rsid w:val="006B79A6"/>
    <w:rsid w:val="006E1C15"/>
    <w:rsid w:val="006E3CDC"/>
    <w:rsid w:val="006E6E2E"/>
    <w:rsid w:val="006E7187"/>
    <w:rsid w:val="006E7553"/>
    <w:rsid w:val="006F2985"/>
    <w:rsid w:val="006F3110"/>
    <w:rsid w:val="00722FA1"/>
    <w:rsid w:val="00741628"/>
    <w:rsid w:val="0074660A"/>
    <w:rsid w:val="0075107A"/>
    <w:rsid w:val="00790526"/>
    <w:rsid w:val="007A54C8"/>
    <w:rsid w:val="007D496A"/>
    <w:rsid w:val="007E5CDE"/>
    <w:rsid w:val="007F4314"/>
    <w:rsid w:val="007F56D9"/>
    <w:rsid w:val="00820724"/>
    <w:rsid w:val="0083276A"/>
    <w:rsid w:val="008432DE"/>
    <w:rsid w:val="00861045"/>
    <w:rsid w:val="008B75D8"/>
    <w:rsid w:val="008D71AC"/>
    <w:rsid w:val="00910519"/>
    <w:rsid w:val="009240A1"/>
    <w:rsid w:val="00975A8F"/>
    <w:rsid w:val="00993B84"/>
    <w:rsid w:val="009C01E9"/>
    <w:rsid w:val="009E18EF"/>
    <w:rsid w:val="00A100A5"/>
    <w:rsid w:val="00A1237C"/>
    <w:rsid w:val="00A414AD"/>
    <w:rsid w:val="00A50B51"/>
    <w:rsid w:val="00A52B0B"/>
    <w:rsid w:val="00A70941"/>
    <w:rsid w:val="00A92ADF"/>
    <w:rsid w:val="00AD095F"/>
    <w:rsid w:val="00B0560B"/>
    <w:rsid w:val="00B247E0"/>
    <w:rsid w:val="00B5162D"/>
    <w:rsid w:val="00B97696"/>
    <w:rsid w:val="00BA1EDB"/>
    <w:rsid w:val="00BA37D3"/>
    <w:rsid w:val="00BB0B82"/>
    <w:rsid w:val="00BC6B31"/>
    <w:rsid w:val="00C02914"/>
    <w:rsid w:val="00C038D5"/>
    <w:rsid w:val="00C07D99"/>
    <w:rsid w:val="00C26EEF"/>
    <w:rsid w:val="00C30F6B"/>
    <w:rsid w:val="00C3399E"/>
    <w:rsid w:val="00C4175C"/>
    <w:rsid w:val="00C61B71"/>
    <w:rsid w:val="00C63C55"/>
    <w:rsid w:val="00C721E2"/>
    <w:rsid w:val="00C94AE9"/>
    <w:rsid w:val="00CA1590"/>
    <w:rsid w:val="00CA3FF4"/>
    <w:rsid w:val="00CB10AB"/>
    <w:rsid w:val="00CB760D"/>
    <w:rsid w:val="00CC6BD9"/>
    <w:rsid w:val="00CE5E95"/>
    <w:rsid w:val="00D06BE3"/>
    <w:rsid w:val="00D072FD"/>
    <w:rsid w:val="00D30F9F"/>
    <w:rsid w:val="00D36813"/>
    <w:rsid w:val="00D47D1D"/>
    <w:rsid w:val="00D6182E"/>
    <w:rsid w:val="00D726A5"/>
    <w:rsid w:val="00D76587"/>
    <w:rsid w:val="00D816D4"/>
    <w:rsid w:val="00D84C0D"/>
    <w:rsid w:val="00D9301D"/>
    <w:rsid w:val="00DB25A6"/>
    <w:rsid w:val="00DB3F0C"/>
    <w:rsid w:val="00DE5FB0"/>
    <w:rsid w:val="00E06C20"/>
    <w:rsid w:val="00E3183C"/>
    <w:rsid w:val="00E330A7"/>
    <w:rsid w:val="00E61BDB"/>
    <w:rsid w:val="00E90621"/>
    <w:rsid w:val="00E90B0D"/>
    <w:rsid w:val="00E9315F"/>
    <w:rsid w:val="00EB3557"/>
    <w:rsid w:val="00ED00B9"/>
    <w:rsid w:val="00F00798"/>
    <w:rsid w:val="00F1422B"/>
    <w:rsid w:val="00F20CA5"/>
    <w:rsid w:val="00F219CE"/>
    <w:rsid w:val="00F21E1A"/>
    <w:rsid w:val="00F27C40"/>
    <w:rsid w:val="00F46350"/>
    <w:rsid w:val="00F52A1A"/>
    <w:rsid w:val="00FA72DC"/>
    <w:rsid w:val="00FC276D"/>
    <w:rsid w:val="00FD41E0"/>
    <w:rsid w:val="00FF4F6C"/>
    <w:rsid w:val="02114B87"/>
    <w:rsid w:val="028566CF"/>
    <w:rsid w:val="045A18D7"/>
    <w:rsid w:val="08122176"/>
    <w:rsid w:val="0A6D2D13"/>
    <w:rsid w:val="0CD33AD2"/>
    <w:rsid w:val="0EF2286B"/>
    <w:rsid w:val="124A70DD"/>
    <w:rsid w:val="12AF1152"/>
    <w:rsid w:val="15B17473"/>
    <w:rsid w:val="1840063A"/>
    <w:rsid w:val="1DA01AB3"/>
    <w:rsid w:val="204F5C2E"/>
    <w:rsid w:val="27BB1816"/>
    <w:rsid w:val="29670BB4"/>
    <w:rsid w:val="2AD31EC7"/>
    <w:rsid w:val="2E426A62"/>
    <w:rsid w:val="2E6B4D59"/>
    <w:rsid w:val="30F7388E"/>
    <w:rsid w:val="32164949"/>
    <w:rsid w:val="37D526F5"/>
    <w:rsid w:val="38602553"/>
    <w:rsid w:val="3D8201AD"/>
    <w:rsid w:val="41230975"/>
    <w:rsid w:val="455629DF"/>
    <w:rsid w:val="462A7B51"/>
    <w:rsid w:val="46D349F0"/>
    <w:rsid w:val="48C17E2E"/>
    <w:rsid w:val="4A346B28"/>
    <w:rsid w:val="518E32E0"/>
    <w:rsid w:val="58C44402"/>
    <w:rsid w:val="58F5539A"/>
    <w:rsid w:val="59240B1F"/>
    <w:rsid w:val="59C10CB8"/>
    <w:rsid w:val="5A1B4488"/>
    <w:rsid w:val="5FA358DC"/>
    <w:rsid w:val="6F7A15A2"/>
    <w:rsid w:val="716E3BDA"/>
    <w:rsid w:val="72475FE9"/>
    <w:rsid w:val="75F934E2"/>
    <w:rsid w:val="76DC6E65"/>
    <w:rsid w:val="7725315F"/>
    <w:rsid w:val="7CC57FF7"/>
    <w:rsid w:val="7D4150B6"/>
    <w:rsid w:val="7DA8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0"/>
    <w:qFormat/>
    <w:uiPriority w:val="0"/>
    <w:pPr>
      <w:keepNext/>
      <w:keepLines/>
      <w:widowControl/>
      <w:numPr>
        <w:ilvl w:val="3"/>
        <w:numId w:val="1"/>
      </w:numPr>
      <w:adjustRightInd w:val="0"/>
      <w:spacing w:before="280" w:after="290" w:line="376" w:lineRule="atLeast"/>
      <w:jc w:val="left"/>
      <w:textAlignment w:val="baseline"/>
      <w:outlineLvl w:val="3"/>
    </w:pPr>
    <w:rPr>
      <w:rFonts w:ascii="Arial" w:hAnsi="Arial" w:eastAsia="黑体" w:cs="宋体"/>
      <w:b/>
      <w:bCs/>
      <w:kern w:val="0"/>
      <w:sz w:val="28"/>
      <w:szCs w:val="28"/>
    </w:rPr>
  </w:style>
  <w:style w:type="paragraph" w:styleId="8">
    <w:name w:val="heading 6"/>
    <w:basedOn w:val="1"/>
    <w:next w:val="1"/>
    <w:link w:val="61"/>
    <w:qFormat/>
    <w:uiPriority w:val="0"/>
    <w:pPr>
      <w:keepNext/>
      <w:keepLines/>
      <w:widowControl/>
      <w:spacing w:before="240" w:after="64" w:line="320" w:lineRule="auto"/>
      <w:jc w:val="left"/>
      <w:outlineLvl w:val="5"/>
    </w:pPr>
    <w:rPr>
      <w:rFonts w:ascii="等线 Light" w:hAnsi="等线 Light" w:eastAsia="等线 Light" w:cs="Times New Roman"/>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5"/>
    <w:qFormat/>
    <w:uiPriority w:val="0"/>
    <w:pPr>
      <w:spacing w:line="360" w:lineRule="auto"/>
    </w:pPr>
    <w:rPr>
      <w:rFonts w:ascii="宋体" w:hAnsi="宋体"/>
      <w:b/>
      <w:bCs/>
    </w:rPr>
  </w:style>
  <w:style w:type="paragraph" w:styleId="5">
    <w:name w:val="Normal Indent"/>
    <w:basedOn w:val="1"/>
    <w:link w:val="53"/>
    <w:unhideWhenUsed/>
    <w:qFormat/>
    <w:uiPriority w:val="99"/>
    <w:pPr>
      <w:ind w:firstLine="420" w:firstLineChars="200"/>
    </w:pPr>
    <w:rPr>
      <w:rFonts w:ascii="Times New Roman" w:hAnsi="Times New Roman"/>
      <w:szCs w:val="24"/>
    </w:rPr>
  </w:style>
  <w:style w:type="paragraph" w:styleId="9">
    <w:name w:val="Document Map"/>
    <w:basedOn w:val="1"/>
    <w:link w:val="62"/>
    <w:semiHidden/>
    <w:qFormat/>
    <w:uiPriority w:val="0"/>
    <w:pPr>
      <w:widowControl/>
      <w:shd w:val="clear" w:color="auto" w:fill="000080"/>
      <w:jc w:val="left"/>
    </w:pPr>
    <w:rPr>
      <w:rFonts w:ascii="Times New Roman" w:hAnsi="Times New Roman" w:eastAsia="宋体" w:cs="Times New Roman"/>
      <w:kern w:val="0"/>
      <w:sz w:val="2"/>
      <w:szCs w:val="20"/>
    </w:rPr>
  </w:style>
  <w:style w:type="paragraph" w:styleId="10">
    <w:name w:val="toa heading"/>
    <w:basedOn w:val="1"/>
    <w:next w:val="1"/>
    <w:qFormat/>
    <w:uiPriority w:val="0"/>
    <w:pPr>
      <w:spacing w:before="120"/>
    </w:pPr>
    <w:rPr>
      <w:rFonts w:ascii="Arial" w:hAnsi="Arial" w:eastAsia="微软雅黑" w:cs="Times New Roman"/>
      <w:sz w:val="24"/>
      <w:szCs w:val="21"/>
    </w:rPr>
  </w:style>
  <w:style w:type="paragraph" w:styleId="11">
    <w:name w:val="annotation text"/>
    <w:basedOn w:val="1"/>
    <w:link w:val="63"/>
    <w:qFormat/>
    <w:uiPriority w:val="99"/>
    <w:pPr>
      <w:widowControl/>
      <w:jc w:val="left"/>
    </w:pPr>
    <w:rPr>
      <w:rFonts w:ascii="Times New Roman" w:hAnsi="Times New Roman" w:eastAsia="宋体" w:cs="Times New Roman"/>
      <w:sz w:val="28"/>
      <w:szCs w:val="20"/>
    </w:rPr>
  </w:style>
  <w:style w:type="paragraph" w:styleId="12">
    <w:name w:val="Body Text"/>
    <w:basedOn w:val="1"/>
    <w:link w:val="64"/>
    <w:qFormat/>
    <w:uiPriority w:val="0"/>
    <w:rPr>
      <w:rFonts w:ascii="Arial" w:hAnsi="Arial"/>
      <w:kern w:val="0"/>
      <w:sz w:val="24"/>
    </w:rPr>
  </w:style>
  <w:style w:type="paragraph" w:styleId="13">
    <w:name w:val="Body Text Indent"/>
    <w:basedOn w:val="1"/>
    <w:next w:val="14"/>
    <w:link w:val="45"/>
    <w:unhideWhenUsed/>
    <w:qFormat/>
    <w:uiPriority w:val="0"/>
    <w:pPr>
      <w:spacing w:after="120"/>
      <w:ind w:left="420" w:leftChars="200"/>
    </w:pPr>
  </w:style>
  <w:style w:type="paragraph" w:styleId="14">
    <w:name w:val="Body Text First Indent"/>
    <w:basedOn w:val="12"/>
    <w:next w:val="1"/>
    <w:qFormat/>
    <w:uiPriority w:val="99"/>
    <w:pPr>
      <w:spacing w:after="120"/>
      <w:ind w:firstLine="420" w:firstLineChars="100"/>
    </w:pPr>
  </w:style>
  <w:style w:type="paragraph" w:styleId="15">
    <w:name w:val="Plain Text"/>
    <w:basedOn w:val="1"/>
    <w:link w:val="46"/>
    <w:qFormat/>
    <w:uiPriority w:val="99"/>
    <w:rPr>
      <w:rFonts w:ascii="宋体" w:hAnsi="Courier New" w:eastAsia="宋体"/>
    </w:rPr>
  </w:style>
  <w:style w:type="paragraph" w:styleId="16">
    <w:name w:val="Date"/>
    <w:basedOn w:val="1"/>
    <w:next w:val="1"/>
    <w:link w:val="65"/>
    <w:qFormat/>
    <w:uiPriority w:val="0"/>
    <w:pPr>
      <w:widowControl/>
      <w:adjustRightInd w:val="0"/>
      <w:spacing w:line="360" w:lineRule="atLeast"/>
      <w:ind w:firstLine="454"/>
      <w:jc w:val="left"/>
      <w:textAlignment w:val="baseline"/>
    </w:pPr>
    <w:rPr>
      <w:rFonts w:ascii="Times New Roman" w:hAnsi="Times New Roman" w:eastAsia="宋体" w:cs="Times New Roman"/>
      <w:kern w:val="0"/>
      <w:sz w:val="20"/>
      <w:szCs w:val="20"/>
    </w:rPr>
  </w:style>
  <w:style w:type="paragraph" w:styleId="17">
    <w:name w:val="Body Text Indent 2"/>
    <w:basedOn w:val="1"/>
    <w:link w:val="66"/>
    <w:qFormat/>
    <w:uiPriority w:val="0"/>
    <w:pPr>
      <w:widowControl/>
      <w:ind w:firstLine="480"/>
      <w:jc w:val="left"/>
    </w:pPr>
    <w:rPr>
      <w:rFonts w:ascii="Times New Roman" w:hAnsi="Times New Roman" w:eastAsia="宋体" w:cs="Times New Roman"/>
      <w:kern w:val="0"/>
      <w:sz w:val="20"/>
      <w:szCs w:val="20"/>
    </w:rPr>
  </w:style>
  <w:style w:type="paragraph" w:styleId="18">
    <w:name w:val="Balloon Text"/>
    <w:basedOn w:val="1"/>
    <w:link w:val="67"/>
    <w:qFormat/>
    <w:uiPriority w:val="0"/>
    <w:pPr>
      <w:widowControl/>
      <w:jc w:val="left"/>
    </w:pPr>
    <w:rPr>
      <w:rFonts w:ascii="宋体" w:hAnsi="宋体" w:eastAsia="宋体" w:cs="宋体"/>
      <w:kern w:val="0"/>
      <w:sz w:val="18"/>
      <w:szCs w:val="18"/>
    </w:rPr>
  </w:style>
  <w:style w:type="paragraph" w:styleId="19">
    <w:name w:val="footer"/>
    <w:basedOn w:val="1"/>
    <w:link w:val="41"/>
    <w:unhideWhenUsed/>
    <w:qFormat/>
    <w:uiPriority w:val="0"/>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cs="Arial"/>
    </w:rPr>
  </w:style>
  <w:style w:type="paragraph" w:styleId="21">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footnote text"/>
    <w:basedOn w:val="1"/>
    <w:link w:val="54"/>
    <w:qFormat/>
    <w:uiPriority w:val="0"/>
    <w:pPr>
      <w:snapToGrid w:val="0"/>
      <w:jc w:val="left"/>
    </w:pPr>
    <w:rPr>
      <w:rFonts w:ascii="Times New Roman" w:hAnsi="Times New Roman" w:eastAsia="宋体" w:cs="Times New Roman"/>
      <w:sz w:val="18"/>
      <w:szCs w:val="21"/>
    </w:rPr>
  </w:style>
  <w:style w:type="paragraph" w:styleId="24">
    <w:name w:val="toc 2"/>
    <w:basedOn w:val="1"/>
    <w:next w:val="1"/>
    <w:unhideWhenUsed/>
    <w:qFormat/>
    <w:uiPriority w:val="39"/>
    <w:pPr>
      <w:ind w:left="420" w:leftChars="200"/>
    </w:pPr>
  </w:style>
  <w:style w:type="paragraph" w:styleId="25">
    <w:name w:val="HTML Preformatted"/>
    <w:basedOn w:val="1"/>
    <w:link w:val="68"/>
    <w:qFormat/>
    <w:uiPriority w:val="0"/>
    <w:pPr>
      <w:widowControl/>
      <w:spacing w:line="360" w:lineRule="auto"/>
      <w:jc w:val="left"/>
    </w:pPr>
    <w:rPr>
      <w:rFonts w:ascii="Courier New" w:hAnsi="Courier New" w:eastAsia="宋体" w:cs="宋体"/>
      <w:kern w:val="0"/>
      <w:sz w:val="20"/>
      <w:szCs w:val="20"/>
    </w:rPr>
  </w:style>
  <w:style w:type="paragraph" w:styleId="26">
    <w:name w:val="Normal (Web)"/>
    <w:basedOn w:val="1"/>
    <w:link w:val="69"/>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annotation subject"/>
    <w:basedOn w:val="11"/>
    <w:next w:val="11"/>
    <w:link w:val="70"/>
    <w:qFormat/>
    <w:uiPriority w:val="0"/>
    <w:rPr>
      <w:b/>
      <w:bCs/>
    </w:rPr>
  </w:style>
  <w:style w:type="paragraph" w:styleId="28">
    <w:name w:val="Body Text First Indent 2"/>
    <w:basedOn w:val="13"/>
    <w:next w:val="1"/>
    <w:qFormat/>
    <w:uiPriority w:val="0"/>
    <w:pPr>
      <w:ind w:firstLine="420" w:firstLineChars="200"/>
    </w:pPr>
    <w:rPr>
      <w:rFonts w:ascii="Times New Roman" w:hAnsi="Times New Roman" w:eastAsia="宋?" w:cs="Times New Roman"/>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qFormat/>
    <w:uiPriority w:val="0"/>
    <w:rPr>
      <w:rFonts w:cs="Times New Roman"/>
    </w:rPr>
  </w:style>
  <w:style w:type="character" w:styleId="34">
    <w:name w:val="FollowedHyperlink"/>
    <w:qFormat/>
    <w:uiPriority w:val="0"/>
    <w:rPr>
      <w:color w:val="800080"/>
      <w:u w:val="single"/>
    </w:rPr>
  </w:style>
  <w:style w:type="character" w:styleId="35">
    <w:name w:val="Hyperlink"/>
    <w:basedOn w:val="31"/>
    <w:unhideWhenUsed/>
    <w:qFormat/>
    <w:uiPriority w:val="99"/>
    <w:rPr>
      <w:color w:val="0563C1" w:themeColor="hyperlink"/>
      <w:u w:val="single"/>
      <w14:textFill>
        <w14:solidFill>
          <w14:schemeClr w14:val="hlink"/>
        </w14:solidFill>
      </w14:textFill>
    </w:rPr>
  </w:style>
  <w:style w:type="character" w:styleId="36">
    <w:name w:val="annotation reference"/>
    <w:qFormat/>
    <w:uiPriority w:val="99"/>
    <w:rPr>
      <w:rFonts w:cs="Times New Roman"/>
      <w:sz w:val="21"/>
      <w:szCs w:val="21"/>
    </w:rPr>
  </w:style>
  <w:style w:type="character" w:styleId="37">
    <w:name w:val="HTML Sample"/>
    <w:basedOn w:val="31"/>
    <w:semiHidden/>
    <w:unhideWhenUsed/>
    <w:qFormat/>
    <w:uiPriority w:val="99"/>
    <w:rPr>
      <w:rFonts w:ascii="宋体" w:hAnsi="宋体" w:eastAsia="宋体" w:cs="宋体"/>
    </w:rPr>
  </w:style>
  <w:style w:type="paragraph" w:customStyle="1" w:styleId="38">
    <w:name w:val="Default"/>
    <w:next w:val="39"/>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39">
    <w:name w:val="大标题"/>
    <w:basedOn w:val="1"/>
    <w:next w:val="28"/>
    <w:qFormat/>
    <w:uiPriority w:val="0"/>
    <w:pPr>
      <w:jc w:val="center"/>
    </w:pPr>
    <w:rPr>
      <w:rFonts w:ascii="Arial" w:hAnsi="Arial" w:eastAsia="宋体" w:cs="Times New Roman"/>
      <w:b/>
      <w:sz w:val="28"/>
      <w:szCs w:val="24"/>
    </w:rPr>
  </w:style>
  <w:style w:type="character" w:customStyle="1" w:styleId="40">
    <w:name w:val="页眉 字符"/>
    <w:basedOn w:val="31"/>
    <w:link w:val="21"/>
    <w:qFormat/>
    <w:uiPriority w:val="0"/>
    <w:rPr>
      <w:sz w:val="18"/>
      <w:szCs w:val="18"/>
    </w:rPr>
  </w:style>
  <w:style w:type="character" w:customStyle="1" w:styleId="41">
    <w:name w:val="页脚 字符"/>
    <w:basedOn w:val="31"/>
    <w:link w:val="19"/>
    <w:qFormat/>
    <w:uiPriority w:val="0"/>
    <w:rPr>
      <w:sz w:val="18"/>
      <w:szCs w:val="18"/>
    </w:rPr>
  </w:style>
  <w:style w:type="character" w:customStyle="1" w:styleId="42">
    <w:name w:val="标题 1 字符"/>
    <w:basedOn w:val="31"/>
    <w:link w:val="2"/>
    <w:qFormat/>
    <w:uiPriority w:val="0"/>
    <w:rPr>
      <w:b/>
      <w:bCs/>
      <w:kern w:val="44"/>
      <w:sz w:val="44"/>
      <w:szCs w:val="44"/>
    </w:rPr>
  </w:style>
  <w:style w:type="character" w:customStyle="1" w:styleId="43">
    <w:name w:val="bookmark-item"/>
    <w:basedOn w:val="31"/>
    <w:qFormat/>
    <w:uiPriority w:val="0"/>
  </w:style>
  <w:style w:type="character" w:customStyle="1" w:styleId="44">
    <w:name w:val="标题 2 字符"/>
    <w:basedOn w:val="31"/>
    <w:link w:val="3"/>
    <w:qFormat/>
    <w:uiPriority w:val="0"/>
    <w:rPr>
      <w:rFonts w:asciiTheme="majorHAnsi" w:hAnsiTheme="majorHAnsi" w:eastAsiaTheme="majorEastAsia" w:cstheme="majorBidi"/>
      <w:b/>
      <w:bCs/>
      <w:sz w:val="32"/>
      <w:szCs w:val="32"/>
    </w:rPr>
  </w:style>
  <w:style w:type="character" w:customStyle="1" w:styleId="45">
    <w:name w:val="正文文本缩进 字符"/>
    <w:basedOn w:val="31"/>
    <w:link w:val="13"/>
    <w:semiHidden/>
    <w:qFormat/>
    <w:uiPriority w:val="0"/>
  </w:style>
  <w:style w:type="character" w:customStyle="1" w:styleId="46">
    <w:name w:val="纯文本 字符1"/>
    <w:link w:val="15"/>
    <w:qFormat/>
    <w:locked/>
    <w:uiPriority w:val="99"/>
    <w:rPr>
      <w:rFonts w:ascii="宋体" w:hAnsi="Courier New" w:eastAsia="宋体"/>
    </w:rPr>
  </w:style>
  <w:style w:type="character" w:customStyle="1" w:styleId="47">
    <w:name w:val="纯文本 字符"/>
    <w:basedOn w:val="31"/>
    <w:qFormat/>
    <w:uiPriority w:val="99"/>
    <w:rPr>
      <w:rFonts w:hAnsi="Courier New" w:cs="Courier New" w:asciiTheme="minorEastAsia"/>
    </w:rPr>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50">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3">
    <w:name w:val="正文缩进 字符"/>
    <w:link w:val="5"/>
    <w:qFormat/>
    <w:uiPriority w:val="99"/>
    <w:rPr>
      <w:rFonts w:eastAsiaTheme="minorEastAsia" w:cstheme="minorBidi"/>
      <w:kern w:val="2"/>
      <w:sz w:val="21"/>
      <w:szCs w:val="24"/>
    </w:rPr>
  </w:style>
  <w:style w:type="character" w:customStyle="1" w:styleId="54">
    <w:name w:val="脚注文本 字符"/>
    <w:basedOn w:val="31"/>
    <w:link w:val="23"/>
    <w:qFormat/>
    <w:uiPriority w:val="0"/>
    <w:rPr>
      <w:kern w:val="2"/>
      <w:sz w:val="18"/>
      <w:szCs w:val="21"/>
    </w:rPr>
  </w:style>
  <w:style w:type="paragraph" w:customStyle="1" w:styleId="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6">
    <w:name w:val="NormalCharacter"/>
    <w:qFormat/>
    <w:uiPriority w:val="0"/>
  </w:style>
  <w:style w:type="paragraph" w:customStyle="1" w:styleId="5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1_1_0"/>
    <w:qFormat/>
    <w:uiPriority w:val="0"/>
    <w:pPr>
      <w:widowControl w:val="0"/>
      <w:jc w:val="both"/>
    </w:pPr>
    <w:rPr>
      <w:rFonts w:ascii="Times New Roman" w:hAnsi="Times New Roman" w:eastAsia="宋体" w:cs="Times New Roman"/>
      <w:lang w:val="en-US" w:eastAsia="zh-CN" w:bidi="ar-SA"/>
    </w:rPr>
  </w:style>
  <w:style w:type="character" w:customStyle="1" w:styleId="59">
    <w:name w:val="标题 3 字符"/>
    <w:basedOn w:val="31"/>
    <w:link w:val="6"/>
    <w:semiHidden/>
    <w:qFormat/>
    <w:uiPriority w:val="0"/>
    <w:rPr>
      <w:rFonts w:asciiTheme="minorHAnsi" w:hAnsiTheme="minorHAnsi" w:eastAsiaTheme="minorEastAsia" w:cstheme="minorBidi"/>
      <w:b/>
      <w:bCs/>
      <w:kern w:val="2"/>
      <w:sz w:val="32"/>
      <w:szCs w:val="32"/>
    </w:rPr>
  </w:style>
  <w:style w:type="character" w:customStyle="1" w:styleId="60">
    <w:name w:val="标题 4 字符"/>
    <w:basedOn w:val="31"/>
    <w:link w:val="7"/>
    <w:qFormat/>
    <w:uiPriority w:val="0"/>
    <w:rPr>
      <w:rFonts w:ascii="Arial" w:hAnsi="Arial" w:eastAsia="黑体" w:cs="宋体"/>
      <w:b/>
      <w:bCs/>
      <w:sz w:val="28"/>
      <w:szCs w:val="28"/>
    </w:rPr>
  </w:style>
  <w:style w:type="character" w:customStyle="1" w:styleId="61">
    <w:name w:val="标题 6 字符"/>
    <w:basedOn w:val="31"/>
    <w:link w:val="8"/>
    <w:qFormat/>
    <w:uiPriority w:val="0"/>
    <w:rPr>
      <w:rFonts w:ascii="等线 Light" w:hAnsi="等线 Light" w:eastAsia="等线 Light"/>
      <w:b/>
      <w:bCs/>
      <w:kern w:val="2"/>
      <w:sz w:val="24"/>
      <w:szCs w:val="24"/>
    </w:rPr>
  </w:style>
  <w:style w:type="character" w:customStyle="1" w:styleId="62">
    <w:name w:val="文档结构图 字符"/>
    <w:basedOn w:val="31"/>
    <w:link w:val="9"/>
    <w:semiHidden/>
    <w:qFormat/>
    <w:uiPriority w:val="0"/>
    <w:rPr>
      <w:sz w:val="2"/>
      <w:shd w:val="clear" w:color="auto" w:fill="000080"/>
    </w:rPr>
  </w:style>
  <w:style w:type="character" w:customStyle="1" w:styleId="63">
    <w:name w:val="批注文字 字符"/>
    <w:basedOn w:val="31"/>
    <w:link w:val="11"/>
    <w:qFormat/>
    <w:uiPriority w:val="99"/>
    <w:rPr>
      <w:kern w:val="2"/>
      <w:sz w:val="28"/>
    </w:rPr>
  </w:style>
  <w:style w:type="character" w:customStyle="1" w:styleId="64">
    <w:name w:val="正文文本 字符"/>
    <w:link w:val="12"/>
    <w:qFormat/>
    <w:locked/>
    <w:uiPriority w:val="0"/>
    <w:rPr>
      <w:rFonts w:ascii="Arial" w:hAnsi="Arial" w:eastAsiaTheme="minorEastAsia" w:cstheme="minorBidi"/>
      <w:sz w:val="24"/>
      <w:szCs w:val="22"/>
    </w:rPr>
  </w:style>
  <w:style w:type="character" w:customStyle="1" w:styleId="65">
    <w:name w:val="日期 字符"/>
    <w:basedOn w:val="31"/>
    <w:link w:val="16"/>
    <w:qFormat/>
    <w:uiPriority w:val="0"/>
  </w:style>
  <w:style w:type="character" w:customStyle="1" w:styleId="66">
    <w:name w:val="正文文本缩进 2 字符"/>
    <w:basedOn w:val="31"/>
    <w:link w:val="17"/>
    <w:qFormat/>
    <w:uiPriority w:val="0"/>
  </w:style>
  <w:style w:type="character" w:customStyle="1" w:styleId="67">
    <w:name w:val="批注框文本 字符"/>
    <w:basedOn w:val="31"/>
    <w:link w:val="18"/>
    <w:qFormat/>
    <w:uiPriority w:val="0"/>
    <w:rPr>
      <w:rFonts w:ascii="宋体" w:hAnsi="宋体" w:cs="宋体"/>
      <w:sz w:val="18"/>
      <w:szCs w:val="18"/>
    </w:rPr>
  </w:style>
  <w:style w:type="character" w:customStyle="1" w:styleId="68">
    <w:name w:val="HTML 预设格式 字符"/>
    <w:basedOn w:val="31"/>
    <w:link w:val="25"/>
    <w:qFormat/>
    <w:uiPriority w:val="0"/>
    <w:rPr>
      <w:rFonts w:ascii="Courier New" w:hAnsi="Courier New" w:cs="宋体"/>
    </w:rPr>
  </w:style>
  <w:style w:type="character" w:customStyle="1" w:styleId="69">
    <w:name w:val="普通(网站) 字符"/>
    <w:link w:val="26"/>
    <w:qFormat/>
    <w:uiPriority w:val="99"/>
    <w:rPr>
      <w:rFonts w:ascii="宋体" w:hAnsi="宋体" w:cs="宋体"/>
      <w:sz w:val="24"/>
      <w:szCs w:val="24"/>
    </w:rPr>
  </w:style>
  <w:style w:type="character" w:customStyle="1" w:styleId="70">
    <w:name w:val="批注主题 字符"/>
    <w:basedOn w:val="63"/>
    <w:link w:val="27"/>
    <w:qFormat/>
    <w:uiPriority w:val="0"/>
    <w:rPr>
      <w:b/>
      <w:bCs/>
      <w:kern w:val="2"/>
      <w:sz w:val="28"/>
    </w:rPr>
  </w:style>
  <w:style w:type="character" w:customStyle="1" w:styleId="71">
    <w:name w:val="bookmark-item uuid-1536114730799 code-00016"/>
    <w:qFormat/>
    <w:uiPriority w:val="0"/>
  </w:style>
  <w:style w:type="character" w:customStyle="1" w:styleId="72">
    <w:name w:val="bookmark-item uuid-1536114230642 code-00004"/>
    <w:qFormat/>
    <w:uiPriority w:val="0"/>
  </w:style>
  <w:style w:type="character" w:customStyle="1" w:styleId="73">
    <w:name w:val="bookmark-item uuid-1536114722887 code-00015"/>
    <w:qFormat/>
    <w:uiPriority w:val="0"/>
  </w:style>
  <w:style w:type="character" w:customStyle="1" w:styleId="74">
    <w:name w:val="bookmark-item uuid-1536114744629 code-00018"/>
    <w:qFormat/>
    <w:uiPriority w:val="0"/>
  </w:style>
  <w:style w:type="character" w:customStyle="1" w:styleId="75">
    <w:name w:val="bookmark-item uuid-1536114237662 code-00006"/>
    <w:qFormat/>
    <w:uiPriority w:val="0"/>
  </w:style>
  <w:style w:type="character" w:customStyle="1" w:styleId="76">
    <w:name w:val="fontstyle01"/>
    <w:qFormat/>
    <w:uiPriority w:val="0"/>
    <w:rPr>
      <w:rFonts w:hint="eastAsia" w:ascii="宋体" w:hAnsi="宋体" w:eastAsia="宋体" w:cs="宋体"/>
      <w:color w:val="000000"/>
      <w:sz w:val="44"/>
      <w:szCs w:val="44"/>
    </w:rPr>
  </w:style>
  <w:style w:type="character" w:customStyle="1" w:styleId="77">
    <w:name w:val="bookmark-item uuid-1536114769643 code-00021"/>
    <w:qFormat/>
    <w:uiPriority w:val="0"/>
  </w:style>
  <w:style w:type="character" w:customStyle="1" w:styleId="78">
    <w:name w:val="bookmark-item uuid-1536114367028 code-23012"/>
    <w:qFormat/>
    <w:uiPriority w:val="0"/>
  </w:style>
  <w:style w:type="character" w:customStyle="1" w:styleId="79">
    <w:name w:val="bookmark-item uuid-1536114708792 code-00013"/>
    <w:qFormat/>
    <w:uiPriority w:val="0"/>
  </w:style>
  <w:style w:type="character" w:customStyle="1" w:styleId="80">
    <w:name w:val="bookmark-item uuid-1541657111286 code-23008"/>
    <w:qFormat/>
    <w:uiPriority w:val="0"/>
  </w:style>
  <w:style w:type="character" w:customStyle="1" w:styleId="81">
    <w:name w:val="Char Char"/>
    <w:qFormat/>
    <w:uiPriority w:val="0"/>
    <w:rPr>
      <w:rFonts w:ascii="宋体" w:hAnsi="Courier New" w:eastAsia="宋体" w:cs="Times New Roman"/>
      <w:kern w:val="2"/>
      <w:sz w:val="21"/>
      <w:lang w:val="en-US" w:eastAsia="zh-CN" w:bidi="ar-SA"/>
    </w:rPr>
  </w:style>
  <w:style w:type="character" w:customStyle="1" w:styleId="82">
    <w:name w:val="bookmark-item uuid-1536114797846 code-23002"/>
    <w:qFormat/>
    <w:uiPriority w:val="0"/>
  </w:style>
  <w:style w:type="character" w:customStyle="1" w:styleId="83">
    <w:name w:val="bookmark-item uuid-1536325460878 code-23001"/>
    <w:qFormat/>
    <w:uiPriority w:val="0"/>
  </w:style>
  <w:style w:type="character" w:customStyle="1" w:styleId="84">
    <w:name w:val="bookmark-item uuid-1536114761735 code-00020"/>
    <w:qFormat/>
    <w:uiPriority w:val="0"/>
  </w:style>
  <w:style w:type="character" w:customStyle="1" w:styleId="85">
    <w:name w:val="bookmark-item uuid-1536114308002 code-23005"/>
    <w:qFormat/>
    <w:uiPriority w:val="0"/>
  </w:style>
  <w:style w:type="character" w:customStyle="1" w:styleId="86">
    <w:name w:val="bookmark-item uuid-1536114681261 code-00009"/>
    <w:qFormat/>
    <w:uiPriority w:val="0"/>
  </w:style>
  <w:style w:type="character" w:customStyle="1" w:styleId="87">
    <w:name w:val="bookmark-item uuid-1536114326115 code-23007"/>
    <w:qFormat/>
    <w:uiPriority w:val="0"/>
  </w:style>
  <w:style w:type="character" w:customStyle="1" w:styleId="88">
    <w:name w:val="bookmark-item uuid-1536114672385 code-23021"/>
    <w:qFormat/>
    <w:uiPriority w:val="0"/>
  </w:style>
  <w:style w:type="character" w:customStyle="1" w:styleId="89">
    <w:name w:val="bookmark-item uuid-1536114351935 code-23009"/>
    <w:qFormat/>
    <w:uiPriority w:val="0"/>
  </w:style>
  <w:style w:type="character" w:customStyle="1" w:styleId="90">
    <w:name w:val="apple-converted-space"/>
    <w:qFormat/>
    <w:uiPriority w:val="0"/>
    <w:rPr>
      <w:rFonts w:cs="Times New Roman"/>
    </w:rPr>
  </w:style>
  <w:style w:type="character" w:customStyle="1" w:styleId="91">
    <w:name w:val="bookmark-item uuid-1536114715836 code-00014"/>
    <w:qFormat/>
    <w:uiPriority w:val="0"/>
  </w:style>
  <w:style w:type="character" w:customStyle="1" w:styleId="92">
    <w:name w:val="Char Char4"/>
    <w:qFormat/>
    <w:uiPriority w:val="0"/>
    <w:rPr>
      <w:rFonts w:eastAsia="宋体" w:cs="Times New Roman"/>
      <w:kern w:val="2"/>
      <w:sz w:val="18"/>
      <w:szCs w:val="18"/>
      <w:lang w:val="en-US" w:eastAsia="zh-CN" w:bidi="ar-SA"/>
    </w:rPr>
  </w:style>
  <w:style w:type="character" w:customStyle="1" w:styleId="93">
    <w:name w:val="tpc_content1"/>
    <w:qFormat/>
    <w:uiPriority w:val="0"/>
    <w:rPr>
      <w:sz w:val="20"/>
    </w:rPr>
  </w:style>
  <w:style w:type="character" w:customStyle="1" w:styleId="94">
    <w:name w:val="bookmark-item uuid-1536114752958 code-00019"/>
    <w:qFormat/>
    <w:uiPriority w:val="0"/>
  </w:style>
  <w:style w:type="character" w:customStyle="1" w:styleId="95">
    <w:name w:val="bookmark-item uuid-1536114315631 code-23006"/>
    <w:qFormat/>
    <w:uiPriority w:val="0"/>
  </w:style>
  <w:style w:type="character" w:customStyle="1" w:styleId="96">
    <w:name w:val="sub"/>
    <w:qFormat/>
    <w:uiPriority w:val="0"/>
  </w:style>
  <w:style w:type="character" w:customStyle="1" w:styleId="97">
    <w:name w:val="bookmark-item uuid-1536114381259 code-23015"/>
    <w:qFormat/>
    <w:uiPriority w:val="0"/>
  </w:style>
  <w:style w:type="character" w:customStyle="1" w:styleId="98">
    <w:name w:val="bookmark-item uuid-1536114695490 code-00011"/>
    <w:qFormat/>
    <w:uiPriority w:val="0"/>
  </w:style>
  <w:style w:type="character" w:customStyle="1" w:styleId="99">
    <w:name w:val="bookmark-item uuid-1536114688571 code-00010"/>
    <w:qFormat/>
    <w:uiPriority w:val="0"/>
  </w:style>
  <w:style w:type="character" w:customStyle="1" w:styleId="100">
    <w:name w:val="wj"/>
    <w:qFormat/>
    <w:uiPriority w:val="0"/>
  </w:style>
  <w:style w:type="paragraph" w:customStyle="1" w:styleId="101">
    <w:name w:val="三级标题"/>
    <w:basedOn w:val="1"/>
    <w:next w:val="1"/>
    <w:qFormat/>
    <w:uiPriority w:val="0"/>
    <w:pPr>
      <w:widowControl/>
      <w:numPr>
        <w:ilvl w:val="2"/>
        <w:numId w:val="2"/>
      </w:numPr>
      <w:tabs>
        <w:tab w:val="left" w:pos="312"/>
      </w:tabs>
      <w:jc w:val="left"/>
      <w:outlineLvl w:val="3"/>
    </w:pPr>
    <w:rPr>
      <w:rFonts w:ascii="宋体" w:hAnsi="宋体" w:eastAsia="宋体" w:cs="宋体"/>
      <w:b/>
      <w:kern w:val="0"/>
      <w:sz w:val="24"/>
      <w:szCs w:val="24"/>
    </w:rPr>
  </w:style>
  <w:style w:type="paragraph" w:customStyle="1" w:styleId="102">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样式 宋体 五号 两端对齐 行距: 单倍行距"/>
    <w:basedOn w:val="1"/>
    <w:qFormat/>
    <w:uiPriority w:val="0"/>
    <w:pPr>
      <w:widowControl/>
      <w:adjustRightInd w:val="0"/>
      <w:jc w:val="left"/>
      <w:textAlignment w:val="baseline"/>
    </w:pPr>
    <w:rPr>
      <w:rFonts w:ascii="宋体" w:hAnsi="宋体" w:eastAsia="宋体" w:cs="宋体"/>
      <w:kern w:val="0"/>
      <w:sz w:val="24"/>
      <w:szCs w:val="24"/>
    </w:rPr>
  </w:style>
  <w:style w:type="paragraph" w:customStyle="1" w:styleId="104">
    <w:name w:val="Char"/>
    <w:basedOn w:val="9"/>
    <w:semiHidden/>
    <w:qFormat/>
    <w:uiPriority w:val="0"/>
    <w:rPr>
      <w:rFonts w:ascii="Tahoma" w:hAnsi="Tahoma"/>
      <w:sz w:val="24"/>
      <w:szCs w:val="24"/>
    </w:rPr>
  </w:style>
  <w:style w:type="paragraph" w:customStyle="1" w:styleId="105">
    <w:name w:val="Default Text:1"/>
    <w:basedOn w:val="1"/>
    <w:qFormat/>
    <w:uiPriority w:val="0"/>
    <w:pPr>
      <w:widowControl/>
      <w:overflowPunct w:val="0"/>
      <w:autoSpaceDE w:val="0"/>
      <w:autoSpaceDN w:val="0"/>
      <w:adjustRightInd w:val="0"/>
      <w:jc w:val="left"/>
      <w:textAlignment w:val="baseline"/>
    </w:pPr>
    <w:rPr>
      <w:rFonts w:ascii="宋体" w:hAnsi="宋体" w:eastAsia="宋体" w:cs="宋体"/>
      <w:kern w:val="0"/>
      <w:sz w:val="24"/>
      <w:szCs w:val="24"/>
    </w:rPr>
  </w:style>
  <w:style w:type="paragraph" w:customStyle="1" w:styleId="106">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Normal_9"/>
    <w:qFormat/>
    <w:uiPriority w:val="0"/>
    <w:rPr>
      <w:rFonts w:ascii="黑体" w:hAnsi="黑体" w:eastAsia="黑体" w:cs="Times New Roman"/>
      <w:b/>
      <w:sz w:val="32"/>
      <w:szCs w:val="24"/>
      <w:lang w:val="en-US" w:eastAsia="zh-CN" w:bidi="ar-SA"/>
    </w:rPr>
  </w:style>
  <w:style w:type="paragraph" w:customStyle="1" w:styleId="108">
    <w:name w:val="样式3"/>
    <w:basedOn w:val="15"/>
    <w:qFormat/>
    <w:uiPriority w:val="0"/>
    <w:pPr>
      <w:widowControl/>
      <w:spacing w:line="240" w:lineRule="atLeast"/>
      <w:jc w:val="left"/>
      <w:outlineLvl w:val="0"/>
    </w:pPr>
    <w:rPr>
      <w:rFonts w:cs="Times New Roman"/>
      <w:sz w:val="28"/>
      <w:szCs w:val="24"/>
    </w:rPr>
  </w:style>
  <w:style w:type="paragraph" w:customStyle="1" w:styleId="109">
    <w:name w:val="Char1"/>
    <w:basedOn w:val="1"/>
    <w:qFormat/>
    <w:uiPriority w:val="0"/>
    <w:pPr>
      <w:widowControl/>
      <w:jc w:val="left"/>
    </w:pPr>
    <w:rPr>
      <w:rFonts w:ascii="Tahoma" w:hAnsi="Tahoma" w:eastAsia="宋体" w:cs="宋体"/>
      <w:kern w:val="0"/>
      <w:sz w:val="24"/>
      <w:szCs w:val="24"/>
    </w:rPr>
  </w:style>
  <w:style w:type="paragraph" w:customStyle="1" w:styleId="110">
    <w:name w:val="正文_2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样式 宋体 五号 行距: 单倍行距"/>
    <w:basedOn w:val="1"/>
    <w:qFormat/>
    <w:uiPriority w:val="0"/>
    <w:pPr>
      <w:widowControl/>
      <w:adjustRightInd w:val="0"/>
      <w:jc w:val="left"/>
      <w:textAlignment w:val="baseline"/>
    </w:pPr>
    <w:rPr>
      <w:rFonts w:ascii="宋体" w:hAnsi="宋体" w:eastAsia="宋体" w:cs="宋体"/>
      <w:kern w:val="0"/>
      <w:sz w:val="24"/>
      <w:szCs w:val="24"/>
    </w:rPr>
  </w:style>
  <w:style w:type="paragraph" w:customStyle="1" w:styleId="112">
    <w:name w:val="列表段落1"/>
    <w:basedOn w:val="1"/>
    <w:qFormat/>
    <w:uiPriority w:val="0"/>
    <w:pPr>
      <w:widowControl/>
      <w:ind w:firstLine="420" w:firstLineChars="200"/>
      <w:jc w:val="left"/>
    </w:pPr>
    <w:rPr>
      <w:rFonts w:ascii="Calibri" w:hAnsi="Calibri" w:eastAsia="宋体" w:cs="宋体"/>
      <w:kern w:val="0"/>
      <w:sz w:val="24"/>
    </w:rPr>
  </w:style>
  <w:style w:type="paragraph" w:customStyle="1" w:styleId="113">
    <w:name w:val="List Paragraph1"/>
    <w:basedOn w:val="1"/>
    <w:qFormat/>
    <w:uiPriority w:val="0"/>
    <w:pPr>
      <w:widowControl/>
      <w:ind w:firstLine="420" w:firstLineChars="200"/>
      <w:jc w:val="left"/>
    </w:pPr>
    <w:rPr>
      <w:rFonts w:ascii="Calibri" w:hAnsi="Calibri" w:eastAsia="宋体" w:cs="宋体"/>
      <w:kern w:val="0"/>
      <w:sz w:val="24"/>
    </w:rPr>
  </w:style>
  <w:style w:type="paragraph" w:customStyle="1" w:styleId="11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Normal_10_0"/>
    <w:qFormat/>
    <w:uiPriority w:val="0"/>
    <w:rPr>
      <w:rFonts w:ascii="黑体" w:hAnsi="黑体" w:eastAsia="黑体" w:cs="Times New Roman"/>
      <w:b/>
      <w:sz w:val="32"/>
      <w:szCs w:val="24"/>
      <w:lang w:val="en-US" w:eastAsia="zh-CN" w:bidi="ar-SA"/>
    </w:rPr>
  </w:style>
  <w:style w:type="paragraph" w:customStyle="1" w:styleId="118">
    <w:name w:val="Definition Term"/>
    <w:basedOn w:val="1"/>
    <w:next w:val="1"/>
    <w:qFormat/>
    <w:uiPriority w:val="0"/>
    <w:pPr>
      <w:widowControl/>
      <w:autoSpaceDE w:val="0"/>
      <w:autoSpaceDN w:val="0"/>
      <w:adjustRightInd w:val="0"/>
      <w:jc w:val="left"/>
    </w:pPr>
    <w:rPr>
      <w:rFonts w:ascii="宋体" w:hAnsi="宋体" w:eastAsia="宋体" w:cs="宋体"/>
      <w:kern w:val="0"/>
      <w:sz w:val="24"/>
      <w:szCs w:val="24"/>
    </w:rPr>
  </w:style>
  <w:style w:type="paragraph" w:customStyle="1" w:styleId="119">
    <w:name w:val="p15"/>
    <w:basedOn w:val="1"/>
    <w:qFormat/>
    <w:uiPriority w:val="0"/>
    <w:pPr>
      <w:widowControl/>
      <w:jc w:val="left"/>
    </w:pPr>
    <w:rPr>
      <w:rFonts w:ascii="宋体" w:hAnsi="宋体" w:eastAsia="宋体" w:cs="宋体"/>
      <w:kern w:val="0"/>
      <w:sz w:val="24"/>
      <w:szCs w:val="21"/>
    </w:rPr>
  </w:style>
  <w:style w:type="paragraph" w:customStyle="1" w:styleId="120">
    <w:name w:val="样式 样式 样式 左侧:  2 字符1 + 首行缩进:  2 字符1 + 首行缩进:  2 字符"/>
    <w:basedOn w:val="1"/>
    <w:qFormat/>
    <w:uiPriority w:val="0"/>
    <w:pPr>
      <w:widowControl/>
      <w:adjustRightInd w:val="0"/>
      <w:spacing w:before="60" w:after="120" w:line="440" w:lineRule="atLeast"/>
      <w:ind w:firstLine="480"/>
      <w:jc w:val="left"/>
      <w:textAlignment w:val="baseline"/>
    </w:pPr>
    <w:rPr>
      <w:rFonts w:ascii="宋体" w:hAnsi="宋体" w:eastAsia="宋体" w:cs="宋体"/>
      <w:kern w:val="0"/>
      <w:sz w:val="24"/>
      <w:szCs w:val="24"/>
    </w:rPr>
  </w:style>
  <w:style w:type="paragraph" w:customStyle="1" w:styleId="121">
    <w:name w:val="Char Char Char Char Char Char Char"/>
    <w:basedOn w:val="1"/>
    <w:qFormat/>
    <w:uiPriority w:val="0"/>
    <w:pPr>
      <w:widowControl/>
      <w:tabs>
        <w:tab w:val="left" w:pos="432"/>
      </w:tabs>
      <w:ind w:left="432" w:hanging="432"/>
      <w:jc w:val="left"/>
    </w:pPr>
    <w:rPr>
      <w:rFonts w:ascii="Tahoma" w:hAnsi="Tahoma" w:eastAsia="宋体" w:cs="宋体"/>
      <w:kern w:val="0"/>
      <w:sz w:val="24"/>
      <w:szCs w:val="24"/>
    </w:rPr>
  </w:style>
  <w:style w:type="paragraph" w:customStyle="1" w:styleId="122">
    <w:name w:val="正文_0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4">
    <w:name w:val="List Paragraph"/>
    <w:basedOn w:val="1"/>
    <w:qFormat/>
    <w:uiPriority w:val="34"/>
    <w:pPr>
      <w:widowControl/>
      <w:ind w:firstLine="420" w:firstLineChars="200"/>
      <w:jc w:val="left"/>
    </w:pPr>
    <w:rPr>
      <w:rFonts w:ascii="宋体" w:hAnsi="宋体" w:eastAsia="宋体" w:cs="宋体"/>
      <w:kern w:val="0"/>
      <w:sz w:val="24"/>
      <w:szCs w:val="24"/>
    </w:rPr>
  </w:style>
  <w:style w:type="paragraph" w:customStyle="1" w:styleId="125">
    <w:name w:val="样式 样式4+ + 首行缩进:  2 字符"/>
    <w:basedOn w:val="1"/>
    <w:qFormat/>
    <w:uiPriority w:val="0"/>
    <w:pPr>
      <w:widowControl/>
      <w:ind w:firstLine="200" w:firstLineChars="200"/>
      <w:jc w:val="left"/>
    </w:pPr>
    <w:rPr>
      <w:rFonts w:ascii="宋体" w:hAnsi="宋体" w:eastAsia="宋体" w:cs="宋体"/>
      <w:kern w:val="0"/>
      <w:sz w:val="28"/>
      <w:szCs w:val="28"/>
    </w:rPr>
  </w:style>
  <w:style w:type="character" w:customStyle="1" w:styleId="126">
    <w:name w:val="font01"/>
    <w:qFormat/>
    <w:uiPriority w:val="0"/>
    <w:rPr>
      <w:rFonts w:hint="eastAsia" w:ascii="仿宋_GB2312" w:eastAsia="仿宋_GB2312" w:cs="仿宋_GB2312"/>
      <w:color w:val="000000"/>
      <w:sz w:val="20"/>
      <w:szCs w:val="20"/>
      <w:u w:val="none"/>
    </w:rPr>
  </w:style>
  <w:style w:type="character" w:customStyle="1" w:styleId="127">
    <w:name w:val="font51"/>
    <w:basedOn w:val="31"/>
    <w:qFormat/>
    <w:uiPriority w:val="0"/>
    <w:rPr>
      <w:rFonts w:hint="eastAsia" w:ascii="仿宋_GB2312" w:eastAsia="仿宋_GB2312" w:cs="仿宋_GB2312"/>
      <w:b/>
      <w:bCs/>
      <w:color w:val="000000"/>
      <w:sz w:val="20"/>
      <w:szCs w:val="20"/>
      <w:u w:val="none"/>
    </w:rPr>
  </w:style>
  <w:style w:type="character" w:customStyle="1" w:styleId="128">
    <w:name w:val="font21"/>
    <w:qFormat/>
    <w:uiPriority w:val="0"/>
    <w:rPr>
      <w:rFonts w:hint="eastAsia" w:ascii="宋体" w:hAnsi="宋体" w:eastAsia="宋体" w:cs="宋体"/>
      <w:color w:val="000000"/>
      <w:sz w:val="20"/>
      <w:szCs w:val="20"/>
      <w:u w:val="none"/>
    </w:rPr>
  </w:style>
  <w:style w:type="character" w:customStyle="1" w:styleId="129">
    <w:name w:val="标题 1 Char"/>
    <w:qFormat/>
    <w:locked/>
    <w:uiPriority w:val="0"/>
    <w:rPr>
      <w:b/>
      <w:kern w:val="44"/>
      <w:sz w:val="44"/>
    </w:rPr>
  </w:style>
  <w:style w:type="character" w:customStyle="1" w:styleId="130">
    <w:name w:val="纯文本 Char"/>
    <w:qFormat/>
    <w:locked/>
    <w:uiPriority w:val="99"/>
    <w:rPr>
      <w:rFonts w:ascii="宋体" w:hAnsi="Courier New" w:eastAsia="宋体"/>
      <w:kern w:val="2"/>
      <w:sz w:val="21"/>
      <w:lang w:val="en-US" w:eastAsia="zh-CN"/>
    </w:rPr>
  </w:style>
  <w:style w:type="character" w:customStyle="1" w:styleId="131">
    <w:name w:val="页脚 Char"/>
    <w:qFormat/>
    <w:locked/>
    <w:uiPriority w:val="99"/>
    <w:rPr>
      <w:sz w:val="18"/>
    </w:rPr>
  </w:style>
  <w:style w:type="paragraph" w:customStyle="1" w:styleId="132">
    <w:name w:val="_Style 117"/>
    <w:basedOn w:val="1"/>
    <w:next w:val="124"/>
    <w:qFormat/>
    <w:uiPriority w:val="34"/>
    <w:pPr>
      <w:widowControl/>
      <w:ind w:firstLine="420" w:firstLineChars="200"/>
      <w:jc w:val="left"/>
    </w:pPr>
    <w:rPr>
      <w:rFonts w:ascii="宋体" w:hAnsi="宋体" w:eastAsia="宋体" w:cs="宋体"/>
      <w:kern w:val="0"/>
      <w:sz w:val="24"/>
      <w:szCs w:val="24"/>
    </w:rPr>
  </w:style>
  <w:style w:type="character" w:customStyle="1" w:styleId="133">
    <w:name w:val="medium_text1"/>
    <w:qFormat/>
    <w:uiPriority w:val="0"/>
    <w:rPr>
      <w:sz w:val="24"/>
      <w:szCs w:val="24"/>
    </w:rPr>
  </w:style>
  <w:style w:type="character" w:customStyle="1" w:styleId="134">
    <w:name w:val="页眉 Char"/>
    <w:qFormat/>
    <w:uiPriority w:val="99"/>
    <w:rPr>
      <w:kern w:val="2"/>
      <w:sz w:val="18"/>
      <w:szCs w:val="18"/>
    </w:rPr>
  </w:style>
  <w:style w:type="character" w:customStyle="1" w:styleId="135">
    <w:name w:val="书籍标题1"/>
    <w:qFormat/>
    <w:uiPriority w:val="0"/>
    <w:rPr>
      <w:rFonts w:cs="Times New Roman"/>
      <w:b/>
      <w:bCs/>
      <w:smallCaps/>
      <w:spacing w:val="5"/>
    </w:rPr>
  </w:style>
  <w:style w:type="character" w:customStyle="1" w:styleId="136">
    <w:name w:val="font11"/>
    <w:qFormat/>
    <w:uiPriority w:val="0"/>
    <w:rPr>
      <w:rFonts w:hint="eastAsia" w:ascii="宋体" w:hAnsi="宋体" w:eastAsia="宋体" w:cs="宋体"/>
      <w:color w:val="000000"/>
      <w:sz w:val="22"/>
      <w:szCs w:val="22"/>
      <w:u w:val="none"/>
    </w:rPr>
  </w:style>
  <w:style w:type="paragraph" w:customStyle="1" w:styleId="137">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138">
    <w:name w:val="正文_1_0"/>
    <w:qFormat/>
    <w:uiPriority w:val="0"/>
    <w:pPr>
      <w:widowControl w:val="0"/>
      <w:jc w:val="both"/>
    </w:pPr>
    <w:rPr>
      <w:rFonts w:ascii="Times New Roman" w:hAnsi="Times New Roman" w:eastAsia="宋体" w:cs="Times New Roman"/>
      <w:lang w:val="en-US" w:eastAsia="zh-CN" w:bidi="ar-SA"/>
    </w:rPr>
  </w:style>
  <w:style w:type="paragraph" w:customStyle="1" w:styleId="139">
    <w:name w:val="正文缩进2格"/>
    <w:basedOn w:val="1"/>
    <w:qFormat/>
    <w:uiPriority w:val="0"/>
    <w:pPr>
      <w:widowControl/>
      <w:kinsoku w:val="0"/>
      <w:autoSpaceDE w:val="0"/>
      <w:autoSpaceDN w:val="0"/>
      <w:adjustRightInd w:val="0"/>
      <w:snapToGrid w:val="0"/>
      <w:spacing w:line="600" w:lineRule="exact"/>
      <w:ind w:firstLine="639" w:firstLineChars="206"/>
      <w:jc w:val="left"/>
      <w:textAlignment w:val="baseline"/>
    </w:pPr>
    <w:rPr>
      <w:rFonts w:ascii="仿宋_GB2312" w:hAnsi="宋体" w:eastAsia="仿宋_GB2312" w:cs="Arial"/>
      <w:snapToGrid w:val="0"/>
      <w:color w:val="000000"/>
      <w:kern w:val="0"/>
      <w:sz w:val="31"/>
      <w:szCs w:val="28"/>
    </w:rPr>
  </w:style>
  <w:style w:type="paragraph" w:customStyle="1" w:styleId="140">
    <w:name w:val="_Style 1"/>
    <w:basedOn w:val="1"/>
    <w:qFormat/>
    <w:uiPriority w:val="0"/>
    <w:pPr>
      <w:ind w:firstLine="420" w:firstLineChars="200"/>
    </w:pPr>
    <w:rPr>
      <w:rFonts w:ascii="Times New Roman" w:hAnsi="Times New Roman" w:eastAsia="宋体" w:cs="Times New Roman"/>
    </w:rPr>
  </w:style>
  <w:style w:type="character" w:customStyle="1" w:styleId="141">
    <w:name w:val="font31"/>
    <w:autoRedefine/>
    <w:qFormat/>
    <w:uiPriority w:val="0"/>
    <w:rPr>
      <w:rFonts w:hint="eastAsia" w:ascii="仿宋" w:hAnsi="仿宋" w:eastAsia="仿宋" w:cs="仿宋"/>
      <w:color w:val="000000"/>
      <w:sz w:val="24"/>
      <w:szCs w:val="24"/>
      <w:u w:val="none"/>
    </w:rPr>
  </w:style>
  <w:style w:type="character" w:customStyle="1" w:styleId="142">
    <w:name w:val="font41"/>
    <w:autoRedefine/>
    <w:qFormat/>
    <w:uiPriority w:val="0"/>
    <w:rPr>
      <w:rFonts w:hint="eastAsia" w:ascii="仿宋" w:hAnsi="仿宋" w:eastAsia="仿宋" w:cs="仿宋"/>
      <w:color w:val="000000"/>
      <w:sz w:val="20"/>
      <w:szCs w:val="20"/>
      <w:u w:val="none"/>
    </w:rPr>
  </w:style>
  <w:style w:type="paragraph" w:customStyle="1" w:styleId="143">
    <w:name w:val="Normal Indent1"/>
    <w:basedOn w:val="1"/>
    <w:qFormat/>
    <w:uiPriority w:val="0"/>
    <w:pPr>
      <w:ind w:firstLine="200" w:firstLineChars="200"/>
    </w:pPr>
    <w:rPr>
      <w:rFonts w:ascii="Times New Roman" w:hAnsi="Times New Roman" w:eastAsia="Arial" w:cs="Times New Roman"/>
      <w:szCs w:val="24"/>
    </w:rPr>
  </w:style>
  <w:style w:type="paragraph" w:customStyle="1" w:styleId="144">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45">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146">
    <w:name w:val="正文_5"/>
    <w:basedOn w:val="147"/>
    <w:next w:val="1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6"/>
    <w:next w:val="1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列表_1"/>
    <w:basedOn w:val="147"/>
    <w:semiHidden/>
    <w:qFormat/>
    <w:locked/>
    <w:uiPriority w:val="0"/>
    <w:pPr>
      <w:ind w:left="200" w:hanging="200" w:hangingChars="200"/>
    </w:pPr>
  </w:style>
  <w:style w:type="paragraph" w:customStyle="1" w:styleId="149">
    <w:name w:val="段_0"/>
    <w:next w:val="14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50">
    <w:name w:val="Normal_0"/>
    <w:qFormat/>
    <w:uiPriority w:val="0"/>
    <w:rPr>
      <w:rFonts w:ascii="Times New Roman" w:hAnsi="Times New Roman" w:eastAsia="Times New Roman" w:cs="Times New Roman"/>
      <w:sz w:val="24"/>
      <w:szCs w:val="24"/>
      <w:lang w:val="en-US" w:eastAsia="zh-CN" w:bidi="ar-SA"/>
    </w:rPr>
  </w:style>
  <w:style w:type="paragraph" w:customStyle="1" w:styleId="1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2">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53">
    <w:name w:val="正文_2_1"/>
    <w:basedOn w:val="154"/>
    <w:next w:val="1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No Spacing_0"/>
    <w:basedOn w:val="146"/>
    <w:qFormat/>
    <w:uiPriority w:val="1"/>
  </w:style>
  <w:style w:type="paragraph" w:customStyle="1" w:styleId="156">
    <w:name w:val="正文_0_1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7">
    <w:name w:val="font61"/>
    <w:basedOn w:val="31"/>
    <w:qFormat/>
    <w:uiPriority w:val="0"/>
    <w:rPr>
      <w:rFonts w:ascii="等线" w:hAnsi="等线" w:eastAsia="等线" w:cs="等线"/>
      <w:color w:val="000000"/>
      <w:sz w:val="22"/>
      <w:szCs w:val="22"/>
      <w:u w:val="none"/>
    </w:rPr>
  </w:style>
  <w:style w:type="paragraph" w:customStyle="1" w:styleId="158">
    <w:name w:val="Table Paragraph_1"/>
    <w:basedOn w:val="159"/>
    <w:qFormat/>
    <w:uiPriority w:val="0"/>
    <w:pPr>
      <w:jc w:val="left"/>
    </w:pPr>
    <w:rPr>
      <w:kern w:val="0"/>
      <w:sz w:val="22"/>
      <w:lang w:eastAsia="en-US"/>
    </w:rPr>
  </w:style>
  <w:style w:type="paragraph" w:customStyle="1" w:styleId="159">
    <w:name w:val="正文_6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37A8C-A02F-44FA-AE73-4794E397BC80}">
  <ds:schemaRefs/>
</ds:datastoreItem>
</file>

<file path=docProps/app.xml><?xml version="1.0" encoding="utf-8"?>
<Properties xmlns="http://schemas.openxmlformats.org/officeDocument/2006/extended-properties" xmlns:vt="http://schemas.openxmlformats.org/officeDocument/2006/docPropsVTypes">
  <Template>Normal</Template>
  <Pages>66</Pages>
  <Words>20956</Words>
  <Characters>22238</Characters>
  <Lines>220</Lines>
  <Paragraphs>62</Paragraphs>
  <TotalTime>0</TotalTime>
  <ScaleCrop>false</ScaleCrop>
  <LinksUpToDate>false</LinksUpToDate>
  <CharactersWithSpaces>22811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2024-10-12T09:01:00Z</dcterms:created>
  <dc:creator>钰</dc:creator>
  <cp:lastModifiedBy>热小喵</cp:lastModifiedBy>
  <cp:lastPrinted>2023-04-09T03:46:00Z</cp:lastPrinted>
  <dcterms:modified xsi:type="dcterms:W3CDTF">2026-05-26T12:42:25Z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B245A786DD4C41F5BED29B7555AD9A5D_12</vt:lpwstr>
  </property>
  <property fmtid="{D5CDD505-2E9C-101B-9397-08002B2CF9AE}" pid="4" name="KSOTemplateDocerSaveRecord">
    <vt:lpwstr>eyJoZGlkIjoiMWMwMzg0NzY1NGVmMWJkODQ1YTY3NzkzZWExMjI0NjEiLCJ1c2VySWQiOiIxMTc0MTk5NTUzIn0=</vt:lpwstr>
  </property>
</Properties>
</file>