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57C63">
      <w:pPr>
        <w:spacing w:line="360" w:lineRule="auto"/>
        <w:ind w:right="-110"/>
        <w:jc w:val="both"/>
        <w:rPr>
          <w:rFonts w:hint="eastAsia" w:ascii="仿宋" w:hAnsi="仿宋" w:eastAsia="仿宋" w:cs="仿宋"/>
          <w:b/>
          <w:bCs/>
          <w:spacing w:val="40"/>
          <w:sz w:val="44"/>
          <w:szCs w:val="44"/>
          <w:highlight w:val="none"/>
          <w:lang w:eastAsia="zh-CN"/>
        </w:rPr>
      </w:pPr>
    </w:p>
    <w:p w14:paraId="40EF15E8">
      <w:pPr>
        <w:spacing w:line="360" w:lineRule="auto"/>
        <w:ind w:right="-110"/>
        <w:jc w:val="both"/>
        <w:rPr>
          <w:rFonts w:hint="eastAsia" w:ascii="仿宋" w:hAnsi="仿宋" w:eastAsia="仿宋" w:cs="仿宋"/>
          <w:b/>
          <w:bCs/>
          <w:spacing w:val="40"/>
          <w:sz w:val="44"/>
          <w:szCs w:val="44"/>
          <w:highlight w:val="none"/>
          <w:lang w:eastAsia="zh-CN"/>
        </w:rPr>
      </w:pPr>
    </w:p>
    <w:p w14:paraId="5EE2DA91">
      <w:pPr>
        <w:tabs>
          <w:tab w:val="left" w:pos="7560"/>
        </w:tabs>
        <w:spacing w:line="360" w:lineRule="auto"/>
        <w:ind w:right="-110"/>
        <w:jc w:val="center"/>
        <w:rPr>
          <w:rFonts w:hint="eastAsia" w:ascii="仿宋" w:hAnsi="仿宋" w:eastAsia="仿宋" w:cs="仿宋"/>
          <w:b/>
          <w:bCs/>
          <w:spacing w:val="40"/>
          <w:sz w:val="48"/>
          <w:szCs w:val="48"/>
          <w:highlight w:val="none"/>
          <w:lang w:eastAsia="zh-CN"/>
        </w:rPr>
      </w:pPr>
      <w:r>
        <w:rPr>
          <w:rFonts w:hint="eastAsia" w:ascii="仿宋" w:hAnsi="仿宋" w:eastAsia="仿宋" w:cs="仿宋"/>
          <w:b/>
          <w:bCs/>
          <w:spacing w:val="40"/>
          <w:sz w:val="48"/>
          <w:szCs w:val="48"/>
          <w:highlight w:val="none"/>
          <w:lang w:eastAsia="zh-CN"/>
        </w:rPr>
        <w:t>阳高县医疗集团人民医院高质量医疗人工智能综合服务项目</w:t>
      </w:r>
    </w:p>
    <w:p w14:paraId="36E94833">
      <w:pPr>
        <w:spacing w:line="360" w:lineRule="auto"/>
        <w:ind w:right="-110"/>
        <w:jc w:val="center"/>
        <w:rPr>
          <w:rFonts w:hint="eastAsia" w:ascii="仿宋" w:hAnsi="仿宋" w:eastAsia="仿宋" w:cs="仿宋"/>
          <w:sz w:val="36"/>
          <w:szCs w:val="36"/>
          <w:highlight w:val="none"/>
        </w:rPr>
      </w:pPr>
    </w:p>
    <w:p w14:paraId="2A090253">
      <w:pPr>
        <w:spacing w:line="360" w:lineRule="auto"/>
        <w:ind w:right="-110"/>
        <w:jc w:val="center"/>
        <w:rPr>
          <w:rFonts w:hint="eastAsia" w:ascii="仿宋" w:hAnsi="仿宋" w:eastAsia="仿宋" w:cs="仿宋"/>
          <w:sz w:val="36"/>
          <w:szCs w:val="36"/>
          <w:highlight w:val="none"/>
        </w:rPr>
      </w:pPr>
    </w:p>
    <w:p w14:paraId="5004A72B">
      <w:pPr>
        <w:spacing w:line="360" w:lineRule="auto"/>
        <w:ind w:right="-110"/>
        <w:jc w:val="center"/>
        <w:rPr>
          <w:rFonts w:hint="eastAsia" w:ascii="仿宋" w:hAnsi="仿宋" w:eastAsia="仿宋" w:cs="仿宋"/>
          <w:sz w:val="36"/>
          <w:szCs w:val="36"/>
          <w:highlight w:val="none"/>
          <w:lang w:eastAsia="zh-CN"/>
        </w:rPr>
      </w:pPr>
    </w:p>
    <w:p w14:paraId="68814629">
      <w:pPr>
        <w:ind w:right="-108"/>
        <w:jc w:val="center"/>
        <w:rPr>
          <w:rFonts w:hint="eastAsia" w:ascii="仿宋" w:hAnsi="仿宋" w:eastAsia="仿宋" w:cs="仿宋"/>
          <w:b/>
          <w:spacing w:val="40"/>
          <w:sz w:val="30"/>
          <w:szCs w:val="30"/>
          <w:highlight w:val="none"/>
        </w:rPr>
      </w:pPr>
    </w:p>
    <w:p w14:paraId="297DE5AA">
      <w:pPr>
        <w:adjustRightInd w:val="0"/>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color w:val="auto"/>
          <w:kern w:val="0"/>
          <w:sz w:val="72"/>
          <w:szCs w:val="72"/>
          <w:highlight w:val="none"/>
          <w:lang w:val="en-US" w:eastAsia="zh-CN" w:bidi="ar-SA"/>
        </w:rPr>
        <w:t>招 标 文 件</w:t>
      </w:r>
    </w:p>
    <w:p w14:paraId="142C906D">
      <w:pPr>
        <w:pStyle w:val="6"/>
        <w:jc w:val="center"/>
        <w:rPr>
          <w:rFonts w:hint="eastAsia" w:ascii="仿宋" w:hAnsi="仿宋" w:eastAsia="仿宋" w:cs="仿宋"/>
          <w:b/>
          <w:bCs/>
          <w:sz w:val="24"/>
          <w:highlight w:val="none"/>
        </w:rPr>
      </w:pPr>
      <w:r>
        <w:rPr>
          <w:rFonts w:hint="eastAsia" w:ascii="仿宋" w:hAnsi="仿宋" w:eastAsia="仿宋" w:cs="仿宋"/>
          <w:sz w:val="36"/>
          <w:szCs w:val="36"/>
          <w:highlight w:val="none"/>
        </w:rPr>
        <w:t>项目编号：</w:t>
      </w:r>
      <w:r>
        <w:rPr>
          <w:rFonts w:hint="eastAsia" w:ascii="仿宋" w:hAnsi="仿宋" w:eastAsia="仿宋" w:cs="仿宋"/>
          <w:sz w:val="36"/>
          <w:szCs w:val="36"/>
          <w:highlight w:val="none"/>
          <w:lang w:val="en-US" w:eastAsia="zh-CN"/>
        </w:rPr>
        <w:t xml:space="preserve"> </w:t>
      </w:r>
    </w:p>
    <w:p w14:paraId="5388F01A">
      <w:pPr>
        <w:adjustRightInd w:val="0"/>
        <w:snapToGrid w:val="0"/>
        <w:spacing w:line="360" w:lineRule="auto"/>
        <w:jc w:val="center"/>
        <w:rPr>
          <w:rFonts w:hint="eastAsia" w:ascii="仿宋" w:hAnsi="仿宋" w:eastAsia="仿宋" w:cs="仿宋"/>
          <w:b/>
          <w:bCs/>
          <w:sz w:val="24"/>
          <w:highlight w:val="none"/>
        </w:rPr>
      </w:pPr>
    </w:p>
    <w:p w14:paraId="32426DD3">
      <w:pPr>
        <w:adjustRightInd w:val="0"/>
        <w:snapToGrid w:val="0"/>
        <w:spacing w:line="480" w:lineRule="auto"/>
        <w:ind w:firstLine="1285" w:firstLineChars="400"/>
        <w:rPr>
          <w:rFonts w:hint="eastAsia" w:ascii="仿宋" w:hAnsi="仿宋" w:eastAsia="仿宋" w:cs="仿宋"/>
          <w:b/>
          <w:bCs/>
          <w:sz w:val="32"/>
          <w:szCs w:val="18"/>
          <w:highlight w:val="none"/>
        </w:rPr>
      </w:pPr>
    </w:p>
    <w:p w14:paraId="54957AA5">
      <w:pPr>
        <w:adjustRightInd w:val="0"/>
        <w:snapToGrid w:val="0"/>
        <w:spacing w:line="480" w:lineRule="auto"/>
        <w:ind w:firstLine="1285" w:firstLineChars="400"/>
        <w:rPr>
          <w:rFonts w:hint="eastAsia" w:ascii="仿宋" w:hAnsi="仿宋" w:eastAsia="仿宋" w:cs="仿宋"/>
          <w:b/>
          <w:bCs/>
          <w:sz w:val="32"/>
          <w:szCs w:val="18"/>
          <w:highlight w:val="none"/>
        </w:rPr>
      </w:pPr>
    </w:p>
    <w:p w14:paraId="0190BA87">
      <w:pPr>
        <w:pStyle w:val="60"/>
        <w:jc w:val="center"/>
        <w:rPr>
          <w:rFonts w:hint="eastAsia" w:ascii="仿宋" w:hAnsi="仿宋" w:eastAsia="仿宋" w:cs="仿宋"/>
          <w:b/>
          <w:sz w:val="32"/>
          <w:highlight w:val="none"/>
        </w:rPr>
      </w:pPr>
    </w:p>
    <w:p w14:paraId="71E5E73B">
      <w:pPr>
        <w:pStyle w:val="60"/>
        <w:jc w:val="center"/>
        <w:rPr>
          <w:rFonts w:hint="eastAsia" w:ascii="仿宋" w:hAnsi="仿宋" w:eastAsia="仿宋" w:cs="仿宋"/>
          <w:b/>
          <w:sz w:val="32"/>
          <w:highlight w:val="none"/>
        </w:rPr>
      </w:pPr>
    </w:p>
    <w:p w14:paraId="52836919">
      <w:pPr>
        <w:pStyle w:val="60"/>
        <w:jc w:val="center"/>
        <w:rPr>
          <w:rFonts w:hint="eastAsia" w:ascii="仿宋" w:hAnsi="仿宋" w:eastAsia="仿宋" w:cs="仿宋"/>
          <w:b/>
          <w:sz w:val="32"/>
          <w:highlight w:val="none"/>
        </w:rPr>
      </w:pPr>
    </w:p>
    <w:p w14:paraId="54AC4CF4">
      <w:pPr>
        <w:pStyle w:val="60"/>
        <w:jc w:val="center"/>
        <w:rPr>
          <w:rFonts w:hint="eastAsia" w:ascii="仿宋" w:hAnsi="仿宋" w:eastAsia="仿宋" w:cs="仿宋"/>
          <w:b/>
          <w:sz w:val="32"/>
          <w:highlight w:val="none"/>
          <w:u w:val="single"/>
          <w:lang w:eastAsia="zh-CN"/>
        </w:rPr>
      </w:pPr>
    </w:p>
    <w:p w14:paraId="61B2193F">
      <w:pPr>
        <w:pStyle w:val="60"/>
        <w:jc w:val="center"/>
        <w:rPr>
          <w:rFonts w:hint="eastAsia" w:ascii="仿宋" w:hAnsi="仿宋" w:eastAsia="仿宋" w:cs="仿宋"/>
          <w:b/>
          <w:sz w:val="32"/>
          <w:highlight w:val="none"/>
          <w:u w:val="none"/>
          <w:lang w:eastAsia="zh-CN"/>
        </w:rPr>
      </w:pPr>
      <w:r>
        <w:rPr>
          <w:rFonts w:hint="eastAsia" w:ascii="仿宋" w:hAnsi="仿宋" w:eastAsia="仿宋" w:cs="仿宋"/>
          <w:b/>
          <w:sz w:val="32"/>
          <w:highlight w:val="none"/>
          <w:u w:val="none"/>
          <w:lang w:eastAsia="zh-CN"/>
        </w:rPr>
        <w:t>山西辰德鑫工程项目管理有限公司</w:t>
      </w:r>
    </w:p>
    <w:p w14:paraId="76557234">
      <w:pPr>
        <w:keepNext w:val="0"/>
        <w:keepLines w:val="0"/>
        <w:pageBreakBefore w:val="0"/>
        <w:widowControl/>
        <w:kinsoku/>
        <w:wordWrap/>
        <w:overflowPunct/>
        <w:topLinePunct w:val="0"/>
        <w:autoSpaceDE/>
        <w:autoSpaceDN/>
        <w:bidi w:val="0"/>
        <w:adjustRightInd/>
        <w:snapToGrid/>
        <w:spacing w:after="156" w:afterLines="50" w:line="500" w:lineRule="exact"/>
        <w:jc w:val="center"/>
        <w:textAlignment w:val="auto"/>
        <w:rPr>
          <w:rFonts w:hint="eastAsia" w:ascii="仿宋" w:hAnsi="仿宋" w:eastAsia="仿宋" w:cs="仿宋"/>
          <w:b/>
          <w:bCs/>
          <w:sz w:val="32"/>
          <w:highlight w:val="none"/>
          <w:u w:val="none"/>
          <w:lang w:val="en-US" w:eastAsia="zh-CN"/>
        </w:rPr>
      </w:pPr>
      <w:r>
        <w:rPr>
          <w:rFonts w:hint="eastAsia" w:ascii="仿宋" w:hAnsi="仿宋" w:eastAsia="仿宋" w:cs="仿宋"/>
          <w:b/>
          <w:sz w:val="32"/>
          <w:highlight w:val="none"/>
          <w:u w:val="none"/>
        </w:rPr>
        <w:t>日期：</w:t>
      </w:r>
      <w:r>
        <w:rPr>
          <w:rFonts w:hint="eastAsia" w:ascii="仿宋" w:hAnsi="仿宋" w:eastAsia="仿宋" w:cs="仿宋"/>
          <w:b/>
          <w:bCs/>
          <w:sz w:val="32"/>
          <w:highlight w:val="none"/>
          <w:u w:val="none"/>
          <w:lang w:val="en-US" w:eastAsia="zh-CN"/>
        </w:rPr>
        <w:t>2026年5月</w:t>
      </w:r>
    </w:p>
    <w:p w14:paraId="0C78E240">
      <w:pPr>
        <w:keepNext w:val="0"/>
        <w:keepLines w:val="0"/>
        <w:pageBreakBefore w:val="0"/>
        <w:widowControl/>
        <w:kinsoku/>
        <w:wordWrap/>
        <w:overflowPunct/>
        <w:topLinePunct w:val="0"/>
        <w:autoSpaceDE/>
        <w:autoSpaceDN/>
        <w:bidi w:val="0"/>
        <w:adjustRightInd/>
        <w:snapToGrid/>
        <w:spacing w:after="156" w:afterLines="50" w:line="500" w:lineRule="exact"/>
        <w:jc w:val="both"/>
        <w:textAlignment w:val="auto"/>
        <w:rPr>
          <w:rFonts w:hint="eastAsia" w:ascii="仿宋" w:hAnsi="仿宋" w:eastAsia="仿宋" w:cs="仿宋"/>
          <w:b/>
          <w:bCs/>
          <w:sz w:val="32"/>
          <w:highlight w:val="none"/>
          <w:u w:val="none"/>
          <w:lang w:val="en-US" w:eastAsia="zh-CN"/>
        </w:rPr>
      </w:pPr>
    </w:p>
    <w:p w14:paraId="779B376D">
      <w:pPr>
        <w:keepNext w:val="0"/>
        <w:keepLines w:val="0"/>
        <w:pageBreakBefore w:val="0"/>
        <w:widowControl/>
        <w:kinsoku/>
        <w:wordWrap/>
        <w:overflowPunct/>
        <w:topLinePunct w:val="0"/>
        <w:autoSpaceDE/>
        <w:autoSpaceDN/>
        <w:bidi w:val="0"/>
        <w:adjustRightInd/>
        <w:snapToGrid/>
        <w:spacing w:after="156" w:afterLines="50" w:line="500" w:lineRule="exact"/>
        <w:jc w:val="both"/>
        <w:textAlignment w:val="auto"/>
        <w:rPr>
          <w:rFonts w:hint="eastAsia" w:ascii="仿宋" w:hAnsi="仿宋" w:eastAsia="仿宋" w:cs="仿宋"/>
          <w:b/>
          <w:bCs/>
          <w:sz w:val="32"/>
          <w:highlight w:val="none"/>
          <w:u w:val="none"/>
          <w:lang w:val="en-US" w:eastAsia="zh-CN"/>
        </w:rPr>
        <w:sectPr>
          <w:headerReference r:id="rId3" w:type="default"/>
          <w:footerReference r:id="rId4" w:type="even"/>
          <w:pgSz w:w="11906" w:h="16838"/>
          <w:pgMar w:top="1440" w:right="1417" w:bottom="1440" w:left="1417" w:header="851" w:footer="699" w:gutter="0"/>
          <w:pgBorders>
            <w:top w:val="none" w:sz="0" w:space="0"/>
            <w:left w:val="none" w:sz="0" w:space="0"/>
            <w:bottom w:val="none" w:sz="0" w:space="0"/>
            <w:right w:val="none" w:sz="0" w:space="0"/>
          </w:pgBorders>
          <w:cols w:space="720" w:num="1"/>
          <w:docGrid w:type="lines" w:linePitch="312" w:charSpace="0"/>
        </w:sectPr>
      </w:pPr>
    </w:p>
    <w:p w14:paraId="2E14B44C">
      <w:pPr>
        <w:keepNext w:val="0"/>
        <w:keepLines w:val="0"/>
        <w:pageBreakBefore w:val="0"/>
        <w:widowControl/>
        <w:kinsoku/>
        <w:wordWrap/>
        <w:overflowPunct/>
        <w:topLinePunct w:val="0"/>
        <w:autoSpaceDE/>
        <w:autoSpaceDN/>
        <w:bidi w:val="0"/>
        <w:adjustRightInd/>
        <w:snapToGrid/>
        <w:spacing w:after="156" w:afterLines="50" w:line="500" w:lineRule="exact"/>
        <w:jc w:val="both"/>
        <w:textAlignment w:val="auto"/>
        <w:rPr>
          <w:rFonts w:hint="eastAsia" w:ascii="仿宋" w:hAnsi="仿宋" w:eastAsia="仿宋" w:cs="仿宋"/>
          <w:b/>
          <w:bCs w:val="0"/>
          <w:color w:val="auto"/>
          <w:kern w:val="0"/>
          <w:sz w:val="56"/>
          <w:szCs w:val="56"/>
          <w:highlight w:val="none"/>
          <w:lang w:val="en-US" w:eastAsia="zh-CN" w:bidi="ar-SA"/>
        </w:rPr>
      </w:pPr>
    </w:p>
    <w:p w14:paraId="4271A257">
      <w:pPr>
        <w:spacing w:line="720" w:lineRule="auto"/>
        <w:jc w:val="center"/>
        <w:rPr>
          <w:rFonts w:hint="eastAsia" w:ascii="仿宋" w:hAnsi="仿宋" w:eastAsia="仿宋" w:cs="仿宋"/>
          <w:b/>
          <w:bCs/>
          <w:color w:val="auto"/>
          <w:kern w:val="0"/>
          <w:sz w:val="96"/>
          <w:szCs w:val="96"/>
          <w:highlight w:val="none"/>
          <w:vertAlign w:val="subscript"/>
        </w:rPr>
      </w:pPr>
      <w:r>
        <w:rPr>
          <w:rFonts w:hint="eastAsia" w:ascii="仿宋" w:hAnsi="仿宋" w:eastAsia="仿宋" w:cs="仿宋"/>
          <w:b/>
          <w:bCs/>
          <w:sz w:val="52"/>
          <w:szCs w:val="60"/>
          <w:highlight w:val="none"/>
          <w:lang w:val="en-US" w:eastAsia="zh-CN"/>
        </w:rPr>
        <w:t>阳高县医疗集团人民医院高质量医疗人工智能综合服务项目</w:t>
      </w:r>
    </w:p>
    <w:p w14:paraId="34930233">
      <w:pPr>
        <w:pStyle w:val="30"/>
        <w:ind w:left="0" w:leftChars="0" w:firstLine="0" w:firstLineChars="0"/>
        <w:rPr>
          <w:rFonts w:hint="eastAsia" w:ascii="仿宋" w:hAnsi="仿宋" w:eastAsia="仿宋" w:cs="仿宋"/>
          <w:b/>
          <w:bCs/>
          <w:color w:val="auto"/>
          <w:kern w:val="0"/>
          <w:sz w:val="96"/>
          <w:szCs w:val="96"/>
          <w:highlight w:val="none"/>
          <w:vertAlign w:val="subscript"/>
        </w:rPr>
      </w:pPr>
    </w:p>
    <w:p w14:paraId="761B601A">
      <w:pPr>
        <w:pStyle w:val="30"/>
        <w:ind w:left="0" w:leftChars="0" w:firstLine="0" w:firstLineChars="0"/>
        <w:rPr>
          <w:rFonts w:hint="eastAsia" w:ascii="仿宋" w:hAnsi="仿宋" w:eastAsia="仿宋" w:cs="仿宋"/>
          <w:b/>
          <w:bCs/>
          <w:color w:val="auto"/>
          <w:kern w:val="0"/>
          <w:sz w:val="96"/>
          <w:szCs w:val="96"/>
          <w:highlight w:val="none"/>
          <w:vertAlign w:val="subscript"/>
        </w:rPr>
      </w:pPr>
    </w:p>
    <w:p w14:paraId="1D6077B7">
      <w:pPr>
        <w:widowControl/>
        <w:spacing w:after="156" w:afterLines="50" w:line="1260" w:lineRule="exact"/>
        <w:jc w:val="center"/>
        <w:rPr>
          <w:rFonts w:hint="eastAsia" w:ascii="仿宋" w:hAnsi="仿宋" w:eastAsia="仿宋" w:cs="仿宋"/>
          <w:b/>
          <w:color w:val="auto"/>
          <w:kern w:val="0"/>
          <w:sz w:val="84"/>
          <w:szCs w:val="84"/>
          <w:highlight w:val="none"/>
          <w:lang w:val="en-US" w:eastAsia="zh-CN" w:bidi="ar-SA"/>
        </w:rPr>
      </w:pPr>
      <w:r>
        <w:rPr>
          <w:rFonts w:hint="eastAsia" w:ascii="仿宋" w:hAnsi="仿宋" w:eastAsia="仿宋" w:cs="仿宋"/>
          <w:b/>
          <w:color w:val="auto"/>
          <w:kern w:val="0"/>
          <w:sz w:val="72"/>
          <w:szCs w:val="72"/>
          <w:highlight w:val="none"/>
          <w:lang w:val="en-US" w:eastAsia="zh-CN" w:bidi="ar-SA"/>
        </w:rPr>
        <w:t>招 标 文 件</w:t>
      </w:r>
    </w:p>
    <w:p w14:paraId="7FD64EFC">
      <w:pPr>
        <w:bidi w:val="0"/>
        <w:jc w:val="center"/>
        <w:rPr>
          <w:rFonts w:hint="eastAsia" w:ascii="仿宋" w:hAnsi="仿宋" w:eastAsia="仿宋" w:cs="仿宋"/>
          <w:color w:val="auto"/>
          <w:spacing w:val="20"/>
          <w:highlight w:val="none"/>
          <w:lang w:val="en-US"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val="en-US" w:eastAsia="zh-CN"/>
        </w:rPr>
        <w:t xml:space="preserve"> </w:t>
      </w:r>
    </w:p>
    <w:p w14:paraId="3769FA8D">
      <w:pPr>
        <w:pStyle w:val="30"/>
        <w:ind w:left="0" w:leftChars="0" w:firstLine="0" w:firstLineChars="0"/>
        <w:rPr>
          <w:rFonts w:hint="eastAsia" w:ascii="仿宋" w:hAnsi="仿宋" w:eastAsia="仿宋" w:cs="仿宋"/>
          <w:color w:val="auto"/>
          <w:highlight w:val="none"/>
        </w:rPr>
      </w:pPr>
    </w:p>
    <w:p w14:paraId="5208B71D">
      <w:pPr>
        <w:widowControl/>
        <w:spacing w:line="580" w:lineRule="exact"/>
        <w:jc w:val="center"/>
        <w:rPr>
          <w:rFonts w:hint="eastAsia" w:ascii="仿宋" w:hAnsi="仿宋" w:eastAsia="仿宋" w:cs="仿宋"/>
          <w:color w:val="auto"/>
          <w:kern w:val="0"/>
          <w:sz w:val="28"/>
          <w:highlight w:val="none"/>
        </w:rPr>
      </w:pPr>
    </w:p>
    <w:p w14:paraId="0DB4A458">
      <w:pPr>
        <w:widowControl/>
        <w:spacing w:line="580" w:lineRule="exact"/>
        <w:jc w:val="center"/>
        <w:rPr>
          <w:rFonts w:hint="eastAsia" w:ascii="仿宋" w:hAnsi="仿宋" w:eastAsia="仿宋" w:cs="仿宋"/>
          <w:color w:val="auto"/>
          <w:kern w:val="0"/>
          <w:sz w:val="28"/>
          <w:highlight w:val="none"/>
        </w:rPr>
      </w:pPr>
    </w:p>
    <w:p w14:paraId="3E402C9A">
      <w:pPr>
        <w:pStyle w:val="58"/>
        <w:rPr>
          <w:rFonts w:hint="eastAsia" w:ascii="仿宋" w:hAnsi="仿宋" w:eastAsia="仿宋" w:cs="仿宋"/>
          <w:color w:val="auto"/>
          <w:kern w:val="0"/>
          <w:sz w:val="28"/>
          <w:highlight w:val="none"/>
        </w:rPr>
      </w:pPr>
    </w:p>
    <w:p w14:paraId="7EEB20F2">
      <w:pPr>
        <w:pStyle w:val="58"/>
        <w:rPr>
          <w:rFonts w:hint="eastAsia" w:ascii="仿宋" w:hAnsi="仿宋" w:eastAsia="仿宋" w:cs="仿宋"/>
          <w:color w:val="auto"/>
          <w:kern w:val="0"/>
          <w:sz w:val="28"/>
          <w:highlight w:val="none"/>
        </w:rPr>
      </w:pPr>
    </w:p>
    <w:p w14:paraId="00C5296A">
      <w:pPr>
        <w:widowControl/>
        <w:spacing w:line="580" w:lineRule="exact"/>
        <w:jc w:val="center"/>
        <w:rPr>
          <w:rFonts w:hint="eastAsia" w:ascii="仿宋" w:hAnsi="仿宋" w:eastAsia="仿宋" w:cs="仿宋"/>
          <w:color w:val="auto"/>
          <w:kern w:val="0"/>
          <w:sz w:val="28"/>
          <w:highlight w:val="none"/>
        </w:rPr>
      </w:pPr>
    </w:p>
    <w:p w14:paraId="2BB8F9C8">
      <w:pPr>
        <w:pStyle w:val="60"/>
        <w:kinsoku w:val="0"/>
        <w:overflowPunct w:val="0"/>
        <w:spacing w:line="600" w:lineRule="auto"/>
        <w:ind w:firstLine="1506" w:firstLineChars="500"/>
        <w:rPr>
          <w:rFonts w:hint="eastAsia" w:ascii="仿宋" w:hAnsi="仿宋" w:eastAsia="仿宋" w:cs="仿宋"/>
          <w:b/>
          <w:bCs w:val="0"/>
          <w:color w:val="auto"/>
          <w:sz w:val="30"/>
          <w:szCs w:val="30"/>
          <w:highlight w:val="none"/>
          <w:u w:val="single"/>
          <w:lang w:val="en-US" w:eastAsia="zh-CN"/>
        </w:rPr>
      </w:pPr>
      <w:r>
        <w:rPr>
          <w:rFonts w:hint="eastAsia" w:ascii="仿宋" w:hAnsi="仿宋" w:eastAsia="仿宋" w:cs="仿宋"/>
          <w:b/>
          <w:bCs w:val="0"/>
          <w:color w:val="auto"/>
          <w:sz w:val="30"/>
          <w:szCs w:val="30"/>
          <w:highlight w:val="none"/>
          <w:lang w:val="en-US" w:eastAsia="zh-CN"/>
        </w:rPr>
        <w:t>招   标  人</w:t>
      </w:r>
      <w:r>
        <w:rPr>
          <w:rFonts w:hint="eastAsia" w:ascii="仿宋" w:hAnsi="仿宋" w:eastAsia="仿宋" w:cs="仿宋"/>
          <w:b/>
          <w:bCs w:val="0"/>
          <w:color w:val="auto"/>
          <w:sz w:val="30"/>
          <w:szCs w:val="30"/>
          <w:highlight w:val="none"/>
        </w:rPr>
        <w:t>：</w:t>
      </w:r>
      <w:r>
        <w:rPr>
          <w:rFonts w:hint="eastAsia" w:ascii="仿宋" w:hAnsi="仿宋" w:eastAsia="仿宋" w:cs="仿宋"/>
          <w:b/>
          <w:bCs w:val="0"/>
          <w:color w:val="auto"/>
          <w:sz w:val="30"/>
          <w:szCs w:val="30"/>
          <w:highlight w:val="none"/>
          <w:u w:val="single"/>
          <w:lang w:val="en-US" w:eastAsia="zh-CN"/>
        </w:rPr>
        <w:t xml:space="preserve">        </w:t>
      </w:r>
      <w:r>
        <w:rPr>
          <w:rFonts w:hint="eastAsia" w:ascii="仿宋" w:hAnsi="仿宋" w:eastAsia="仿宋" w:cs="仿宋"/>
          <w:b/>
          <w:bCs w:val="0"/>
          <w:color w:val="auto"/>
          <w:sz w:val="30"/>
          <w:szCs w:val="30"/>
          <w:highlight w:val="none"/>
          <w:u w:val="single"/>
        </w:rPr>
        <w:t>阳高县医疗集团</w:t>
      </w:r>
      <w:r>
        <w:rPr>
          <w:rFonts w:hint="eastAsia" w:ascii="仿宋" w:hAnsi="仿宋" w:eastAsia="仿宋" w:cs="仿宋"/>
          <w:b/>
          <w:bCs w:val="0"/>
          <w:color w:val="auto"/>
          <w:sz w:val="30"/>
          <w:szCs w:val="30"/>
          <w:highlight w:val="none"/>
          <w:u w:val="single"/>
          <w:lang w:val="en-US" w:eastAsia="zh-CN"/>
        </w:rPr>
        <w:t xml:space="preserve">          </w:t>
      </w:r>
    </w:p>
    <w:p w14:paraId="33B940DB">
      <w:pPr>
        <w:pStyle w:val="60"/>
        <w:kinsoku w:val="0"/>
        <w:overflowPunct w:val="0"/>
        <w:spacing w:line="600" w:lineRule="auto"/>
        <w:ind w:firstLine="1506" w:firstLineChars="500"/>
        <w:rPr>
          <w:rFonts w:hint="eastAsia" w:ascii="仿宋" w:hAnsi="仿宋" w:eastAsia="仿宋" w:cs="仿宋"/>
          <w:b/>
          <w:bCs w:val="0"/>
          <w:color w:val="auto"/>
          <w:sz w:val="30"/>
          <w:szCs w:val="30"/>
          <w:highlight w:val="none"/>
        </w:rPr>
      </w:pPr>
    </w:p>
    <w:p w14:paraId="3EB2D405">
      <w:pPr>
        <w:pStyle w:val="60"/>
        <w:kinsoku w:val="0"/>
        <w:overflowPunct w:val="0"/>
        <w:spacing w:line="600" w:lineRule="auto"/>
        <w:ind w:firstLine="1506" w:firstLineChars="500"/>
        <w:rPr>
          <w:rFonts w:hint="eastAsia" w:ascii="仿宋" w:hAnsi="仿宋" w:eastAsia="仿宋" w:cs="仿宋"/>
          <w:b/>
          <w:bCs w:val="0"/>
          <w:color w:val="auto"/>
          <w:spacing w:val="0"/>
          <w:sz w:val="30"/>
          <w:szCs w:val="30"/>
          <w:highlight w:val="none"/>
          <w:u w:val="single"/>
          <w:lang w:val="en-US" w:eastAsia="zh-CN"/>
        </w:rPr>
      </w:pPr>
      <w:r>
        <w:rPr>
          <w:rFonts w:hint="eastAsia" w:ascii="仿宋" w:hAnsi="仿宋" w:eastAsia="仿宋" w:cs="仿宋"/>
          <w:b/>
          <w:bCs w:val="0"/>
          <w:color w:val="auto"/>
          <w:sz w:val="30"/>
          <w:szCs w:val="30"/>
          <w:highlight w:val="none"/>
        </w:rPr>
        <w:t>采购代理机构：</w:t>
      </w:r>
      <w:r>
        <w:rPr>
          <w:rFonts w:hint="eastAsia" w:ascii="仿宋" w:hAnsi="仿宋" w:eastAsia="仿宋" w:cs="仿宋"/>
          <w:b/>
          <w:bCs w:val="0"/>
          <w:color w:val="auto"/>
          <w:sz w:val="30"/>
          <w:szCs w:val="30"/>
          <w:highlight w:val="none"/>
          <w:u w:val="single"/>
          <w:lang w:val="en-US" w:eastAsia="zh-CN"/>
        </w:rPr>
        <w:t xml:space="preserve"> </w:t>
      </w:r>
      <w:r>
        <w:rPr>
          <w:rFonts w:hint="eastAsia" w:ascii="仿宋" w:hAnsi="仿宋" w:eastAsia="仿宋" w:cs="仿宋"/>
          <w:b/>
          <w:bCs w:val="0"/>
          <w:color w:val="auto"/>
          <w:spacing w:val="0"/>
          <w:sz w:val="30"/>
          <w:szCs w:val="30"/>
          <w:highlight w:val="none"/>
          <w:u w:val="single"/>
          <w:lang w:eastAsia="zh-CN"/>
        </w:rPr>
        <w:t>山西辰德鑫工程项目管理有限公司</w:t>
      </w:r>
      <w:r>
        <w:rPr>
          <w:rFonts w:hint="eastAsia" w:ascii="仿宋" w:hAnsi="仿宋" w:eastAsia="仿宋" w:cs="仿宋"/>
          <w:b/>
          <w:bCs w:val="0"/>
          <w:color w:val="auto"/>
          <w:spacing w:val="0"/>
          <w:sz w:val="30"/>
          <w:szCs w:val="30"/>
          <w:highlight w:val="none"/>
          <w:u w:val="single"/>
          <w:lang w:val="en-US" w:eastAsia="zh-CN"/>
        </w:rPr>
        <w:t xml:space="preserve"> </w:t>
      </w:r>
    </w:p>
    <w:p w14:paraId="364261C4">
      <w:pPr>
        <w:pStyle w:val="60"/>
        <w:kinsoku w:val="0"/>
        <w:overflowPunct w:val="0"/>
        <w:spacing w:line="600" w:lineRule="auto"/>
        <w:jc w:val="center"/>
        <w:rPr>
          <w:rFonts w:hint="eastAsia" w:ascii="仿宋" w:hAnsi="仿宋" w:eastAsia="仿宋" w:cs="仿宋"/>
          <w:color w:val="auto"/>
          <w:kern w:val="0"/>
          <w:sz w:val="32"/>
          <w:szCs w:val="32"/>
          <w:highlight w:val="none"/>
          <w:lang w:val="en-US"/>
        </w:rPr>
        <w:sectPr>
          <w:pgSz w:w="11906" w:h="16838"/>
          <w:pgMar w:top="1440" w:right="1417" w:bottom="1440" w:left="1417" w:header="851" w:footer="699"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b/>
          <w:bCs w:val="0"/>
          <w:color w:val="auto"/>
          <w:sz w:val="30"/>
          <w:szCs w:val="30"/>
          <w:highlight w:val="none"/>
          <w:lang w:val="en-US" w:eastAsia="zh-CN"/>
        </w:rPr>
        <w:t>2026年5月</w:t>
      </w:r>
    </w:p>
    <w:p w14:paraId="27163830">
      <w:pPr>
        <w:widowControl/>
        <w:snapToGrid w:val="0"/>
        <w:spacing w:after="360" w:afterLines="150" w:line="360" w:lineRule="auto"/>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目</w:t>
      </w:r>
      <w:r>
        <w:rPr>
          <w:rFonts w:hint="eastAsia" w:ascii="仿宋" w:hAnsi="仿宋" w:eastAsia="仿宋" w:cs="仿宋"/>
          <w:b/>
          <w:bCs/>
          <w:color w:val="auto"/>
          <w:kern w:val="0"/>
          <w:sz w:val="36"/>
          <w:szCs w:val="36"/>
          <w:highlight w:val="none"/>
          <w:lang w:val="en-US" w:eastAsia="zh-CN"/>
        </w:rPr>
        <w:t xml:space="preserve">    </w:t>
      </w:r>
      <w:r>
        <w:rPr>
          <w:rFonts w:hint="eastAsia" w:ascii="仿宋" w:hAnsi="仿宋" w:eastAsia="仿宋" w:cs="仿宋"/>
          <w:b/>
          <w:bCs/>
          <w:color w:val="auto"/>
          <w:kern w:val="0"/>
          <w:sz w:val="36"/>
          <w:szCs w:val="36"/>
          <w:highlight w:val="none"/>
        </w:rPr>
        <w:t>录</w:t>
      </w:r>
    </w:p>
    <w:sdt>
      <w:sdtPr>
        <w:rPr>
          <w:rFonts w:hint="eastAsia" w:ascii="仿宋" w:hAnsi="仿宋" w:eastAsia="仿宋" w:cs="仿宋"/>
          <w:kern w:val="2"/>
          <w:sz w:val="21"/>
          <w:szCs w:val="24"/>
          <w:highlight w:val="none"/>
          <w:lang w:val="en-US" w:eastAsia="zh-CN" w:bidi="ar-SA"/>
        </w:rPr>
        <w:id w:val="147451760"/>
        <w15:color w:val="DBDBDB"/>
        <w:docPartObj>
          <w:docPartGallery w:val="Table of Contents"/>
          <w:docPartUnique/>
        </w:docPartObj>
      </w:sdtPr>
      <w:sdtEndPr>
        <w:rPr>
          <w:rFonts w:hint="eastAsia" w:ascii="仿宋" w:hAnsi="仿宋" w:eastAsia="仿宋" w:cs="仿宋"/>
          <w:b/>
          <w:color w:val="auto"/>
          <w:kern w:val="0"/>
          <w:sz w:val="21"/>
          <w:szCs w:val="30"/>
          <w:highlight w:val="none"/>
          <w:lang w:val="en-US" w:eastAsia="zh-CN" w:bidi="ar-SA"/>
        </w:rPr>
      </w:sdtEndPr>
      <w:sdtContent>
        <w:p w14:paraId="7459F66E">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76E5E8C0">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color w:val="auto"/>
              <w:kern w:val="0"/>
              <w:sz w:val="28"/>
              <w:szCs w:val="28"/>
              <w:highlight w:val="none"/>
            </w:rPr>
            <w:instrText xml:space="preserve">TOC \o "1-2" \h \u </w:instrText>
          </w:r>
          <w:r>
            <w:rPr>
              <w:rFonts w:hint="eastAsia" w:ascii="仿宋" w:hAnsi="仿宋" w:eastAsia="仿宋" w:cs="仿宋"/>
              <w:b w:val="0"/>
              <w:bCs w:val="0"/>
              <w:color w:val="auto"/>
              <w:kern w:val="0"/>
              <w:sz w:val="28"/>
              <w:szCs w:val="28"/>
              <w:highlight w:val="none"/>
            </w:rPr>
            <w:fldChar w:fldCharType="separate"/>
          </w: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_Toc18054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 xml:space="preserve">第一部分 </w:t>
          </w:r>
          <w:r>
            <w:rPr>
              <w:rFonts w:hint="eastAsia" w:ascii="仿宋" w:hAnsi="仿宋" w:eastAsia="仿宋" w:cs="仿宋"/>
              <w:b w:val="0"/>
              <w:bCs w:val="0"/>
              <w:kern w:val="0"/>
              <w:sz w:val="28"/>
              <w:szCs w:val="28"/>
              <w:highlight w:val="none"/>
              <w:lang w:val="en-US" w:eastAsia="zh-CN"/>
            </w:rPr>
            <w:t xml:space="preserve"> </w:t>
          </w:r>
          <w:r>
            <w:rPr>
              <w:rFonts w:hint="eastAsia" w:ascii="仿宋" w:hAnsi="仿宋" w:eastAsia="仿宋" w:cs="仿宋"/>
              <w:b w:val="0"/>
              <w:bCs w:val="0"/>
              <w:kern w:val="0"/>
              <w:sz w:val="28"/>
              <w:szCs w:val="28"/>
              <w:highlight w:val="none"/>
            </w:rPr>
            <w:t>招标公告</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_Toc18054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color w:val="auto"/>
              <w:kern w:val="0"/>
              <w:sz w:val="28"/>
              <w:szCs w:val="28"/>
              <w:highlight w:val="none"/>
            </w:rPr>
            <w:fldChar w:fldCharType="end"/>
          </w:r>
        </w:p>
        <w:p w14:paraId="54E7B38F">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_Toc8300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 xml:space="preserve">第二部分  </w:t>
          </w:r>
          <w:r>
            <w:rPr>
              <w:rFonts w:hint="eastAsia" w:ascii="仿宋" w:hAnsi="仿宋" w:eastAsia="仿宋" w:cs="仿宋"/>
              <w:b w:val="0"/>
              <w:bCs w:val="0"/>
              <w:kern w:val="0"/>
              <w:sz w:val="28"/>
              <w:szCs w:val="28"/>
              <w:highlight w:val="none"/>
              <w:lang w:eastAsia="zh-CN"/>
            </w:rPr>
            <w:t>供应商</w:t>
          </w:r>
          <w:r>
            <w:rPr>
              <w:rFonts w:hint="eastAsia" w:ascii="仿宋" w:hAnsi="仿宋" w:eastAsia="仿宋" w:cs="仿宋"/>
              <w:b w:val="0"/>
              <w:bCs w:val="0"/>
              <w:kern w:val="0"/>
              <w:sz w:val="28"/>
              <w:szCs w:val="28"/>
              <w:highlight w:val="none"/>
            </w:rPr>
            <w:t>须知前附表</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_Toc8300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4</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color w:val="auto"/>
              <w:kern w:val="0"/>
              <w:sz w:val="28"/>
              <w:szCs w:val="28"/>
              <w:highlight w:val="none"/>
            </w:rPr>
            <w:fldChar w:fldCharType="end"/>
          </w:r>
        </w:p>
        <w:p w14:paraId="2E54FB1E">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_Toc825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 xml:space="preserve">第三部分  </w:t>
          </w:r>
          <w:r>
            <w:rPr>
              <w:rFonts w:hint="eastAsia" w:ascii="仿宋" w:hAnsi="仿宋" w:eastAsia="仿宋" w:cs="仿宋"/>
              <w:b w:val="0"/>
              <w:bCs w:val="0"/>
              <w:kern w:val="0"/>
              <w:sz w:val="28"/>
              <w:szCs w:val="28"/>
              <w:highlight w:val="none"/>
              <w:lang w:eastAsia="zh-CN"/>
            </w:rPr>
            <w:t>供应商</w:t>
          </w:r>
          <w:r>
            <w:rPr>
              <w:rFonts w:hint="eastAsia" w:ascii="仿宋" w:hAnsi="仿宋" w:eastAsia="仿宋" w:cs="仿宋"/>
              <w:b w:val="0"/>
              <w:bCs w:val="0"/>
              <w:kern w:val="0"/>
              <w:sz w:val="28"/>
              <w:szCs w:val="28"/>
              <w:highlight w:val="none"/>
            </w:rPr>
            <w:t>须知</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_Toc825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13</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color w:val="auto"/>
              <w:kern w:val="0"/>
              <w:sz w:val="28"/>
              <w:szCs w:val="28"/>
              <w:highlight w:val="none"/>
            </w:rPr>
            <w:fldChar w:fldCharType="end"/>
          </w:r>
        </w:p>
        <w:p w14:paraId="669F5ECF">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_Toc28096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第四部分  评标标准和评标方法</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_Toc28096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30</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color w:val="auto"/>
              <w:kern w:val="0"/>
              <w:sz w:val="28"/>
              <w:szCs w:val="28"/>
              <w:highlight w:val="none"/>
            </w:rPr>
            <w:fldChar w:fldCharType="end"/>
          </w:r>
        </w:p>
        <w:p w14:paraId="296E5238">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_Toc4530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第五部分  商务、</w:t>
          </w:r>
          <w:r>
            <w:rPr>
              <w:rFonts w:hint="eastAsia" w:ascii="仿宋" w:hAnsi="仿宋" w:eastAsia="仿宋" w:cs="仿宋"/>
              <w:b w:val="0"/>
              <w:bCs w:val="0"/>
              <w:kern w:val="0"/>
              <w:sz w:val="28"/>
              <w:szCs w:val="28"/>
              <w:highlight w:val="none"/>
              <w:lang w:val="en-US" w:eastAsia="zh-CN"/>
            </w:rPr>
            <w:t>技术</w:t>
          </w:r>
          <w:r>
            <w:rPr>
              <w:rFonts w:hint="eastAsia" w:ascii="仿宋" w:hAnsi="仿宋" w:eastAsia="仿宋" w:cs="仿宋"/>
              <w:b w:val="0"/>
              <w:bCs w:val="0"/>
              <w:kern w:val="0"/>
              <w:sz w:val="28"/>
              <w:szCs w:val="28"/>
              <w:highlight w:val="none"/>
            </w:rPr>
            <w:t>要求</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_Toc4530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39</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color w:val="auto"/>
              <w:kern w:val="0"/>
              <w:sz w:val="28"/>
              <w:szCs w:val="28"/>
              <w:highlight w:val="none"/>
            </w:rPr>
            <w:fldChar w:fldCharType="end"/>
          </w:r>
        </w:p>
        <w:p w14:paraId="00CE20BB">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_Toc361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 xml:space="preserve">第六部分  </w:t>
          </w:r>
          <w:r>
            <w:rPr>
              <w:rFonts w:hint="eastAsia" w:ascii="仿宋" w:hAnsi="仿宋" w:eastAsia="仿宋" w:cs="仿宋"/>
              <w:b w:val="0"/>
              <w:bCs w:val="0"/>
              <w:kern w:val="0"/>
              <w:sz w:val="28"/>
              <w:szCs w:val="28"/>
              <w:highlight w:val="none"/>
              <w:lang w:val="en-US" w:eastAsia="zh-CN"/>
            </w:rPr>
            <w:t>合同条款及格式（仅供参考）</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color w:val="auto"/>
              <w:kern w:val="0"/>
              <w:sz w:val="28"/>
              <w:szCs w:val="28"/>
              <w:highlight w:val="none"/>
            </w:rPr>
            <w:fldChar w:fldCharType="end"/>
          </w:r>
          <w:r>
            <w:rPr>
              <w:rFonts w:hint="eastAsia" w:ascii="仿宋" w:hAnsi="仿宋" w:eastAsia="仿宋" w:cs="仿宋"/>
              <w:b w:val="0"/>
              <w:bCs w:val="0"/>
              <w:color w:val="auto"/>
              <w:kern w:val="0"/>
              <w:sz w:val="28"/>
              <w:szCs w:val="28"/>
              <w:highlight w:val="none"/>
              <w:lang w:val="en-US" w:eastAsia="zh-CN"/>
            </w:rPr>
            <w:t>3</w:t>
          </w:r>
        </w:p>
        <w:p w14:paraId="3F2497AA">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_Toc10380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第七部分  投标文件格式</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color w:val="auto"/>
              <w:kern w:val="0"/>
              <w:sz w:val="28"/>
              <w:szCs w:val="28"/>
              <w:highlight w:val="none"/>
            </w:rPr>
            <w:fldChar w:fldCharType="end"/>
          </w:r>
          <w:r>
            <w:rPr>
              <w:rFonts w:hint="eastAsia" w:ascii="仿宋" w:hAnsi="仿宋" w:eastAsia="仿宋" w:cs="仿宋"/>
              <w:b w:val="0"/>
              <w:bCs w:val="0"/>
              <w:color w:val="auto"/>
              <w:kern w:val="0"/>
              <w:sz w:val="28"/>
              <w:szCs w:val="28"/>
              <w:highlight w:val="none"/>
              <w:lang w:val="en-US" w:eastAsia="zh-CN"/>
            </w:rPr>
            <w:t>6</w:t>
          </w:r>
        </w:p>
        <w:p w14:paraId="387434BB">
          <w:pPr>
            <w:pStyle w:val="22"/>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color w:val="auto"/>
              <w:kern w:val="0"/>
              <w:sz w:val="28"/>
              <w:szCs w:val="28"/>
              <w:highlight w:val="none"/>
            </w:rPr>
            <w:fldChar w:fldCharType="begin"/>
          </w:r>
          <w:r>
            <w:rPr>
              <w:rFonts w:hint="eastAsia" w:ascii="仿宋" w:hAnsi="仿宋" w:eastAsia="仿宋" w:cs="仿宋"/>
              <w:b w:val="0"/>
              <w:bCs w:val="0"/>
              <w:kern w:val="0"/>
              <w:sz w:val="28"/>
              <w:szCs w:val="28"/>
              <w:highlight w:val="none"/>
            </w:rPr>
            <w:instrText xml:space="preserve"> HYPERLINK \l _Toc30077 </w:instrText>
          </w:r>
          <w:r>
            <w:rPr>
              <w:rFonts w:hint="eastAsia" w:ascii="仿宋" w:hAnsi="仿宋" w:eastAsia="仿宋" w:cs="仿宋"/>
              <w:b w:val="0"/>
              <w:bCs w:val="0"/>
              <w:kern w:val="0"/>
              <w:sz w:val="28"/>
              <w:szCs w:val="28"/>
              <w:highlight w:val="none"/>
            </w:rPr>
            <w:fldChar w:fldCharType="separate"/>
          </w:r>
          <w:r>
            <w:rPr>
              <w:rFonts w:hint="eastAsia" w:ascii="仿宋" w:hAnsi="仿宋" w:eastAsia="仿宋" w:cs="仿宋"/>
              <w:b w:val="0"/>
              <w:bCs w:val="0"/>
              <w:kern w:val="0"/>
              <w:sz w:val="28"/>
              <w:szCs w:val="28"/>
              <w:highlight w:val="none"/>
            </w:rPr>
            <w:t>第八部分  相关附件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lang w:val="en-US" w:eastAsia="zh-CN"/>
            </w:rPr>
            <w:t>8</w:t>
          </w:r>
          <w:r>
            <w:rPr>
              <w:rFonts w:hint="eastAsia" w:ascii="仿宋" w:hAnsi="仿宋" w:eastAsia="仿宋" w:cs="仿宋"/>
              <w:b w:val="0"/>
              <w:bCs w:val="0"/>
              <w:color w:val="auto"/>
              <w:kern w:val="0"/>
              <w:sz w:val="28"/>
              <w:szCs w:val="28"/>
              <w:highlight w:val="none"/>
            </w:rPr>
            <w:fldChar w:fldCharType="end"/>
          </w:r>
          <w:r>
            <w:rPr>
              <w:rFonts w:hint="eastAsia" w:ascii="仿宋" w:hAnsi="仿宋" w:eastAsia="仿宋" w:cs="仿宋"/>
              <w:b w:val="0"/>
              <w:bCs w:val="0"/>
              <w:color w:val="auto"/>
              <w:kern w:val="0"/>
              <w:sz w:val="28"/>
              <w:szCs w:val="28"/>
              <w:highlight w:val="none"/>
              <w:lang w:val="en-US" w:eastAsia="zh-CN"/>
            </w:rPr>
            <w:t>2</w:t>
          </w:r>
        </w:p>
        <w:p w14:paraId="09C04CA4">
          <w:pPr>
            <w:keepNext w:val="0"/>
            <w:keepLines w:val="0"/>
            <w:pageBreakBefore w:val="0"/>
            <w:widowControl/>
            <w:kinsoku/>
            <w:wordWrap/>
            <w:overflowPunct/>
            <w:topLinePunct w:val="0"/>
            <w:autoSpaceDE/>
            <w:autoSpaceDN/>
            <w:bidi w:val="0"/>
            <w:adjustRightInd/>
            <w:snapToGrid w:val="0"/>
            <w:spacing w:line="1200" w:lineRule="exact"/>
            <w:jc w:val="left"/>
            <w:textAlignment w:val="auto"/>
            <w:rPr>
              <w:rFonts w:hint="eastAsia" w:ascii="仿宋" w:hAnsi="仿宋" w:eastAsia="仿宋" w:cs="仿宋"/>
              <w:color w:val="auto"/>
              <w:kern w:val="0"/>
              <w:sz w:val="28"/>
              <w:szCs w:val="30"/>
              <w:highlight w:val="none"/>
            </w:rPr>
          </w:pPr>
          <w:r>
            <w:rPr>
              <w:rFonts w:hint="eastAsia" w:ascii="仿宋" w:hAnsi="仿宋" w:eastAsia="仿宋" w:cs="仿宋"/>
              <w:b w:val="0"/>
              <w:bCs w:val="0"/>
              <w:color w:val="auto"/>
              <w:kern w:val="0"/>
              <w:sz w:val="28"/>
              <w:szCs w:val="28"/>
              <w:highlight w:val="none"/>
            </w:rPr>
            <w:fldChar w:fldCharType="end"/>
          </w:r>
        </w:p>
      </w:sdtContent>
    </w:sdt>
    <w:p w14:paraId="64D59256">
      <w:pPr>
        <w:widowControl/>
        <w:snapToGrid w:val="0"/>
        <w:spacing w:line="360" w:lineRule="auto"/>
        <w:jc w:val="left"/>
        <w:rPr>
          <w:rFonts w:hint="eastAsia" w:ascii="仿宋" w:hAnsi="仿宋" w:eastAsia="仿宋" w:cs="仿宋"/>
          <w:color w:val="auto"/>
          <w:kern w:val="0"/>
          <w:sz w:val="28"/>
          <w:szCs w:val="30"/>
          <w:highlight w:val="none"/>
        </w:rPr>
      </w:pPr>
    </w:p>
    <w:p w14:paraId="1EBF7F32">
      <w:pPr>
        <w:pStyle w:val="27"/>
        <w:rPr>
          <w:rFonts w:hint="eastAsia" w:ascii="仿宋" w:hAnsi="仿宋" w:eastAsia="仿宋" w:cs="仿宋"/>
          <w:color w:val="auto"/>
          <w:sz w:val="28"/>
          <w:szCs w:val="30"/>
          <w:highlight w:val="none"/>
        </w:rPr>
      </w:pPr>
    </w:p>
    <w:p w14:paraId="0BC700B3">
      <w:pPr>
        <w:pStyle w:val="27"/>
        <w:rPr>
          <w:rFonts w:hint="eastAsia" w:ascii="仿宋" w:hAnsi="仿宋" w:eastAsia="仿宋" w:cs="仿宋"/>
          <w:color w:val="auto"/>
          <w:sz w:val="28"/>
          <w:szCs w:val="30"/>
          <w:highlight w:val="none"/>
        </w:rPr>
      </w:pPr>
    </w:p>
    <w:p w14:paraId="703287A4">
      <w:pPr>
        <w:widowControl/>
        <w:tabs>
          <w:tab w:val="left" w:pos="2070"/>
          <w:tab w:val="center" w:pos="4365"/>
        </w:tabs>
        <w:snapToGrid w:val="0"/>
        <w:spacing w:line="360" w:lineRule="auto"/>
        <w:jc w:val="center"/>
        <w:outlineLvl w:val="0"/>
        <w:rPr>
          <w:rFonts w:hint="eastAsia" w:ascii="仿宋" w:hAnsi="仿宋" w:eastAsia="仿宋" w:cs="仿宋"/>
          <w:b/>
          <w:color w:val="auto"/>
          <w:kern w:val="0"/>
          <w:sz w:val="36"/>
          <w:szCs w:val="36"/>
          <w:highlight w:val="none"/>
        </w:rPr>
        <w:sectPr>
          <w:footerReference r:id="rId6" w:type="first"/>
          <w:footerReference r:id="rId5" w:type="default"/>
          <w:pgSz w:w="11906" w:h="16838"/>
          <w:pgMar w:top="1440" w:right="1080" w:bottom="1440" w:left="1080" w:header="851" w:footer="992" w:gutter="0"/>
          <w:pgNumType w:fmt="decimal" w:start="1"/>
          <w:cols w:space="720" w:num="1"/>
          <w:docGrid w:linePitch="312" w:charSpace="0"/>
        </w:sectPr>
      </w:pPr>
      <w:bookmarkStart w:id="0" w:name="_Toc18054"/>
    </w:p>
    <w:p w14:paraId="6AF13EF8">
      <w:pPr>
        <w:keepNext w:val="0"/>
        <w:keepLines w:val="0"/>
        <w:pageBreakBefore w:val="0"/>
        <w:widowControl/>
        <w:tabs>
          <w:tab w:val="left" w:pos="2070"/>
          <w:tab w:val="center" w:pos="4365"/>
        </w:tabs>
        <w:kinsoku/>
        <w:wordWrap/>
        <w:overflowPunct/>
        <w:topLinePunct w:val="0"/>
        <w:autoSpaceDE/>
        <w:autoSpaceDN/>
        <w:bidi w:val="0"/>
        <w:adjustRightInd/>
        <w:snapToGrid w:val="0"/>
        <w:spacing w:line="560" w:lineRule="exact"/>
        <w:jc w:val="center"/>
        <w:textAlignment w:val="auto"/>
        <w:outlineLvl w:val="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8"/>
          <w:szCs w:val="28"/>
          <w:highlight w:val="none"/>
        </w:rPr>
        <w:t>第一部分</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招标公告</w:t>
      </w:r>
      <w:bookmarkEnd w:id="0"/>
    </w:p>
    <w:p w14:paraId="5BBA53E7">
      <w:pPr>
        <w:tabs>
          <w:tab w:val="right" w:leader="dot" w:pos="8958"/>
        </w:tabs>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阳高县医疗集团人民医院高质量医疗人工智能综合服务项目</w:t>
      </w:r>
      <w:r>
        <w:rPr>
          <w:rFonts w:hint="eastAsia" w:ascii="仿宋" w:hAnsi="仿宋" w:eastAsia="仿宋" w:cs="仿宋"/>
          <w:b/>
          <w:sz w:val="28"/>
          <w:szCs w:val="28"/>
          <w:highlight w:val="none"/>
        </w:rPr>
        <w:t>招标公告</w:t>
      </w:r>
    </w:p>
    <w:p w14:paraId="1631B1A4">
      <w:pPr>
        <w:jc w:val="center"/>
        <w:rPr>
          <w:rFonts w:hint="eastAsia" w:ascii="仿宋" w:hAnsi="仿宋" w:eastAsia="仿宋" w:cs="仿宋"/>
          <w:b/>
          <w:sz w:val="28"/>
          <w:szCs w:val="28"/>
          <w:highlight w:val="none"/>
        </w:rPr>
      </w:pPr>
    </w:p>
    <w:p w14:paraId="0B78A990">
      <w:pPr>
        <w:pStyle w:val="28"/>
        <w:pBdr>
          <w:top w:val="single" w:color="auto" w:sz="8" w:space="1"/>
          <w:left w:val="single" w:color="auto" w:sz="8" w:space="4"/>
          <w:bottom w:val="single" w:color="auto" w:sz="8" w:space="1"/>
          <w:right w:val="single" w:color="auto" w:sz="8" w:space="4"/>
        </w:pBdr>
        <w:wordWrap w:val="0"/>
        <w:topLinePunct/>
        <w:spacing w:before="0" w:beforeAutospacing="0" w:after="0" w:afterAutospacing="0"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2F0DA9A5">
      <w:pPr>
        <w:pStyle w:val="28"/>
        <w:pBdr>
          <w:top w:val="single" w:color="auto" w:sz="8" w:space="1"/>
          <w:left w:val="single" w:color="auto" w:sz="8" w:space="4"/>
          <w:bottom w:val="single" w:color="auto" w:sz="8" w:space="1"/>
          <w:right w:val="single" w:color="auto" w:sz="8" w:space="4"/>
        </w:pBdr>
        <w:wordWrap w:val="0"/>
        <w:topLinePunct/>
        <w:spacing w:before="0" w:beforeAutospacing="0" w:after="0" w:afterAutospacing="0"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阳高县医疗集团人民医院高质量医疗人工智能综合服务项目</w:t>
      </w:r>
      <w:r>
        <w:rPr>
          <w:rFonts w:hint="eastAsia" w:ascii="仿宋" w:hAnsi="仿宋" w:eastAsia="仿宋" w:cs="仿宋"/>
          <w:sz w:val="28"/>
          <w:szCs w:val="28"/>
          <w:highlight w:val="none"/>
        </w:rPr>
        <w:t>的潜在投标人应在政采云平台线上获取获取招标文件</w:t>
      </w:r>
      <w:r>
        <w:rPr>
          <w:rFonts w:hint="eastAsia" w:ascii="仿宋" w:hAnsi="仿宋" w:eastAsia="仿宋" w:cs="仿宋"/>
          <w:color w:val="000000"/>
          <w:sz w:val="28"/>
          <w:szCs w:val="28"/>
          <w:highlight w:val="none"/>
        </w:rPr>
        <w:t>,并于</w:t>
      </w:r>
      <w:r>
        <w:rPr>
          <w:rFonts w:hint="eastAsia" w:ascii="仿宋" w:hAnsi="仿宋" w:eastAsia="仿宋" w:cs="仿宋"/>
          <w:color w:val="000000"/>
          <w:sz w:val="28"/>
          <w:szCs w:val="28"/>
          <w:highlight w:val="none"/>
          <w:lang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分（北京时间）前递交投标文件。</w:t>
      </w:r>
    </w:p>
    <w:p w14:paraId="3A31D87D">
      <w:pPr>
        <w:pStyle w:val="28"/>
        <w:autoSpaceDE w:val="0"/>
        <w:adjustRightInd w:val="0"/>
        <w:snapToGrid w:val="0"/>
        <w:spacing w:before="0" w:beforeAutospacing="0" w:after="0" w:afterAutospacing="0" w:line="360" w:lineRule="auto"/>
        <w:outlineLvl w:val="1"/>
        <w:rPr>
          <w:rFonts w:hint="eastAsia" w:ascii="仿宋" w:hAnsi="仿宋" w:eastAsia="仿宋" w:cs="仿宋"/>
          <w:b/>
          <w:bCs/>
          <w:color w:val="000000"/>
          <w:sz w:val="28"/>
          <w:szCs w:val="28"/>
          <w:highlight w:val="none"/>
        </w:rPr>
      </w:pPr>
      <w:bookmarkStart w:id="1" w:name="_Toc499"/>
      <w:bookmarkStart w:id="2" w:name="_Toc17763"/>
      <w:r>
        <w:rPr>
          <w:rFonts w:hint="eastAsia" w:ascii="仿宋" w:hAnsi="仿宋" w:eastAsia="仿宋" w:cs="仿宋"/>
          <w:b/>
          <w:bCs/>
          <w:color w:val="000000"/>
          <w:sz w:val="28"/>
          <w:szCs w:val="28"/>
          <w:highlight w:val="none"/>
        </w:rPr>
        <w:t>一、项目基本情况</w:t>
      </w:r>
      <w:bookmarkEnd w:id="1"/>
      <w:bookmarkEnd w:id="2"/>
    </w:p>
    <w:p w14:paraId="254AFA12">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项目编号：                       </w:t>
      </w:r>
    </w:p>
    <w:p w14:paraId="48684307">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eastAsia="zh-CN"/>
        </w:rPr>
        <w:t>阳高县医疗集团人民医院高质量医疗人工智能综合服务项目</w:t>
      </w:r>
    </w:p>
    <w:p w14:paraId="62E0501D">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val="en-US" w:eastAsia="zh-CN"/>
        </w:rPr>
        <w:t>3900000</w:t>
      </w:r>
    </w:p>
    <w:p w14:paraId="526E49F1">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最高限价（元）：</w:t>
      </w:r>
      <w:r>
        <w:rPr>
          <w:rFonts w:hint="eastAsia" w:ascii="仿宋" w:hAnsi="仿宋" w:eastAsia="仿宋" w:cs="仿宋"/>
          <w:color w:val="000000"/>
          <w:sz w:val="28"/>
          <w:szCs w:val="28"/>
          <w:highlight w:val="none"/>
          <w:lang w:val="en-US" w:eastAsia="zh-CN"/>
        </w:rPr>
        <w:t>3900000</w:t>
      </w:r>
    </w:p>
    <w:p w14:paraId="6C17817C">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采购需求：</w:t>
      </w:r>
    </w:p>
    <w:p w14:paraId="186B2C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数量:  </w:t>
      </w:r>
    </w:p>
    <w:p w14:paraId="6287D71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预算金额（元）：</w:t>
      </w:r>
      <w:r>
        <w:rPr>
          <w:rFonts w:hint="eastAsia" w:ascii="仿宋" w:hAnsi="仿宋" w:eastAsia="仿宋" w:cs="仿宋"/>
          <w:sz w:val="28"/>
          <w:szCs w:val="28"/>
          <w:highlight w:val="none"/>
          <w:lang w:val="en-US" w:eastAsia="zh-CN"/>
        </w:rPr>
        <w:t>3900000</w:t>
      </w:r>
    </w:p>
    <w:p w14:paraId="1053213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简要规格描述或项目基本概况介绍、用途：包含硬件算力服务、数据和应用服务器、医生手持终端、语音采集器、病历自动生成智能体、多模态辅助诊断智能体、医保合规审核智能体、查房助手智能体、病案质控智能体及大模型深度微调与训练。 </w:t>
      </w:r>
    </w:p>
    <w:p w14:paraId="602DF3A0">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合同履行期限：</w:t>
      </w:r>
      <w:r>
        <w:rPr>
          <w:rFonts w:hint="eastAsia" w:ascii="仿宋" w:hAnsi="仿宋" w:eastAsia="仿宋" w:cs="仿宋"/>
          <w:color w:val="000000"/>
          <w:sz w:val="28"/>
          <w:szCs w:val="28"/>
          <w:highlight w:val="none"/>
          <w:lang w:val="en-US" w:eastAsia="zh-CN"/>
        </w:rPr>
        <w:t>一年</w:t>
      </w:r>
    </w:p>
    <w:p w14:paraId="5DE82740">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本项目不接受联合体。</w:t>
      </w:r>
    </w:p>
    <w:p w14:paraId="2E36B232">
      <w:pPr>
        <w:pStyle w:val="28"/>
        <w:autoSpaceDE w:val="0"/>
        <w:adjustRightInd w:val="0"/>
        <w:snapToGrid w:val="0"/>
        <w:spacing w:before="0" w:beforeAutospacing="0" w:after="0" w:afterAutospacing="0" w:line="360" w:lineRule="auto"/>
        <w:outlineLvl w:val="1"/>
        <w:rPr>
          <w:rFonts w:hint="eastAsia" w:ascii="仿宋" w:hAnsi="仿宋" w:eastAsia="仿宋" w:cs="仿宋"/>
          <w:b/>
          <w:bCs/>
          <w:color w:val="000000"/>
          <w:sz w:val="28"/>
          <w:szCs w:val="28"/>
          <w:highlight w:val="none"/>
        </w:rPr>
      </w:pPr>
      <w:bookmarkStart w:id="3" w:name="_Toc376"/>
      <w:bookmarkStart w:id="4" w:name="_Toc6740"/>
      <w:r>
        <w:rPr>
          <w:rFonts w:hint="eastAsia" w:ascii="仿宋" w:hAnsi="仿宋" w:eastAsia="仿宋" w:cs="仿宋"/>
          <w:b/>
          <w:bCs/>
          <w:color w:val="000000"/>
          <w:sz w:val="28"/>
          <w:szCs w:val="28"/>
          <w:highlight w:val="none"/>
        </w:rPr>
        <w:t>二、申请人的资格要求</w:t>
      </w:r>
      <w:bookmarkEnd w:id="3"/>
      <w:bookmarkEnd w:id="4"/>
    </w:p>
    <w:p w14:paraId="035EE9E1">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1.满足《中华人民共和国政府采购法》第二十二条规定。</w:t>
      </w:r>
    </w:p>
    <w:p w14:paraId="6B3F1BAD">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2.落实政府采购政策需满足的资格要求：</w:t>
      </w:r>
      <w:r>
        <w:rPr>
          <w:rFonts w:hint="eastAsia" w:ascii="仿宋" w:hAnsi="仿宋" w:eastAsia="仿宋" w:cs="仿宋"/>
          <w:color w:val="000000"/>
          <w:sz w:val="28"/>
          <w:szCs w:val="28"/>
          <w:highlight w:val="none"/>
          <w:lang w:val="en-US" w:eastAsia="zh-CN"/>
        </w:rPr>
        <w:t>无</w:t>
      </w:r>
    </w:p>
    <w:p w14:paraId="6F15ABDD">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3.本项目的特定资格要求：</w:t>
      </w:r>
      <w:r>
        <w:rPr>
          <w:rFonts w:hint="eastAsia" w:ascii="仿宋" w:hAnsi="仿宋" w:eastAsia="仿宋" w:cs="仿宋"/>
          <w:color w:val="000000"/>
          <w:sz w:val="28"/>
          <w:szCs w:val="28"/>
          <w:highlight w:val="none"/>
          <w:lang w:val="en-US" w:eastAsia="zh-CN"/>
        </w:rPr>
        <w:t>无</w:t>
      </w:r>
    </w:p>
    <w:p w14:paraId="2D6F2C68">
      <w:pPr>
        <w:pStyle w:val="28"/>
        <w:autoSpaceDE w:val="0"/>
        <w:adjustRightInd w:val="0"/>
        <w:snapToGrid w:val="0"/>
        <w:spacing w:before="0" w:beforeAutospacing="0" w:after="0" w:afterAutospacing="0" w:line="360" w:lineRule="auto"/>
        <w:outlineLvl w:val="1"/>
        <w:rPr>
          <w:rFonts w:hint="eastAsia" w:ascii="仿宋" w:hAnsi="仿宋" w:eastAsia="仿宋" w:cs="仿宋"/>
          <w:b/>
          <w:bCs/>
          <w:color w:val="000000"/>
          <w:sz w:val="28"/>
          <w:szCs w:val="28"/>
          <w:highlight w:val="none"/>
        </w:rPr>
      </w:pPr>
      <w:bookmarkStart w:id="5" w:name="_Toc16776"/>
      <w:bookmarkStart w:id="6" w:name="_Toc22201"/>
      <w:r>
        <w:rPr>
          <w:rFonts w:hint="eastAsia" w:ascii="仿宋" w:hAnsi="仿宋" w:eastAsia="仿宋" w:cs="仿宋"/>
          <w:b/>
          <w:bCs/>
          <w:color w:val="000000"/>
          <w:sz w:val="28"/>
          <w:szCs w:val="28"/>
          <w:highlight w:val="none"/>
        </w:rPr>
        <w:t>三、获取招标文件</w:t>
      </w:r>
      <w:bookmarkEnd w:id="5"/>
      <w:bookmarkEnd w:id="6"/>
    </w:p>
    <w:p w14:paraId="1D0753A5">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w:t>
      </w:r>
      <w:r>
        <w:rPr>
          <w:rFonts w:hint="eastAsia" w:ascii="仿宋" w:hAnsi="仿宋" w:eastAsia="仿宋" w:cs="仿宋"/>
          <w:color w:val="000000"/>
          <w:sz w:val="28"/>
          <w:szCs w:val="28"/>
          <w:highlight w:val="none"/>
          <w:lang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日至</w:t>
      </w:r>
      <w:r>
        <w:rPr>
          <w:rFonts w:hint="eastAsia" w:ascii="仿宋" w:hAnsi="仿宋" w:eastAsia="仿宋" w:cs="仿宋"/>
          <w:color w:val="000000"/>
          <w:sz w:val="28"/>
          <w:szCs w:val="28"/>
          <w:highlight w:val="none"/>
          <w:lang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日，每天上午00:00至12:00，下午12:00至23:59（北京时间，法定节假日除外）</w:t>
      </w:r>
    </w:p>
    <w:p w14:paraId="3D20ADD1">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地点：政采云平台线上获取。</w:t>
      </w:r>
    </w:p>
    <w:p w14:paraId="29B912B4">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方式：在线获取</w:t>
      </w:r>
    </w:p>
    <w:p w14:paraId="3C0F4CD2">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售价（元）：0</w:t>
      </w:r>
    </w:p>
    <w:p w14:paraId="3202EE6E">
      <w:pPr>
        <w:pStyle w:val="28"/>
        <w:autoSpaceDE w:val="0"/>
        <w:adjustRightInd w:val="0"/>
        <w:snapToGrid w:val="0"/>
        <w:spacing w:before="0" w:beforeAutospacing="0" w:after="0" w:afterAutospacing="0" w:line="360" w:lineRule="auto"/>
        <w:outlineLvl w:val="1"/>
        <w:rPr>
          <w:rFonts w:hint="eastAsia" w:ascii="仿宋" w:hAnsi="仿宋" w:eastAsia="仿宋" w:cs="仿宋"/>
          <w:b/>
          <w:bCs/>
          <w:color w:val="000000"/>
          <w:sz w:val="28"/>
          <w:szCs w:val="28"/>
          <w:highlight w:val="none"/>
        </w:rPr>
      </w:pPr>
      <w:bookmarkStart w:id="7" w:name="_Toc16454"/>
      <w:bookmarkStart w:id="8" w:name="_Toc15735"/>
      <w:r>
        <w:rPr>
          <w:rFonts w:hint="eastAsia" w:ascii="仿宋" w:hAnsi="仿宋" w:eastAsia="仿宋" w:cs="仿宋"/>
          <w:b/>
          <w:bCs/>
          <w:color w:val="000000"/>
          <w:sz w:val="28"/>
          <w:szCs w:val="28"/>
          <w:highlight w:val="none"/>
        </w:rPr>
        <w:t>四、提交投标文件截止时间、开标时间和地点</w:t>
      </w:r>
      <w:bookmarkEnd w:id="7"/>
      <w:bookmarkEnd w:id="8"/>
    </w:p>
    <w:p w14:paraId="3581B925">
      <w:pPr>
        <w:pStyle w:val="28"/>
        <w:widowControl w:val="0"/>
        <w:autoSpaceDE w:val="0"/>
        <w:adjustRightInd w:val="0"/>
        <w:snapToGrid w:val="0"/>
        <w:spacing w:before="0" w:beforeAutospacing="0" w:after="0" w:afterAutospacing="0" w:line="360" w:lineRule="auto"/>
        <w:ind w:firstLine="560" w:firstLineChars="200"/>
        <w:jc w:val="both"/>
        <w:textAlignment w:val="baseline"/>
        <w:rPr>
          <w:rFonts w:hint="eastAsia" w:ascii="仿宋" w:hAnsi="仿宋" w:eastAsia="仿宋" w:cs="仿宋"/>
          <w:color w:val="000000"/>
          <w:sz w:val="28"/>
          <w:szCs w:val="28"/>
          <w:highlight w:val="none"/>
        </w:rPr>
      </w:pPr>
      <w:bookmarkStart w:id="9" w:name="_Toc28652"/>
      <w:r>
        <w:rPr>
          <w:rFonts w:hint="eastAsia" w:ascii="仿宋" w:hAnsi="仿宋" w:eastAsia="仿宋" w:cs="仿宋"/>
          <w:color w:val="000000"/>
          <w:sz w:val="28"/>
          <w:szCs w:val="28"/>
          <w:highlight w:val="none"/>
        </w:rPr>
        <w:t>提交投标文件截止时间：</w:t>
      </w:r>
      <w:r>
        <w:rPr>
          <w:rFonts w:hint="eastAsia" w:ascii="仿宋" w:hAnsi="仿宋" w:eastAsia="仿宋" w:cs="仿宋"/>
          <w:color w:val="000000"/>
          <w:sz w:val="28"/>
          <w:szCs w:val="28"/>
          <w:highlight w:val="none"/>
          <w:lang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 xml:space="preserve">分（北京时间）        </w:t>
      </w:r>
    </w:p>
    <w:p w14:paraId="4CA88959">
      <w:pPr>
        <w:pStyle w:val="28"/>
        <w:widowControl w:val="0"/>
        <w:autoSpaceDE w:val="0"/>
        <w:adjustRightInd w:val="0"/>
        <w:snapToGrid w:val="0"/>
        <w:spacing w:before="0" w:beforeAutospacing="0" w:after="0" w:afterAutospacing="0" w:line="360" w:lineRule="auto"/>
        <w:ind w:firstLine="560" w:firstLineChars="200"/>
        <w:jc w:val="both"/>
        <w:textAlignment w:val="baselin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投标地点（网址）：请登录政采云投标客户端投标     </w:t>
      </w:r>
    </w:p>
    <w:p w14:paraId="78A9EB0D">
      <w:pPr>
        <w:pStyle w:val="28"/>
        <w:widowControl w:val="0"/>
        <w:autoSpaceDE w:val="0"/>
        <w:adjustRightInd w:val="0"/>
        <w:snapToGrid w:val="0"/>
        <w:spacing w:before="0" w:beforeAutospacing="0" w:after="0" w:afterAutospacing="0" w:line="360" w:lineRule="auto"/>
        <w:ind w:firstLine="560" w:firstLineChars="200"/>
        <w:jc w:val="both"/>
        <w:textAlignment w:val="baselin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开标时间：</w:t>
      </w:r>
      <w:r>
        <w:rPr>
          <w:rFonts w:hint="eastAsia" w:ascii="仿宋" w:hAnsi="仿宋" w:eastAsia="仿宋" w:cs="仿宋"/>
          <w:color w:val="000000"/>
          <w:sz w:val="28"/>
          <w:szCs w:val="28"/>
          <w:highlight w:val="none"/>
          <w:lang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bookmarkStart w:id="60" w:name="_GoBack"/>
      <w:bookmarkEnd w:id="60"/>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 xml:space="preserve">分        </w:t>
      </w:r>
    </w:p>
    <w:p w14:paraId="29AB5C1E">
      <w:pPr>
        <w:pStyle w:val="28"/>
        <w:widowControl w:val="0"/>
        <w:autoSpaceDE w:val="0"/>
        <w:adjustRightInd w:val="0"/>
        <w:snapToGrid w:val="0"/>
        <w:spacing w:before="0" w:beforeAutospacing="0" w:after="0" w:afterAutospacing="0" w:line="360" w:lineRule="auto"/>
        <w:ind w:firstLine="560" w:firstLineChars="200"/>
        <w:jc w:val="both"/>
        <w:textAlignment w:val="baseline"/>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开标地点：</w:t>
      </w:r>
      <w:r>
        <w:rPr>
          <w:rFonts w:hint="eastAsia" w:ascii="仿宋" w:hAnsi="仿宋" w:eastAsia="仿宋" w:cs="仿宋"/>
          <w:color w:val="000000"/>
          <w:sz w:val="28"/>
          <w:szCs w:val="28"/>
          <w:highlight w:val="none"/>
          <w:lang w:eastAsia="zh-CN"/>
        </w:rPr>
        <w:t>大同市平城区恒大悦府一期院内换热站二楼</w:t>
      </w:r>
    </w:p>
    <w:p w14:paraId="2DF9B142">
      <w:pPr>
        <w:pStyle w:val="28"/>
        <w:widowControl w:val="0"/>
        <w:autoSpaceDE w:val="0"/>
        <w:adjustRightInd w:val="0"/>
        <w:spacing w:before="0" w:beforeAutospacing="0" w:after="0" w:afterAutospacing="0" w:line="360" w:lineRule="auto"/>
        <w:jc w:val="both"/>
        <w:textAlignment w:val="baseline"/>
        <w:outlineLvl w:val="1"/>
        <w:rPr>
          <w:rFonts w:hint="eastAsia" w:ascii="仿宋" w:hAnsi="仿宋" w:eastAsia="仿宋" w:cs="仿宋"/>
          <w:b/>
          <w:bCs/>
          <w:color w:val="000000"/>
          <w:sz w:val="28"/>
          <w:szCs w:val="28"/>
          <w:highlight w:val="none"/>
        </w:rPr>
      </w:pPr>
      <w:bookmarkStart w:id="10" w:name="_Toc29611"/>
      <w:r>
        <w:rPr>
          <w:rFonts w:hint="eastAsia" w:ascii="仿宋" w:hAnsi="仿宋" w:eastAsia="仿宋" w:cs="仿宋"/>
          <w:b/>
          <w:bCs/>
          <w:color w:val="000000"/>
          <w:sz w:val="28"/>
          <w:szCs w:val="28"/>
          <w:highlight w:val="none"/>
        </w:rPr>
        <w:t>五、公告期限</w:t>
      </w:r>
      <w:bookmarkEnd w:id="9"/>
      <w:bookmarkEnd w:id="10"/>
      <w:r>
        <w:rPr>
          <w:rFonts w:hint="eastAsia" w:ascii="仿宋" w:hAnsi="仿宋" w:eastAsia="仿宋" w:cs="仿宋"/>
          <w:b/>
          <w:bCs/>
          <w:color w:val="000000"/>
          <w:sz w:val="28"/>
          <w:szCs w:val="28"/>
          <w:highlight w:val="none"/>
        </w:rPr>
        <w:tab/>
      </w:r>
    </w:p>
    <w:p w14:paraId="5F11F9F5">
      <w:pPr>
        <w:pStyle w:val="28"/>
        <w:widowControl w:val="0"/>
        <w:autoSpaceDE w:val="0"/>
        <w:adjustRightInd w:val="0"/>
        <w:spacing w:before="0" w:beforeAutospacing="0" w:after="0" w:afterAutospacing="0" w:line="360" w:lineRule="auto"/>
        <w:ind w:firstLine="560" w:firstLineChars="200"/>
        <w:jc w:val="both"/>
        <w:textAlignment w:val="baselin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自本公告发布之日起5个工作日。</w:t>
      </w:r>
    </w:p>
    <w:p w14:paraId="4FAF02B2">
      <w:pPr>
        <w:pStyle w:val="28"/>
        <w:autoSpaceDE w:val="0"/>
        <w:adjustRightInd w:val="0"/>
        <w:snapToGrid w:val="0"/>
        <w:spacing w:before="0" w:beforeAutospacing="0" w:after="0" w:afterAutospacing="0" w:line="360" w:lineRule="auto"/>
        <w:outlineLvl w:val="1"/>
        <w:rPr>
          <w:rFonts w:hint="eastAsia" w:ascii="仿宋" w:hAnsi="仿宋" w:eastAsia="仿宋" w:cs="仿宋"/>
          <w:b/>
          <w:bCs/>
          <w:color w:val="000000"/>
          <w:sz w:val="28"/>
          <w:szCs w:val="28"/>
          <w:highlight w:val="none"/>
        </w:rPr>
      </w:pPr>
      <w:bookmarkStart w:id="11" w:name="_Toc25746"/>
      <w:bookmarkStart w:id="12" w:name="_Toc5618"/>
      <w:r>
        <w:rPr>
          <w:rFonts w:hint="eastAsia" w:ascii="仿宋" w:hAnsi="仿宋" w:eastAsia="仿宋" w:cs="仿宋"/>
          <w:b/>
          <w:bCs/>
          <w:color w:val="000000"/>
          <w:sz w:val="28"/>
          <w:szCs w:val="28"/>
          <w:highlight w:val="none"/>
        </w:rPr>
        <w:t>六、其他补充事宜</w:t>
      </w:r>
      <w:bookmarkEnd w:id="11"/>
      <w:bookmarkEnd w:id="12"/>
    </w:p>
    <w:p w14:paraId="08074693">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bookmarkStart w:id="13" w:name="_Toc22364"/>
      <w:r>
        <w:rPr>
          <w:rFonts w:hint="eastAsia" w:ascii="仿宋" w:hAnsi="仿宋" w:eastAsia="仿宋" w:cs="仿宋"/>
          <w:color w:val="000000"/>
          <w:sz w:val="28"/>
          <w:szCs w:val="28"/>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1A2B3C10">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代理费支付方式：供应商支付 </w:t>
      </w:r>
    </w:p>
    <w:p w14:paraId="07ABF04E">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代理费收费标准：根据中华人民共和国国家发展计划委员会（2002）1980号文件的规定，采购代理服务费采用差额定率累进计费方式收取</w:t>
      </w:r>
    </w:p>
    <w:p w14:paraId="6A2EA68B">
      <w:pPr>
        <w:pStyle w:val="28"/>
        <w:autoSpaceDE w:val="0"/>
        <w:adjustRightInd w:val="0"/>
        <w:snapToGrid w:val="0"/>
        <w:spacing w:before="0" w:beforeAutospacing="0" w:after="0" w:afterAutospacing="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代理费收费金额（元）： / </w:t>
      </w:r>
    </w:p>
    <w:p w14:paraId="1AB803E8">
      <w:pPr>
        <w:pStyle w:val="28"/>
        <w:autoSpaceDE w:val="0"/>
        <w:adjustRightInd w:val="0"/>
        <w:snapToGrid w:val="0"/>
        <w:spacing w:before="0" w:beforeAutospacing="0" w:after="0" w:afterAutospacing="0" w:line="360" w:lineRule="auto"/>
        <w:outlineLvl w:val="1"/>
        <w:rPr>
          <w:rFonts w:hint="eastAsia" w:ascii="仿宋" w:hAnsi="仿宋" w:eastAsia="仿宋" w:cs="仿宋"/>
          <w:color w:val="000000"/>
          <w:sz w:val="28"/>
          <w:szCs w:val="28"/>
          <w:highlight w:val="none"/>
        </w:rPr>
      </w:pPr>
      <w:bookmarkStart w:id="14" w:name="_Toc25289"/>
      <w:r>
        <w:rPr>
          <w:rFonts w:hint="eastAsia" w:ascii="仿宋" w:hAnsi="仿宋" w:eastAsia="仿宋" w:cs="仿宋"/>
          <w:b/>
          <w:bCs/>
          <w:color w:val="000000"/>
          <w:sz w:val="28"/>
          <w:szCs w:val="28"/>
          <w:highlight w:val="none"/>
        </w:rPr>
        <w:t>七、</w:t>
      </w:r>
      <w:bookmarkEnd w:id="13"/>
      <w:r>
        <w:rPr>
          <w:rFonts w:hint="eastAsia" w:ascii="仿宋" w:hAnsi="仿宋" w:eastAsia="仿宋" w:cs="仿宋"/>
          <w:b/>
          <w:bCs/>
          <w:color w:val="000000"/>
          <w:sz w:val="28"/>
          <w:szCs w:val="28"/>
          <w:highlight w:val="none"/>
        </w:rPr>
        <w:t>对本次采购提出询问，请按以下方式联系</w:t>
      </w:r>
      <w:bookmarkEnd w:id="14"/>
    </w:p>
    <w:p w14:paraId="207A93DB">
      <w:pPr>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1.采购人信息</w:t>
      </w:r>
    </w:p>
    <w:p w14:paraId="1986F15B">
      <w:pPr>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名  称：</w:t>
      </w:r>
      <w:r>
        <w:rPr>
          <w:rFonts w:hint="eastAsia" w:ascii="仿宋" w:hAnsi="仿宋" w:eastAsia="仿宋" w:cs="仿宋"/>
          <w:color w:val="000000"/>
          <w:sz w:val="28"/>
          <w:szCs w:val="28"/>
          <w:highlight w:val="none"/>
          <w:lang w:eastAsia="zh-CN"/>
        </w:rPr>
        <w:t>阳高县医疗集团</w:t>
      </w:r>
    </w:p>
    <w:p w14:paraId="68E5FDC2">
      <w:pPr>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  址：阳高县龙泉镇高柳街</w:t>
      </w:r>
      <w:r>
        <w:rPr>
          <w:rFonts w:hint="eastAsia" w:ascii="仿宋" w:hAnsi="仿宋" w:eastAsia="仿宋" w:cs="仿宋"/>
          <w:color w:val="000000"/>
          <w:sz w:val="28"/>
          <w:szCs w:val="28"/>
          <w:highlight w:val="none"/>
          <w:lang w:val="en-US" w:eastAsia="zh-CN"/>
        </w:rPr>
        <w:t xml:space="preserve"> </w:t>
      </w:r>
    </w:p>
    <w:p w14:paraId="5A44E32D">
      <w:pPr>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联系方式：0352-6798900</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w:t>
      </w:r>
    </w:p>
    <w:p w14:paraId="1FCC1E2D">
      <w:pPr>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p>
    <w:p w14:paraId="74AE5C3E">
      <w:pPr>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名  称：</w:t>
      </w:r>
      <w:r>
        <w:rPr>
          <w:rFonts w:hint="eastAsia" w:ascii="仿宋" w:hAnsi="仿宋" w:eastAsia="仿宋" w:cs="仿宋"/>
          <w:color w:val="000000"/>
          <w:sz w:val="28"/>
          <w:szCs w:val="28"/>
          <w:highlight w:val="none"/>
          <w:lang w:eastAsia="zh-CN"/>
        </w:rPr>
        <w:t>山西辰德鑫工程项目管理有限公司</w:t>
      </w:r>
    </w:p>
    <w:p w14:paraId="6015A3B1">
      <w:pPr>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lang w:eastAsia="zh-CN"/>
        </w:rPr>
        <w:t>大同市平城区恒大悦府一期院内换热站二楼</w:t>
      </w:r>
    </w:p>
    <w:p w14:paraId="3935B02B">
      <w:pPr>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联系方式：</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3116175255</w:t>
      </w:r>
    </w:p>
    <w:p w14:paraId="5BB4268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3.采购代理机构信息</w:t>
      </w:r>
    </w:p>
    <w:p w14:paraId="2937F39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项目联系人：李志祥</w:t>
      </w:r>
    </w:p>
    <w:p w14:paraId="0868CE91">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rPr>
        <w:t>电  话：13116175255</w:t>
      </w:r>
    </w:p>
    <w:p w14:paraId="201AA233">
      <w:pPr>
        <w:keepNext w:val="0"/>
        <w:keepLines w:val="0"/>
        <w:pageBreakBefore w:val="0"/>
        <w:widowControl/>
        <w:kinsoku/>
        <w:wordWrap/>
        <w:overflowPunct/>
        <w:topLinePunct w:val="0"/>
        <w:autoSpaceDE/>
        <w:autoSpaceDN/>
        <w:bidi w:val="0"/>
        <w:adjustRightInd/>
        <w:snapToGrid w:val="0"/>
        <w:spacing w:line="560" w:lineRule="exact"/>
        <w:ind w:firstLine="720" w:firstLineChars="300"/>
        <w:jc w:val="both"/>
        <w:textAlignment w:val="auto"/>
        <w:outlineLvl w:val="9"/>
        <w:rPr>
          <w:rFonts w:hint="eastAsia" w:ascii="仿宋" w:hAnsi="仿宋" w:eastAsia="仿宋" w:cs="仿宋"/>
          <w:i w:val="0"/>
          <w:iCs w:val="0"/>
          <w:color w:val="auto"/>
          <w:sz w:val="24"/>
          <w:szCs w:val="24"/>
          <w:highlight w:val="none"/>
          <w:u w:val="single"/>
        </w:rPr>
      </w:pPr>
    </w:p>
    <w:p w14:paraId="6C6B90F3">
      <w:pPr>
        <w:keepNext w:val="0"/>
        <w:keepLines w:val="0"/>
        <w:pageBreakBefore w:val="0"/>
        <w:widowControl/>
        <w:kinsoku/>
        <w:wordWrap/>
        <w:overflowPunct/>
        <w:topLinePunct w:val="0"/>
        <w:autoSpaceDE/>
        <w:autoSpaceDN/>
        <w:bidi w:val="0"/>
        <w:snapToGrid w:val="0"/>
        <w:spacing w:line="560" w:lineRule="exact"/>
        <w:ind w:left="0" w:leftChars="0" w:firstLine="723" w:firstLineChars="200"/>
        <w:jc w:val="both"/>
        <w:outlineLvl w:val="0"/>
        <w:rPr>
          <w:rFonts w:hint="eastAsia" w:ascii="仿宋" w:hAnsi="仿宋" w:eastAsia="仿宋" w:cs="仿宋"/>
          <w:color w:val="auto"/>
          <w:sz w:val="24"/>
          <w:szCs w:val="24"/>
          <w:highlight w:val="none"/>
        </w:rPr>
      </w:pPr>
      <w:r>
        <w:rPr>
          <w:rFonts w:hint="eastAsia" w:ascii="仿宋" w:hAnsi="仿宋" w:eastAsia="仿宋" w:cs="仿宋"/>
          <w:b/>
          <w:color w:val="auto"/>
          <w:kern w:val="0"/>
          <w:sz w:val="36"/>
          <w:szCs w:val="36"/>
          <w:highlight w:val="none"/>
        </w:rPr>
        <w:br w:type="page"/>
      </w:r>
      <w:bookmarkStart w:id="15" w:name="_Toc8300"/>
      <w:r>
        <w:rPr>
          <w:rFonts w:hint="eastAsia" w:ascii="仿宋" w:hAnsi="仿宋" w:eastAsia="仿宋" w:cs="仿宋"/>
          <w:b/>
          <w:color w:val="auto"/>
          <w:kern w:val="0"/>
          <w:sz w:val="28"/>
          <w:szCs w:val="28"/>
          <w:highlight w:val="none"/>
        </w:rPr>
        <w:t>第二部分</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lang w:eastAsia="zh-CN"/>
        </w:rPr>
        <w:t>供应商</w:t>
      </w:r>
      <w:r>
        <w:rPr>
          <w:rFonts w:hint="eastAsia" w:ascii="仿宋" w:hAnsi="仿宋" w:eastAsia="仿宋" w:cs="仿宋"/>
          <w:b/>
          <w:color w:val="auto"/>
          <w:kern w:val="0"/>
          <w:sz w:val="28"/>
          <w:szCs w:val="28"/>
          <w:highlight w:val="none"/>
        </w:rPr>
        <w:t>须知前附表</w:t>
      </w:r>
      <w:bookmarkEnd w:id="15"/>
    </w:p>
    <w:tbl>
      <w:tblPr>
        <w:tblStyle w:val="3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41"/>
        <w:gridCol w:w="6432"/>
      </w:tblGrid>
      <w:tr w14:paraId="7326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4" w:type="dxa"/>
            <w:noWrap w:val="0"/>
            <w:vAlign w:val="center"/>
          </w:tcPr>
          <w:p w14:paraId="568654F5">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bookmarkStart w:id="16" w:name="_Toc175644016"/>
            <w:bookmarkStart w:id="17" w:name="_Toc86202581"/>
            <w:r>
              <w:rPr>
                <w:rFonts w:hint="eastAsia" w:ascii="仿宋" w:hAnsi="仿宋" w:eastAsia="仿宋" w:cs="仿宋"/>
                <w:kern w:val="0"/>
                <w:sz w:val="24"/>
                <w:szCs w:val="24"/>
                <w:highlight w:val="none"/>
              </w:rPr>
              <w:t>序号</w:t>
            </w:r>
          </w:p>
        </w:tc>
        <w:tc>
          <w:tcPr>
            <w:tcW w:w="2441" w:type="dxa"/>
            <w:noWrap w:val="0"/>
            <w:vAlign w:val="center"/>
          </w:tcPr>
          <w:p w14:paraId="26D3E77A">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内容</w:t>
            </w:r>
          </w:p>
        </w:tc>
        <w:tc>
          <w:tcPr>
            <w:tcW w:w="6432" w:type="dxa"/>
            <w:noWrap w:val="0"/>
            <w:vAlign w:val="center"/>
          </w:tcPr>
          <w:p w14:paraId="5D396C84">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说明与要求</w:t>
            </w:r>
          </w:p>
        </w:tc>
      </w:tr>
      <w:tr w14:paraId="35DB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4" w:type="dxa"/>
            <w:noWrap w:val="0"/>
            <w:vAlign w:val="center"/>
          </w:tcPr>
          <w:p w14:paraId="4BBABA42">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441" w:type="dxa"/>
            <w:noWrap w:val="0"/>
            <w:vAlign w:val="center"/>
          </w:tcPr>
          <w:p w14:paraId="3B7ACF39">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采购人</w:t>
            </w:r>
          </w:p>
        </w:tc>
        <w:tc>
          <w:tcPr>
            <w:tcW w:w="6432" w:type="dxa"/>
            <w:noWrap w:val="0"/>
            <w:vAlign w:val="center"/>
          </w:tcPr>
          <w:p w14:paraId="7FFFA9D6">
            <w:pPr>
              <w:keepNext w:val="0"/>
              <w:keepLines w:val="0"/>
              <w:pageBreakBefore w:val="0"/>
              <w:kinsoku/>
              <w:wordWrap/>
              <w:overflowPunct/>
              <w:topLinePunct w:val="0"/>
              <w:autoSpaceDE/>
              <w:autoSpaceDN/>
              <w:bidi w:val="0"/>
              <w:adjustRightInd w:val="0"/>
              <w:spacing w:line="56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阳高县医疗集团</w:t>
            </w:r>
          </w:p>
        </w:tc>
      </w:tr>
      <w:tr w14:paraId="3CE0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4" w:type="dxa"/>
            <w:noWrap w:val="0"/>
            <w:vAlign w:val="center"/>
          </w:tcPr>
          <w:p w14:paraId="2668B51C">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p>
        </w:tc>
        <w:tc>
          <w:tcPr>
            <w:tcW w:w="2441" w:type="dxa"/>
            <w:noWrap w:val="0"/>
            <w:vAlign w:val="center"/>
          </w:tcPr>
          <w:p w14:paraId="52E808D3">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采购代理机构</w:t>
            </w:r>
          </w:p>
        </w:tc>
        <w:tc>
          <w:tcPr>
            <w:tcW w:w="6432" w:type="dxa"/>
            <w:noWrap w:val="0"/>
            <w:vAlign w:val="center"/>
          </w:tcPr>
          <w:p w14:paraId="0254E74A">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eastAsia="zh-CN"/>
              </w:rPr>
            </w:pPr>
            <w:r>
              <w:rPr>
                <w:rFonts w:hint="eastAsia" w:ascii="仿宋" w:hAnsi="仿宋" w:eastAsia="仿宋" w:cs="仿宋"/>
                <w:sz w:val="24"/>
                <w:szCs w:val="24"/>
                <w:highlight w:val="none"/>
                <w:lang w:eastAsia="zh-CN"/>
              </w:rPr>
              <w:t>山西辰德鑫工程项目管理有限公司</w:t>
            </w:r>
          </w:p>
        </w:tc>
      </w:tr>
      <w:tr w14:paraId="60E9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4" w:type="dxa"/>
            <w:noWrap w:val="0"/>
            <w:vAlign w:val="center"/>
          </w:tcPr>
          <w:p w14:paraId="64476D5C">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441" w:type="dxa"/>
            <w:noWrap w:val="0"/>
            <w:vAlign w:val="center"/>
          </w:tcPr>
          <w:p w14:paraId="47B2EC1A">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6432" w:type="dxa"/>
            <w:noWrap w:val="0"/>
            <w:vAlign w:val="center"/>
          </w:tcPr>
          <w:p w14:paraId="1AF7D81A">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u w:val="none"/>
                <w:lang w:eastAsia="zh-CN"/>
              </w:rPr>
              <w:t>阳高县医疗集团人民医院高质量医疗人工智能综合服务项目</w:t>
            </w:r>
          </w:p>
        </w:tc>
      </w:tr>
      <w:tr w14:paraId="2DE1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4" w:type="dxa"/>
            <w:noWrap w:val="0"/>
            <w:vAlign w:val="center"/>
          </w:tcPr>
          <w:p w14:paraId="49B249B1">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441" w:type="dxa"/>
            <w:noWrap w:val="0"/>
            <w:vAlign w:val="center"/>
          </w:tcPr>
          <w:p w14:paraId="2AD18228">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投标文件的有效期</w:t>
            </w:r>
          </w:p>
        </w:tc>
        <w:tc>
          <w:tcPr>
            <w:tcW w:w="6432" w:type="dxa"/>
            <w:noWrap w:val="0"/>
            <w:vAlign w:val="center"/>
          </w:tcPr>
          <w:p w14:paraId="429C9545">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90个日历天（从提交投标文件之日起计算）</w:t>
            </w:r>
          </w:p>
        </w:tc>
      </w:tr>
      <w:tr w14:paraId="056A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13642D67">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2441" w:type="dxa"/>
            <w:noWrap w:val="0"/>
            <w:vAlign w:val="center"/>
          </w:tcPr>
          <w:p w14:paraId="191A6AE2">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sz w:val="24"/>
                <w:szCs w:val="24"/>
                <w:highlight w:val="none"/>
              </w:rPr>
              <w:t>本项目预算金额及最高限价</w:t>
            </w:r>
          </w:p>
        </w:tc>
        <w:tc>
          <w:tcPr>
            <w:tcW w:w="6432" w:type="dxa"/>
            <w:noWrap w:val="0"/>
            <w:vAlign w:val="center"/>
          </w:tcPr>
          <w:p w14:paraId="32A20578">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color w:val="auto"/>
                <w:sz w:val="24"/>
                <w:szCs w:val="24"/>
                <w:highlight w:val="none"/>
                <w:lang w:val="en-US" w:eastAsia="zh-CN"/>
              </w:rPr>
              <w:t>3900000</w:t>
            </w:r>
            <w:r>
              <w:rPr>
                <w:rFonts w:hint="eastAsia" w:ascii="仿宋" w:hAnsi="仿宋" w:eastAsia="仿宋" w:cs="仿宋"/>
                <w:color w:val="auto"/>
                <w:sz w:val="24"/>
                <w:szCs w:val="24"/>
                <w:highlight w:val="none"/>
              </w:rPr>
              <w:t>元</w:t>
            </w:r>
          </w:p>
          <w:p w14:paraId="090FB8CB">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最高限价：</w:t>
            </w:r>
            <w:r>
              <w:rPr>
                <w:rFonts w:hint="eastAsia" w:ascii="仿宋" w:hAnsi="仿宋" w:eastAsia="仿宋" w:cs="仿宋"/>
                <w:color w:val="auto"/>
                <w:sz w:val="24"/>
                <w:szCs w:val="24"/>
                <w:highlight w:val="none"/>
                <w:lang w:val="en-US" w:eastAsia="zh-CN"/>
              </w:rPr>
              <w:t>3900000</w:t>
            </w:r>
            <w:r>
              <w:rPr>
                <w:rFonts w:hint="eastAsia" w:ascii="仿宋" w:hAnsi="仿宋" w:eastAsia="仿宋" w:cs="仿宋"/>
                <w:color w:val="auto"/>
                <w:sz w:val="24"/>
                <w:szCs w:val="24"/>
                <w:highlight w:val="none"/>
              </w:rPr>
              <w:t>元</w:t>
            </w:r>
          </w:p>
          <w:p w14:paraId="67759924">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注：要求供应商的报价不得超出项目预算金额及最高限价，否则投标无效。</w:t>
            </w:r>
          </w:p>
        </w:tc>
      </w:tr>
      <w:tr w14:paraId="3179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4" w:type="dxa"/>
            <w:noWrap w:val="0"/>
            <w:vAlign w:val="center"/>
          </w:tcPr>
          <w:p w14:paraId="1960F099">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w:t>
            </w:r>
          </w:p>
        </w:tc>
        <w:tc>
          <w:tcPr>
            <w:tcW w:w="2441" w:type="dxa"/>
            <w:noWrap w:val="0"/>
            <w:vAlign w:val="center"/>
          </w:tcPr>
          <w:p w14:paraId="067C546E">
            <w:pPr>
              <w:pStyle w:val="17"/>
              <w:keepNext w:val="0"/>
              <w:keepLines w:val="0"/>
              <w:pageBreakBefore w:val="0"/>
              <w:kinsoku/>
              <w:wordWrap/>
              <w:overflowPunct/>
              <w:topLinePunct w:val="0"/>
              <w:autoSpaceDE/>
              <w:autoSpaceDN/>
              <w:bidi w:val="0"/>
              <w:snapToGrid w:val="0"/>
              <w:spacing w:line="5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是否允许代理商参加</w:t>
            </w:r>
          </w:p>
        </w:tc>
        <w:tc>
          <w:tcPr>
            <w:tcW w:w="6432" w:type="dxa"/>
            <w:noWrap w:val="0"/>
            <w:vAlign w:val="center"/>
          </w:tcPr>
          <w:p w14:paraId="0C408297">
            <w:pPr>
              <w:keepNext w:val="0"/>
              <w:keepLines w:val="0"/>
              <w:pageBreakBefore w:val="0"/>
              <w:kinsoku/>
              <w:wordWrap/>
              <w:overflowPunct/>
              <w:topLinePunct w:val="0"/>
              <w:autoSpaceDE/>
              <w:autoSpaceDN/>
              <w:bidi w:val="0"/>
              <w:adjustRightInd w:val="0"/>
              <w:spacing w:line="56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否</w:t>
            </w:r>
          </w:p>
        </w:tc>
      </w:tr>
      <w:tr w14:paraId="38AC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4" w:type="dxa"/>
            <w:noWrap w:val="0"/>
            <w:vAlign w:val="center"/>
          </w:tcPr>
          <w:p w14:paraId="1800FE65">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w:t>
            </w:r>
          </w:p>
        </w:tc>
        <w:tc>
          <w:tcPr>
            <w:tcW w:w="2441" w:type="dxa"/>
            <w:noWrap w:val="0"/>
            <w:vAlign w:val="center"/>
          </w:tcPr>
          <w:p w14:paraId="7DF66A00">
            <w:pPr>
              <w:pStyle w:val="17"/>
              <w:keepNext w:val="0"/>
              <w:keepLines w:val="0"/>
              <w:pageBreakBefore w:val="0"/>
              <w:kinsoku/>
              <w:wordWrap/>
              <w:overflowPunct/>
              <w:topLinePunct w:val="0"/>
              <w:autoSpaceDE/>
              <w:autoSpaceDN/>
              <w:bidi w:val="0"/>
              <w:snapToGrid w:val="0"/>
              <w:spacing w:line="5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是否允许联合体参加</w:t>
            </w:r>
          </w:p>
        </w:tc>
        <w:tc>
          <w:tcPr>
            <w:tcW w:w="6432" w:type="dxa"/>
            <w:noWrap w:val="0"/>
            <w:vAlign w:val="center"/>
          </w:tcPr>
          <w:p w14:paraId="701ADD75">
            <w:pPr>
              <w:keepNext w:val="0"/>
              <w:keepLines w:val="0"/>
              <w:pageBreakBefore w:val="0"/>
              <w:kinsoku/>
              <w:wordWrap/>
              <w:overflowPunct/>
              <w:topLinePunct w:val="0"/>
              <w:autoSpaceDE/>
              <w:autoSpaceDN/>
              <w:bidi w:val="0"/>
              <w:adjustRightInd w:val="0"/>
              <w:spacing w:line="56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否</w:t>
            </w:r>
          </w:p>
        </w:tc>
      </w:tr>
      <w:tr w14:paraId="74FB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6EB7C81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2441" w:type="dxa"/>
            <w:noWrap w:val="0"/>
            <w:vAlign w:val="center"/>
          </w:tcPr>
          <w:p w14:paraId="27230C4F">
            <w:pPr>
              <w:pStyle w:val="17"/>
              <w:keepNext w:val="0"/>
              <w:keepLines w:val="0"/>
              <w:pageBreakBefore w:val="0"/>
              <w:kinsoku/>
              <w:wordWrap/>
              <w:overflowPunct/>
              <w:topLinePunct w:val="0"/>
              <w:autoSpaceDE/>
              <w:autoSpaceDN/>
              <w:bidi w:val="0"/>
              <w:snapToGrid w:val="0"/>
              <w:spacing w:line="5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投标文件递交份数及解密时间</w:t>
            </w:r>
          </w:p>
        </w:tc>
        <w:tc>
          <w:tcPr>
            <w:tcW w:w="6432" w:type="dxa"/>
            <w:noWrap w:val="0"/>
            <w:vAlign w:val="center"/>
          </w:tcPr>
          <w:p w14:paraId="7C65DC49">
            <w:pPr>
              <w:keepNext/>
              <w:keepLines w:val="0"/>
              <w:pageBreakBefore w:val="0"/>
              <w:kinsoku/>
              <w:wordWrap/>
              <w:overflowPunct/>
              <w:bidi w:val="0"/>
              <w:adjustRightInd/>
              <w:snapToGrid w:val="0"/>
              <w:spacing w:line="5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供应商需在政采云系统上传加密电子</w:t>
            </w:r>
            <w:r>
              <w:rPr>
                <w:rFonts w:hint="eastAsia" w:ascii="仿宋" w:hAnsi="仿宋" w:eastAsia="仿宋" w:cs="仿宋"/>
                <w:b w:val="0"/>
                <w:bCs w:val="0"/>
                <w:sz w:val="24"/>
                <w:szCs w:val="24"/>
                <w:highlight w:val="none"/>
                <w:lang w:val="en-US" w:eastAsia="zh-CN"/>
              </w:rPr>
              <w:t>投标</w:t>
            </w:r>
            <w:r>
              <w:rPr>
                <w:rFonts w:hint="eastAsia" w:ascii="仿宋" w:hAnsi="仿宋" w:eastAsia="仿宋" w:cs="仿宋"/>
                <w:b w:val="0"/>
                <w:bCs w:val="0"/>
                <w:sz w:val="24"/>
                <w:szCs w:val="24"/>
                <w:highlight w:val="none"/>
              </w:rPr>
              <w:t>文件1份；</w:t>
            </w:r>
          </w:p>
          <w:p w14:paraId="38B0F8A0">
            <w:pPr>
              <w:keepNext/>
              <w:keepLines w:val="0"/>
              <w:pageBreakBefore w:val="0"/>
              <w:kinsoku/>
              <w:wordWrap/>
              <w:overflowPunct/>
              <w:bidi w:val="0"/>
              <w:adjustRightInd/>
              <w:snapToGrid w:val="0"/>
              <w:spacing w:line="56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投标</w:t>
            </w:r>
            <w:r>
              <w:rPr>
                <w:rFonts w:hint="eastAsia" w:ascii="仿宋" w:hAnsi="仿宋" w:eastAsia="仿宋" w:cs="仿宋"/>
                <w:b w:val="0"/>
                <w:bCs w:val="0"/>
                <w:sz w:val="24"/>
                <w:szCs w:val="24"/>
                <w:highlight w:val="none"/>
              </w:rPr>
              <w:t>文件开启时间即为解密开始时间，解密时长</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分钟。解密截止时间未进行解密的，视为未递交</w:t>
            </w:r>
            <w:r>
              <w:rPr>
                <w:rFonts w:hint="eastAsia" w:ascii="仿宋" w:hAnsi="仿宋" w:eastAsia="仿宋" w:cs="仿宋"/>
                <w:b w:val="0"/>
                <w:bCs w:val="0"/>
                <w:sz w:val="24"/>
                <w:szCs w:val="24"/>
                <w:highlight w:val="none"/>
                <w:lang w:val="en-US" w:eastAsia="zh-CN"/>
              </w:rPr>
              <w:t>投标</w:t>
            </w:r>
            <w:r>
              <w:rPr>
                <w:rFonts w:hint="eastAsia" w:ascii="仿宋" w:hAnsi="仿宋" w:eastAsia="仿宋" w:cs="仿宋"/>
                <w:b w:val="0"/>
                <w:bCs w:val="0"/>
                <w:sz w:val="24"/>
                <w:szCs w:val="24"/>
                <w:highlight w:val="none"/>
              </w:rPr>
              <w:t>文件。</w:t>
            </w:r>
          </w:p>
          <w:p w14:paraId="14C17433">
            <w:pPr>
              <w:pStyle w:val="17"/>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val="0"/>
                <w:sz w:val="24"/>
                <w:szCs w:val="24"/>
                <w:highlight w:val="none"/>
              </w:rPr>
              <w:t>注：供应商</w:t>
            </w:r>
            <w:r>
              <w:rPr>
                <w:rFonts w:hint="eastAsia" w:ascii="仿宋" w:hAnsi="仿宋" w:eastAsia="仿宋" w:cs="仿宋"/>
                <w:b w:val="0"/>
                <w:bCs w:val="0"/>
                <w:sz w:val="24"/>
                <w:szCs w:val="24"/>
                <w:highlight w:val="none"/>
                <w:lang w:val="en-US" w:eastAsia="zh-CN"/>
              </w:rPr>
              <w:t>不</w:t>
            </w:r>
            <w:r>
              <w:rPr>
                <w:rFonts w:hint="eastAsia" w:ascii="仿宋" w:hAnsi="仿宋" w:eastAsia="仿宋" w:cs="仿宋"/>
                <w:b w:val="0"/>
                <w:bCs w:val="0"/>
                <w:sz w:val="24"/>
                <w:szCs w:val="24"/>
                <w:highlight w:val="none"/>
              </w:rPr>
              <w:t>需</w:t>
            </w:r>
            <w:r>
              <w:rPr>
                <w:rFonts w:hint="eastAsia" w:ascii="仿宋" w:hAnsi="仿宋" w:eastAsia="仿宋" w:cs="仿宋"/>
                <w:b w:val="0"/>
                <w:bCs w:val="0"/>
                <w:sz w:val="24"/>
                <w:szCs w:val="24"/>
                <w:highlight w:val="none"/>
                <w:lang w:val="en-US" w:eastAsia="zh-CN"/>
              </w:rPr>
              <w:t>到达评标现场自己解密便可</w:t>
            </w:r>
          </w:p>
        </w:tc>
      </w:tr>
      <w:tr w14:paraId="2164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3D4DBBAB">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9</w:t>
            </w:r>
          </w:p>
        </w:tc>
        <w:tc>
          <w:tcPr>
            <w:tcW w:w="2441" w:type="dxa"/>
            <w:noWrap w:val="0"/>
            <w:vAlign w:val="center"/>
          </w:tcPr>
          <w:p w14:paraId="5DF536B9">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应提交的资格证明文件</w:t>
            </w:r>
          </w:p>
        </w:tc>
        <w:tc>
          <w:tcPr>
            <w:tcW w:w="6432" w:type="dxa"/>
            <w:noWrap w:val="0"/>
            <w:vAlign w:val="center"/>
          </w:tcPr>
          <w:p w14:paraId="03E8CB5D">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1、具有独立承担民事责任的能力的承诺函（见‘投标文件格式’）；</w:t>
            </w:r>
          </w:p>
          <w:p w14:paraId="29ADC1DF">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2、具有良好的商业信誉和健全的财务会计制度的承诺函（见‘投标文件格式’）；</w:t>
            </w:r>
          </w:p>
          <w:p w14:paraId="779BE9F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3、具有履行合同所必需的设备和专业技术能力的承诺函（见‘投标文件格式’）；</w:t>
            </w:r>
          </w:p>
          <w:p w14:paraId="4498DF72">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4、有依法缴纳税收和社会保障资金的良好记录的承诺函（见‘投标文件格式’）；</w:t>
            </w:r>
          </w:p>
          <w:p w14:paraId="406C034D">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5、参加政府采购活动前三年内，在经营活动中没有重大违法记录的承诺函（见‘投标文件格式’）；</w:t>
            </w:r>
          </w:p>
          <w:p w14:paraId="07693C9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6、单位负责人为同一人或者存在直接控股、管理关系的不同供应商，不得参加同一合同项下的采购活动的承诺函（见‘投标文件格式’）；</w:t>
            </w:r>
          </w:p>
          <w:p w14:paraId="6FEE3B6D">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7、投标保证金缴纳凭证；</w:t>
            </w:r>
          </w:p>
          <w:p w14:paraId="5EBD9427">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8、供应商廉洁自律承诺书（见‘投标文件格式’）；</w:t>
            </w:r>
          </w:p>
          <w:p w14:paraId="2617E236">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9、</w:t>
            </w:r>
            <w:r>
              <w:rPr>
                <w:rFonts w:hint="eastAsia" w:ascii="仿宋" w:hAnsi="仿宋" w:eastAsia="仿宋" w:cs="仿宋"/>
                <w:color w:val="auto"/>
                <w:kern w:val="0"/>
                <w:sz w:val="24"/>
                <w:szCs w:val="24"/>
                <w:highlight w:val="none"/>
                <w:lang w:val="en-US" w:eastAsia="zh-CN"/>
              </w:rPr>
              <w:t>供应商信用信息查询</w:t>
            </w:r>
          </w:p>
          <w:p w14:paraId="34F910C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此项内容不需要供应商提供。</w:t>
            </w:r>
          </w:p>
          <w:p w14:paraId="32FA6F7A">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9.1查询地址：</w:t>
            </w:r>
          </w:p>
          <w:p w14:paraId="5281FF48">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“信用中国”网站（http://www.creditchina.gov.cn）</w:t>
            </w:r>
          </w:p>
          <w:p w14:paraId="36094FB1">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“中国政府采购网”（http://www.ccgp.gov.cn）</w:t>
            </w:r>
          </w:p>
          <w:p w14:paraId="43A40FF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9.2查询截止时间：</w:t>
            </w:r>
          </w:p>
          <w:p w14:paraId="7B591D08">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查询相关主体信用记录截止时间为</w:t>
            </w:r>
            <w:r>
              <w:rPr>
                <w:rFonts w:hint="eastAsia" w:ascii="仿宋" w:hAnsi="仿宋" w:eastAsia="仿宋" w:cs="仿宋"/>
                <w:kern w:val="0"/>
                <w:sz w:val="24"/>
                <w:szCs w:val="24"/>
                <w:highlight w:val="none"/>
                <w:lang w:val="en-US" w:eastAsia="zh-CN"/>
              </w:rPr>
              <w:t>投标</w:t>
            </w:r>
            <w:r>
              <w:rPr>
                <w:rFonts w:hint="eastAsia" w:ascii="仿宋" w:hAnsi="仿宋" w:eastAsia="仿宋" w:cs="仿宋"/>
                <w:color w:val="auto"/>
                <w:kern w:val="0"/>
                <w:sz w:val="24"/>
                <w:szCs w:val="24"/>
                <w:highlight w:val="none"/>
                <w:lang w:val="en-US" w:eastAsia="zh-CN"/>
              </w:rPr>
              <w:t>文件开启当日；</w:t>
            </w:r>
          </w:p>
          <w:p w14:paraId="3C9E5749">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9.3查询内容：</w:t>
            </w:r>
          </w:p>
          <w:p w14:paraId="69EAE28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“信用中国”网查询“失信被执行人”、“重大税收违法失信主体”记录情况；</w:t>
            </w:r>
          </w:p>
          <w:p w14:paraId="0CD40BC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“中国政府采购网”查询政府采购严重违法失信行为信息记录情况或其他信用信息记录。</w:t>
            </w:r>
          </w:p>
          <w:p w14:paraId="567C2533">
            <w:pPr>
              <w:keepNext w:val="0"/>
              <w:keepLines w:val="0"/>
              <w:pageBreakBefore w:val="0"/>
              <w:widowControl w:val="0"/>
              <w:kinsoku/>
              <w:wordWrap/>
              <w:overflowPunct/>
              <w:topLinePunct/>
              <w:autoSpaceDE w:val="0"/>
              <w:autoSpaceDN w:val="0"/>
              <w:bidi w:val="0"/>
              <w:adjustRightInd/>
              <w:spacing w:line="56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（1）第1-</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项资格证明文件，若有一项未提供或无效，将导致其不具备</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rPr>
              <w:t>资格，且不允许在开启后补正。</w:t>
            </w:r>
          </w:p>
          <w:p w14:paraId="450CCCE1">
            <w:pPr>
              <w:keepNext w:val="0"/>
              <w:keepLines w:val="0"/>
              <w:pageBreakBefore w:val="0"/>
              <w:widowControl w:val="0"/>
              <w:kinsoku/>
              <w:wordWrap/>
              <w:overflowPunct/>
              <w:topLinePunct/>
              <w:autoSpaceDE w:val="0"/>
              <w:autoSpaceDN w:val="0"/>
              <w:bidi w:val="0"/>
              <w:adjustRightInd/>
              <w:spacing w:line="56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（2）第</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项查询结果中供应商存在失信记录情形的，其</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rPr>
              <w:t>文件将作无效处理。查询记录与其他评审资料一并保存。</w:t>
            </w:r>
          </w:p>
          <w:p w14:paraId="6A4A1DC3">
            <w:pPr>
              <w:pStyle w:val="13"/>
              <w:keepNext w:val="0"/>
              <w:keepLines w:val="0"/>
              <w:pageBreakBefore w:val="0"/>
              <w:widowControl w:val="0"/>
              <w:kinsoku/>
              <w:wordWrap/>
              <w:overflowPunct/>
              <w:bidi w:val="0"/>
              <w:adjustRightInd/>
              <w:spacing w:line="560" w:lineRule="exact"/>
              <w:textAlignment w:val="auto"/>
              <w:rPr>
                <w:rFonts w:hint="eastAsia" w:ascii="仿宋" w:hAnsi="仿宋" w:eastAsia="仿宋" w:cs="仿宋"/>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以上所有资格证明文件均需加盖供应商数字证书电子CA章。</w:t>
            </w:r>
          </w:p>
        </w:tc>
      </w:tr>
      <w:tr w14:paraId="0A95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4E8E29E5">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2441" w:type="dxa"/>
            <w:noWrap w:val="0"/>
            <w:vAlign w:val="center"/>
          </w:tcPr>
          <w:p w14:paraId="2C036ED9">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供应商应提交的商务、技术文件</w:t>
            </w:r>
          </w:p>
        </w:tc>
        <w:tc>
          <w:tcPr>
            <w:tcW w:w="6432" w:type="dxa"/>
            <w:noWrap w:val="0"/>
            <w:vAlign w:val="center"/>
          </w:tcPr>
          <w:p w14:paraId="1FF8918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★1、法定代表人（负责人）身份证明书（见‘投标文件格式’）； </w:t>
            </w:r>
          </w:p>
          <w:p w14:paraId="253DEBE7">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★2、法定代表人（负责人）授权委托书（见‘投标文件格式’），若供应商代表为法定代表人（负责人）的可不提供；</w:t>
            </w:r>
          </w:p>
          <w:p w14:paraId="62E1A70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★3、投标函（见‘投标文件格式’）；</w:t>
            </w:r>
          </w:p>
          <w:p w14:paraId="1BB950C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★4、开标一览表 (见‘投标文件格式’)；</w:t>
            </w:r>
          </w:p>
          <w:p w14:paraId="29F6D2A5">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★5、商务条款响应表（见‘投标文件格式’）；</w:t>
            </w:r>
          </w:p>
          <w:p w14:paraId="64FE3E25">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★6、技术规范响应及偏离表(见‘投标文件格式’)；</w:t>
            </w:r>
          </w:p>
          <w:p w14:paraId="7B454DF7">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color w:val="000000"/>
                <w:sz w:val="24"/>
                <w:szCs w:val="24"/>
                <w:highlight w:val="none"/>
                <w:lang w:val="en-US" w:eastAsia="zh-CN"/>
              </w:rPr>
              <w:t>7、服务方案（格式自拟）；</w:t>
            </w:r>
          </w:p>
          <w:p w14:paraId="594E9CD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color w:val="000000"/>
                <w:sz w:val="24"/>
                <w:szCs w:val="24"/>
                <w:highlight w:val="none"/>
                <w:lang w:val="en-US" w:eastAsia="zh-CN"/>
              </w:rPr>
              <w:t>8、投标人</w:t>
            </w:r>
            <w:r>
              <w:rPr>
                <w:rFonts w:hint="eastAsia" w:ascii="仿宋" w:hAnsi="仿宋" w:eastAsia="仿宋" w:cs="仿宋"/>
                <w:color w:val="000000"/>
                <w:sz w:val="24"/>
                <w:szCs w:val="24"/>
                <w:highlight w:val="none"/>
                <w:lang w:eastAsia="zh-CN"/>
              </w:rPr>
              <w:t>企业简况</w:t>
            </w:r>
            <w:r>
              <w:rPr>
                <w:rFonts w:hint="eastAsia" w:ascii="仿宋" w:hAnsi="仿宋" w:eastAsia="仿宋" w:cs="仿宋"/>
                <w:color w:val="000000"/>
                <w:sz w:val="24"/>
                <w:szCs w:val="24"/>
                <w:highlight w:val="none"/>
                <w:lang w:val="en-US" w:eastAsia="zh-CN"/>
              </w:rPr>
              <w:t>（格式自拟）</w:t>
            </w:r>
            <w:r>
              <w:rPr>
                <w:rFonts w:hint="eastAsia" w:ascii="仿宋" w:hAnsi="仿宋" w:eastAsia="仿宋" w:cs="仿宋"/>
                <w:color w:val="000000"/>
                <w:sz w:val="24"/>
                <w:szCs w:val="24"/>
                <w:highlight w:val="none"/>
                <w:lang w:eastAsia="zh-CN"/>
              </w:rPr>
              <w:t>；</w:t>
            </w:r>
          </w:p>
          <w:p w14:paraId="0F09BF42">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9、投标文件提交截止时间前三年内类似项目合同案例（格式自拟）；</w:t>
            </w:r>
          </w:p>
          <w:p w14:paraId="5CAC19B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w:t>
            </w:r>
            <w:r>
              <w:rPr>
                <w:rFonts w:hint="eastAsia" w:ascii="仿宋" w:hAnsi="仿宋" w:eastAsia="仿宋" w:cs="仿宋"/>
                <w:color w:val="000000"/>
                <w:sz w:val="24"/>
                <w:szCs w:val="24"/>
                <w:highlight w:val="none"/>
                <w:lang w:val="en-US" w:eastAsia="zh-CN"/>
              </w:rPr>
              <w:t>拟投入本项目的人员一览表</w:t>
            </w:r>
            <w:r>
              <w:rPr>
                <w:rFonts w:hint="eastAsia" w:ascii="仿宋" w:hAnsi="仿宋" w:eastAsia="仿宋" w:cs="仿宋"/>
                <w:b w:val="0"/>
                <w:bCs/>
                <w:sz w:val="24"/>
                <w:szCs w:val="24"/>
                <w:highlight w:val="none"/>
                <w:lang w:val="en-US" w:eastAsia="zh-CN"/>
              </w:rPr>
              <w:t>（见‘投标文件格式’）；</w:t>
            </w:r>
          </w:p>
          <w:p w14:paraId="00B1519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11</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认为需要提供的其他商务、技术材料</w:t>
            </w:r>
            <w:r>
              <w:rPr>
                <w:rFonts w:hint="eastAsia" w:ascii="仿宋" w:hAnsi="仿宋" w:eastAsia="仿宋" w:cs="仿宋"/>
                <w:b w:val="0"/>
                <w:bCs/>
                <w:sz w:val="24"/>
                <w:szCs w:val="24"/>
                <w:highlight w:val="none"/>
                <w:lang w:val="en-US" w:eastAsia="zh-CN"/>
              </w:rPr>
              <w:t>；</w:t>
            </w:r>
          </w:p>
          <w:p w14:paraId="3F4C7D07">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kern w:val="0"/>
                <w:sz w:val="24"/>
                <w:szCs w:val="24"/>
                <w:highlight w:val="none"/>
                <w:lang w:val="en-US" w:eastAsia="zh-CN" w:bidi="ar-SA"/>
              </w:rPr>
              <w:t>12、政策性要求。</w:t>
            </w:r>
          </w:p>
          <w:p w14:paraId="7A9B3452">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color w:val="auto"/>
                <w:kern w:val="0"/>
                <w:sz w:val="24"/>
                <w:szCs w:val="24"/>
                <w:highlight w:val="none"/>
              </w:rPr>
            </w:pPr>
            <w:r>
              <w:rPr>
                <w:rFonts w:hint="eastAsia" w:ascii="仿宋" w:hAnsi="仿宋" w:eastAsia="仿宋" w:cs="仿宋"/>
                <w:b/>
                <w:bCs/>
                <w:kern w:val="0"/>
                <w:sz w:val="24"/>
                <w:szCs w:val="24"/>
                <w:highlight w:val="none"/>
              </w:rPr>
              <w:t>加</w:t>
            </w:r>
            <w:r>
              <w:rPr>
                <w:rFonts w:hint="eastAsia" w:ascii="仿宋" w:hAnsi="仿宋" w:eastAsia="仿宋" w:cs="仿宋"/>
                <w:b/>
                <w:bCs/>
                <w:sz w:val="24"/>
                <w:szCs w:val="24"/>
                <w:highlight w:val="none"/>
              </w:rPr>
              <w:t>★</w:t>
            </w:r>
            <w:r>
              <w:rPr>
                <w:rFonts w:hint="eastAsia" w:ascii="仿宋" w:hAnsi="仿宋" w:eastAsia="仿宋" w:cs="仿宋"/>
                <w:b/>
                <w:bCs/>
                <w:kern w:val="0"/>
                <w:sz w:val="24"/>
                <w:szCs w:val="24"/>
                <w:highlight w:val="none"/>
              </w:rPr>
              <w:t>的商务、技术文件若有一项未提供或无效，将导致其不具备</w:t>
            </w:r>
            <w:r>
              <w:rPr>
                <w:rFonts w:hint="eastAsia" w:ascii="仿宋" w:hAnsi="仿宋" w:eastAsia="仿宋" w:cs="仿宋"/>
                <w:b/>
                <w:bCs/>
                <w:kern w:val="0"/>
                <w:sz w:val="24"/>
                <w:szCs w:val="24"/>
                <w:highlight w:val="none"/>
                <w:lang w:val="en-US" w:eastAsia="zh-CN"/>
              </w:rPr>
              <w:t>投标</w:t>
            </w:r>
            <w:r>
              <w:rPr>
                <w:rFonts w:hint="eastAsia" w:ascii="仿宋" w:hAnsi="仿宋" w:eastAsia="仿宋" w:cs="仿宋"/>
                <w:b/>
                <w:bCs/>
                <w:kern w:val="0"/>
                <w:sz w:val="24"/>
                <w:szCs w:val="24"/>
                <w:highlight w:val="none"/>
              </w:rPr>
              <w:t>资格，且不允许在开启后补正。</w:t>
            </w:r>
          </w:p>
        </w:tc>
      </w:tr>
      <w:tr w14:paraId="7579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27331E8B">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w:t>
            </w:r>
          </w:p>
        </w:tc>
        <w:tc>
          <w:tcPr>
            <w:tcW w:w="2441" w:type="dxa"/>
            <w:noWrap w:val="0"/>
            <w:vAlign w:val="center"/>
          </w:tcPr>
          <w:p w14:paraId="38D30052">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b w:val="0"/>
                <w:bCs w:val="0"/>
                <w:sz w:val="24"/>
                <w:szCs w:val="24"/>
                <w:highlight w:val="none"/>
              </w:rPr>
              <w:t>政府采购相关政策要求</w:t>
            </w:r>
          </w:p>
        </w:tc>
        <w:tc>
          <w:tcPr>
            <w:tcW w:w="6432" w:type="dxa"/>
            <w:noWrap w:val="0"/>
            <w:vAlign w:val="center"/>
          </w:tcPr>
          <w:p w14:paraId="53C56658">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lang w:val="en-US" w:eastAsia="zh-CN"/>
              </w:rPr>
              <w:t>1</w:t>
            </w:r>
            <w:r>
              <w:rPr>
                <w:rFonts w:hint="eastAsia" w:ascii="仿宋" w:hAnsi="仿宋" w:eastAsia="仿宋" w:cs="仿宋"/>
                <w:b w:val="0"/>
                <w:bCs w:val="0"/>
                <w:kern w:val="0"/>
                <w:sz w:val="24"/>
                <w:szCs w:val="24"/>
                <w:highlight w:val="none"/>
              </w:rPr>
              <w:t>节能产品</w:t>
            </w:r>
          </w:p>
          <w:p w14:paraId="64A73B1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凡涉及最新公布的《节能产品政府采购品目清单》（财库〔2019〕19号）标注“★”的政府强制采购节能产品，供应商须提供所投产品国家确定的认证机构出具的、处于有效期之内的节能产品认证证书。</w:t>
            </w:r>
          </w:p>
          <w:p w14:paraId="026C60BE">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2环境标志产品</w:t>
            </w:r>
          </w:p>
          <w:p w14:paraId="5C0DA27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提供的货物有最新公布的《环境标志产品政府采购品目清单》（财库〔2019〕18号）中产品的予以优先采购。</w:t>
            </w:r>
          </w:p>
          <w:p w14:paraId="21DBFEC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3正版软件要求</w:t>
            </w:r>
            <w:r>
              <w:rPr>
                <w:rFonts w:hint="eastAsia" w:ascii="仿宋" w:hAnsi="仿宋" w:eastAsia="仿宋" w:cs="仿宋"/>
                <w:b w:val="0"/>
                <w:bCs w:val="0"/>
                <w:color w:val="auto"/>
                <w:kern w:val="2"/>
                <w:sz w:val="24"/>
                <w:szCs w:val="24"/>
                <w:highlight w:val="none"/>
                <w:lang w:val="en-US" w:eastAsia="zh-CN" w:bidi="ar-SA"/>
              </w:rPr>
              <w:br w:type="textWrapping"/>
            </w:r>
            <w:r>
              <w:rPr>
                <w:rFonts w:hint="eastAsia" w:ascii="仿宋" w:hAnsi="仿宋" w:eastAsia="仿宋" w:cs="仿宋"/>
                <w:b w:val="0"/>
                <w:bCs w:val="0"/>
                <w:color w:val="auto"/>
                <w:kern w:val="2"/>
                <w:sz w:val="24"/>
                <w:szCs w:val="24"/>
                <w:highlight w:val="none"/>
                <w:lang w:val="en-US" w:eastAsia="zh-CN" w:bidi="ar-SA"/>
              </w:rPr>
              <w:t>采购项目中如含有计算机，必须预装正版操作系统软件产品，所采购的其他软件必须为正版软件。</w:t>
            </w:r>
          </w:p>
          <w:p w14:paraId="68164DB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4信息安全产品</w:t>
            </w:r>
          </w:p>
          <w:p w14:paraId="31978FB4">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货物涉及《信息安全产品强制性认证目录》中的产品（8类13项），供应商须提供中国信息安全认证中心按国家标准认证核发的有效认证证书。</w:t>
            </w:r>
          </w:p>
          <w:p w14:paraId="27E039E7">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5产品包装</w:t>
            </w:r>
          </w:p>
          <w:p w14:paraId="3F036D3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商品包装符合《商品包装政府采购需求标准（试行）》，快递包装符合《快递包装政府采购需求标准（试行）》</w:t>
            </w:r>
          </w:p>
          <w:p w14:paraId="75846DDF">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6创新产品或创新服务</w:t>
            </w:r>
          </w:p>
          <w:p w14:paraId="50A0B6A2">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供应商提供创新产品或创新服务属于《山西省创新产品和服务推荐清单》中创新产品或创新服务的，予以优先采购。</w:t>
            </w:r>
          </w:p>
          <w:p w14:paraId="615534EE">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7</w:t>
            </w:r>
            <w:r>
              <w:rPr>
                <w:rFonts w:hint="eastAsia" w:ascii="仿宋" w:hAnsi="仿宋" w:eastAsia="仿宋" w:cs="仿宋"/>
                <w:b w:val="0"/>
                <w:bCs w:val="0"/>
                <w:color w:val="auto"/>
                <w:sz w:val="24"/>
                <w:szCs w:val="24"/>
                <w:highlight w:val="none"/>
              </w:rPr>
              <w:t>绿色采购</w:t>
            </w:r>
          </w:p>
          <w:p w14:paraId="37E6E4CC">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根据《山西省财政厅关于进一步加强政府绿色采购有关事项的通知》（晋财购〔2024〕54号），严格执行政府绿色采购政策。</w:t>
            </w:r>
          </w:p>
          <w:p w14:paraId="221C4D17">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（1）对实施强制采购或执行强制性绿色采购标准的品目，落实绿色采购政策功能，不接受非强制采购产品。</w:t>
            </w:r>
          </w:p>
          <w:p w14:paraId="6AEA55B4">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（2）优先采购的绿色产品，给予5%的价格扣除，用扣除后的价格参与评审。</w:t>
            </w:r>
          </w:p>
          <w:p w14:paraId="67D7239E">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（3）对中小微企业等主体，严格落实政府采购优惠政策，同时享受绿色采购政策的价格扣除等评审优惠措施，分别计算、叠加执行。</w:t>
            </w:r>
          </w:p>
          <w:p w14:paraId="0776BB88">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本国产品</w:t>
            </w:r>
          </w:p>
          <w:p w14:paraId="4E90B3A3">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本项目对采购本国产品给予政策支持，具体执行《关于在政府采购中实施本国产品标准及相关政策的通知》（国办发〔2025〕34号）。</w:t>
            </w:r>
          </w:p>
          <w:p w14:paraId="7EC19390">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29DD16">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0FAC933">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（3）本项目政府采购活动中既有本国产品又有非本国产品参与竞争的，依法对本国产品给予价格评审优惠，对本国产品的报价给予20%的价格扣除，用扣除后的价格参与评审。</w:t>
            </w:r>
          </w:p>
          <w:p w14:paraId="3A08CE49">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当采购项目或者采购包中含有多种产品，供应商为该采购项目或者采购包提供的符合本国产品标准的产品成本之和占该供应商提供的全部产品成本之和的比例达到80%以上时（供应商需在“第八部分投标文件格式”的“投标分项报价明细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0B4ACA1">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（5）供应商需按照招标文件的要求提供《关于符合本国产品标准的声明函》（以下简称《声明函》），如不提供将不享受本国产品价格评审优惠。</w:t>
            </w:r>
          </w:p>
          <w:p w14:paraId="167FDCE8">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72FB0EB">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3FB46BF">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9中小企业</w:t>
            </w:r>
          </w:p>
          <w:p w14:paraId="3DA05533">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sym w:font="Wingdings" w:char="00A8"/>
            </w:r>
            <w:r>
              <w:rPr>
                <w:rFonts w:hint="eastAsia" w:ascii="仿宋" w:hAnsi="仿宋" w:eastAsia="仿宋" w:cs="仿宋"/>
                <w:b w:val="0"/>
                <w:bCs w:val="0"/>
                <w:color w:val="auto"/>
                <w:sz w:val="24"/>
                <w:szCs w:val="24"/>
                <w:highlight w:val="none"/>
              </w:rPr>
              <w:t>是</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sym w:font="Wingdings" w:char="00FE"/>
            </w:r>
            <w:r>
              <w:rPr>
                <w:rFonts w:hint="eastAsia" w:ascii="仿宋" w:hAnsi="仿宋" w:eastAsia="仿宋" w:cs="仿宋"/>
                <w:b w:val="0"/>
                <w:bCs w:val="0"/>
                <w:color w:val="auto"/>
                <w:sz w:val="24"/>
                <w:szCs w:val="24"/>
                <w:highlight w:val="none"/>
              </w:rPr>
              <w:t>否 专门面向中小企业采购</w:t>
            </w:r>
          </w:p>
          <w:p w14:paraId="1EC30C14">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本项目标的所属行业：详见</w:t>
            </w:r>
            <w:r>
              <w:rPr>
                <w:rFonts w:hint="eastAsia" w:ascii="仿宋" w:hAnsi="仿宋" w:eastAsia="仿宋" w:cs="仿宋"/>
                <w:b w:val="0"/>
                <w:bCs w:val="0"/>
                <w:color w:val="auto"/>
                <w:sz w:val="24"/>
                <w:szCs w:val="24"/>
                <w:highlight w:val="none"/>
              </w:rPr>
              <w:t>中小企业声明函</w:t>
            </w:r>
            <w:r>
              <w:rPr>
                <w:rFonts w:hint="eastAsia" w:ascii="仿宋" w:hAnsi="仿宋" w:eastAsia="仿宋" w:cs="仿宋"/>
                <w:b w:val="0"/>
                <w:bCs w:val="0"/>
                <w:color w:val="auto"/>
                <w:sz w:val="24"/>
                <w:szCs w:val="24"/>
                <w:highlight w:val="none"/>
                <w:lang w:val="en-US" w:eastAsia="zh-CN"/>
              </w:rPr>
              <w:t>格式</w:t>
            </w:r>
          </w:p>
          <w:p w14:paraId="0FFE7801">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根据工信部等部委发布的《关于印发中小企业划型标准规定的通知》（工信部联企业〔2011〕300号），按照本次采购标的所属行业的划型标准，符合条件的中小企业须提供《中小企业声明函》</w:t>
            </w:r>
            <w:r>
              <w:rPr>
                <w:rFonts w:hint="eastAsia" w:ascii="仿宋" w:hAnsi="仿宋" w:eastAsia="仿宋" w:cs="仿宋"/>
                <w:b w:val="0"/>
                <w:bCs w:val="0"/>
                <w:color w:val="auto"/>
                <w:sz w:val="24"/>
                <w:szCs w:val="24"/>
                <w:highlight w:val="none"/>
                <w:lang w:val="en-US" w:eastAsia="zh-CN"/>
              </w:rPr>
              <w:t>。</w:t>
            </w:r>
          </w:p>
          <w:p w14:paraId="64E12E9B">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根据财政部发布的《政府采购促进中小企业发展管理办法》（财库〔2020〕46号）、山西省财政厅发布的《关于进一步加大政府采购支持中小企业力度助力扎实稳住经济的通知》晋财购[</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"bookmark6"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2022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]6号规定，本项目适用于：</w:t>
            </w:r>
          </w:p>
          <w:p w14:paraId="0ECA8C80">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对于经主管预算单位统筹后未预留份额专门面向中小企业采购的采购项目，以及预留份额项目中的非预留部分采购包，招标人、招标代理机构应当对符合本办法规定的小微企业报价给予15%—20%(工程项目为3%—5%)的扣除，用扣除后的价格参加评审。</w:t>
            </w:r>
          </w:p>
          <w:p w14:paraId="7B287DA3">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本项目符合规定的小微企业扣除比例为15%。</w:t>
            </w:r>
          </w:p>
          <w:p w14:paraId="54DEE9B0">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招标人、招标代理机构应当对联合体或者大中型企业的报价给予5%-6%(工程项目为1%-2%)的扣除，用扣除后的价格参加评审。</w:t>
            </w:r>
          </w:p>
          <w:p w14:paraId="7917C55D">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小、微企业只有提供本企业制造的货物、承担的工程或者服务，或者提供其他小、微企业制造的货物，享受价格折扣；</w:t>
            </w:r>
          </w:p>
          <w:p w14:paraId="75690EE4">
            <w:pPr>
              <w:topLinePunct/>
              <w:autoSpaceDE w:val="0"/>
              <w:autoSpaceDN w:val="0"/>
              <w:spacing w:line="460" w:lineRule="exact"/>
              <w:ind w:left="-105" w:leftChars="-50" w:right="-105" w:rightChars="-5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在货物采购项目中，供应商提供的货物既有中小企业制造货物，也有大型企业制造货物，不享受中小企业扶持政策。</w:t>
            </w:r>
          </w:p>
          <w:p w14:paraId="37A56B9E">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以联合体形式参加政府采购活动，联合体各方均为中小企业的，联合体视同中小企业。其中，联合体各方均为小微企业的，联合体视同小微企业。</w:t>
            </w:r>
          </w:p>
          <w:p w14:paraId="3EB42774">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10福利企业</w:t>
            </w:r>
          </w:p>
          <w:p w14:paraId="09D3062C">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财库〔2017〕141号《财政部民政部中国残疾人联合会关于促进残疾人就业政府采购政策的通知》，符合享受政府采购支持政策的残疾人福利性单位条件且提供《残疾人福利性单位声明函》的残疾人福利性单位，视同小型、微型企业。</w:t>
            </w:r>
          </w:p>
          <w:p w14:paraId="072E4F55">
            <w:pPr>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11监狱企业</w:t>
            </w:r>
          </w:p>
          <w:p w14:paraId="6F4A55EA">
            <w:pPr>
              <w:keepNext w:val="0"/>
              <w:keepLines w:val="0"/>
              <w:pageBreakBefore w:val="0"/>
              <w:kinsoku/>
              <w:wordWrap/>
              <w:overflowPunct/>
              <w:topLinePunct w:val="0"/>
              <w:autoSpaceDE/>
              <w:autoSpaceDN/>
              <w:bidi w:val="0"/>
              <w:snapToGrid w:val="0"/>
              <w:spacing w:line="560" w:lineRule="exact"/>
              <w:jc w:val="both"/>
              <w:rPr>
                <w:rFonts w:hint="default" w:ascii="宋体" w:hAnsi="宋体" w:eastAsia="宋体" w:cs="宋体"/>
                <w:color w:val="auto"/>
                <w:sz w:val="21"/>
                <w:szCs w:val="21"/>
                <w:highlight w:val="none"/>
                <w:lang w:val="en-US" w:eastAsia="zh-CN"/>
              </w:rPr>
            </w:pPr>
            <w:r>
              <w:rPr>
                <w:rFonts w:hint="eastAsia" w:ascii="仿宋" w:hAnsi="仿宋" w:eastAsia="仿宋" w:cs="仿宋"/>
                <w:b w:val="0"/>
                <w:bCs w:val="0"/>
                <w:color w:val="auto"/>
                <w:sz w:val="24"/>
                <w:szCs w:val="24"/>
                <w:highlight w:val="none"/>
              </w:rPr>
              <w:t>根据财库〔2014〕68号《财政部司法部关于政府采购支持监狱企业发展有关问题的通知》，能够提供由省级以上监狱管理局、戒毒管理局（含新疆生产建设兵团）出具的“属于监狱企业的证明文件”的监狱企业，视同小型、微型企业。</w:t>
            </w:r>
          </w:p>
        </w:tc>
      </w:tr>
      <w:tr w14:paraId="45B9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4" w:type="dxa"/>
            <w:noWrap w:val="0"/>
            <w:vAlign w:val="center"/>
          </w:tcPr>
          <w:p w14:paraId="05345C47">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w:t>
            </w:r>
          </w:p>
        </w:tc>
        <w:tc>
          <w:tcPr>
            <w:tcW w:w="2441" w:type="dxa"/>
            <w:noWrap w:val="0"/>
            <w:vAlign w:val="center"/>
          </w:tcPr>
          <w:p w14:paraId="33C86027">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投标保证金金额及缴纳要求</w:t>
            </w:r>
          </w:p>
        </w:tc>
        <w:tc>
          <w:tcPr>
            <w:tcW w:w="6432" w:type="dxa"/>
            <w:noWrap w:val="0"/>
            <w:vAlign w:val="center"/>
          </w:tcPr>
          <w:p w14:paraId="0F19B69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kern w:val="0"/>
                <w:sz w:val="24"/>
                <w:szCs w:val="24"/>
                <w:highlight w:val="none"/>
                <w:lang w:val="en-US" w:eastAsia="zh-CN"/>
              </w:rPr>
              <w:t>（1）投标</w:t>
            </w:r>
            <w:r>
              <w:rPr>
                <w:rFonts w:hint="eastAsia" w:ascii="仿宋" w:hAnsi="仿宋" w:eastAsia="仿宋" w:cs="仿宋"/>
                <w:b w:val="0"/>
                <w:bCs/>
                <w:sz w:val="24"/>
                <w:szCs w:val="24"/>
                <w:highlight w:val="none"/>
                <w:lang w:val="en-US" w:eastAsia="zh-CN"/>
              </w:rPr>
              <w:t>保证金金额：</w:t>
            </w:r>
          </w:p>
          <w:p w14:paraId="7ECC642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bCs/>
                <w:sz w:val="24"/>
                <w:szCs w:val="24"/>
                <w:highlight w:val="none"/>
                <w:lang w:val="en-US" w:eastAsia="zh-CN"/>
              </w:rPr>
              <w:t>人民币（大写）：叁万玖仟元整   ￥39000.00元</w:t>
            </w:r>
          </w:p>
          <w:p w14:paraId="0C08F0B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（2）缴纳形式：</w:t>
            </w:r>
            <w:r>
              <w:rPr>
                <w:rFonts w:hint="eastAsia" w:ascii="仿宋" w:hAnsi="仿宋" w:eastAsia="仿宋" w:cs="仿宋"/>
                <w:sz w:val="24"/>
                <w:szCs w:val="24"/>
                <w:highlight w:val="none"/>
              </w:rPr>
              <w:t>通过本单位基本银行帐户电汇、支票、汇票、本票或者金融机构、担保机构出具的保函等非现金形式提交</w:t>
            </w:r>
            <w:r>
              <w:rPr>
                <w:rFonts w:hint="eastAsia" w:ascii="仿宋" w:hAnsi="仿宋" w:eastAsia="仿宋" w:cs="仿宋"/>
                <w:sz w:val="24"/>
                <w:szCs w:val="24"/>
                <w:highlight w:val="none"/>
                <w:lang w:eastAsia="zh-CN"/>
              </w:rPr>
              <w:t>。支票或电汇支付，保证金应当从其基本账户转出；采用保函形式的，保函应当具备互联网查询功能。</w:t>
            </w:r>
          </w:p>
          <w:p w14:paraId="7E0DC573">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请</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在投标截止时间前</w:t>
            </w:r>
            <w:r>
              <w:rPr>
                <w:rFonts w:hint="eastAsia" w:ascii="仿宋" w:hAnsi="仿宋" w:eastAsia="仿宋" w:cs="仿宋"/>
                <w:b w:val="0"/>
                <w:bCs/>
                <w:sz w:val="24"/>
                <w:szCs w:val="24"/>
                <w:highlight w:val="none"/>
              </w:rPr>
              <w:t>，按要求向</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代理机构递交</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保证金（保证金必须由</w:t>
            </w: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的基本帐户一次性汇入指定账户；</w:t>
            </w:r>
          </w:p>
          <w:p w14:paraId="78E93035">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截止时间之后</w:t>
            </w:r>
            <w:r>
              <w:rPr>
                <w:rFonts w:hint="eastAsia" w:ascii="仿宋" w:hAnsi="仿宋" w:eastAsia="仿宋" w:cs="仿宋"/>
                <w:b w:val="0"/>
                <w:bCs/>
                <w:sz w:val="24"/>
                <w:szCs w:val="24"/>
                <w:highlight w:val="none"/>
                <w:lang w:val="en-US" w:eastAsia="zh-CN"/>
              </w:rPr>
              <w:t>缴纳的投标</w:t>
            </w:r>
            <w:r>
              <w:rPr>
                <w:rFonts w:hint="eastAsia" w:ascii="仿宋" w:hAnsi="仿宋" w:eastAsia="仿宋" w:cs="仿宋"/>
                <w:b w:val="0"/>
                <w:bCs/>
                <w:sz w:val="24"/>
                <w:szCs w:val="24"/>
                <w:highlight w:val="none"/>
              </w:rPr>
              <w:t>保证金其</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将被否决。帐户信息如下：</w:t>
            </w:r>
          </w:p>
          <w:p w14:paraId="118F8A63">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单位名称：</w:t>
            </w:r>
            <w:r>
              <w:rPr>
                <w:rFonts w:hint="eastAsia" w:ascii="仿宋" w:hAnsi="仿宋" w:eastAsia="仿宋" w:cs="仿宋"/>
                <w:b w:val="0"/>
                <w:bCs/>
                <w:sz w:val="24"/>
                <w:szCs w:val="24"/>
                <w:highlight w:val="none"/>
                <w:lang w:eastAsia="zh-CN"/>
              </w:rPr>
              <w:t>山西辰德鑫工程项目管理有限公司</w:t>
            </w:r>
          </w:p>
          <w:p w14:paraId="037FCF93">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开 户 行：山西银行股份有限公司大同文兴路支行</w:t>
            </w:r>
            <w:r>
              <w:rPr>
                <w:rFonts w:hint="eastAsia" w:ascii="仿宋" w:hAnsi="仿宋" w:eastAsia="仿宋" w:cs="仿宋"/>
                <w:b w:val="0"/>
                <w:bCs/>
                <w:sz w:val="24"/>
                <w:szCs w:val="24"/>
                <w:highlight w:val="none"/>
                <w:lang w:val="en-US" w:eastAsia="zh-CN"/>
              </w:rPr>
              <w:t xml:space="preserve"> </w:t>
            </w:r>
          </w:p>
          <w:p w14:paraId="767A7955">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lang w:val="zh-CN" w:eastAsia="zh-CN"/>
              </w:rPr>
            </w:pPr>
            <w:r>
              <w:rPr>
                <w:rFonts w:hint="eastAsia" w:ascii="仿宋" w:hAnsi="仿宋" w:eastAsia="仿宋" w:cs="仿宋"/>
                <w:b w:val="0"/>
                <w:bCs/>
                <w:sz w:val="24"/>
                <w:szCs w:val="24"/>
                <w:highlight w:val="none"/>
              </w:rPr>
              <w:t>帐    号：2009600000000859</w:t>
            </w:r>
            <w:r>
              <w:rPr>
                <w:rFonts w:hint="eastAsia" w:ascii="仿宋" w:hAnsi="仿宋" w:eastAsia="仿宋" w:cs="仿宋"/>
                <w:b w:val="0"/>
                <w:bCs/>
                <w:sz w:val="24"/>
                <w:szCs w:val="24"/>
                <w:highlight w:val="none"/>
                <w:lang w:val="en-US" w:eastAsia="zh-CN"/>
              </w:rPr>
              <w:t xml:space="preserve"> </w:t>
            </w:r>
          </w:p>
          <w:p w14:paraId="0F7ECFCA">
            <w:pPr>
              <w:keepNext/>
              <w:keepLines w:val="0"/>
              <w:pageBreakBefore w:val="0"/>
              <w:widowControl/>
              <w:numPr>
                <w:ilvl w:val="0"/>
                <w:numId w:val="0"/>
              </w:numPr>
              <w:kinsoku/>
              <w:wordWrap/>
              <w:overflowPunct/>
              <w:topLinePunct w:val="0"/>
              <w:autoSpaceDE/>
              <w:autoSpaceDN/>
              <w:bidi w:val="0"/>
              <w:snapToGrid w:val="0"/>
              <w:spacing w:line="560" w:lineRule="exact"/>
              <w:ind w:leftChars="0"/>
              <w:jc w:val="both"/>
              <w:textAlignment w:val="auto"/>
              <w:rPr>
                <w:rFonts w:hint="eastAsia" w:ascii="仿宋" w:hAnsi="仿宋" w:eastAsia="仿宋" w:cs="仿宋"/>
                <w:b w:val="0"/>
                <w:bCs/>
                <w:sz w:val="24"/>
                <w:szCs w:val="24"/>
                <w:highlight w:val="none"/>
                <w:lang w:val="zh-CN" w:eastAsia="zh-CN"/>
              </w:rPr>
            </w:pPr>
            <w:r>
              <w:rPr>
                <w:rFonts w:hint="eastAsia" w:ascii="仿宋" w:hAnsi="仿宋" w:eastAsia="仿宋" w:cs="仿宋"/>
                <w:b w:val="0"/>
                <w:bCs/>
                <w:sz w:val="24"/>
                <w:szCs w:val="24"/>
                <w:highlight w:val="none"/>
                <w:lang w:val="zh-CN" w:eastAsia="zh-CN"/>
              </w:rPr>
              <w:t>开户行行号：313162000408</w:t>
            </w:r>
            <w:r>
              <w:rPr>
                <w:rFonts w:hint="eastAsia" w:ascii="仿宋" w:hAnsi="仿宋" w:eastAsia="仿宋" w:cs="仿宋"/>
                <w:b w:val="0"/>
                <w:bCs/>
                <w:sz w:val="24"/>
                <w:szCs w:val="24"/>
                <w:highlight w:val="none"/>
                <w:lang w:val="en-US" w:eastAsia="zh-CN"/>
              </w:rPr>
              <w:t xml:space="preserve"> </w:t>
            </w:r>
          </w:p>
          <w:p w14:paraId="3E07E3D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未按前述要求提交投标保证金或未足额交纳投标保证金的响应，将被视为无效投标。</w:t>
            </w:r>
          </w:p>
          <w:p w14:paraId="06905A1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供应商交纳投标保证金时，可在凭单用途栏中注明项目名称及编号（可简写）</w:t>
            </w:r>
          </w:p>
        </w:tc>
      </w:tr>
      <w:tr w14:paraId="63C5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4" w:type="dxa"/>
            <w:noWrap w:val="0"/>
            <w:vAlign w:val="center"/>
          </w:tcPr>
          <w:p w14:paraId="539C3768">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w:t>
            </w:r>
          </w:p>
        </w:tc>
        <w:tc>
          <w:tcPr>
            <w:tcW w:w="2441" w:type="dxa"/>
            <w:noWrap w:val="0"/>
            <w:vAlign w:val="center"/>
          </w:tcPr>
          <w:p w14:paraId="7B2563FE">
            <w:pPr>
              <w:pStyle w:val="17"/>
              <w:keepNext w:val="0"/>
              <w:keepLines w:val="0"/>
              <w:pageBreakBefore w:val="0"/>
              <w:kinsoku/>
              <w:wordWrap/>
              <w:overflowPunct/>
              <w:topLinePunct w:val="0"/>
              <w:autoSpaceDE/>
              <w:autoSpaceDN/>
              <w:bidi w:val="0"/>
              <w:snapToGrid w:val="0"/>
              <w:spacing w:line="5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kern w:val="0"/>
                <w:sz w:val="24"/>
                <w:szCs w:val="24"/>
                <w:highlight w:val="none"/>
                <w:lang w:val="en-US" w:eastAsia="zh-CN" w:bidi="ar-SA"/>
              </w:rPr>
              <w:t>评审办法</w:t>
            </w:r>
          </w:p>
        </w:tc>
        <w:tc>
          <w:tcPr>
            <w:tcW w:w="6432" w:type="dxa"/>
            <w:noWrap w:val="0"/>
            <w:vAlign w:val="center"/>
          </w:tcPr>
          <w:p w14:paraId="1C876421">
            <w:pPr>
              <w:pStyle w:val="17"/>
              <w:keepNext w:val="0"/>
              <w:keepLines w:val="0"/>
              <w:pageBreakBefore w:val="0"/>
              <w:kinsoku/>
              <w:wordWrap/>
              <w:overflowPunct/>
              <w:topLinePunct w:val="0"/>
              <w:autoSpaceDE/>
              <w:autoSpaceDN/>
              <w:bidi w:val="0"/>
              <w:snapToGrid w:val="0"/>
              <w:spacing w:line="56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采用综合评分法</w:t>
            </w:r>
          </w:p>
        </w:tc>
      </w:tr>
      <w:tr w14:paraId="3377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4" w:type="dxa"/>
            <w:noWrap w:val="0"/>
            <w:vAlign w:val="center"/>
          </w:tcPr>
          <w:p w14:paraId="2BBFDB79">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w:t>
            </w:r>
          </w:p>
        </w:tc>
        <w:tc>
          <w:tcPr>
            <w:tcW w:w="2441" w:type="dxa"/>
            <w:noWrap w:val="0"/>
            <w:vAlign w:val="center"/>
          </w:tcPr>
          <w:p w14:paraId="694C0329">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推荐中标候选供应商</w:t>
            </w:r>
          </w:p>
        </w:tc>
        <w:tc>
          <w:tcPr>
            <w:tcW w:w="6432" w:type="dxa"/>
            <w:noWrap w:val="0"/>
            <w:vAlign w:val="center"/>
          </w:tcPr>
          <w:p w14:paraId="365EF6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评标委员会根据详细评审结果按得分由高到低顺序排列中标候选供应商，确定排名第一的中标候选供应商为中标供应商。</w:t>
            </w:r>
          </w:p>
        </w:tc>
      </w:tr>
      <w:tr w14:paraId="635D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764" w:type="dxa"/>
            <w:noWrap w:val="0"/>
            <w:vAlign w:val="center"/>
          </w:tcPr>
          <w:p w14:paraId="0E5A2D3A">
            <w:pPr>
              <w:keepNext w:val="0"/>
              <w:keepLines w:val="0"/>
              <w:pageBreakBefore w:val="0"/>
              <w:kinsoku/>
              <w:wordWrap/>
              <w:overflowPunct/>
              <w:topLinePunct w:val="0"/>
              <w:autoSpaceDE/>
              <w:autoSpaceDN/>
              <w:bidi w:val="0"/>
              <w:adjustRightInd w:val="0"/>
              <w:spacing w:line="560" w:lineRule="exact"/>
              <w:jc w:val="center"/>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w:t>
            </w:r>
          </w:p>
        </w:tc>
        <w:tc>
          <w:tcPr>
            <w:tcW w:w="2441" w:type="dxa"/>
            <w:noWrap w:val="0"/>
            <w:vAlign w:val="center"/>
          </w:tcPr>
          <w:p w14:paraId="103E57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b w:val="0"/>
                <w:bCs/>
                <w:sz w:val="24"/>
                <w:szCs w:val="24"/>
                <w:highlight w:val="none"/>
              </w:rPr>
              <w:t>招标代理服务费</w:t>
            </w:r>
          </w:p>
        </w:tc>
        <w:tc>
          <w:tcPr>
            <w:tcW w:w="6432" w:type="dxa"/>
            <w:noWrap w:val="0"/>
            <w:vAlign w:val="center"/>
          </w:tcPr>
          <w:p w14:paraId="15E936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b w:val="0"/>
                <w:bCs/>
                <w:sz w:val="24"/>
                <w:szCs w:val="24"/>
                <w:highlight w:val="none"/>
              </w:rPr>
              <w:t>以</w:t>
            </w:r>
            <w:r>
              <w:rPr>
                <w:rFonts w:hint="eastAsia" w:ascii="仿宋" w:hAnsi="仿宋" w:eastAsia="仿宋" w:cs="仿宋"/>
                <w:b w:val="0"/>
                <w:bCs/>
                <w:sz w:val="24"/>
                <w:szCs w:val="24"/>
                <w:highlight w:val="none"/>
                <w:lang w:val="en-US" w:eastAsia="zh-CN"/>
              </w:rPr>
              <w:t>中标</w:t>
            </w:r>
            <w:r>
              <w:rPr>
                <w:rFonts w:hint="eastAsia" w:ascii="仿宋" w:hAnsi="仿宋" w:eastAsia="仿宋" w:cs="仿宋"/>
                <w:b w:val="0"/>
                <w:bCs/>
                <w:sz w:val="24"/>
                <w:szCs w:val="24"/>
                <w:highlight w:val="none"/>
              </w:rPr>
              <w:t>金额为计算基础，</w:t>
            </w:r>
            <w:r>
              <w:rPr>
                <w:rFonts w:hint="eastAsia" w:ascii="仿宋" w:hAnsi="仿宋" w:eastAsia="仿宋" w:cs="仿宋"/>
                <w:b w:val="0"/>
                <w:bCs/>
                <w:sz w:val="24"/>
                <w:szCs w:val="24"/>
                <w:highlight w:val="none"/>
                <w:lang w:val="en-US" w:eastAsia="zh-CN"/>
              </w:rPr>
              <w:t>参</w:t>
            </w:r>
            <w:r>
              <w:rPr>
                <w:rFonts w:hint="eastAsia" w:ascii="仿宋" w:hAnsi="仿宋" w:eastAsia="仿宋" w:cs="仿宋"/>
                <w:b w:val="0"/>
                <w:bCs/>
                <w:sz w:val="24"/>
                <w:szCs w:val="24"/>
                <w:highlight w:val="none"/>
              </w:rPr>
              <w:t>照《国家计委关于印发＜招标代理服务收费管理暂行管理办法＞的通知》（计价格[2002]1980号）及国家发改委《关于招标代理服务收费有关问题的通知》（发改办价格[2003]857号）规定执行</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由</w:t>
            </w:r>
            <w:r>
              <w:rPr>
                <w:rFonts w:hint="eastAsia" w:ascii="仿宋" w:hAnsi="仿宋" w:eastAsia="仿宋" w:cs="仿宋"/>
                <w:b w:val="0"/>
                <w:bCs/>
                <w:sz w:val="24"/>
                <w:szCs w:val="24"/>
                <w:highlight w:val="none"/>
                <w:lang w:val="en-US" w:eastAsia="zh-CN"/>
              </w:rPr>
              <w:t>中标供应商</w:t>
            </w:r>
            <w:r>
              <w:rPr>
                <w:rFonts w:hint="eastAsia" w:ascii="仿宋" w:hAnsi="仿宋" w:eastAsia="仿宋" w:cs="仿宋"/>
                <w:b w:val="0"/>
                <w:bCs/>
                <w:sz w:val="24"/>
                <w:szCs w:val="24"/>
                <w:highlight w:val="none"/>
              </w:rPr>
              <w:t>领取</w:t>
            </w:r>
            <w:r>
              <w:rPr>
                <w:rFonts w:hint="eastAsia" w:ascii="仿宋" w:hAnsi="仿宋" w:eastAsia="仿宋" w:cs="仿宋"/>
                <w:b w:val="0"/>
                <w:bCs/>
                <w:sz w:val="24"/>
                <w:szCs w:val="24"/>
                <w:highlight w:val="none"/>
                <w:lang w:val="en-US" w:eastAsia="zh-CN"/>
              </w:rPr>
              <w:t>中标</w:t>
            </w:r>
            <w:r>
              <w:rPr>
                <w:rFonts w:hint="eastAsia" w:ascii="仿宋" w:hAnsi="仿宋" w:eastAsia="仿宋" w:cs="仿宋"/>
                <w:b w:val="0"/>
                <w:bCs/>
                <w:sz w:val="24"/>
                <w:szCs w:val="24"/>
                <w:highlight w:val="none"/>
              </w:rPr>
              <w:t>通知书时一次性向</w:t>
            </w:r>
            <w:r>
              <w:rPr>
                <w:rFonts w:hint="eastAsia" w:ascii="仿宋" w:hAnsi="仿宋" w:eastAsia="仿宋" w:cs="仿宋"/>
                <w:b w:val="0"/>
                <w:bCs/>
                <w:sz w:val="24"/>
                <w:szCs w:val="24"/>
                <w:highlight w:val="none"/>
                <w:lang w:eastAsia="zh-CN"/>
              </w:rPr>
              <w:t>代理机构</w:t>
            </w:r>
            <w:r>
              <w:rPr>
                <w:rFonts w:hint="eastAsia" w:ascii="仿宋" w:hAnsi="仿宋" w:eastAsia="仿宋" w:cs="仿宋"/>
                <w:b w:val="0"/>
                <w:bCs/>
                <w:sz w:val="24"/>
                <w:szCs w:val="24"/>
                <w:highlight w:val="none"/>
                <w:lang w:val="en-US" w:eastAsia="zh-CN"/>
              </w:rPr>
              <w:t>缴纳</w:t>
            </w:r>
            <w:r>
              <w:rPr>
                <w:rFonts w:hint="eastAsia" w:ascii="仿宋" w:hAnsi="仿宋" w:eastAsia="仿宋" w:cs="仿宋"/>
                <w:b w:val="0"/>
                <w:bCs/>
                <w:sz w:val="24"/>
                <w:szCs w:val="24"/>
                <w:highlight w:val="none"/>
              </w:rPr>
              <w:t>。</w:t>
            </w:r>
          </w:p>
        </w:tc>
      </w:tr>
      <w:tr w14:paraId="7E10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64" w:type="dxa"/>
            <w:noWrap w:val="0"/>
            <w:vAlign w:val="center"/>
          </w:tcPr>
          <w:p w14:paraId="21FE04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16</w:t>
            </w:r>
          </w:p>
        </w:tc>
        <w:tc>
          <w:tcPr>
            <w:tcW w:w="2441" w:type="dxa"/>
            <w:noWrap w:val="0"/>
            <w:vAlign w:val="center"/>
          </w:tcPr>
          <w:p w14:paraId="3D73F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招标过程中可能实质性变动内容</w:t>
            </w:r>
          </w:p>
        </w:tc>
        <w:tc>
          <w:tcPr>
            <w:tcW w:w="6432" w:type="dxa"/>
            <w:noWrap w:val="0"/>
            <w:vAlign w:val="center"/>
          </w:tcPr>
          <w:p w14:paraId="4C6D66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除招标文件中第五部分商务、技术要求以及第六部分合同条款中相关内容外，不得变动招标文件中的其他内容。实质性变动的内容，须经采购人代表签字确认。</w:t>
            </w:r>
          </w:p>
        </w:tc>
      </w:tr>
      <w:tr w14:paraId="453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64" w:type="dxa"/>
            <w:noWrap w:val="0"/>
            <w:vAlign w:val="center"/>
          </w:tcPr>
          <w:p w14:paraId="011EAD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17</w:t>
            </w:r>
          </w:p>
        </w:tc>
        <w:tc>
          <w:tcPr>
            <w:tcW w:w="2441" w:type="dxa"/>
            <w:noWrap w:val="0"/>
            <w:vAlign w:val="center"/>
          </w:tcPr>
          <w:p w14:paraId="68DFF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现场勘查</w:t>
            </w:r>
          </w:p>
        </w:tc>
        <w:tc>
          <w:tcPr>
            <w:tcW w:w="6432" w:type="dxa"/>
            <w:noWrap w:val="0"/>
            <w:vAlign w:val="center"/>
          </w:tcPr>
          <w:p w14:paraId="3C6438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招标文件提供期限截止后，如需要，书面通知</w:t>
            </w:r>
          </w:p>
        </w:tc>
      </w:tr>
      <w:tr w14:paraId="1607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4" w:type="dxa"/>
            <w:noWrap w:val="0"/>
            <w:vAlign w:val="center"/>
          </w:tcPr>
          <w:p w14:paraId="7A8F4B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18</w:t>
            </w:r>
          </w:p>
        </w:tc>
        <w:tc>
          <w:tcPr>
            <w:tcW w:w="2441" w:type="dxa"/>
            <w:noWrap w:val="0"/>
            <w:vAlign w:val="center"/>
          </w:tcPr>
          <w:p w14:paraId="25235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标前答疑</w:t>
            </w:r>
          </w:p>
        </w:tc>
        <w:tc>
          <w:tcPr>
            <w:tcW w:w="6432" w:type="dxa"/>
            <w:noWrap w:val="0"/>
            <w:vAlign w:val="center"/>
          </w:tcPr>
          <w:p w14:paraId="7A5714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招标文件提供期限截止后，如需要，书面通知</w:t>
            </w:r>
          </w:p>
        </w:tc>
      </w:tr>
      <w:tr w14:paraId="08C9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64" w:type="dxa"/>
            <w:noWrap w:val="0"/>
            <w:vAlign w:val="center"/>
          </w:tcPr>
          <w:p w14:paraId="7E03DE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19</w:t>
            </w:r>
          </w:p>
        </w:tc>
        <w:tc>
          <w:tcPr>
            <w:tcW w:w="2441" w:type="dxa"/>
            <w:noWrap w:val="0"/>
            <w:vAlign w:val="center"/>
          </w:tcPr>
          <w:p w14:paraId="3D3AC4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评标委员会构成</w:t>
            </w:r>
          </w:p>
        </w:tc>
        <w:tc>
          <w:tcPr>
            <w:tcW w:w="6432" w:type="dxa"/>
            <w:noWrap w:val="0"/>
            <w:vAlign w:val="center"/>
          </w:tcPr>
          <w:p w14:paraId="517DF6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b w:val="0"/>
                <w:bCs/>
                <w:sz w:val="24"/>
                <w:szCs w:val="24"/>
                <w:highlight w:val="none"/>
                <w:lang w:val="en-US" w:eastAsia="zh-CN"/>
              </w:rPr>
              <w:t>本采购项目的评标委员会成员由5人组成，其中评审专家4人，采购人代表1人。</w:t>
            </w:r>
          </w:p>
        </w:tc>
      </w:tr>
      <w:tr w14:paraId="09AB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4" w:type="dxa"/>
            <w:noWrap w:val="0"/>
            <w:vAlign w:val="center"/>
          </w:tcPr>
          <w:p w14:paraId="54260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20</w:t>
            </w:r>
          </w:p>
        </w:tc>
        <w:tc>
          <w:tcPr>
            <w:tcW w:w="2441" w:type="dxa"/>
            <w:shd w:val="clear" w:color="auto" w:fill="auto"/>
            <w:noWrap w:val="0"/>
            <w:vAlign w:val="center"/>
          </w:tcPr>
          <w:p w14:paraId="6CA620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pacing w:val="-2"/>
                <w:kern w:val="0"/>
                <w:sz w:val="24"/>
                <w:szCs w:val="24"/>
                <w:highlight w:val="none"/>
                <w:lang w:val="en-US" w:eastAsia="zh-CN" w:bidi="ar-SA"/>
              </w:rPr>
            </w:pPr>
            <w:r>
              <w:rPr>
                <w:rFonts w:hint="eastAsia" w:ascii="仿宋" w:hAnsi="仿宋" w:eastAsia="仿宋" w:cs="仿宋"/>
                <w:b w:val="0"/>
                <w:bCs/>
                <w:sz w:val="24"/>
                <w:szCs w:val="24"/>
                <w:highlight w:val="none"/>
                <w:lang w:val="en-US" w:eastAsia="zh-CN"/>
              </w:rPr>
              <w:t>本项目所属行业</w:t>
            </w:r>
          </w:p>
        </w:tc>
        <w:tc>
          <w:tcPr>
            <w:tcW w:w="6432" w:type="dxa"/>
            <w:shd w:val="clear" w:color="auto" w:fill="auto"/>
            <w:noWrap w:val="0"/>
            <w:vAlign w:val="center"/>
          </w:tcPr>
          <w:p w14:paraId="17C2A0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sz w:val="24"/>
                <w:szCs w:val="24"/>
                <w:highlight w:val="none"/>
                <w:lang w:val="en-US" w:eastAsia="zh-CN"/>
              </w:rPr>
              <w:t>根据中小企业划型标准，本项目属</w:t>
            </w:r>
            <w:r>
              <w:rPr>
                <w:rFonts w:hint="eastAsia" w:ascii="仿宋" w:hAnsi="仿宋" w:eastAsia="仿宋" w:cs="仿宋"/>
                <w:b w:val="0"/>
                <w:bCs/>
                <w:sz w:val="24"/>
                <w:szCs w:val="24"/>
                <w:highlight w:val="none"/>
                <w:u w:val="none"/>
                <w:lang w:val="en-US" w:eastAsia="zh-CN"/>
              </w:rPr>
              <w:t>于行业详见中小企业声明函格式。</w:t>
            </w:r>
          </w:p>
        </w:tc>
      </w:tr>
    </w:tbl>
    <w:p w14:paraId="3F064F2A">
      <w:pPr>
        <w:keepNext w:val="0"/>
        <w:keepLines w:val="0"/>
        <w:pageBreakBefore w:val="0"/>
        <w:kinsoku/>
        <w:wordWrap/>
        <w:overflowPunct/>
        <w:topLinePunct w:val="0"/>
        <w:autoSpaceDE/>
        <w:autoSpaceDN/>
        <w:bidi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注：本表内容与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须知内容不一致的，以本表内容为准。</w:t>
      </w:r>
    </w:p>
    <w:p w14:paraId="2D5C57C3">
      <w:pPr>
        <w:bidi w:val="0"/>
        <w:rPr>
          <w:rFonts w:hint="eastAsia" w:ascii="仿宋" w:hAnsi="仿宋" w:eastAsia="仿宋" w:cs="仿宋"/>
          <w:color w:val="auto"/>
          <w:highlight w:val="none"/>
        </w:rPr>
      </w:pPr>
    </w:p>
    <w:p w14:paraId="5E02221D">
      <w:pPr>
        <w:bidi w:val="0"/>
        <w:rPr>
          <w:rFonts w:hint="eastAsia" w:ascii="仿宋" w:hAnsi="仿宋" w:eastAsia="仿宋" w:cs="仿宋"/>
          <w:color w:val="auto"/>
          <w:highlight w:val="none"/>
        </w:rPr>
      </w:pPr>
    </w:p>
    <w:p w14:paraId="799B4DF3">
      <w:pPr>
        <w:bidi w:val="0"/>
        <w:rPr>
          <w:rFonts w:hint="eastAsia" w:ascii="仿宋" w:hAnsi="仿宋" w:eastAsia="仿宋" w:cs="仿宋"/>
          <w:color w:val="auto"/>
          <w:highlight w:val="none"/>
        </w:rPr>
      </w:pPr>
    </w:p>
    <w:p w14:paraId="464BC5A4">
      <w:pPr>
        <w:bidi w:val="0"/>
        <w:rPr>
          <w:rFonts w:hint="eastAsia" w:ascii="仿宋" w:hAnsi="仿宋" w:eastAsia="仿宋" w:cs="仿宋"/>
          <w:color w:val="auto"/>
          <w:highlight w:val="none"/>
        </w:rPr>
      </w:pPr>
    </w:p>
    <w:p w14:paraId="408E23E8">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737BE93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电子</w:t>
      </w:r>
      <w:r>
        <w:rPr>
          <w:rFonts w:hint="eastAsia" w:ascii="仿宋" w:hAnsi="仿宋" w:eastAsia="仿宋" w:cs="仿宋"/>
          <w:b/>
          <w:sz w:val="24"/>
          <w:szCs w:val="24"/>
          <w:highlight w:val="none"/>
          <w:lang w:val="en-US" w:eastAsia="zh-CN"/>
        </w:rPr>
        <w:t>响应</w:t>
      </w:r>
      <w:r>
        <w:rPr>
          <w:rFonts w:hint="eastAsia" w:ascii="仿宋" w:hAnsi="仿宋" w:eastAsia="仿宋" w:cs="仿宋"/>
          <w:b/>
          <w:sz w:val="24"/>
          <w:szCs w:val="24"/>
          <w:highlight w:val="none"/>
        </w:rPr>
        <w:t>须知附表</w:t>
      </w:r>
    </w:p>
    <w:tbl>
      <w:tblPr>
        <w:tblStyle w:val="31"/>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413"/>
        <w:gridCol w:w="7667"/>
      </w:tblGrid>
      <w:tr w14:paraId="7B6E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21A7FD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53" w:type="dxa"/>
            <w:noWrap w:val="0"/>
            <w:vAlign w:val="center"/>
          </w:tcPr>
          <w:p w14:paraId="64EBAB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801" w:type="dxa"/>
            <w:noWrap w:val="0"/>
            <w:vAlign w:val="center"/>
          </w:tcPr>
          <w:p w14:paraId="167F99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14:paraId="54B0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72459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p>
        </w:tc>
        <w:tc>
          <w:tcPr>
            <w:tcW w:w="1253" w:type="dxa"/>
            <w:noWrap w:val="0"/>
            <w:vAlign w:val="center"/>
          </w:tcPr>
          <w:p w14:paraId="7079A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编制</w:t>
            </w:r>
          </w:p>
        </w:tc>
        <w:tc>
          <w:tcPr>
            <w:tcW w:w="6801" w:type="dxa"/>
            <w:noWrap w:val="0"/>
            <w:vAlign w:val="center"/>
          </w:tcPr>
          <w:p w14:paraId="29BE19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1.1供应商应使用政采云系统的投标文件编制工具，按照操作手册编制电子投标文件，并使用数字证书（CA）按照招标文件规定签字、签章。同时使用数字证书（CA）对投标文件进行加密。</w:t>
            </w:r>
          </w:p>
          <w:p w14:paraId="1F0DC7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在上传电子投标文件时，需对应系统中每个模块要求，形成独立的PDF格式文件，按照指定对应模块，逐条完成上传，保存后提交。如：上传营业执照，要把营业执照形成独立PDF格式文档，在供应商具有独立承担民事责任能力模块处完成上传。</w:t>
            </w:r>
          </w:p>
          <w:p w14:paraId="4D09FA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1.3电子投标文件所附各类证件、证书、证明，均随投标文件统一编排页码进行上传。</w:t>
            </w:r>
          </w:p>
        </w:tc>
      </w:tr>
      <w:tr w14:paraId="42B8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02519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53" w:type="dxa"/>
            <w:noWrap w:val="0"/>
            <w:vAlign w:val="center"/>
          </w:tcPr>
          <w:p w14:paraId="6D3DF5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电子投标文件解密</w:t>
            </w:r>
          </w:p>
        </w:tc>
        <w:tc>
          <w:tcPr>
            <w:tcW w:w="6801" w:type="dxa"/>
            <w:noWrap w:val="0"/>
            <w:vAlign w:val="center"/>
          </w:tcPr>
          <w:p w14:paraId="0E7010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在招标文件规定的投标文件开启时间后，采购代理机构会在政采云系统发出解密指令，供应商在收到解密指令后，须使用加密投标文件时所使用的数字证书（CA）对已递交（上传）的电子投标文件进行解密（可远程解密）。</w:t>
            </w:r>
          </w:p>
          <w:p w14:paraId="671DBA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2.2电子投标文件解密时间：30分钟</w:t>
            </w:r>
          </w:p>
          <w:p w14:paraId="421EB2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2.3电子投标文件解密流程：使用用户名密码或电子CA登录政采云系统→项目采购→开标评标→找到对应项目→解密→输入CA密码→开始下载→解密完成。</w:t>
            </w:r>
          </w:p>
          <w:p w14:paraId="0F5C0E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2.4因供应商原因造成投标文件未解密的，视为撤销其投标文件，包括以下情形：</w:t>
            </w:r>
          </w:p>
          <w:p w14:paraId="010DE4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（1)供应商未在规定时间内解密投标文件的；</w:t>
            </w:r>
          </w:p>
          <w:p w14:paraId="78D023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（2)供应商使用非本次招标加密用CA数字证书解密的；</w:t>
            </w:r>
          </w:p>
          <w:p w14:paraId="236279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（3)供应商使用的CA数字证书属于注销或无效或损坏的。</w:t>
            </w:r>
          </w:p>
        </w:tc>
      </w:tr>
      <w:tr w14:paraId="5AF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9" w:type="dxa"/>
            <w:noWrap w:val="0"/>
            <w:vAlign w:val="center"/>
          </w:tcPr>
          <w:p w14:paraId="2ED9D8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253" w:type="dxa"/>
            <w:noWrap w:val="0"/>
            <w:vAlign w:val="center"/>
          </w:tcPr>
          <w:p w14:paraId="00E4E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w:t>
            </w:r>
          </w:p>
        </w:tc>
        <w:tc>
          <w:tcPr>
            <w:tcW w:w="6801" w:type="dxa"/>
            <w:noWrap w:val="0"/>
            <w:vAlign w:val="center"/>
          </w:tcPr>
          <w:p w14:paraId="776CB0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活动的全过程，均采用电子形式进行。在评审过程中，当政采云系统出现异常情形时，经请示财政部门同意后，采购代理机构可采用其他方式进行评审活动。待系统恢复后，采购代理机构须把线下开启、评审结果数据录入政采云系统。</w:t>
            </w:r>
          </w:p>
        </w:tc>
      </w:tr>
    </w:tbl>
    <w:p w14:paraId="69D1F0AD">
      <w:pPr>
        <w:pStyle w:val="43"/>
        <w:rPr>
          <w:rFonts w:hint="eastAsia" w:ascii="仿宋" w:hAnsi="仿宋" w:eastAsia="仿宋" w:cs="仿宋"/>
          <w:highlight w:val="none"/>
        </w:rPr>
      </w:pPr>
    </w:p>
    <w:p w14:paraId="0533C425">
      <w:pPr>
        <w:rPr>
          <w:rFonts w:hint="eastAsia" w:ascii="仿宋" w:hAnsi="仿宋" w:eastAsia="仿宋" w:cs="仿宋"/>
          <w:b/>
          <w:color w:val="auto"/>
          <w:kern w:val="0"/>
          <w:sz w:val="30"/>
          <w:szCs w:val="30"/>
          <w:highlight w:val="none"/>
        </w:rPr>
      </w:pPr>
      <w:bookmarkStart w:id="18" w:name="_Toc825"/>
      <w:r>
        <w:rPr>
          <w:rFonts w:hint="eastAsia" w:ascii="仿宋" w:hAnsi="仿宋" w:eastAsia="仿宋" w:cs="仿宋"/>
          <w:b/>
          <w:color w:val="auto"/>
          <w:kern w:val="0"/>
          <w:sz w:val="30"/>
          <w:szCs w:val="30"/>
          <w:highlight w:val="none"/>
        </w:rPr>
        <w:br w:type="page"/>
      </w:r>
    </w:p>
    <w:p w14:paraId="31790B34">
      <w:pPr>
        <w:keepNext w:val="0"/>
        <w:keepLines w:val="0"/>
        <w:pageBreakBefore w:val="0"/>
        <w:widowControl/>
        <w:kinsoku/>
        <w:wordWrap/>
        <w:overflowPunct/>
        <w:topLinePunct w:val="0"/>
        <w:autoSpaceDE/>
        <w:autoSpaceDN/>
        <w:bidi w:val="0"/>
        <w:adjustRightInd/>
        <w:snapToGrid w:val="0"/>
        <w:spacing w:line="560" w:lineRule="exact"/>
        <w:ind w:firstLine="281" w:firstLineChars="100"/>
        <w:jc w:val="center"/>
        <w:textAlignment w:val="auto"/>
        <w:outlineLvl w:val="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8"/>
          <w:szCs w:val="28"/>
          <w:highlight w:val="none"/>
        </w:rPr>
        <w:t xml:space="preserve">第三部分  </w:t>
      </w:r>
      <w:r>
        <w:rPr>
          <w:rFonts w:hint="eastAsia" w:ascii="仿宋" w:hAnsi="仿宋" w:eastAsia="仿宋" w:cs="仿宋"/>
          <w:b/>
          <w:color w:val="auto"/>
          <w:kern w:val="0"/>
          <w:sz w:val="28"/>
          <w:szCs w:val="28"/>
          <w:highlight w:val="none"/>
          <w:lang w:eastAsia="zh-CN"/>
        </w:rPr>
        <w:t>供应商</w:t>
      </w:r>
      <w:r>
        <w:rPr>
          <w:rFonts w:hint="eastAsia" w:ascii="仿宋" w:hAnsi="仿宋" w:eastAsia="仿宋" w:cs="仿宋"/>
          <w:b/>
          <w:color w:val="auto"/>
          <w:kern w:val="0"/>
          <w:sz w:val="28"/>
          <w:szCs w:val="28"/>
          <w:highlight w:val="none"/>
        </w:rPr>
        <w:t>须知</w:t>
      </w:r>
      <w:bookmarkEnd w:id="18"/>
    </w:p>
    <w:p w14:paraId="4B4F268C">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19" w:name="_Toc11720"/>
      <w:r>
        <w:rPr>
          <w:rFonts w:hint="eastAsia" w:ascii="仿宋" w:hAnsi="仿宋" w:eastAsia="仿宋" w:cs="仿宋"/>
          <w:b/>
          <w:color w:val="auto"/>
          <w:kern w:val="0"/>
          <w:sz w:val="24"/>
          <w:szCs w:val="24"/>
          <w:highlight w:val="none"/>
        </w:rPr>
        <w:t>一、总则</w:t>
      </w:r>
      <w:bookmarkEnd w:id="16"/>
      <w:bookmarkEnd w:id="19"/>
      <w:r>
        <w:rPr>
          <w:rFonts w:hint="eastAsia" w:ascii="仿宋" w:hAnsi="仿宋" w:eastAsia="仿宋" w:cs="仿宋"/>
          <w:b/>
          <w:color w:val="auto"/>
          <w:kern w:val="0"/>
          <w:sz w:val="24"/>
          <w:szCs w:val="24"/>
          <w:highlight w:val="none"/>
        </w:rPr>
        <w:t xml:space="preserve">     </w:t>
      </w:r>
    </w:p>
    <w:p w14:paraId="7F5AA122">
      <w:pPr>
        <w:keepNext w:val="0"/>
        <w:keepLines w:val="0"/>
        <w:pageBreakBefore w:val="0"/>
        <w:widowControl w:val="0"/>
        <w:tabs>
          <w:tab w:val="left" w:pos="73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1.适用范围</w:t>
      </w:r>
    </w:p>
    <w:p w14:paraId="78D91B0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本招标文件适用于本次招标活动的全过程。</w:t>
      </w:r>
    </w:p>
    <w:p w14:paraId="43BE652F">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2.定义</w:t>
      </w:r>
    </w:p>
    <w:p w14:paraId="060F10A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2.1采购人：指依法进行本次招标活动的采购单位。</w:t>
      </w:r>
    </w:p>
    <w:p w14:paraId="0F5C2797">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2.2采购</w:t>
      </w:r>
      <w:r>
        <w:rPr>
          <w:rFonts w:hint="eastAsia" w:ascii="仿宋" w:hAnsi="仿宋" w:eastAsia="仿宋" w:cs="仿宋"/>
          <w:color w:val="auto"/>
          <w:kern w:val="0"/>
          <w:sz w:val="24"/>
          <w:szCs w:val="24"/>
          <w:highlight w:val="none"/>
        </w:rPr>
        <w:t>代理机构：指在采购人委托的范围内依法开展采购活动，组织本次招标活动的执行机构</w:t>
      </w:r>
      <w:r>
        <w:rPr>
          <w:rFonts w:hint="eastAsia" w:ascii="仿宋" w:hAnsi="仿宋" w:eastAsia="仿宋" w:cs="仿宋"/>
          <w:color w:val="auto"/>
          <w:kern w:val="0"/>
          <w:sz w:val="24"/>
          <w:szCs w:val="24"/>
          <w:highlight w:val="none"/>
          <w:lang w:eastAsia="zh-CN"/>
        </w:rPr>
        <w:t>。</w:t>
      </w:r>
    </w:p>
    <w:p w14:paraId="456B5B51">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2.3供应商：指符合本</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文件规定向采购代理机构提供</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文件且参加本次</w:t>
      </w:r>
      <w:r>
        <w:rPr>
          <w:rFonts w:hint="eastAsia" w:ascii="仿宋" w:hAnsi="仿宋" w:eastAsia="仿宋" w:cs="仿宋"/>
          <w:color w:val="auto"/>
          <w:kern w:val="0"/>
          <w:sz w:val="24"/>
          <w:szCs w:val="24"/>
          <w:highlight w:val="none"/>
          <w:lang w:val="en-US" w:eastAsia="zh-CN"/>
        </w:rPr>
        <w:t>公开招标</w:t>
      </w:r>
      <w:r>
        <w:rPr>
          <w:rFonts w:hint="eastAsia" w:ascii="仿宋" w:hAnsi="仿宋" w:eastAsia="仿宋" w:cs="仿宋"/>
          <w:color w:val="auto"/>
          <w:kern w:val="0"/>
          <w:sz w:val="24"/>
          <w:szCs w:val="24"/>
          <w:highlight w:val="none"/>
        </w:rPr>
        <w:t>活动的法人、其他组织或者自然人</w:t>
      </w:r>
      <w:r>
        <w:rPr>
          <w:rFonts w:hint="eastAsia" w:ascii="仿宋" w:hAnsi="仿宋" w:eastAsia="仿宋" w:cs="仿宋"/>
          <w:color w:val="auto"/>
          <w:kern w:val="0"/>
          <w:sz w:val="24"/>
          <w:szCs w:val="24"/>
          <w:highlight w:val="none"/>
          <w:lang w:eastAsia="zh-CN"/>
        </w:rPr>
        <w:t>。</w:t>
      </w:r>
    </w:p>
    <w:p w14:paraId="3E555CAA">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2.4潜在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：指符合本招标文件各项规定</w:t>
      </w:r>
      <w:r>
        <w:rPr>
          <w:rFonts w:hint="eastAsia" w:ascii="仿宋" w:hAnsi="仿宋" w:eastAsia="仿宋" w:cs="仿宋"/>
          <w:color w:val="auto"/>
          <w:kern w:val="0"/>
          <w:sz w:val="24"/>
          <w:szCs w:val="24"/>
          <w:highlight w:val="none"/>
          <w:lang w:val="en-US" w:eastAsia="zh-CN"/>
        </w:rPr>
        <w:t>合格</w:t>
      </w:r>
      <w:r>
        <w:rPr>
          <w:rFonts w:hint="eastAsia" w:ascii="仿宋" w:hAnsi="仿宋" w:eastAsia="仿宋" w:cs="仿宋"/>
          <w:color w:val="auto"/>
          <w:kern w:val="0"/>
          <w:sz w:val="24"/>
          <w:szCs w:val="24"/>
          <w:highlight w:val="none"/>
        </w:rPr>
        <w:t>的供应商</w:t>
      </w:r>
      <w:r>
        <w:rPr>
          <w:rFonts w:hint="eastAsia" w:ascii="仿宋" w:hAnsi="仿宋" w:eastAsia="仿宋" w:cs="仿宋"/>
          <w:color w:val="auto"/>
          <w:kern w:val="0"/>
          <w:sz w:val="24"/>
          <w:szCs w:val="24"/>
          <w:highlight w:val="none"/>
          <w:lang w:eastAsia="zh-CN"/>
        </w:rPr>
        <w:t>。</w:t>
      </w:r>
    </w:p>
    <w:p w14:paraId="6E88F10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货物：</w:t>
      </w:r>
      <w:r>
        <w:rPr>
          <w:rFonts w:hint="eastAsia" w:ascii="仿宋" w:hAnsi="仿宋" w:eastAsia="仿宋" w:cs="仿宋"/>
          <w:kern w:val="0"/>
          <w:sz w:val="24"/>
          <w:szCs w:val="24"/>
          <w:highlight w:val="none"/>
        </w:rPr>
        <w:t>指供应商按</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文件商务技术要求，向采购人有偿提供的各种物品及其他有关技术资料和材料。</w:t>
      </w:r>
    </w:p>
    <w:p w14:paraId="599DDBA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服务：指本</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文件所述</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应当履行的承诺和义务</w:t>
      </w:r>
      <w:r>
        <w:rPr>
          <w:rFonts w:hint="eastAsia" w:ascii="仿宋" w:hAnsi="仿宋" w:eastAsia="仿宋" w:cs="仿宋"/>
          <w:color w:val="auto"/>
          <w:kern w:val="0"/>
          <w:sz w:val="24"/>
          <w:szCs w:val="24"/>
          <w:highlight w:val="none"/>
          <w:lang w:eastAsia="zh-CN"/>
        </w:rPr>
        <w:t>。</w:t>
      </w:r>
    </w:p>
    <w:p w14:paraId="43132318">
      <w:pPr>
        <w:keepNext w:val="0"/>
        <w:keepLines w:val="0"/>
        <w:pageBreakBefore w:val="0"/>
        <w:widowControl w:val="0"/>
        <w:kinsoku/>
        <w:wordWrap/>
        <w:bidi w:val="0"/>
        <w:snapToGrid w:val="0"/>
        <w:spacing w:line="56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7招标</w:t>
      </w:r>
      <w:r>
        <w:rPr>
          <w:rFonts w:hint="eastAsia" w:ascii="仿宋" w:hAnsi="仿宋" w:eastAsia="仿宋" w:cs="仿宋"/>
          <w:kern w:val="0"/>
          <w:sz w:val="24"/>
          <w:szCs w:val="24"/>
          <w:highlight w:val="none"/>
        </w:rPr>
        <w:t>文件：是采购代理机构根据国家相关法律法规政策和采购人采购需求制定的向潜在供应商发出并告知项目需求、</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活动规则和合同条件等信息的要约文件，是本项目</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活动的主要依据，对</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活动各方均具有法律约束力。</w:t>
      </w:r>
    </w:p>
    <w:p w14:paraId="7D5EFCDC">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kern w:val="0"/>
          <w:sz w:val="24"/>
          <w:szCs w:val="24"/>
          <w:highlight w:val="none"/>
        </w:rPr>
        <w:t>2.8</w:t>
      </w:r>
      <w:r>
        <w:rPr>
          <w:rFonts w:hint="eastAsia" w:ascii="仿宋" w:hAnsi="仿宋" w:eastAsia="仿宋" w:cs="仿宋"/>
          <w:kern w:val="0"/>
          <w:sz w:val="24"/>
          <w:szCs w:val="24"/>
          <w:highlight w:val="none"/>
          <w:lang w:val="en-US" w:eastAsia="zh-CN"/>
        </w:rPr>
        <w:t>投标</w:t>
      </w:r>
      <w:r>
        <w:rPr>
          <w:rFonts w:hint="eastAsia" w:ascii="仿宋" w:hAnsi="仿宋" w:eastAsia="仿宋" w:cs="仿宋"/>
          <w:kern w:val="0"/>
          <w:sz w:val="24"/>
          <w:szCs w:val="24"/>
          <w:highlight w:val="none"/>
        </w:rPr>
        <w:t>文件：是指供应商应</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文件的条件和要求，按规定编制并按时递交的文件。</w:t>
      </w:r>
    </w:p>
    <w:p w14:paraId="323C6F49">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3.合格</w:t>
      </w:r>
      <w:r>
        <w:rPr>
          <w:rFonts w:hint="eastAsia" w:ascii="仿宋" w:hAnsi="仿宋" w:eastAsia="仿宋" w:cs="仿宋"/>
          <w:b/>
          <w:color w:val="auto"/>
          <w:kern w:val="0"/>
          <w:sz w:val="24"/>
          <w:szCs w:val="24"/>
          <w:highlight w:val="none"/>
          <w:lang w:eastAsia="zh-CN"/>
        </w:rPr>
        <w:t>供应商</w:t>
      </w:r>
      <w:r>
        <w:rPr>
          <w:rFonts w:hint="eastAsia" w:ascii="仿宋" w:hAnsi="仿宋" w:eastAsia="仿宋" w:cs="仿宋"/>
          <w:b/>
          <w:color w:val="auto"/>
          <w:kern w:val="0"/>
          <w:sz w:val="24"/>
          <w:szCs w:val="24"/>
          <w:highlight w:val="none"/>
        </w:rPr>
        <w:t>的条件</w:t>
      </w:r>
    </w:p>
    <w:p w14:paraId="46C71A43">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3.1具有本项目实施及服务能力，符合、承认并承诺履行本招标文件各项规定的国内投标人。</w:t>
      </w:r>
    </w:p>
    <w:p w14:paraId="3524452F">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3.2</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必须是已在中国境内依法登记注册的供应商</w:t>
      </w:r>
      <w:r>
        <w:rPr>
          <w:rFonts w:hint="eastAsia" w:ascii="仿宋" w:hAnsi="仿宋" w:eastAsia="仿宋" w:cs="仿宋"/>
          <w:color w:val="auto"/>
          <w:kern w:val="0"/>
          <w:sz w:val="24"/>
          <w:szCs w:val="24"/>
          <w:highlight w:val="none"/>
          <w:lang w:eastAsia="zh-CN"/>
        </w:rPr>
        <w:t>。</w:t>
      </w:r>
    </w:p>
    <w:p w14:paraId="190BBA11">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应遵守有关的国家法律、法规和条例，具备《中华人民共和国政府采购法》《中华人民共和国政府采购法实施条例》等政府采购相关法律法规和本文件中规定的条件：</w:t>
      </w:r>
    </w:p>
    <w:p w14:paraId="616B6172">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（1）满足《中华人民共和国政府采购法》第二十二条规定；</w:t>
      </w:r>
    </w:p>
    <w:p w14:paraId="2AD261B6">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（2）落实政府采购政策需满足的资格要求：无；</w:t>
      </w:r>
    </w:p>
    <w:p w14:paraId="4FBF4461">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（3）本项目的特定资格要求：无</w:t>
      </w:r>
      <w:r>
        <w:rPr>
          <w:rFonts w:hint="eastAsia" w:ascii="仿宋" w:hAnsi="仿宋" w:eastAsia="仿宋" w:cs="仿宋"/>
          <w:color w:val="auto"/>
          <w:sz w:val="24"/>
          <w:szCs w:val="24"/>
          <w:highlight w:val="none"/>
          <w:lang w:val="en-US" w:eastAsia="zh-CN"/>
        </w:rPr>
        <w:t>。</w:t>
      </w:r>
    </w:p>
    <w:p w14:paraId="0F0BED7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4供应商应独立于采购人，不得直接或间接地与采购人为采购本次招标的服务进行设计、编制技术规格和其它文件所委托的咨询公司或其附属机构有任何关联。</w:t>
      </w:r>
    </w:p>
    <w:p w14:paraId="35124EB2">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未被列入政府采购严重违法失信行为记录名单，以“中国政府采购网”（www.ccgp.gov.cn）查询结果为准，未被列入失信被执行人、重大税收违法失信主体名单，以“信用中国”（www.creditchina.gov.cn）查询结果为准。</w:t>
      </w:r>
    </w:p>
    <w:p w14:paraId="690FD2BF">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3.6本次招标是否允许由两个以上供应商组成一个联合体以一个供应商身份共同参加投标，详见投标人须知前附表的规定。</w:t>
      </w:r>
    </w:p>
    <w:p w14:paraId="66B2CE36">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3.6.1 联合体各方均应当符合</w:t>
      </w:r>
      <w:r>
        <w:rPr>
          <w:rFonts w:hint="eastAsia" w:ascii="仿宋" w:hAnsi="仿宋" w:eastAsia="仿宋" w:cs="仿宋"/>
          <w:color w:val="auto"/>
          <w:kern w:val="0"/>
          <w:sz w:val="24"/>
          <w:szCs w:val="24"/>
          <w:highlight w:val="none"/>
        </w:rPr>
        <w:t>《中华人民共和国政府采购法》</w:t>
      </w:r>
      <w:r>
        <w:rPr>
          <w:rFonts w:hint="eastAsia" w:ascii="仿宋" w:hAnsi="仿宋" w:eastAsia="仿宋" w:cs="仿宋"/>
          <w:color w:val="auto"/>
          <w:kern w:val="0"/>
          <w:sz w:val="24"/>
          <w:szCs w:val="24"/>
          <w:highlight w:val="none"/>
          <w:lang w:val="en-US" w:eastAsia="zh-CN"/>
        </w:rPr>
        <w:t>第二十二条规定的条件，联合体各方均应按照本部分3.3条的要求提供相关材料。</w:t>
      </w:r>
    </w:p>
    <w:p w14:paraId="73DBCA26">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3.6.2 本项目的特殊要求规定投标人特定条件的，联合体各方的同类资质按照资质等级较低的确定联合体资质等级。</w:t>
      </w:r>
    </w:p>
    <w:p w14:paraId="697E9CDB">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3.6.3 联合体各方之间应当签订联合投标协议，明确约定联合体各方承担的工作和相应的责任，并将联合投标协议连同投标文件一并提交。</w:t>
      </w:r>
    </w:p>
    <w:p w14:paraId="4095E5E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4.合格的</w:t>
      </w:r>
      <w:r>
        <w:rPr>
          <w:rFonts w:hint="eastAsia" w:ascii="仿宋" w:hAnsi="仿宋" w:eastAsia="仿宋" w:cs="仿宋"/>
          <w:b/>
          <w:color w:val="auto"/>
          <w:kern w:val="0"/>
          <w:sz w:val="24"/>
          <w:szCs w:val="24"/>
          <w:highlight w:val="none"/>
          <w:lang w:val="en-US" w:eastAsia="zh-CN"/>
        </w:rPr>
        <w:t>服务</w:t>
      </w:r>
    </w:p>
    <w:p w14:paraId="5BA2A304">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4.1供应商所提供的服务应当没有侵犯任何第三方的知识产权、技术秘密等合法权利。</w:t>
      </w:r>
    </w:p>
    <w:p w14:paraId="7079C34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4.2供应商提供的服务应当符合</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文件的要求，并且其质量完全符合国家标准、行业标准或地方标准。</w:t>
      </w:r>
    </w:p>
    <w:p w14:paraId="448331E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4.3系统软件、通用软件必须是具有在中国境内的合法使用权或版权的正版软件，涉及到第三方提出侵权或知识产权的起诉及支付版税等费用由供应商承担所有责任及费用。</w:t>
      </w:r>
    </w:p>
    <w:p w14:paraId="5AC8F8F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.投标费用</w:t>
      </w:r>
    </w:p>
    <w:p w14:paraId="6483EA3E">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应承担</w:t>
      </w:r>
      <w:r>
        <w:rPr>
          <w:rFonts w:hint="eastAsia" w:ascii="仿宋" w:hAnsi="仿宋" w:eastAsia="仿宋" w:cs="仿宋"/>
          <w:color w:val="auto"/>
          <w:kern w:val="0"/>
          <w:sz w:val="24"/>
          <w:szCs w:val="24"/>
          <w:highlight w:val="none"/>
          <w:lang w:val="en-US" w:eastAsia="zh-CN"/>
        </w:rPr>
        <w:t>所有与</w:t>
      </w:r>
      <w:r>
        <w:rPr>
          <w:rFonts w:hint="eastAsia" w:ascii="仿宋" w:hAnsi="仿宋" w:eastAsia="仿宋" w:cs="仿宋"/>
          <w:color w:val="auto"/>
          <w:kern w:val="0"/>
          <w:sz w:val="24"/>
          <w:szCs w:val="24"/>
          <w:highlight w:val="none"/>
        </w:rPr>
        <w:t>准备和参加投标有关的所有费用，采购代理机构和采购人在任何情况下均无义务和责任承担这些费用。</w:t>
      </w:r>
    </w:p>
    <w:p w14:paraId="4C5D1BFE">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6</w:t>
      </w:r>
      <w:r>
        <w:rPr>
          <w:rFonts w:hint="eastAsia" w:ascii="仿宋" w:hAnsi="仿宋" w:eastAsia="仿宋" w:cs="仿宋"/>
          <w:b/>
          <w:color w:val="auto"/>
          <w:kern w:val="0"/>
          <w:sz w:val="24"/>
          <w:szCs w:val="24"/>
          <w:highlight w:val="none"/>
        </w:rPr>
        <w:t>.招标要求</w:t>
      </w:r>
    </w:p>
    <w:p w14:paraId="11A698C4">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6.1供应商所提供的服务方案与技术方案被采购人采用时，</w:t>
      </w:r>
      <w:r>
        <w:rPr>
          <w:rFonts w:hint="eastAsia" w:ascii="仿宋" w:hAnsi="仿宋" w:eastAsia="仿宋" w:cs="仿宋"/>
          <w:color w:val="auto"/>
          <w:kern w:val="0"/>
          <w:sz w:val="24"/>
          <w:szCs w:val="24"/>
          <w:highlight w:val="none"/>
          <w:lang w:val="en-US" w:eastAsia="zh-CN"/>
        </w:rPr>
        <w:t>中标</w:t>
      </w:r>
      <w:r>
        <w:rPr>
          <w:rFonts w:hint="eastAsia" w:ascii="仿宋" w:hAnsi="仿宋" w:eastAsia="仿宋" w:cs="仿宋"/>
          <w:color w:val="auto"/>
          <w:kern w:val="0"/>
          <w:sz w:val="24"/>
          <w:szCs w:val="24"/>
          <w:highlight w:val="none"/>
        </w:rPr>
        <w:t>供应商所提供的服务及相关内容必须符合本《</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文件》的要求并按要求实施，并认真履行合同规定的相关条款。</w:t>
      </w:r>
    </w:p>
    <w:p w14:paraId="2C60075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6.2采购代理机构或者采购人可以在</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文件提供期限截止后，组织已获取</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文件的潜在供应商现场勘查或者召开标前答疑会。是否组织现场勘查或者召开答疑会的，详见供应商前附表。而无论采购代理机构是否安排踏勘现场，潜在供应商均应当将相关的因素作为应当考虑或依据的因素。</w:t>
      </w:r>
    </w:p>
    <w:p w14:paraId="21DFBCEF">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7</w:t>
      </w:r>
      <w:r>
        <w:rPr>
          <w:rFonts w:hint="eastAsia" w:ascii="仿宋" w:hAnsi="仿宋" w:eastAsia="仿宋" w:cs="仿宋"/>
          <w:b/>
          <w:color w:val="auto"/>
          <w:kern w:val="0"/>
          <w:sz w:val="24"/>
          <w:szCs w:val="24"/>
          <w:highlight w:val="none"/>
        </w:rPr>
        <w:t>.通知</w:t>
      </w:r>
    </w:p>
    <w:p w14:paraId="5E5747C4">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对与本项目有关的通知，</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代理机构将通过山西政府采购平台政采云系统中发出（视同书面通知），因线路故障导致通知延迟或无法查看，</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代理机构或采购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将不承担任何责任，有关的</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活动可以继续有效地进行。</w:t>
      </w:r>
    </w:p>
    <w:p w14:paraId="517ED41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lang w:val="en-US" w:eastAsia="zh-CN"/>
        </w:rPr>
      </w:pPr>
      <w:bookmarkStart w:id="20" w:name="_Toc175644017"/>
      <w:r>
        <w:rPr>
          <w:rFonts w:hint="eastAsia" w:ascii="仿宋" w:hAnsi="仿宋" w:eastAsia="仿宋" w:cs="仿宋"/>
          <w:b/>
          <w:color w:val="auto"/>
          <w:kern w:val="0"/>
          <w:sz w:val="24"/>
          <w:szCs w:val="24"/>
          <w:highlight w:val="none"/>
          <w:lang w:val="en-US" w:eastAsia="zh-CN"/>
        </w:rPr>
        <w:t>8.解释权</w:t>
      </w:r>
    </w:p>
    <w:p w14:paraId="25ACF8D8">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8.1本次</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活动的最终解释权归为采购人、采购代理机构。</w:t>
      </w:r>
    </w:p>
    <w:p w14:paraId="5AA918D5">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8.2当对一个问题有多种解释时以采购人、采购代理机构的解释为准。</w:t>
      </w:r>
    </w:p>
    <w:p w14:paraId="50961CC2">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8.3本文件未作须知明示，而又有相关法律、法规规定的，采购人、采购代理机构将依据相关法律法规的规定进行解释。</w:t>
      </w:r>
    </w:p>
    <w:p w14:paraId="08C50F16">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21" w:name="_Toc2027"/>
      <w:r>
        <w:rPr>
          <w:rFonts w:hint="eastAsia" w:ascii="仿宋" w:hAnsi="仿宋" w:eastAsia="仿宋" w:cs="仿宋"/>
          <w:b/>
          <w:color w:val="auto"/>
          <w:kern w:val="0"/>
          <w:sz w:val="24"/>
          <w:szCs w:val="24"/>
          <w:highlight w:val="none"/>
        </w:rPr>
        <w:t>二、招标文件</w:t>
      </w:r>
      <w:bookmarkEnd w:id="20"/>
      <w:bookmarkEnd w:id="21"/>
    </w:p>
    <w:p w14:paraId="29CB3788">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9</w:t>
      </w:r>
      <w:r>
        <w:rPr>
          <w:rFonts w:hint="eastAsia" w:ascii="仿宋" w:hAnsi="仿宋" w:eastAsia="仿宋" w:cs="仿宋"/>
          <w:b/>
          <w:color w:val="auto"/>
          <w:kern w:val="0"/>
          <w:sz w:val="24"/>
          <w:szCs w:val="24"/>
          <w:highlight w:val="none"/>
        </w:rPr>
        <w:t>.招标文件的构成</w:t>
      </w:r>
    </w:p>
    <w:p w14:paraId="3F7449C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.1招标文件由下列</w:t>
      </w: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rPr>
        <w:t>部分内容组成：</w:t>
      </w:r>
    </w:p>
    <w:p w14:paraId="1D78FA7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第一部分 招标公告；</w:t>
      </w:r>
    </w:p>
    <w:p w14:paraId="215A113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第二部分 </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w:t>
      </w:r>
    </w:p>
    <w:p w14:paraId="63ADAAA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第三部分 </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须知</w:t>
      </w:r>
      <w:r>
        <w:rPr>
          <w:rFonts w:hint="eastAsia" w:ascii="仿宋" w:hAnsi="仿宋" w:eastAsia="仿宋" w:cs="仿宋"/>
          <w:color w:val="auto"/>
          <w:kern w:val="0"/>
          <w:sz w:val="24"/>
          <w:szCs w:val="24"/>
          <w:highlight w:val="none"/>
          <w:lang w:val="en-US" w:eastAsia="zh-CN"/>
        </w:rPr>
        <w:t>；</w:t>
      </w:r>
    </w:p>
    <w:p w14:paraId="54694C8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第四部分 评标标准和评标方法；</w:t>
      </w:r>
    </w:p>
    <w:p w14:paraId="1793B2E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第五部分 商务、</w:t>
      </w:r>
      <w:r>
        <w:rPr>
          <w:rFonts w:hint="eastAsia" w:ascii="仿宋" w:hAnsi="仿宋" w:eastAsia="仿宋" w:cs="仿宋"/>
          <w:color w:val="auto"/>
          <w:kern w:val="0"/>
          <w:sz w:val="24"/>
          <w:szCs w:val="24"/>
          <w:highlight w:val="none"/>
          <w:lang w:val="en-US" w:eastAsia="zh-CN"/>
        </w:rPr>
        <w:t>技术</w:t>
      </w:r>
      <w:r>
        <w:rPr>
          <w:rFonts w:hint="eastAsia" w:ascii="仿宋" w:hAnsi="仿宋" w:eastAsia="仿宋" w:cs="仿宋"/>
          <w:color w:val="auto"/>
          <w:kern w:val="0"/>
          <w:sz w:val="24"/>
          <w:szCs w:val="24"/>
          <w:highlight w:val="none"/>
        </w:rPr>
        <w:t>要求；</w:t>
      </w:r>
    </w:p>
    <w:p w14:paraId="3CEB04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第六部分 </w:t>
      </w:r>
      <w:r>
        <w:rPr>
          <w:rFonts w:hint="eastAsia" w:ascii="仿宋" w:hAnsi="仿宋" w:eastAsia="仿宋" w:cs="仿宋"/>
          <w:color w:val="auto"/>
          <w:kern w:val="0"/>
          <w:sz w:val="24"/>
          <w:szCs w:val="24"/>
          <w:highlight w:val="none"/>
          <w:lang w:eastAsia="zh-CN"/>
        </w:rPr>
        <w:t>合同条款及格式；</w:t>
      </w:r>
    </w:p>
    <w:p w14:paraId="2D22877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第七部分 投标文件格式</w:t>
      </w:r>
      <w:r>
        <w:rPr>
          <w:rFonts w:hint="eastAsia" w:ascii="仿宋" w:hAnsi="仿宋" w:eastAsia="仿宋" w:cs="仿宋"/>
          <w:color w:val="auto"/>
          <w:kern w:val="0"/>
          <w:sz w:val="24"/>
          <w:szCs w:val="24"/>
          <w:highlight w:val="none"/>
          <w:lang w:eastAsia="zh-CN"/>
        </w:rPr>
        <w:t>；</w:t>
      </w:r>
    </w:p>
    <w:p w14:paraId="1396462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第八部分 相关附件。</w:t>
      </w:r>
    </w:p>
    <w:p w14:paraId="6C80943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lang w:val="en-US" w:eastAsia="zh-CN"/>
        </w:rPr>
        <w:t>获取招标文件后，</w:t>
      </w:r>
      <w:r>
        <w:rPr>
          <w:rFonts w:hint="eastAsia" w:ascii="仿宋" w:hAnsi="仿宋" w:eastAsia="仿宋" w:cs="仿宋"/>
          <w:color w:val="auto"/>
          <w:kern w:val="0"/>
          <w:sz w:val="24"/>
          <w:szCs w:val="24"/>
          <w:highlight w:val="none"/>
        </w:rPr>
        <w:t>应详细阅读招标文件的全部内容，</w:t>
      </w:r>
      <w:r>
        <w:rPr>
          <w:rFonts w:hint="eastAsia" w:ascii="仿宋" w:hAnsi="仿宋" w:eastAsia="仿宋" w:cs="仿宋"/>
          <w:color w:val="auto"/>
          <w:kern w:val="0"/>
          <w:sz w:val="24"/>
          <w:szCs w:val="24"/>
          <w:highlight w:val="none"/>
          <w:lang w:val="en-US" w:eastAsia="zh-CN"/>
        </w:rPr>
        <w:t>如有遗漏、残缺等问题，应在获得招标文件2个日历天内向采购人提出，否则，由此引起的损失由供应商自行承担。</w:t>
      </w:r>
    </w:p>
    <w:p w14:paraId="5410206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9.3供应商获取招标文件后，应认真阅读招标文件中所有的条款、规范、格式和事项要求等内容。若供应商的投标文件没有按照招标文件的要求提交全部资料或者报价没有对招标文件在各方面都做出实质性响应是供应商的风险，有可能导致其报价被拒绝或被认定为无效报价或被确定为报价无效。</w:t>
      </w:r>
    </w:p>
    <w:p w14:paraId="25E040B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10.</w:t>
      </w:r>
      <w:r>
        <w:rPr>
          <w:rFonts w:hint="eastAsia" w:ascii="仿宋" w:hAnsi="仿宋" w:eastAsia="仿宋" w:cs="仿宋"/>
          <w:b/>
          <w:color w:val="auto"/>
          <w:kern w:val="0"/>
          <w:sz w:val="24"/>
          <w:szCs w:val="24"/>
          <w:highlight w:val="none"/>
        </w:rPr>
        <w:t>招标文件的澄清和修改</w:t>
      </w:r>
    </w:p>
    <w:p w14:paraId="4D6AF351">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.1澄清、修改时间：</w:t>
      </w:r>
      <w:r>
        <w:rPr>
          <w:rFonts w:hint="eastAsia" w:ascii="仿宋" w:hAnsi="仿宋" w:eastAsia="仿宋" w:cs="仿宋"/>
          <w:color w:val="auto"/>
          <w:sz w:val="24"/>
          <w:szCs w:val="24"/>
          <w:highlight w:val="none"/>
        </w:rPr>
        <w:t>提交投标文件截止日之前，</w:t>
      </w:r>
      <w:r>
        <w:rPr>
          <w:rFonts w:hint="eastAsia" w:ascii="仿宋" w:hAnsi="仿宋" w:eastAsia="仿宋" w:cs="仿宋"/>
          <w:color w:val="auto"/>
          <w:kern w:val="0"/>
          <w:sz w:val="24"/>
          <w:szCs w:val="24"/>
          <w:highlight w:val="none"/>
        </w:rPr>
        <w:t>采购代理机构或者采购人可以对已发出的招标文件进行必要的澄清或者修改，</w:t>
      </w:r>
      <w:r>
        <w:rPr>
          <w:rFonts w:hint="eastAsia" w:ascii="仿宋" w:hAnsi="仿宋" w:eastAsia="仿宋" w:cs="仿宋"/>
          <w:color w:val="auto"/>
          <w:sz w:val="24"/>
          <w:szCs w:val="24"/>
          <w:highlight w:val="none"/>
        </w:rPr>
        <w:t>其内容作为招标文件的组成部分</w:t>
      </w:r>
      <w:r>
        <w:rPr>
          <w:rFonts w:hint="eastAsia" w:ascii="仿宋" w:hAnsi="仿宋" w:eastAsia="仿宋" w:cs="仿宋"/>
          <w:color w:val="auto"/>
          <w:kern w:val="0"/>
          <w:sz w:val="24"/>
          <w:szCs w:val="24"/>
          <w:highlight w:val="none"/>
        </w:rPr>
        <w:t>。澄清或者修改的内容可能影响投标文件编制的，</w:t>
      </w:r>
      <w:r>
        <w:rPr>
          <w:rFonts w:hint="eastAsia" w:ascii="仿宋" w:hAnsi="仿宋" w:eastAsia="仿宋" w:cs="仿宋"/>
          <w:color w:val="auto"/>
          <w:sz w:val="24"/>
          <w:szCs w:val="24"/>
          <w:highlight w:val="none"/>
        </w:rPr>
        <w:t>采购代理机构或采购人</w:t>
      </w:r>
      <w:r>
        <w:rPr>
          <w:rFonts w:hint="eastAsia" w:ascii="仿宋" w:hAnsi="仿宋" w:eastAsia="仿宋" w:cs="仿宋"/>
          <w:color w:val="auto"/>
          <w:kern w:val="0"/>
          <w:sz w:val="24"/>
          <w:szCs w:val="24"/>
          <w:highlight w:val="none"/>
        </w:rPr>
        <w:t>应当在投标截止时间至少15日前，以书面形式通知所有获取招标文件的潜在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；不足15日的，</w:t>
      </w:r>
      <w:r>
        <w:rPr>
          <w:rFonts w:hint="eastAsia" w:ascii="仿宋" w:hAnsi="仿宋" w:eastAsia="仿宋" w:cs="仿宋"/>
          <w:color w:val="auto"/>
          <w:sz w:val="24"/>
          <w:szCs w:val="24"/>
          <w:highlight w:val="none"/>
        </w:rPr>
        <w:t>采购代理机构或采购人</w:t>
      </w:r>
      <w:r>
        <w:rPr>
          <w:rFonts w:hint="eastAsia" w:ascii="仿宋" w:hAnsi="仿宋" w:eastAsia="仿宋" w:cs="仿宋"/>
          <w:color w:val="auto"/>
          <w:kern w:val="0"/>
          <w:sz w:val="24"/>
          <w:szCs w:val="24"/>
          <w:highlight w:val="none"/>
        </w:rPr>
        <w:t>应当顺延提交投标文件的截止时间</w:t>
      </w:r>
      <w:r>
        <w:rPr>
          <w:rFonts w:hint="eastAsia" w:ascii="仿宋" w:hAnsi="仿宋" w:eastAsia="仿宋" w:cs="仿宋"/>
          <w:color w:val="auto"/>
          <w:sz w:val="24"/>
          <w:szCs w:val="24"/>
          <w:highlight w:val="none"/>
        </w:rPr>
        <w:t>，并且在</w:t>
      </w:r>
      <w:r>
        <w:rPr>
          <w:rFonts w:hint="eastAsia" w:ascii="仿宋" w:hAnsi="仿宋" w:eastAsia="仿宋" w:cs="仿宋"/>
          <w:color w:val="auto"/>
          <w:sz w:val="24"/>
          <w:szCs w:val="24"/>
          <w:highlight w:val="none"/>
          <w:u w:val="none"/>
        </w:rPr>
        <w:t>山西</w:t>
      </w:r>
      <w:r>
        <w:rPr>
          <w:rFonts w:hint="eastAsia" w:ascii="仿宋" w:hAnsi="仿宋" w:eastAsia="仿宋" w:cs="仿宋"/>
          <w:color w:val="auto"/>
          <w:sz w:val="24"/>
          <w:szCs w:val="24"/>
          <w:highlight w:val="none"/>
          <w:u w:val="none"/>
          <w:lang w:val="en-US" w:eastAsia="zh-CN"/>
        </w:rPr>
        <w:t>省</w:t>
      </w:r>
      <w:r>
        <w:rPr>
          <w:rFonts w:hint="eastAsia" w:ascii="仿宋" w:hAnsi="仿宋" w:eastAsia="仿宋" w:cs="仿宋"/>
          <w:color w:val="auto"/>
          <w:sz w:val="24"/>
          <w:szCs w:val="24"/>
          <w:highlight w:val="none"/>
          <w:u w:val="none"/>
        </w:rPr>
        <w:t>政府采购网发</w:t>
      </w:r>
      <w:r>
        <w:rPr>
          <w:rFonts w:hint="eastAsia" w:ascii="仿宋" w:hAnsi="仿宋" w:eastAsia="仿宋" w:cs="仿宋"/>
          <w:color w:val="auto"/>
          <w:sz w:val="24"/>
          <w:szCs w:val="24"/>
          <w:highlight w:val="none"/>
        </w:rPr>
        <w:t>布变更公告。</w:t>
      </w:r>
    </w:p>
    <w:p w14:paraId="71A806EC">
      <w:pPr>
        <w:pStyle w:val="52"/>
        <w:keepNext w:val="0"/>
        <w:keepLines w:val="0"/>
        <w:pageBreakBefore w:val="0"/>
        <w:widowControl w:val="0"/>
        <w:kinsoku/>
        <w:wordWrap/>
        <w:overflowPunct/>
        <w:topLinePunct w:val="0"/>
        <w:autoSpaceDE/>
        <w:autoSpaceDN/>
        <w:bidi w:val="0"/>
        <w:adjustRightInd/>
        <w:spacing w:line="56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.2澄清修改的补充文件中包括原提出的问题及问题的说明意见，但不包括问题的来源。</w:t>
      </w:r>
    </w:p>
    <w:p w14:paraId="18E1EB87">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澄清要求的提交：</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认为招标文件使自己的权益受到损害的，可以在知道或应当知其权益受到损害之日起7个工作日内，以</w:t>
      </w:r>
      <w:r>
        <w:rPr>
          <w:rFonts w:hint="eastAsia" w:ascii="仿宋" w:hAnsi="仿宋" w:eastAsia="仿宋" w:cs="仿宋"/>
          <w:color w:val="auto"/>
          <w:kern w:val="0"/>
          <w:sz w:val="24"/>
          <w:szCs w:val="24"/>
          <w:highlight w:val="none"/>
          <w:lang w:val="en-US" w:eastAsia="zh-CN"/>
        </w:rPr>
        <w:t>电子</w:t>
      </w:r>
      <w:r>
        <w:rPr>
          <w:rFonts w:hint="eastAsia" w:ascii="仿宋" w:hAnsi="仿宋" w:eastAsia="仿宋" w:cs="仿宋"/>
          <w:color w:val="auto"/>
          <w:kern w:val="0"/>
          <w:sz w:val="24"/>
          <w:szCs w:val="24"/>
          <w:highlight w:val="none"/>
        </w:rPr>
        <w:t>形式向采购代理机构提出质疑和询问。</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提出的询问，采购代理机构应当在3个工作日内对</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依法提出的询问做出答复。</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提出的质疑，采购代理机构应当在收到</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电子</w:t>
      </w:r>
      <w:r>
        <w:rPr>
          <w:rFonts w:hint="eastAsia" w:ascii="仿宋" w:hAnsi="仿宋" w:eastAsia="仿宋" w:cs="仿宋"/>
          <w:color w:val="auto"/>
          <w:kern w:val="0"/>
          <w:sz w:val="24"/>
          <w:szCs w:val="24"/>
          <w:highlight w:val="none"/>
        </w:rPr>
        <w:t>质疑后7个工作日内，做出答复，但答复的内容不涉及商业秘密。</w:t>
      </w:r>
    </w:p>
    <w:p w14:paraId="5EC6DB6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.4澄清、修改及其它答复的效力：采购代理机构或者采购人一旦对招标文件做出澄清、修改或进行其它答复，即刻发生效力，有关的补充文件，应当作为招标文件的组成部分，对所有潜在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均具有约束力。</w:t>
      </w:r>
    </w:p>
    <w:p w14:paraId="5863E7CF">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22" w:name="_Toc13310"/>
      <w:bookmarkStart w:id="23" w:name="_Toc175644018"/>
      <w:r>
        <w:rPr>
          <w:rFonts w:hint="eastAsia" w:ascii="仿宋" w:hAnsi="仿宋" w:eastAsia="仿宋" w:cs="仿宋"/>
          <w:b/>
          <w:color w:val="auto"/>
          <w:kern w:val="0"/>
          <w:sz w:val="24"/>
          <w:szCs w:val="24"/>
          <w:highlight w:val="none"/>
        </w:rPr>
        <w:t>三、投标文件</w:t>
      </w:r>
      <w:bookmarkEnd w:id="22"/>
      <w:bookmarkEnd w:id="23"/>
      <w:r>
        <w:rPr>
          <w:rFonts w:hint="eastAsia" w:ascii="仿宋" w:hAnsi="仿宋" w:eastAsia="仿宋" w:cs="仿宋"/>
          <w:b/>
          <w:color w:val="auto"/>
          <w:kern w:val="0"/>
          <w:sz w:val="24"/>
          <w:szCs w:val="24"/>
          <w:highlight w:val="none"/>
        </w:rPr>
        <w:t xml:space="preserve"> </w:t>
      </w:r>
    </w:p>
    <w:p w14:paraId="22AFD711">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11</w:t>
      </w:r>
      <w:r>
        <w:rPr>
          <w:rFonts w:hint="eastAsia" w:ascii="仿宋" w:hAnsi="仿宋" w:eastAsia="仿宋" w:cs="仿宋"/>
          <w:b/>
          <w:color w:val="auto"/>
          <w:kern w:val="0"/>
          <w:sz w:val="24"/>
          <w:szCs w:val="24"/>
          <w:highlight w:val="none"/>
        </w:rPr>
        <w:t>.投标文件的语言和计量单位</w:t>
      </w:r>
    </w:p>
    <w:p w14:paraId="2EAA39B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提交的投标文件（包括</w:t>
      </w:r>
      <w:r>
        <w:rPr>
          <w:rFonts w:hint="eastAsia" w:ascii="仿宋" w:hAnsi="仿宋" w:eastAsia="仿宋" w:cs="仿宋"/>
          <w:color w:val="auto"/>
          <w:kern w:val="0"/>
          <w:sz w:val="24"/>
          <w:szCs w:val="24"/>
          <w:highlight w:val="none"/>
          <w:lang w:val="en-US" w:eastAsia="zh-CN"/>
        </w:rPr>
        <w:t>商务、</w:t>
      </w:r>
      <w:r>
        <w:rPr>
          <w:rFonts w:hint="eastAsia" w:ascii="仿宋" w:hAnsi="仿宋" w:eastAsia="仿宋" w:cs="仿宋"/>
          <w:color w:val="auto"/>
          <w:kern w:val="0"/>
          <w:sz w:val="24"/>
          <w:szCs w:val="24"/>
          <w:highlight w:val="none"/>
        </w:rPr>
        <w:t>技术文件和资料中的说明）以及</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与采购代理机构就有关投标的所有往来函电均应使用中文简体字。</w:t>
      </w:r>
    </w:p>
    <w:p w14:paraId="4CEE00FD">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.2投标文件所使用的计量单位，应使用国家法定计量单位。</w:t>
      </w:r>
    </w:p>
    <w:p w14:paraId="418D73A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.3原版为外文的证书类文件，以及由外国人做出的本人签名、外国公司的名称或外国印章等可以是外文，但应当提供中文翻译文件并加盖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公章。必要时评标委员会可以要求</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提供附有公证书的中文翻译文件或者与原版文件签章相一致的中文翻译文件。否则，产生的不利后果由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承担。</w:t>
      </w:r>
    </w:p>
    <w:p w14:paraId="2E6BDC7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原版为外文的证书类、证明类文件，与</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名称或其它实际情况不符的，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应当提供相关证明文件。</w:t>
      </w:r>
    </w:p>
    <w:p w14:paraId="78CC350A">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12</w:t>
      </w:r>
      <w:r>
        <w:rPr>
          <w:rFonts w:hint="eastAsia" w:ascii="仿宋" w:hAnsi="仿宋" w:eastAsia="仿宋" w:cs="仿宋"/>
          <w:b/>
          <w:color w:val="auto"/>
          <w:kern w:val="0"/>
          <w:sz w:val="24"/>
          <w:szCs w:val="24"/>
          <w:highlight w:val="none"/>
        </w:rPr>
        <w:t>.投标文件的组成及相关要求</w:t>
      </w:r>
    </w:p>
    <w:p w14:paraId="51082C69">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.1投标文件分为资格证明文件和商务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技术文件两部分。</w:t>
      </w:r>
    </w:p>
    <w:p w14:paraId="11AB8EC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资格证明文件：指供应商提交的证明其有资格参加投标的文件。</w:t>
      </w:r>
    </w:p>
    <w:p w14:paraId="05A39EC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商务、技术文件：指供应商提交的能够证明其中标后有能力履行合同的文件和提供的服务符合本招标文件规定和政策性要求的文件。</w:t>
      </w:r>
    </w:p>
    <w:p w14:paraId="61ACA59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本次招标，供应商应按</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文件供应商须知前附表要求提交资格证明部分、商务</w:t>
      </w:r>
      <w:r>
        <w:rPr>
          <w:rFonts w:hint="eastAsia" w:ascii="仿宋" w:hAnsi="仿宋" w:eastAsia="仿宋" w:cs="仿宋"/>
          <w:color w:val="auto"/>
          <w:kern w:val="0"/>
          <w:sz w:val="24"/>
          <w:szCs w:val="24"/>
          <w:highlight w:val="none"/>
          <w:lang w:val="en-US" w:eastAsia="zh-CN"/>
        </w:rPr>
        <w:t>技术</w:t>
      </w:r>
      <w:r>
        <w:rPr>
          <w:rFonts w:hint="eastAsia" w:ascii="仿宋" w:hAnsi="仿宋" w:eastAsia="仿宋" w:cs="仿宋"/>
          <w:color w:val="auto"/>
          <w:kern w:val="0"/>
          <w:sz w:val="24"/>
          <w:szCs w:val="24"/>
          <w:highlight w:val="none"/>
        </w:rPr>
        <w:t>部分内容和需要</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自行编写的其他文件，其中加★项目若有缺失或无效，将导致</w:t>
      </w:r>
      <w:r>
        <w:rPr>
          <w:rFonts w:hint="eastAsia" w:ascii="仿宋" w:hAnsi="仿宋" w:eastAsia="仿宋" w:cs="仿宋"/>
          <w:color w:val="auto"/>
          <w:kern w:val="0"/>
          <w:sz w:val="24"/>
          <w:szCs w:val="24"/>
          <w:highlight w:val="none"/>
          <w:lang w:val="en-US" w:eastAsia="zh-CN"/>
        </w:rPr>
        <w:t>报价</w:t>
      </w:r>
      <w:r>
        <w:rPr>
          <w:rFonts w:hint="eastAsia" w:ascii="仿宋" w:hAnsi="仿宋" w:eastAsia="仿宋" w:cs="仿宋"/>
          <w:color w:val="auto"/>
          <w:kern w:val="0"/>
          <w:sz w:val="24"/>
          <w:szCs w:val="24"/>
          <w:highlight w:val="none"/>
        </w:rPr>
        <w:t>被拒绝。（具体填写要求及格式详见</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文件第</w:t>
      </w: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rPr>
        <w:t>部分）。</w:t>
      </w:r>
    </w:p>
    <w:p w14:paraId="64E76143">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.2投标文件其他要求</w:t>
      </w:r>
    </w:p>
    <w:p w14:paraId="2C43204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编排要求</w:t>
      </w:r>
    </w:p>
    <w:p w14:paraId="3AF6623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投标文件规格幅面（A4）；按照招标文件所规定的内容顺序，</w:t>
      </w:r>
      <w:r>
        <w:rPr>
          <w:rFonts w:hint="eastAsia" w:ascii="仿宋" w:hAnsi="仿宋" w:eastAsia="仿宋" w:cs="仿宋"/>
          <w:b/>
          <w:sz w:val="24"/>
          <w:szCs w:val="24"/>
          <w:highlight w:val="none"/>
        </w:rPr>
        <w:t>统一编目</w:t>
      </w:r>
      <w:r>
        <w:rPr>
          <w:rFonts w:hint="eastAsia" w:ascii="仿宋" w:hAnsi="仿宋" w:eastAsia="仿宋" w:cs="仿宋"/>
          <w:b/>
          <w:sz w:val="24"/>
          <w:szCs w:val="24"/>
          <w:highlight w:val="none"/>
          <w:lang w:val="en-US" w:eastAsia="zh-CN"/>
        </w:rPr>
        <w:t>录</w:t>
      </w:r>
      <w:r>
        <w:rPr>
          <w:rFonts w:hint="eastAsia" w:ascii="仿宋" w:hAnsi="仿宋" w:eastAsia="仿宋" w:cs="仿宋"/>
          <w:b/>
          <w:sz w:val="24"/>
          <w:szCs w:val="24"/>
          <w:highlight w:val="none"/>
        </w:rPr>
        <w:t>、编页码装订</w:t>
      </w:r>
      <w:r>
        <w:rPr>
          <w:rFonts w:hint="eastAsia" w:ascii="仿宋" w:hAnsi="仿宋" w:eastAsia="仿宋" w:cs="仿宋"/>
          <w:color w:val="auto"/>
          <w:kern w:val="0"/>
          <w:sz w:val="24"/>
          <w:szCs w:val="24"/>
          <w:highlight w:val="none"/>
        </w:rPr>
        <w:t>（投标文件中复印件及彩色宣传资料等均须与</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正文一起逐页编排页码）。由于编排混乱导致</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被误读或查找不到，其责任应当由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承担。</w:t>
      </w:r>
    </w:p>
    <w:p w14:paraId="554EC40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格式要求</w:t>
      </w:r>
    </w:p>
    <w:p w14:paraId="6B93829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本招标文件第七部分已提供“投标文件格式”的，需按照格式要求编制和上传（供应商可以对所提供的格式进行扩展，但不得更改格式内容），没有提供格式的，供应商自拟。</w:t>
      </w:r>
    </w:p>
    <w:p w14:paraId="52C3C7B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）投标文件的份数、</w:t>
      </w:r>
      <w:r>
        <w:rPr>
          <w:rFonts w:hint="eastAsia" w:ascii="仿宋" w:hAnsi="仿宋" w:eastAsia="仿宋" w:cs="仿宋"/>
          <w:color w:val="auto"/>
          <w:kern w:val="0"/>
          <w:sz w:val="24"/>
          <w:szCs w:val="24"/>
          <w:highlight w:val="none"/>
          <w:lang w:val="en-US" w:eastAsia="zh-CN"/>
        </w:rPr>
        <w:t>加密</w:t>
      </w:r>
    </w:p>
    <w:p w14:paraId="6E06907C">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A.</w:t>
      </w:r>
      <w:r>
        <w:rPr>
          <w:rFonts w:hint="eastAsia" w:ascii="仿宋" w:hAnsi="仿宋" w:eastAsia="仿宋" w:cs="仿宋"/>
          <w:color w:val="auto"/>
          <w:kern w:val="0"/>
          <w:sz w:val="24"/>
          <w:szCs w:val="24"/>
          <w:highlight w:val="none"/>
        </w:rPr>
        <w:t>投标文件的份数</w:t>
      </w:r>
    </w:p>
    <w:p w14:paraId="0B54EEAF">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本次招标须递交的投标文件数量详见供应商须知前附表。</w:t>
      </w:r>
    </w:p>
    <w:p w14:paraId="58F616C0">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B.</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文件加密</w:t>
      </w:r>
    </w:p>
    <w:p w14:paraId="2D39141D">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系统中上传的电子</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文件须使用数字电子CA（单位、法人或个人）进行加密。</w:t>
      </w:r>
    </w:p>
    <w:p w14:paraId="2AD8131B">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.3投标保证金</w:t>
      </w:r>
    </w:p>
    <w:p w14:paraId="1E8F7FC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12.3.1</w:t>
      </w:r>
      <w:r>
        <w:rPr>
          <w:rFonts w:hint="eastAsia" w:ascii="仿宋" w:hAnsi="仿宋" w:eastAsia="仿宋" w:cs="仿宋"/>
          <w:color w:val="000000"/>
          <w:kern w:val="0"/>
          <w:sz w:val="24"/>
          <w:szCs w:val="24"/>
          <w:highlight w:val="none"/>
        </w:rPr>
        <w:t>供应商应提交的</w:t>
      </w:r>
      <w:r>
        <w:rPr>
          <w:rFonts w:hint="eastAsia" w:ascii="仿宋" w:hAnsi="仿宋" w:eastAsia="仿宋" w:cs="仿宋"/>
          <w:color w:val="000000"/>
          <w:kern w:val="0"/>
          <w:sz w:val="24"/>
          <w:szCs w:val="24"/>
          <w:highlight w:val="none"/>
          <w:lang w:val="en-US" w:eastAsia="zh-CN"/>
        </w:rPr>
        <w:t>投标</w:t>
      </w:r>
      <w:r>
        <w:rPr>
          <w:rFonts w:hint="eastAsia" w:ascii="仿宋" w:hAnsi="仿宋" w:eastAsia="仿宋" w:cs="仿宋"/>
          <w:color w:val="000000"/>
          <w:kern w:val="0"/>
          <w:sz w:val="24"/>
          <w:szCs w:val="24"/>
          <w:highlight w:val="none"/>
        </w:rPr>
        <w:t>保证金金额和提交方式详见</w:t>
      </w:r>
      <w:r>
        <w:rPr>
          <w:rFonts w:hint="eastAsia" w:ascii="仿宋" w:hAnsi="仿宋" w:eastAsia="仿宋" w:cs="仿宋"/>
          <w:color w:val="000000"/>
          <w:kern w:val="0"/>
          <w:sz w:val="24"/>
          <w:szCs w:val="24"/>
          <w:highlight w:val="none"/>
          <w:lang w:val="en-US" w:eastAsia="zh-CN"/>
        </w:rPr>
        <w:t>供应商须知</w:t>
      </w:r>
      <w:r>
        <w:rPr>
          <w:rFonts w:hint="eastAsia" w:ascii="仿宋" w:hAnsi="仿宋" w:eastAsia="仿宋" w:cs="仿宋"/>
          <w:color w:val="000000"/>
          <w:kern w:val="0"/>
          <w:sz w:val="24"/>
          <w:szCs w:val="24"/>
          <w:highlight w:val="none"/>
        </w:rPr>
        <w:t>前附表。</w:t>
      </w:r>
      <w:r>
        <w:rPr>
          <w:rFonts w:hint="eastAsia" w:ascii="仿宋" w:hAnsi="仿宋" w:eastAsia="仿宋" w:cs="仿宋"/>
          <w:bCs/>
          <w:color w:val="auto"/>
          <w:kern w:val="0"/>
          <w:sz w:val="24"/>
          <w:szCs w:val="24"/>
          <w:highlight w:val="none"/>
          <w:lang w:eastAsia="zh-CN"/>
        </w:rPr>
        <w:t>未按要求提交</w:t>
      </w:r>
      <w:r>
        <w:rPr>
          <w:rFonts w:hint="eastAsia" w:ascii="仿宋" w:hAnsi="仿宋" w:eastAsia="仿宋" w:cs="仿宋"/>
          <w:bCs/>
          <w:color w:val="auto"/>
          <w:kern w:val="0"/>
          <w:sz w:val="24"/>
          <w:szCs w:val="24"/>
          <w:highlight w:val="none"/>
          <w:lang w:val="en-US" w:eastAsia="zh-CN"/>
        </w:rPr>
        <w:t>投标</w:t>
      </w:r>
      <w:r>
        <w:rPr>
          <w:rFonts w:hint="eastAsia" w:ascii="仿宋" w:hAnsi="仿宋" w:eastAsia="仿宋" w:cs="仿宋"/>
          <w:bCs/>
          <w:color w:val="auto"/>
          <w:kern w:val="0"/>
          <w:sz w:val="24"/>
          <w:szCs w:val="24"/>
          <w:highlight w:val="none"/>
          <w:lang w:eastAsia="zh-CN"/>
        </w:rPr>
        <w:t>保证金，或所提交</w:t>
      </w:r>
      <w:r>
        <w:rPr>
          <w:rFonts w:hint="eastAsia" w:ascii="仿宋" w:hAnsi="仿宋" w:eastAsia="仿宋" w:cs="仿宋"/>
          <w:bCs/>
          <w:color w:val="auto"/>
          <w:kern w:val="0"/>
          <w:sz w:val="24"/>
          <w:szCs w:val="24"/>
          <w:highlight w:val="none"/>
          <w:lang w:val="en-US" w:eastAsia="zh-CN"/>
        </w:rPr>
        <w:t>投标</w:t>
      </w:r>
      <w:r>
        <w:rPr>
          <w:rFonts w:hint="eastAsia" w:ascii="仿宋" w:hAnsi="仿宋" w:eastAsia="仿宋" w:cs="仿宋"/>
          <w:bCs/>
          <w:color w:val="auto"/>
          <w:kern w:val="0"/>
          <w:sz w:val="24"/>
          <w:szCs w:val="24"/>
          <w:highlight w:val="none"/>
          <w:lang w:eastAsia="zh-CN"/>
        </w:rPr>
        <w:t>保证金不完全符合各项要求的，将被视为无效。</w:t>
      </w:r>
    </w:p>
    <w:p w14:paraId="7B869C7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lang w:val="en-US" w:eastAsia="zh-CN"/>
        </w:rPr>
        <w:t>12.3.2</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在投标截止时间前撤回已提交的投标文件的，采购代理机构应当自收到</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书面撤回通知之日起5个工作日内，退还已收取的投标保证金，但因</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自身原因导致无法及时退还的除外。</w:t>
      </w:r>
    </w:p>
    <w:p w14:paraId="4A32598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12.3.3</w:t>
      </w:r>
      <w:r>
        <w:rPr>
          <w:rFonts w:hint="eastAsia" w:ascii="仿宋" w:hAnsi="仿宋" w:eastAsia="仿宋" w:cs="仿宋"/>
          <w:bCs/>
          <w:color w:val="auto"/>
          <w:kern w:val="0"/>
          <w:sz w:val="24"/>
          <w:szCs w:val="24"/>
          <w:highlight w:val="none"/>
        </w:rPr>
        <w:t>采购代理机构应当自中标通知书发出之日起5个工作日内退还未中标</w:t>
      </w:r>
      <w:r>
        <w:rPr>
          <w:rFonts w:hint="eastAsia" w:ascii="仿宋" w:hAnsi="仿宋" w:eastAsia="仿宋" w:cs="仿宋"/>
          <w:bCs/>
          <w:color w:val="auto"/>
          <w:kern w:val="0"/>
          <w:sz w:val="24"/>
          <w:szCs w:val="24"/>
          <w:highlight w:val="none"/>
          <w:lang w:val="en-US" w:eastAsia="zh-CN"/>
        </w:rPr>
        <w:t>供应商</w:t>
      </w:r>
      <w:r>
        <w:rPr>
          <w:rFonts w:hint="eastAsia" w:ascii="仿宋" w:hAnsi="仿宋" w:eastAsia="仿宋" w:cs="仿宋"/>
          <w:bCs/>
          <w:color w:val="auto"/>
          <w:kern w:val="0"/>
          <w:sz w:val="24"/>
          <w:szCs w:val="24"/>
          <w:highlight w:val="none"/>
        </w:rPr>
        <w:t>的投标保证金，自采购合同签订之日起5个工作日内退还中标</w:t>
      </w:r>
      <w:r>
        <w:rPr>
          <w:rFonts w:hint="eastAsia" w:ascii="仿宋" w:hAnsi="仿宋" w:eastAsia="仿宋" w:cs="仿宋"/>
          <w:bCs/>
          <w:color w:val="auto"/>
          <w:kern w:val="0"/>
          <w:sz w:val="24"/>
          <w:szCs w:val="24"/>
          <w:highlight w:val="none"/>
          <w:lang w:val="en-US" w:eastAsia="zh-CN"/>
        </w:rPr>
        <w:t>供应商</w:t>
      </w:r>
      <w:r>
        <w:rPr>
          <w:rFonts w:hint="eastAsia" w:ascii="仿宋" w:hAnsi="仿宋" w:eastAsia="仿宋" w:cs="仿宋"/>
          <w:bCs/>
          <w:color w:val="auto"/>
          <w:kern w:val="0"/>
          <w:sz w:val="24"/>
          <w:szCs w:val="24"/>
          <w:highlight w:val="none"/>
        </w:rPr>
        <w:t>的投标保证金，但因</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自身原因导致无法及时退还的除外。</w:t>
      </w:r>
    </w:p>
    <w:p w14:paraId="42B7748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lang w:val="en-US" w:eastAsia="zh-CN"/>
        </w:rPr>
        <w:t>12.3.4</w:t>
      </w:r>
      <w:r>
        <w:rPr>
          <w:rFonts w:hint="eastAsia" w:ascii="仿宋" w:hAnsi="仿宋" w:eastAsia="仿宋" w:cs="仿宋"/>
          <w:bCs/>
          <w:color w:val="auto"/>
          <w:kern w:val="0"/>
          <w:sz w:val="24"/>
          <w:szCs w:val="24"/>
          <w:highlight w:val="none"/>
        </w:rPr>
        <w:t>有下列情形之一的，投标保证金不予退还：</w:t>
      </w:r>
    </w:p>
    <w:p w14:paraId="474B203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A.</w:t>
      </w:r>
      <w:r>
        <w:rPr>
          <w:rFonts w:hint="eastAsia" w:ascii="仿宋" w:hAnsi="仿宋" w:eastAsia="仿宋" w:cs="仿宋"/>
          <w:bCs/>
          <w:color w:val="auto"/>
          <w:kern w:val="0"/>
          <w:sz w:val="24"/>
          <w:szCs w:val="24"/>
          <w:highlight w:val="none"/>
          <w:lang w:eastAsia="zh-CN"/>
        </w:rPr>
        <w:t>供应商</w:t>
      </w:r>
      <w:r>
        <w:rPr>
          <w:rFonts w:hint="eastAsia" w:ascii="仿宋" w:hAnsi="仿宋" w:eastAsia="仿宋" w:cs="仿宋"/>
          <w:bCs/>
          <w:color w:val="auto"/>
          <w:kern w:val="0"/>
          <w:sz w:val="24"/>
          <w:szCs w:val="24"/>
          <w:highlight w:val="none"/>
        </w:rPr>
        <w:t>在提交投标文件截止时间后撤回投标文件的；</w:t>
      </w:r>
    </w:p>
    <w:p w14:paraId="661C042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B.</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在投标文件中提供虚假材料的；</w:t>
      </w:r>
    </w:p>
    <w:p w14:paraId="52B9D50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C.</w:t>
      </w:r>
      <w:r>
        <w:rPr>
          <w:rFonts w:hint="eastAsia" w:ascii="仿宋" w:hAnsi="仿宋" w:eastAsia="仿宋" w:cs="仿宋"/>
          <w:color w:val="auto"/>
          <w:kern w:val="0"/>
          <w:sz w:val="24"/>
          <w:szCs w:val="24"/>
          <w:highlight w:val="none"/>
        </w:rPr>
        <w:t>除因不可抗力或招标文件认可的情形外，中标</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不与采购人签订合同的；</w:t>
      </w:r>
    </w:p>
    <w:p w14:paraId="74DE036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D.</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与采购人、其他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或者采购代理机构恶意串通的；</w:t>
      </w:r>
    </w:p>
    <w:p w14:paraId="5FA2663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E.</w:t>
      </w:r>
      <w:r>
        <w:rPr>
          <w:rFonts w:hint="eastAsia" w:ascii="仿宋" w:hAnsi="仿宋" w:eastAsia="仿宋" w:cs="仿宋"/>
          <w:color w:val="auto"/>
          <w:kern w:val="0"/>
          <w:sz w:val="24"/>
          <w:szCs w:val="24"/>
          <w:highlight w:val="none"/>
        </w:rPr>
        <w:t>招标文件规定的其他情形。</w:t>
      </w:r>
    </w:p>
    <w:p w14:paraId="726F977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.4投标报价</w:t>
      </w:r>
    </w:p>
    <w:p w14:paraId="61151E1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所有投标报价均以“</w:t>
      </w:r>
      <w:r>
        <w:rPr>
          <w:rFonts w:hint="eastAsia" w:ascii="仿宋" w:hAnsi="仿宋" w:eastAsia="仿宋" w:cs="仿宋"/>
          <w:b/>
          <w:bCs w:val="0"/>
          <w:color w:val="auto"/>
          <w:kern w:val="0"/>
          <w:sz w:val="24"/>
          <w:szCs w:val="24"/>
          <w:highlight w:val="none"/>
        </w:rPr>
        <w:t>人民币元</w:t>
      </w:r>
      <w:r>
        <w:rPr>
          <w:rFonts w:hint="eastAsia" w:ascii="仿宋" w:hAnsi="仿宋" w:eastAsia="仿宋" w:cs="仿宋"/>
          <w:color w:val="auto"/>
          <w:kern w:val="0"/>
          <w:sz w:val="24"/>
          <w:szCs w:val="24"/>
          <w:highlight w:val="none"/>
        </w:rPr>
        <w:t>”为计算单位。只要投报了一个确定数额的总价，无论分项价格是否全部填报了相应的金额，</w:t>
      </w:r>
      <w:r>
        <w:rPr>
          <w:rFonts w:hint="eastAsia" w:ascii="仿宋" w:hAnsi="仿宋" w:eastAsia="仿宋" w:cs="仿宋"/>
          <w:color w:val="000000"/>
          <w:kern w:val="0"/>
          <w:sz w:val="24"/>
          <w:szCs w:val="24"/>
          <w:highlight w:val="none"/>
        </w:rPr>
        <w:t>报价应被视为已经包含了但并不限于完成本项目所需的所有服务内容。在其它情况下，由于分项报价填报不完整、不清楚或存在其它任何失误，所导致的任何不利后果均应当由供应商自行承担。</w:t>
      </w:r>
    </w:p>
    <w:p w14:paraId="6F62B20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b w:val="0"/>
          <w:bCs/>
          <w:sz w:val="24"/>
          <w:szCs w:val="24"/>
          <w:highlight w:val="none"/>
          <w:lang w:eastAsia="zh-CN"/>
        </w:rPr>
        <w:t>本次</w:t>
      </w:r>
      <w:r>
        <w:rPr>
          <w:rFonts w:hint="eastAsia" w:ascii="仿宋" w:hAnsi="仿宋" w:eastAsia="仿宋" w:cs="仿宋"/>
          <w:b w:val="0"/>
          <w:bCs/>
          <w:sz w:val="24"/>
          <w:szCs w:val="24"/>
          <w:highlight w:val="none"/>
          <w:lang w:val="en-US" w:eastAsia="zh-CN"/>
        </w:rPr>
        <w:t>招标</w:t>
      </w:r>
      <w:r>
        <w:rPr>
          <w:rFonts w:hint="eastAsia" w:ascii="仿宋" w:hAnsi="仿宋" w:eastAsia="仿宋" w:cs="仿宋"/>
          <w:b w:val="0"/>
          <w:bCs/>
          <w:sz w:val="24"/>
          <w:szCs w:val="24"/>
          <w:highlight w:val="none"/>
          <w:lang w:eastAsia="zh-CN"/>
        </w:rPr>
        <w:t>不接受可选择或可调整的投标和报价。</w:t>
      </w:r>
    </w:p>
    <w:p w14:paraId="2399BAD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lang w:eastAsia="zh-CN"/>
        </w:rPr>
        <w:t>）供应商要按</w:t>
      </w:r>
      <w:r>
        <w:rPr>
          <w:rFonts w:hint="eastAsia" w:ascii="仿宋" w:hAnsi="仿宋" w:eastAsia="仿宋" w:cs="仿宋"/>
          <w:b w:val="0"/>
          <w:bCs/>
          <w:sz w:val="24"/>
          <w:szCs w:val="24"/>
          <w:highlight w:val="none"/>
          <w:lang w:val="en-US" w:eastAsia="zh-CN"/>
        </w:rPr>
        <w:t>开标一览表</w:t>
      </w:r>
      <w:r>
        <w:rPr>
          <w:rFonts w:hint="eastAsia" w:ascii="仿宋" w:hAnsi="仿宋" w:eastAsia="仿宋" w:cs="仿宋"/>
          <w:b w:val="0"/>
          <w:bCs/>
          <w:sz w:val="24"/>
          <w:szCs w:val="24"/>
          <w:highlight w:val="none"/>
          <w:lang w:eastAsia="zh-CN"/>
        </w:rPr>
        <w:t>的内容填写</w:t>
      </w:r>
      <w:r>
        <w:rPr>
          <w:rFonts w:hint="eastAsia" w:ascii="仿宋" w:hAnsi="仿宋" w:eastAsia="仿宋" w:cs="仿宋"/>
          <w:b w:val="0"/>
          <w:bCs/>
          <w:sz w:val="24"/>
          <w:szCs w:val="24"/>
          <w:highlight w:val="none"/>
          <w:lang w:val="en-US" w:eastAsia="zh-CN"/>
        </w:rPr>
        <w:t>投标报价、合同履行期限</w:t>
      </w:r>
      <w:r>
        <w:rPr>
          <w:rFonts w:hint="eastAsia" w:ascii="仿宋" w:hAnsi="仿宋" w:eastAsia="仿宋" w:cs="仿宋"/>
          <w:b w:val="0"/>
          <w:bCs/>
          <w:sz w:val="24"/>
          <w:szCs w:val="24"/>
          <w:highlight w:val="none"/>
          <w:lang w:eastAsia="zh-CN"/>
        </w:rPr>
        <w:t>及其他事项，并由法定代表人（</w:t>
      </w:r>
      <w:r>
        <w:rPr>
          <w:rFonts w:hint="eastAsia" w:ascii="仿宋" w:hAnsi="仿宋" w:eastAsia="仿宋" w:cs="仿宋"/>
          <w:b w:val="0"/>
          <w:bCs/>
          <w:sz w:val="24"/>
          <w:szCs w:val="24"/>
          <w:highlight w:val="none"/>
          <w:lang w:val="en-US" w:eastAsia="zh-CN"/>
        </w:rPr>
        <w:t>负责人</w:t>
      </w:r>
      <w:r>
        <w:rPr>
          <w:rFonts w:hint="eastAsia" w:ascii="仿宋" w:hAnsi="仿宋" w:eastAsia="仿宋" w:cs="仿宋"/>
          <w:b w:val="0"/>
          <w:bCs/>
          <w:sz w:val="24"/>
          <w:szCs w:val="24"/>
          <w:highlight w:val="none"/>
          <w:lang w:eastAsia="zh-CN"/>
        </w:rPr>
        <w:t>）或</w:t>
      </w:r>
      <w:r>
        <w:rPr>
          <w:rFonts w:hint="eastAsia" w:ascii="仿宋" w:hAnsi="仿宋" w:eastAsia="仿宋" w:cs="仿宋"/>
          <w:b w:val="0"/>
          <w:bCs/>
          <w:sz w:val="24"/>
          <w:szCs w:val="24"/>
          <w:highlight w:val="none"/>
          <w:lang w:val="en-US" w:eastAsia="zh-CN"/>
        </w:rPr>
        <w:t>供应商授权代表</w:t>
      </w:r>
      <w:r>
        <w:rPr>
          <w:rFonts w:hint="eastAsia" w:ascii="仿宋" w:hAnsi="仿宋" w:eastAsia="仿宋" w:cs="仿宋"/>
          <w:b w:val="0"/>
          <w:bCs/>
          <w:sz w:val="24"/>
          <w:szCs w:val="24"/>
          <w:highlight w:val="none"/>
          <w:lang w:eastAsia="zh-CN"/>
        </w:rPr>
        <w:t>签署。</w:t>
      </w:r>
    </w:p>
    <w:p w14:paraId="3293E39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对投标报价若有说明应在开标一览表显著处注明，只有开标时唱出的报价优惠承诺才会在评标时予以考虑。</w:t>
      </w:r>
    </w:p>
    <w:p w14:paraId="394609A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投标的报价优惠承诺应对应开标一览表</w:t>
      </w:r>
      <w:r>
        <w:rPr>
          <w:rFonts w:hint="eastAsia" w:ascii="仿宋" w:hAnsi="仿宋" w:eastAsia="仿宋" w:cs="仿宋"/>
          <w:color w:val="auto"/>
          <w:kern w:val="0"/>
          <w:sz w:val="24"/>
          <w:szCs w:val="24"/>
          <w:highlight w:val="none"/>
          <w:lang w:val="en-US" w:eastAsia="zh-CN"/>
        </w:rPr>
        <w:t>投标报价、合同履行期限</w:t>
      </w:r>
      <w:r>
        <w:rPr>
          <w:rFonts w:hint="eastAsia" w:ascii="仿宋" w:hAnsi="仿宋" w:eastAsia="仿宋" w:cs="仿宋"/>
          <w:color w:val="auto"/>
          <w:kern w:val="0"/>
          <w:sz w:val="24"/>
          <w:szCs w:val="24"/>
          <w:highlight w:val="none"/>
        </w:rPr>
        <w:t>等提供相应的明细清单。除报价优惠承诺外，任何超出招标文件要求而额外赠送的软硬件设备等其他形式的优惠，在评标时将不作为价格折算的必备条件。</w:t>
      </w:r>
    </w:p>
    <w:p w14:paraId="5F112B1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本项目采用综合评分法，最低报价不能作为中标的保证。</w:t>
      </w:r>
    </w:p>
    <w:p w14:paraId="1937C989">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3</w:t>
      </w:r>
      <w:r>
        <w:rPr>
          <w:rFonts w:hint="eastAsia" w:ascii="仿宋" w:hAnsi="仿宋" w:eastAsia="仿宋" w:cs="仿宋"/>
          <w:b/>
          <w:color w:val="auto"/>
          <w:kern w:val="0"/>
          <w:sz w:val="24"/>
          <w:szCs w:val="24"/>
          <w:highlight w:val="none"/>
        </w:rPr>
        <w:t>.投标内容填写说明</w:t>
      </w:r>
    </w:p>
    <w:p w14:paraId="6299EF8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应详细阅读招标文件的全部内容，投标文件应对本招标文件中的内容做出实质性和完整性的响应。</w:t>
      </w:r>
    </w:p>
    <w:p w14:paraId="511F0A7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照搬照抄</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eastAsia="zh-CN"/>
        </w:rPr>
        <w:t>商务、技术</w:t>
      </w:r>
      <w:r>
        <w:rPr>
          <w:rFonts w:hint="eastAsia" w:ascii="仿宋" w:hAnsi="仿宋" w:eastAsia="仿宋" w:cs="仿宋"/>
          <w:color w:val="auto"/>
          <w:kern w:val="0"/>
          <w:sz w:val="24"/>
          <w:szCs w:val="24"/>
          <w:highlight w:val="none"/>
        </w:rPr>
        <w:t>要求，并未提供技术资料或提供资料不详的，</w:t>
      </w:r>
      <w:r>
        <w:rPr>
          <w:rFonts w:hint="eastAsia" w:ascii="仿宋" w:hAnsi="仿宋" w:eastAsia="仿宋" w:cs="仿宋"/>
          <w:color w:val="auto"/>
          <w:kern w:val="0"/>
          <w:sz w:val="24"/>
          <w:szCs w:val="24"/>
          <w:highlight w:val="none"/>
          <w:lang w:val="en-US" w:eastAsia="zh-CN"/>
        </w:rPr>
        <w:t>评标委员会</w:t>
      </w:r>
      <w:r>
        <w:rPr>
          <w:rFonts w:hint="eastAsia" w:ascii="仿宋" w:hAnsi="仿宋" w:eastAsia="仿宋" w:cs="仿宋"/>
          <w:color w:val="auto"/>
          <w:kern w:val="0"/>
          <w:sz w:val="24"/>
          <w:szCs w:val="24"/>
          <w:highlight w:val="none"/>
        </w:rPr>
        <w:t>有权决定是否通知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限期进行书面解释或提供相关证明材料。若已要求，而该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在规定期限内未做出解释、做出的解释不合理或不能提供证明材料的，</w:t>
      </w:r>
      <w:r>
        <w:rPr>
          <w:rFonts w:hint="eastAsia" w:ascii="仿宋" w:hAnsi="仿宋" w:eastAsia="仿宋" w:cs="仿宋"/>
          <w:b/>
          <w:bCs/>
          <w:color w:val="auto"/>
          <w:kern w:val="0"/>
          <w:sz w:val="24"/>
          <w:szCs w:val="24"/>
          <w:highlight w:val="none"/>
          <w:lang w:val="en-US" w:eastAsia="zh-CN"/>
        </w:rPr>
        <w:t>评标委员会</w:t>
      </w:r>
      <w:r>
        <w:rPr>
          <w:rFonts w:hint="eastAsia" w:ascii="仿宋" w:hAnsi="仿宋" w:eastAsia="仿宋" w:cs="仿宋"/>
          <w:b/>
          <w:bCs/>
          <w:color w:val="auto"/>
          <w:kern w:val="0"/>
          <w:sz w:val="24"/>
          <w:szCs w:val="24"/>
          <w:highlight w:val="none"/>
        </w:rPr>
        <w:t>有权拒绝该</w:t>
      </w:r>
      <w:r>
        <w:rPr>
          <w:rFonts w:hint="eastAsia" w:ascii="仿宋" w:hAnsi="仿宋" w:eastAsia="仿宋" w:cs="仿宋"/>
          <w:b/>
          <w:bCs/>
          <w:color w:val="auto"/>
          <w:kern w:val="0"/>
          <w:sz w:val="24"/>
          <w:szCs w:val="24"/>
          <w:highlight w:val="none"/>
          <w:lang w:val="en-US" w:eastAsia="zh-CN"/>
        </w:rPr>
        <w:t>报价</w:t>
      </w:r>
      <w:r>
        <w:rPr>
          <w:rFonts w:hint="eastAsia" w:ascii="仿宋" w:hAnsi="仿宋" w:eastAsia="仿宋" w:cs="仿宋"/>
          <w:b/>
          <w:bCs/>
          <w:color w:val="auto"/>
          <w:kern w:val="0"/>
          <w:sz w:val="24"/>
          <w:szCs w:val="24"/>
          <w:highlight w:val="none"/>
        </w:rPr>
        <w:t>。</w:t>
      </w:r>
    </w:p>
    <w:p w14:paraId="566F06D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3投标文件应严格按照招标文件第七部分的要求提交，并按规定的统一格式逐项填写，不准有空项；无相应内容可填的项应填写“无”、“未测试”、</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auto"/>
          <w:kern w:val="0"/>
          <w:sz w:val="24"/>
          <w:szCs w:val="24"/>
          <w:highlight w:val="none"/>
          <w:lang w:val="en-US" w:eastAsia="zh-CN"/>
        </w:rPr>
        <w:t>“没有相应指标”等明确的回答文字。投标文件未按规定提交或留有空项，将被视为不完整响应的投标文件，</w:t>
      </w:r>
      <w:r>
        <w:rPr>
          <w:rFonts w:hint="eastAsia" w:ascii="仿宋" w:hAnsi="仿宋" w:eastAsia="仿宋" w:cs="仿宋"/>
          <w:b/>
          <w:bCs/>
          <w:color w:val="auto"/>
          <w:kern w:val="0"/>
          <w:sz w:val="24"/>
          <w:szCs w:val="24"/>
          <w:highlight w:val="none"/>
          <w:lang w:val="en-US" w:eastAsia="zh-CN"/>
        </w:rPr>
        <w:t>其报价有可能被拒绝</w:t>
      </w:r>
      <w:r>
        <w:rPr>
          <w:rFonts w:hint="eastAsia" w:ascii="仿宋" w:hAnsi="仿宋" w:eastAsia="仿宋" w:cs="仿宋"/>
          <w:color w:val="auto"/>
          <w:kern w:val="0"/>
          <w:sz w:val="24"/>
          <w:szCs w:val="24"/>
          <w:highlight w:val="none"/>
          <w:lang w:val="en-US" w:eastAsia="zh-CN"/>
        </w:rPr>
        <w:t>。</w:t>
      </w:r>
    </w:p>
    <w:p w14:paraId="32AD430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必须保证投标文件所提供的全部资料真实有效，并接受评标委员会对其中任何资料进一步审查的要求，且承担相应的法律责任。</w:t>
      </w:r>
    </w:p>
    <w:p w14:paraId="09275E6D">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因投标文件字迹潦草、提交资料不清晰或表达不清楚所引起的不利后果由</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承担。</w:t>
      </w:r>
    </w:p>
    <w:p w14:paraId="4168D9BC">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为提倡诚实信用的招标行为，特别要求供应商应本着诚信精神，在本次投标文件中按照招标文件要求，以审慎的态度明确、清楚地披露各项内容。一旦在评审中被发现存在重大偏离或被认定为属于重大偏离，则评标委员会有权决定对该投标予以拒绝。</w:t>
      </w:r>
    </w:p>
    <w:p w14:paraId="2B9BA0EC">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4</w:t>
      </w:r>
      <w:r>
        <w:rPr>
          <w:rFonts w:hint="eastAsia" w:ascii="仿宋" w:hAnsi="仿宋" w:eastAsia="仿宋" w:cs="仿宋"/>
          <w:b/>
          <w:color w:val="auto"/>
          <w:kern w:val="0"/>
          <w:sz w:val="24"/>
          <w:szCs w:val="24"/>
          <w:highlight w:val="none"/>
        </w:rPr>
        <w:t>.投标文件的有效期</w:t>
      </w:r>
    </w:p>
    <w:p w14:paraId="777F69D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.1本项目</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的有效期为90个日历天。</w:t>
      </w:r>
      <w:r>
        <w:rPr>
          <w:rFonts w:hint="eastAsia" w:ascii="仿宋" w:hAnsi="仿宋" w:eastAsia="仿宋" w:cs="仿宋"/>
          <w:b/>
          <w:bCs/>
          <w:color w:val="auto"/>
          <w:kern w:val="0"/>
          <w:sz w:val="24"/>
          <w:szCs w:val="24"/>
          <w:highlight w:val="none"/>
        </w:rPr>
        <w:t>有效期短于该规定期限的</w:t>
      </w:r>
      <w:r>
        <w:rPr>
          <w:rFonts w:hint="eastAsia" w:ascii="仿宋" w:hAnsi="仿宋" w:eastAsia="仿宋" w:cs="仿宋"/>
          <w:b/>
          <w:bCs/>
          <w:color w:val="auto"/>
          <w:kern w:val="0"/>
          <w:sz w:val="24"/>
          <w:szCs w:val="24"/>
          <w:highlight w:val="none"/>
          <w:lang w:val="en-US" w:eastAsia="zh-CN"/>
        </w:rPr>
        <w:t>报价</w:t>
      </w:r>
      <w:r>
        <w:rPr>
          <w:rFonts w:hint="eastAsia" w:ascii="仿宋" w:hAnsi="仿宋" w:eastAsia="仿宋" w:cs="仿宋"/>
          <w:b/>
          <w:bCs/>
          <w:color w:val="auto"/>
          <w:kern w:val="0"/>
          <w:sz w:val="24"/>
          <w:szCs w:val="24"/>
          <w:highlight w:val="none"/>
        </w:rPr>
        <w:t>将被拒绝</w:t>
      </w:r>
      <w:r>
        <w:rPr>
          <w:rFonts w:hint="eastAsia" w:ascii="仿宋" w:hAnsi="仿宋" w:eastAsia="仿宋" w:cs="仿宋"/>
          <w:color w:val="auto"/>
          <w:kern w:val="0"/>
          <w:sz w:val="24"/>
          <w:szCs w:val="24"/>
          <w:highlight w:val="none"/>
        </w:rPr>
        <w:t>。</w:t>
      </w:r>
    </w:p>
    <w:p w14:paraId="04FB59F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.2投标有效期从提交投标文件的截止之日起算。投标文件中承诺的投标有效期应当不少于招标文件中载明的投标有效期。投标有效期内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撤销投标文件的，采购代理机构可以不退还投标保证金。</w:t>
      </w:r>
    </w:p>
    <w:p w14:paraId="5FAD279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.3如果出现特殊情况，采购人可要求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将投标有效期延长一段时间，这种要求和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的答复以书面形式进行。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可以拒绝这种要求，而不被没收投标保证金。同意延长投标有效期时，本须知关于投标保证金的退还与没收规定仍适用。</w:t>
      </w:r>
    </w:p>
    <w:p w14:paraId="41ED66F8">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.投标文件的签署及规定</w:t>
      </w:r>
    </w:p>
    <w:p w14:paraId="3E738DA3">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.1组成投标文件的各项文件均应遵守本条。</w:t>
      </w:r>
    </w:p>
    <w:p w14:paraId="405A83CE">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.2供应商在</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文件及相关文件的签订、履行、通知等事项的文件中的“单位盖章”、“印章”、“公章”等处均仅指与当事人名称全称相一致的电子CA章，不得使用其它（如带有“专用章”等字样）印章，否则将按</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无效处理。</w:t>
      </w:r>
    </w:p>
    <w:p w14:paraId="4FA9BD7B">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应在投标文件中按照招标文件要求，在指定的位置签字（章）、加盖电子CA章，否则将按</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无效处理。</w:t>
      </w:r>
    </w:p>
    <w:p w14:paraId="3DDF3D3E">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4投标文件应字迹清楚、内容齐全、不得涂改或增删。如有修改和增删，必须有供应商电子CA章或法定代表人或其授权的供应商授权代表签字</w:t>
      </w:r>
      <w:r>
        <w:rPr>
          <w:rFonts w:hint="eastAsia" w:ascii="仿宋" w:hAnsi="仿宋" w:eastAsia="仿宋" w:cs="仿宋"/>
          <w:color w:val="auto"/>
          <w:kern w:val="0"/>
          <w:sz w:val="24"/>
          <w:szCs w:val="24"/>
          <w:highlight w:val="none"/>
        </w:rPr>
        <w:t>。</w:t>
      </w:r>
    </w:p>
    <w:p w14:paraId="1EAA3FE3">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15.5因投标文件字迹潦草或表达不清所引起的不利后果由供应商承担。</w:t>
      </w:r>
    </w:p>
    <w:p w14:paraId="050F63D4">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24" w:name="_Toc175644019"/>
      <w:bookmarkStart w:id="25" w:name="_Toc26751"/>
      <w:r>
        <w:rPr>
          <w:rFonts w:hint="eastAsia" w:ascii="仿宋" w:hAnsi="仿宋" w:eastAsia="仿宋" w:cs="仿宋"/>
          <w:b/>
          <w:color w:val="auto"/>
          <w:kern w:val="0"/>
          <w:sz w:val="24"/>
          <w:szCs w:val="24"/>
          <w:highlight w:val="none"/>
        </w:rPr>
        <w:t>四、</w:t>
      </w:r>
      <w:bookmarkEnd w:id="24"/>
      <w:r>
        <w:rPr>
          <w:rFonts w:hint="eastAsia" w:ascii="仿宋" w:hAnsi="仿宋" w:eastAsia="仿宋" w:cs="仿宋"/>
          <w:b/>
          <w:color w:val="auto"/>
          <w:kern w:val="0"/>
          <w:sz w:val="24"/>
          <w:szCs w:val="24"/>
          <w:highlight w:val="none"/>
        </w:rPr>
        <w:t>投标文件的退回</w:t>
      </w:r>
      <w:bookmarkEnd w:id="25"/>
    </w:p>
    <w:p w14:paraId="7C56D29F">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6.供应商应当在招标文件要求的首次投标文件解密时间内，未完成解密的，视为供应商退回投标文件。</w:t>
      </w:r>
    </w:p>
    <w:p w14:paraId="48357310">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7</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投标</w:t>
      </w:r>
      <w:r>
        <w:rPr>
          <w:rFonts w:hint="eastAsia" w:ascii="仿宋" w:hAnsi="仿宋" w:eastAsia="仿宋" w:cs="仿宋"/>
          <w:b/>
          <w:color w:val="auto"/>
          <w:kern w:val="0"/>
          <w:sz w:val="24"/>
          <w:szCs w:val="24"/>
          <w:highlight w:val="none"/>
        </w:rPr>
        <w:t>文件解密时间</w:t>
      </w:r>
    </w:p>
    <w:p w14:paraId="1463626B">
      <w:pPr>
        <w:keepNext w:val="0"/>
        <w:keepLines w:val="0"/>
        <w:pageBreakBefore w:val="0"/>
        <w:widowControl w:val="0"/>
        <w:tabs>
          <w:tab w:val="left" w:pos="567"/>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详见供应商须知前附表。</w:t>
      </w:r>
    </w:p>
    <w:p w14:paraId="18FC3C15">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18</w:t>
      </w:r>
      <w:r>
        <w:rPr>
          <w:rFonts w:hint="eastAsia" w:ascii="仿宋" w:hAnsi="仿宋" w:eastAsia="仿宋" w:cs="仿宋"/>
          <w:b/>
          <w:color w:val="auto"/>
          <w:kern w:val="0"/>
          <w:sz w:val="24"/>
          <w:szCs w:val="24"/>
          <w:highlight w:val="none"/>
        </w:rPr>
        <w:t>.解密</w:t>
      </w:r>
    </w:p>
    <w:p w14:paraId="2210979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bookmarkStart w:id="26" w:name="_Toc175644020"/>
      <w:r>
        <w:rPr>
          <w:rFonts w:hint="eastAsia" w:ascii="仿宋" w:hAnsi="仿宋" w:eastAsia="仿宋" w:cs="仿宋"/>
          <w:color w:val="auto"/>
          <w:kern w:val="0"/>
          <w:sz w:val="24"/>
          <w:szCs w:val="24"/>
          <w:highlight w:val="none"/>
          <w:lang w:val="en-US" w:eastAsia="zh-CN"/>
        </w:rPr>
        <w:t>18.1在采购代理机构在开启时间止发出解密指令，供应商接到解密信息后，在规定的解密时间内使用加密电子文件时的电子CA进行解密（可远程解密）。</w:t>
      </w:r>
    </w:p>
    <w:p w14:paraId="578A354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18.2解密截止时间后，供应商将无法对投标文件进行解密。除特殊情形需请示财政部门采用其他方式外，采购代理机构不得以任何理由延期解密。</w:t>
      </w:r>
    </w:p>
    <w:p w14:paraId="5460A87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18.3在投标文件解密截止时间后完成解密的供应商不足法定招标家数时，不得进行下一步评审程序。</w:t>
      </w:r>
    </w:p>
    <w:p w14:paraId="4D174B39">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19.投标文件的补充、修改和撤回</w:t>
      </w:r>
    </w:p>
    <w:p w14:paraId="618FF72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19.1供应商在投标文件解密截止时间前，可以对投标文件进行补充、修改，补充、修改的内容作为投标文件的组成部分。补充、修改内容需在“政采云系统”中加密上传，未进行上传的补充、修改内容无效。</w:t>
      </w:r>
    </w:p>
    <w:p w14:paraId="57D73B5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19.2补充、修改的内容应当按照招标文件要求签署、盖章，否则，按无效处理。</w:t>
      </w:r>
    </w:p>
    <w:p w14:paraId="63C19C0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19.3在投标文件解密截止时间之后，供应商不得对其已解密的投标文件（含补充、修改）进行撤回。</w:t>
      </w:r>
    </w:p>
    <w:p w14:paraId="31849D1F">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lang w:eastAsia="zh-CN"/>
        </w:rPr>
      </w:pPr>
      <w:bookmarkStart w:id="27" w:name="_Toc10299"/>
      <w:r>
        <w:rPr>
          <w:rFonts w:hint="eastAsia" w:ascii="仿宋" w:hAnsi="仿宋" w:eastAsia="仿宋" w:cs="仿宋"/>
          <w:b/>
          <w:color w:val="auto"/>
          <w:kern w:val="0"/>
          <w:sz w:val="24"/>
          <w:szCs w:val="24"/>
          <w:highlight w:val="none"/>
        </w:rPr>
        <w:t>五、</w:t>
      </w:r>
      <w:bookmarkEnd w:id="26"/>
      <w:r>
        <w:rPr>
          <w:rFonts w:hint="eastAsia" w:ascii="仿宋" w:hAnsi="仿宋" w:eastAsia="仿宋" w:cs="仿宋"/>
          <w:b/>
          <w:color w:val="auto"/>
          <w:kern w:val="0"/>
          <w:sz w:val="24"/>
          <w:szCs w:val="24"/>
          <w:highlight w:val="none"/>
          <w:lang w:val="en-US" w:eastAsia="zh-CN"/>
        </w:rPr>
        <w:t>开启</w:t>
      </w:r>
      <w:bookmarkEnd w:id="27"/>
    </w:p>
    <w:p w14:paraId="6C4BB8D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b w:val="0"/>
          <w:bCs/>
          <w:color w:val="auto"/>
          <w:kern w:val="0"/>
          <w:sz w:val="24"/>
          <w:szCs w:val="24"/>
          <w:highlight w:val="none"/>
        </w:rPr>
      </w:pPr>
      <w:bookmarkStart w:id="28" w:name="_Toc175644021"/>
      <w:r>
        <w:rPr>
          <w:rFonts w:hint="eastAsia" w:ascii="仿宋" w:hAnsi="仿宋" w:eastAsia="仿宋" w:cs="仿宋"/>
          <w:b w:val="0"/>
          <w:bCs/>
          <w:color w:val="auto"/>
          <w:kern w:val="0"/>
          <w:sz w:val="24"/>
          <w:szCs w:val="24"/>
          <w:highlight w:val="none"/>
          <w:lang w:val="en-US" w:eastAsia="zh-CN"/>
        </w:rPr>
        <w:t>20</w:t>
      </w:r>
      <w:r>
        <w:rPr>
          <w:rFonts w:hint="eastAsia" w:ascii="仿宋" w:hAnsi="仿宋" w:eastAsia="仿宋" w:cs="仿宋"/>
          <w:b w:val="0"/>
          <w:bCs/>
          <w:color w:val="auto"/>
          <w:kern w:val="0"/>
          <w:sz w:val="24"/>
          <w:szCs w:val="24"/>
          <w:highlight w:val="none"/>
        </w:rPr>
        <w:t>.1采购代理机构按招标文件规定的时间、地点主持公开开标，采购人代表、</w:t>
      </w:r>
      <w:r>
        <w:rPr>
          <w:rFonts w:hint="eastAsia" w:ascii="仿宋" w:hAnsi="仿宋" w:eastAsia="仿宋" w:cs="仿宋"/>
          <w:b w:val="0"/>
          <w:bCs/>
          <w:color w:val="auto"/>
          <w:kern w:val="0"/>
          <w:sz w:val="24"/>
          <w:szCs w:val="24"/>
          <w:highlight w:val="none"/>
          <w:lang w:eastAsia="zh-CN"/>
        </w:rPr>
        <w:t>供应商</w:t>
      </w:r>
      <w:r>
        <w:rPr>
          <w:rFonts w:hint="eastAsia" w:ascii="仿宋" w:hAnsi="仿宋" w:eastAsia="仿宋" w:cs="仿宋"/>
          <w:b w:val="0"/>
          <w:bCs/>
          <w:color w:val="auto"/>
          <w:kern w:val="0"/>
          <w:sz w:val="24"/>
          <w:szCs w:val="24"/>
          <w:highlight w:val="none"/>
        </w:rPr>
        <w:t>代表及有关工作人员参加。</w:t>
      </w:r>
    </w:p>
    <w:p w14:paraId="3D8E15A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20</w:t>
      </w:r>
      <w:r>
        <w:rPr>
          <w:rFonts w:hint="eastAsia" w:ascii="仿宋" w:hAnsi="仿宋" w:eastAsia="仿宋" w:cs="仿宋"/>
          <w:b w:val="0"/>
          <w:bCs/>
          <w:color w:val="auto"/>
          <w:kern w:val="0"/>
          <w:sz w:val="24"/>
          <w:szCs w:val="24"/>
          <w:highlight w:val="none"/>
        </w:rPr>
        <w:t>.</w:t>
      </w:r>
      <w:r>
        <w:rPr>
          <w:rFonts w:hint="eastAsia" w:ascii="仿宋" w:hAnsi="仿宋" w:eastAsia="仿宋" w:cs="仿宋"/>
          <w:b w:val="0"/>
          <w:bCs/>
          <w:color w:val="auto"/>
          <w:kern w:val="0"/>
          <w:sz w:val="24"/>
          <w:szCs w:val="24"/>
          <w:highlight w:val="none"/>
          <w:lang w:val="en-US" w:eastAsia="zh-CN"/>
        </w:rPr>
        <w:t>2</w:t>
      </w:r>
      <w:r>
        <w:rPr>
          <w:rFonts w:hint="eastAsia" w:ascii="仿宋" w:hAnsi="仿宋" w:eastAsia="仿宋" w:cs="仿宋"/>
          <w:b w:val="0"/>
          <w:bCs/>
          <w:color w:val="auto"/>
          <w:kern w:val="0"/>
          <w:sz w:val="24"/>
          <w:szCs w:val="24"/>
          <w:highlight w:val="none"/>
          <w:lang w:eastAsia="zh-CN"/>
        </w:rPr>
        <w:t>供应商</w:t>
      </w:r>
      <w:r>
        <w:rPr>
          <w:rFonts w:hint="eastAsia" w:ascii="仿宋" w:hAnsi="仿宋" w:eastAsia="仿宋" w:cs="仿宋"/>
          <w:b w:val="0"/>
          <w:bCs/>
          <w:color w:val="auto"/>
          <w:kern w:val="0"/>
          <w:sz w:val="24"/>
          <w:szCs w:val="24"/>
          <w:highlight w:val="none"/>
        </w:rPr>
        <w:t>通过</w:t>
      </w:r>
      <w:r>
        <w:rPr>
          <w:rFonts w:hint="eastAsia" w:ascii="仿宋" w:hAnsi="仿宋" w:eastAsia="仿宋" w:cs="仿宋"/>
          <w:b w:val="0"/>
          <w:bCs/>
          <w:color w:val="auto"/>
          <w:kern w:val="0"/>
          <w:sz w:val="24"/>
          <w:szCs w:val="24"/>
          <w:highlight w:val="none"/>
          <w:lang w:val="en-US" w:eastAsia="zh-CN"/>
        </w:rPr>
        <w:t>政采云平台</w:t>
      </w:r>
      <w:r>
        <w:rPr>
          <w:rFonts w:hint="eastAsia" w:ascii="仿宋" w:hAnsi="仿宋" w:eastAsia="仿宋" w:cs="仿宋"/>
          <w:b w:val="0"/>
          <w:bCs/>
          <w:color w:val="auto"/>
          <w:kern w:val="0"/>
          <w:sz w:val="24"/>
          <w:szCs w:val="24"/>
          <w:highlight w:val="none"/>
        </w:rPr>
        <w:t>对已递交的电子投标文件进行解密，公布招标项目名称、</w:t>
      </w:r>
      <w:r>
        <w:rPr>
          <w:rFonts w:hint="eastAsia" w:ascii="仿宋" w:hAnsi="仿宋" w:eastAsia="仿宋" w:cs="仿宋"/>
          <w:b w:val="0"/>
          <w:bCs/>
          <w:color w:val="auto"/>
          <w:kern w:val="0"/>
          <w:sz w:val="24"/>
          <w:szCs w:val="24"/>
          <w:highlight w:val="none"/>
          <w:lang w:eastAsia="zh-CN"/>
        </w:rPr>
        <w:t>供应商</w:t>
      </w:r>
      <w:r>
        <w:rPr>
          <w:rFonts w:hint="eastAsia" w:ascii="仿宋" w:hAnsi="仿宋" w:eastAsia="仿宋" w:cs="仿宋"/>
          <w:b w:val="0"/>
          <w:bCs/>
          <w:color w:val="auto"/>
          <w:kern w:val="0"/>
          <w:sz w:val="24"/>
          <w:szCs w:val="24"/>
          <w:highlight w:val="none"/>
        </w:rPr>
        <w:t>名称、投标报价、</w:t>
      </w:r>
      <w:r>
        <w:rPr>
          <w:rFonts w:hint="eastAsia" w:ascii="仿宋" w:hAnsi="仿宋" w:eastAsia="仿宋" w:cs="仿宋"/>
          <w:b w:val="0"/>
          <w:bCs/>
          <w:color w:val="auto"/>
          <w:kern w:val="0"/>
          <w:sz w:val="24"/>
          <w:szCs w:val="24"/>
          <w:highlight w:val="none"/>
          <w:lang w:eastAsia="zh-CN"/>
        </w:rPr>
        <w:t>合同履行期限</w:t>
      </w:r>
      <w:r>
        <w:rPr>
          <w:rFonts w:hint="eastAsia" w:ascii="仿宋" w:hAnsi="仿宋" w:eastAsia="仿宋" w:cs="仿宋"/>
          <w:b w:val="0"/>
          <w:bCs/>
          <w:color w:val="auto"/>
          <w:kern w:val="0"/>
          <w:sz w:val="24"/>
          <w:szCs w:val="24"/>
          <w:highlight w:val="none"/>
        </w:rPr>
        <w:t>及其他内容；</w:t>
      </w:r>
    </w:p>
    <w:p w14:paraId="4AC2F95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20</w:t>
      </w:r>
      <w:r>
        <w:rPr>
          <w:rFonts w:hint="eastAsia" w:ascii="仿宋" w:hAnsi="仿宋" w:eastAsia="仿宋" w:cs="仿宋"/>
          <w:b w:val="0"/>
          <w:bCs/>
          <w:color w:val="auto"/>
          <w:kern w:val="0"/>
          <w:sz w:val="24"/>
          <w:szCs w:val="24"/>
          <w:highlight w:val="none"/>
        </w:rPr>
        <w:t>.</w:t>
      </w:r>
      <w:r>
        <w:rPr>
          <w:rFonts w:hint="eastAsia" w:ascii="仿宋" w:hAnsi="仿宋" w:eastAsia="仿宋" w:cs="仿宋"/>
          <w:b w:val="0"/>
          <w:bCs/>
          <w:color w:val="auto"/>
          <w:kern w:val="0"/>
          <w:sz w:val="24"/>
          <w:szCs w:val="24"/>
          <w:highlight w:val="none"/>
          <w:lang w:val="en-US" w:eastAsia="zh-CN"/>
        </w:rPr>
        <w:t>3供应商解密投标文件后，须在平台上签字确认报价。</w:t>
      </w:r>
    </w:p>
    <w:p w14:paraId="4372DE96">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29" w:name="_Toc31484"/>
      <w:r>
        <w:rPr>
          <w:rFonts w:hint="eastAsia" w:ascii="仿宋" w:hAnsi="仿宋" w:eastAsia="仿宋" w:cs="仿宋"/>
          <w:b/>
          <w:color w:val="auto"/>
          <w:kern w:val="0"/>
          <w:sz w:val="24"/>
          <w:szCs w:val="24"/>
          <w:highlight w:val="none"/>
        </w:rPr>
        <w:t>六、评标程序和要求</w:t>
      </w:r>
      <w:bookmarkEnd w:id="28"/>
      <w:bookmarkEnd w:id="29"/>
    </w:p>
    <w:p w14:paraId="7C3165D9">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21</w:t>
      </w:r>
      <w:r>
        <w:rPr>
          <w:rFonts w:hint="eastAsia" w:ascii="仿宋" w:hAnsi="仿宋" w:eastAsia="仿宋" w:cs="仿宋"/>
          <w:b/>
          <w:bCs/>
          <w:sz w:val="24"/>
          <w:szCs w:val="24"/>
          <w:highlight w:val="none"/>
        </w:rPr>
        <w:t>.组建评标委员会</w:t>
      </w:r>
    </w:p>
    <w:p w14:paraId="1B2386F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.1代理机构根据政府采购有关法律法规和本招标文件的规定，结合本招标项目的特点组建评标委员会，评标委员会由五人以上单数组成，其中经济、技术等方面的专家不少于三分之二。</w:t>
      </w:r>
    </w:p>
    <w:p w14:paraId="5FE174E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.2采购人或代理机构就招标文件征询过意见的专家,不得作为评标专家参加评标，代理机构工作人员不得参加评标。</w:t>
      </w:r>
    </w:p>
    <w:p w14:paraId="3E74B982">
      <w:pPr>
        <w:keepNext w:val="0"/>
        <w:keepLines w:val="0"/>
        <w:pageBreakBefore w:val="0"/>
        <w:widowControl w:val="0"/>
        <w:tabs>
          <w:tab w:val="left" w:pos="567"/>
        </w:tabs>
        <w:kinsoku/>
        <w:wordWrap/>
        <w:bidi w:val="0"/>
        <w:snapToGrid w:val="0"/>
        <w:spacing w:line="56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21.3评标委员会</w:t>
      </w:r>
      <w:r>
        <w:rPr>
          <w:rFonts w:hint="eastAsia" w:ascii="仿宋" w:hAnsi="仿宋" w:eastAsia="仿宋" w:cs="仿宋"/>
          <w:kern w:val="0"/>
          <w:sz w:val="24"/>
          <w:szCs w:val="24"/>
          <w:highlight w:val="none"/>
        </w:rPr>
        <w:t>名单在评审结果公告前应当保密。</w:t>
      </w:r>
    </w:p>
    <w:p w14:paraId="0356F3F2">
      <w:pPr>
        <w:keepNext w:val="0"/>
        <w:keepLines w:val="0"/>
        <w:pageBreakBefore w:val="0"/>
        <w:widowControl w:val="0"/>
        <w:tabs>
          <w:tab w:val="left" w:pos="567"/>
        </w:tabs>
        <w:kinsoku/>
        <w:wordWrap/>
        <w:bidi w:val="0"/>
        <w:snapToGrid w:val="0"/>
        <w:spacing w:line="56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21.4</w:t>
      </w:r>
      <w:r>
        <w:rPr>
          <w:rFonts w:hint="eastAsia" w:ascii="仿宋" w:hAnsi="仿宋" w:eastAsia="仿宋" w:cs="仿宋"/>
          <w:kern w:val="0"/>
          <w:sz w:val="24"/>
          <w:szCs w:val="24"/>
          <w:highlight w:val="none"/>
        </w:rPr>
        <w:t>评</w:t>
      </w:r>
      <w:r>
        <w:rPr>
          <w:rFonts w:hint="eastAsia" w:ascii="仿宋" w:hAnsi="仿宋" w:eastAsia="仿宋" w:cs="仿宋"/>
          <w:kern w:val="0"/>
          <w:sz w:val="24"/>
          <w:szCs w:val="24"/>
          <w:highlight w:val="none"/>
          <w:lang w:val="en-US" w:eastAsia="zh-CN"/>
        </w:rPr>
        <w:t>标</w:t>
      </w:r>
      <w:r>
        <w:rPr>
          <w:rFonts w:hint="eastAsia" w:ascii="仿宋" w:hAnsi="仿宋" w:eastAsia="仿宋" w:cs="仿宋"/>
          <w:kern w:val="0"/>
          <w:sz w:val="24"/>
          <w:szCs w:val="24"/>
          <w:highlight w:val="none"/>
        </w:rPr>
        <w:t>专家由采购代理机构从</w:t>
      </w:r>
      <w:r>
        <w:rPr>
          <w:rFonts w:hint="eastAsia" w:ascii="仿宋" w:hAnsi="仿宋" w:eastAsia="仿宋" w:cs="仿宋"/>
          <w:kern w:val="0"/>
          <w:sz w:val="24"/>
          <w:szCs w:val="24"/>
          <w:highlight w:val="none"/>
          <w:u w:val="none"/>
        </w:rPr>
        <w:t>山西省政府采购评</w:t>
      </w:r>
      <w:r>
        <w:rPr>
          <w:rFonts w:hint="eastAsia" w:ascii="仿宋" w:hAnsi="仿宋" w:eastAsia="仿宋" w:cs="仿宋"/>
          <w:kern w:val="0"/>
          <w:sz w:val="24"/>
          <w:szCs w:val="24"/>
          <w:highlight w:val="none"/>
          <w:u w:val="none"/>
          <w:lang w:val="en-US" w:eastAsia="zh-CN"/>
        </w:rPr>
        <w:t>标</w:t>
      </w:r>
      <w:r>
        <w:rPr>
          <w:rFonts w:hint="eastAsia" w:ascii="仿宋" w:hAnsi="仿宋" w:eastAsia="仿宋" w:cs="仿宋"/>
          <w:kern w:val="0"/>
          <w:sz w:val="24"/>
          <w:szCs w:val="24"/>
          <w:highlight w:val="none"/>
          <w:u w:val="none"/>
        </w:rPr>
        <w:t>专家库中</w:t>
      </w:r>
      <w:r>
        <w:rPr>
          <w:rFonts w:hint="eastAsia" w:ascii="仿宋" w:hAnsi="仿宋" w:eastAsia="仿宋" w:cs="仿宋"/>
          <w:kern w:val="0"/>
          <w:sz w:val="24"/>
          <w:szCs w:val="24"/>
          <w:highlight w:val="none"/>
        </w:rPr>
        <w:t>，通过随机抽取方式产生。对技术复杂、专业性强的采购项目，通过随机方式难以确定合适评审专家的，</w:t>
      </w:r>
      <w:r>
        <w:rPr>
          <w:rFonts w:hint="eastAsia" w:ascii="仿宋" w:hAnsi="仿宋" w:eastAsia="仿宋" w:cs="仿宋"/>
          <w:bCs/>
          <w:kern w:val="0"/>
          <w:sz w:val="24"/>
          <w:szCs w:val="24"/>
          <w:highlight w:val="none"/>
        </w:rPr>
        <w:t>经主管预算单位同意，采购人可以自行选定相应专业领域的评审专家。</w:t>
      </w:r>
    </w:p>
    <w:p w14:paraId="11253965">
      <w:pPr>
        <w:keepNext w:val="0"/>
        <w:keepLines w:val="0"/>
        <w:pageBreakBefore w:val="0"/>
        <w:widowControl w:val="0"/>
        <w:tabs>
          <w:tab w:val="left" w:pos="567"/>
        </w:tabs>
        <w:kinsoku/>
        <w:wordWrap/>
        <w:bidi w:val="0"/>
        <w:snapToGrid w:val="0"/>
        <w:spacing w:line="56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21.5评标</w:t>
      </w:r>
      <w:r>
        <w:rPr>
          <w:rFonts w:hint="eastAsia" w:ascii="仿宋" w:hAnsi="仿宋" w:eastAsia="仿宋" w:cs="仿宋"/>
          <w:color w:val="000000"/>
          <w:kern w:val="0"/>
          <w:sz w:val="24"/>
          <w:szCs w:val="24"/>
          <w:highlight w:val="none"/>
        </w:rPr>
        <w:t>中因评</w:t>
      </w:r>
      <w:r>
        <w:rPr>
          <w:rFonts w:hint="eastAsia" w:ascii="仿宋" w:hAnsi="仿宋" w:eastAsia="仿宋" w:cs="仿宋"/>
          <w:color w:val="000000"/>
          <w:kern w:val="0"/>
          <w:sz w:val="24"/>
          <w:szCs w:val="24"/>
          <w:highlight w:val="none"/>
          <w:lang w:val="en-US" w:eastAsia="zh-CN"/>
        </w:rPr>
        <w:t>标</w:t>
      </w:r>
      <w:r>
        <w:rPr>
          <w:rFonts w:hint="eastAsia" w:ascii="仿宋" w:hAnsi="仿宋" w:eastAsia="仿宋" w:cs="仿宋"/>
          <w:color w:val="000000"/>
          <w:kern w:val="0"/>
          <w:sz w:val="24"/>
          <w:szCs w:val="24"/>
          <w:highlight w:val="none"/>
        </w:rPr>
        <w:t>专家缺席、回避或者健康等特殊原因，导致</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成员组成不符合相关规定的，</w:t>
      </w:r>
      <w:r>
        <w:rPr>
          <w:rFonts w:hint="eastAsia" w:ascii="仿宋" w:hAnsi="仿宋" w:eastAsia="仿宋" w:cs="仿宋"/>
          <w:color w:val="000000"/>
          <w:kern w:val="0"/>
          <w:sz w:val="24"/>
          <w:szCs w:val="24"/>
          <w:highlight w:val="none"/>
          <w:lang w:val="en-US" w:eastAsia="zh-CN"/>
        </w:rPr>
        <w:t>采购</w:t>
      </w:r>
      <w:r>
        <w:rPr>
          <w:rFonts w:hint="eastAsia" w:ascii="仿宋" w:hAnsi="仿宋" w:eastAsia="仿宋" w:cs="仿宋"/>
          <w:color w:val="000000"/>
          <w:kern w:val="0"/>
          <w:sz w:val="24"/>
          <w:szCs w:val="24"/>
          <w:highlight w:val="none"/>
        </w:rPr>
        <w:t>代理机构应当补足后继续</w:t>
      </w:r>
      <w:r>
        <w:rPr>
          <w:rFonts w:hint="eastAsia" w:ascii="仿宋" w:hAnsi="仿宋" w:eastAsia="仿宋" w:cs="仿宋"/>
          <w:color w:val="000000"/>
          <w:kern w:val="0"/>
          <w:sz w:val="24"/>
          <w:szCs w:val="24"/>
          <w:highlight w:val="none"/>
          <w:lang w:val="en-US" w:eastAsia="zh-CN"/>
        </w:rPr>
        <w:t>评标</w:t>
      </w:r>
      <w:r>
        <w:rPr>
          <w:rFonts w:hint="eastAsia" w:ascii="仿宋" w:hAnsi="仿宋" w:eastAsia="仿宋" w:cs="仿宋"/>
          <w:color w:val="000000"/>
          <w:kern w:val="0"/>
          <w:sz w:val="24"/>
          <w:szCs w:val="24"/>
          <w:highlight w:val="none"/>
        </w:rPr>
        <w:t>。被更换的</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成员所做出的</w:t>
      </w:r>
      <w:r>
        <w:rPr>
          <w:rFonts w:hint="eastAsia" w:ascii="仿宋" w:hAnsi="仿宋" w:eastAsia="仿宋" w:cs="仿宋"/>
          <w:color w:val="000000"/>
          <w:kern w:val="0"/>
          <w:sz w:val="24"/>
          <w:szCs w:val="24"/>
          <w:highlight w:val="none"/>
          <w:lang w:val="en-US" w:eastAsia="zh-CN"/>
        </w:rPr>
        <w:t>评审</w:t>
      </w:r>
      <w:r>
        <w:rPr>
          <w:rFonts w:hint="eastAsia" w:ascii="仿宋" w:hAnsi="仿宋" w:eastAsia="仿宋" w:cs="仿宋"/>
          <w:color w:val="000000"/>
          <w:kern w:val="0"/>
          <w:sz w:val="24"/>
          <w:szCs w:val="24"/>
          <w:highlight w:val="none"/>
        </w:rPr>
        <w:t>意见无效。</w:t>
      </w:r>
    </w:p>
    <w:p w14:paraId="64A796D1">
      <w:pPr>
        <w:keepNext w:val="0"/>
        <w:keepLines w:val="0"/>
        <w:pageBreakBefore w:val="0"/>
        <w:widowControl w:val="0"/>
        <w:tabs>
          <w:tab w:val="left" w:pos="567"/>
        </w:tabs>
        <w:kinsoku/>
        <w:wordWrap/>
        <w:bidi w:val="0"/>
        <w:snapToGrid w:val="0"/>
        <w:spacing w:line="56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21.6</w:t>
      </w:r>
      <w:r>
        <w:rPr>
          <w:rFonts w:hint="eastAsia" w:ascii="仿宋" w:hAnsi="仿宋" w:eastAsia="仿宋" w:cs="仿宋"/>
          <w:color w:val="000000"/>
          <w:kern w:val="0"/>
          <w:sz w:val="24"/>
          <w:szCs w:val="24"/>
          <w:highlight w:val="none"/>
        </w:rPr>
        <w:t>无法及时补足</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成员时，</w:t>
      </w:r>
      <w:r>
        <w:rPr>
          <w:rFonts w:hint="eastAsia" w:ascii="仿宋" w:hAnsi="仿宋" w:eastAsia="仿宋" w:cs="仿宋"/>
          <w:color w:val="000000"/>
          <w:kern w:val="0"/>
          <w:sz w:val="24"/>
          <w:szCs w:val="24"/>
          <w:highlight w:val="none"/>
          <w:lang w:val="en-US" w:eastAsia="zh-CN"/>
        </w:rPr>
        <w:t>采购</w:t>
      </w:r>
      <w:r>
        <w:rPr>
          <w:rFonts w:hint="eastAsia" w:ascii="仿宋" w:hAnsi="仿宋" w:eastAsia="仿宋" w:cs="仿宋"/>
          <w:color w:val="000000"/>
          <w:kern w:val="0"/>
          <w:sz w:val="24"/>
          <w:szCs w:val="24"/>
          <w:highlight w:val="none"/>
        </w:rPr>
        <w:t>代理机构应当停止</w:t>
      </w:r>
      <w:r>
        <w:rPr>
          <w:rFonts w:hint="eastAsia" w:ascii="仿宋" w:hAnsi="仿宋" w:eastAsia="仿宋" w:cs="仿宋"/>
          <w:color w:val="000000"/>
          <w:kern w:val="0"/>
          <w:sz w:val="24"/>
          <w:szCs w:val="24"/>
          <w:highlight w:val="none"/>
          <w:lang w:val="en-US" w:eastAsia="zh-CN"/>
        </w:rPr>
        <w:t>评审</w:t>
      </w:r>
      <w:r>
        <w:rPr>
          <w:rFonts w:hint="eastAsia" w:ascii="仿宋" w:hAnsi="仿宋" w:eastAsia="仿宋" w:cs="仿宋"/>
          <w:color w:val="000000"/>
          <w:kern w:val="0"/>
          <w:sz w:val="24"/>
          <w:szCs w:val="24"/>
          <w:highlight w:val="none"/>
        </w:rPr>
        <w:t>活动，封存所有</w:t>
      </w:r>
      <w:r>
        <w:rPr>
          <w:rFonts w:hint="eastAsia" w:ascii="仿宋" w:hAnsi="仿宋" w:eastAsia="仿宋" w:cs="仿宋"/>
          <w:color w:val="000000"/>
          <w:kern w:val="0"/>
          <w:sz w:val="24"/>
          <w:szCs w:val="24"/>
          <w:highlight w:val="none"/>
          <w:lang w:val="en-US" w:eastAsia="zh-CN"/>
        </w:rPr>
        <w:t>投标</w:t>
      </w:r>
      <w:r>
        <w:rPr>
          <w:rFonts w:hint="eastAsia" w:ascii="仿宋" w:hAnsi="仿宋" w:eastAsia="仿宋" w:cs="仿宋"/>
          <w:color w:val="000000"/>
          <w:kern w:val="0"/>
          <w:sz w:val="24"/>
          <w:szCs w:val="24"/>
          <w:highlight w:val="none"/>
        </w:rPr>
        <w:t>文件及评审资料，重新组建</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进行</w:t>
      </w:r>
      <w:r>
        <w:rPr>
          <w:rFonts w:hint="eastAsia" w:ascii="仿宋" w:hAnsi="仿宋" w:eastAsia="仿宋" w:cs="仿宋"/>
          <w:color w:val="000000"/>
          <w:kern w:val="0"/>
          <w:sz w:val="24"/>
          <w:szCs w:val="24"/>
          <w:highlight w:val="none"/>
          <w:lang w:val="en-US" w:eastAsia="zh-CN"/>
        </w:rPr>
        <w:t>评审</w:t>
      </w:r>
      <w:r>
        <w:rPr>
          <w:rFonts w:hint="eastAsia" w:ascii="仿宋" w:hAnsi="仿宋" w:eastAsia="仿宋" w:cs="仿宋"/>
          <w:color w:val="000000"/>
          <w:kern w:val="0"/>
          <w:sz w:val="24"/>
          <w:szCs w:val="24"/>
          <w:highlight w:val="none"/>
        </w:rPr>
        <w:t>。原</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所做出的</w:t>
      </w:r>
      <w:r>
        <w:rPr>
          <w:rFonts w:hint="eastAsia" w:ascii="仿宋" w:hAnsi="仿宋" w:eastAsia="仿宋" w:cs="仿宋"/>
          <w:color w:val="000000"/>
          <w:kern w:val="0"/>
          <w:sz w:val="24"/>
          <w:szCs w:val="24"/>
          <w:highlight w:val="none"/>
          <w:lang w:val="en-US" w:eastAsia="zh-CN"/>
        </w:rPr>
        <w:t>评审</w:t>
      </w:r>
      <w:r>
        <w:rPr>
          <w:rFonts w:hint="eastAsia" w:ascii="仿宋" w:hAnsi="仿宋" w:eastAsia="仿宋" w:cs="仿宋"/>
          <w:color w:val="000000"/>
          <w:kern w:val="0"/>
          <w:sz w:val="24"/>
          <w:szCs w:val="24"/>
          <w:highlight w:val="none"/>
        </w:rPr>
        <w:t>意见无效。</w:t>
      </w:r>
    </w:p>
    <w:p w14:paraId="364066F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color w:val="000000"/>
          <w:kern w:val="0"/>
          <w:sz w:val="24"/>
          <w:szCs w:val="24"/>
          <w:highlight w:val="none"/>
          <w:lang w:val="en-US" w:eastAsia="zh-CN"/>
        </w:rPr>
        <w:t>21.7采购</w:t>
      </w:r>
      <w:r>
        <w:rPr>
          <w:rFonts w:hint="eastAsia" w:ascii="仿宋" w:hAnsi="仿宋" w:eastAsia="仿宋" w:cs="仿宋"/>
          <w:color w:val="000000"/>
          <w:kern w:val="0"/>
          <w:sz w:val="24"/>
          <w:szCs w:val="24"/>
          <w:highlight w:val="none"/>
        </w:rPr>
        <w:t>代理机构应当将变更、重新组建</w:t>
      </w:r>
      <w:r>
        <w:rPr>
          <w:rFonts w:hint="eastAsia" w:ascii="仿宋" w:hAnsi="仿宋" w:eastAsia="仿宋" w:cs="仿宋"/>
          <w:color w:val="000000"/>
          <w:kern w:val="0"/>
          <w:sz w:val="24"/>
          <w:szCs w:val="24"/>
          <w:highlight w:val="none"/>
          <w:lang w:val="en-US" w:eastAsia="zh-CN"/>
        </w:rPr>
        <w:t>评标委员会</w:t>
      </w:r>
      <w:r>
        <w:rPr>
          <w:rFonts w:hint="eastAsia" w:ascii="仿宋" w:hAnsi="仿宋" w:eastAsia="仿宋" w:cs="仿宋"/>
          <w:color w:val="000000"/>
          <w:kern w:val="0"/>
          <w:sz w:val="24"/>
          <w:szCs w:val="24"/>
          <w:highlight w:val="none"/>
        </w:rPr>
        <w:t>的情况予以记录，并随</w:t>
      </w:r>
      <w:r>
        <w:rPr>
          <w:rFonts w:hint="eastAsia" w:ascii="仿宋" w:hAnsi="仿宋" w:eastAsia="仿宋" w:cs="仿宋"/>
          <w:color w:val="000000"/>
          <w:kern w:val="0"/>
          <w:sz w:val="24"/>
          <w:szCs w:val="24"/>
          <w:highlight w:val="none"/>
          <w:lang w:val="en-US" w:eastAsia="zh-CN"/>
        </w:rPr>
        <w:t>招标</w:t>
      </w:r>
      <w:r>
        <w:rPr>
          <w:rFonts w:hint="eastAsia" w:ascii="仿宋" w:hAnsi="仿宋" w:eastAsia="仿宋" w:cs="仿宋"/>
          <w:color w:val="000000"/>
          <w:kern w:val="0"/>
          <w:sz w:val="24"/>
          <w:szCs w:val="24"/>
          <w:highlight w:val="none"/>
        </w:rPr>
        <w:t>文件一并存档。</w:t>
      </w:r>
    </w:p>
    <w:p w14:paraId="5A58CC35">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22</w:t>
      </w:r>
      <w:r>
        <w:rPr>
          <w:rFonts w:hint="eastAsia" w:ascii="仿宋" w:hAnsi="仿宋" w:eastAsia="仿宋" w:cs="仿宋"/>
          <w:b/>
          <w:bCs/>
          <w:sz w:val="24"/>
          <w:szCs w:val="24"/>
          <w:highlight w:val="none"/>
        </w:rPr>
        <w:t>.投标文件初审</w:t>
      </w:r>
    </w:p>
    <w:p w14:paraId="057A872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.1投标文件初审包括资格性检查和符合性检查。评标委员会对投标文件的判定,只依据投标文件内容本身。</w:t>
      </w:r>
    </w:p>
    <w:p w14:paraId="756F5DF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2资格性检查：由采购人依据法律法规和招标文件的规定，对各投标供应商投标文件中的资格证明等进行审查，以确定投标供应商是否具备投标资格。经审查如果投标供应商投标文件中资格不符合招标文件要求的资格条件的，</w:t>
      </w:r>
      <w:r>
        <w:rPr>
          <w:rFonts w:hint="eastAsia" w:ascii="仿宋" w:hAnsi="仿宋" w:eastAsia="仿宋" w:cs="仿宋"/>
          <w:b/>
          <w:bCs/>
          <w:sz w:val="24"/>
          <w:szCs w:val="24"/>
          <w:highlight w:val="none"/>
        </w:rPr>
        <w:t>将作无效投标处理</w:t>
      </w:r>
      <w:r>
        <w:rPr>
          <w:rFonts w:hint="eastAsia" w:ascii="仿宋" w:hAnsi="仿宋" w:eastAsia="仿宋" w:cs="仿宋"/>
          <w:sz w:val="24"/>
          <w:szCs w:val="24"/>
          <w:highlight w:val="none"/>
        </w:rPr>
        <w:t>。</w:t>
      </w:r>
    </w:p>
    <w:p w14:paraId="7826ED5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.3符合性检查：由评标委员会依据招标文件的规定，从资格性审查合格的3家及以上供应商投标文件的有效性、完整性和对招标文件的响应程度进行审查，以确定是否对招标文件的实质性要求作出响应</w:t>
      </w:r>
      <w:r>
        <w:rPr>
          <w:rFonts w:hint="eastAsia" w:ascii="仿宋" w:hAnsi="仿宋" w:eastAsia="仿宋" w:cs="仿宋"/>
          <w:sz w:val="24"/>
          <w:szCs w:val="24"/>
          <w:highlight w:val="none"/>
          <w:lang w:eastAsia="zh-CN"/>
        </w:rPr>
        <w:t>，包括但不限于：</w:t>
      </w:r>
    </w:p>
    <w:p w14:paraId="4EEE351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本文件“供应商须知前附表”</w:t>
      </w:r>
      <w:r>
        <w:rPr>
          <w:rFonts w:hint="eastAsia" w:ascii="仿宋" w:hAnsi="仿宋" w:eastAsia="仿宋" w:cs="仿宋"/>
          <w:sz w:val="24"/>
          <w:szCs w:val="24"/>
          <w:highlight w:val="none"/>
          <w:lang w:val="en-US" w:eastAsia="zh-CN"/>
        </w:rPr>
        <w:t>里</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文件的组成及相关要求”中带★部分的文件不全或无效的；</w:t>
      </w:r>
    </w:p>
    <w:p w14:paraId="3D28385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未按</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文件的规定签署、盖章的；</w:t>
      </w:r>
    </w:p>
    <w:p w14:paraId="3D249A7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投标有效期不足的；</w:t>
      </w:r>
    </w:p>
    <w:p w14:paraId="7637B56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报价服务的范围及</w:t>
      </w:r>
      <w:r>
        <w:rPr>
          <w:rFonts w:hint="eastAsia" w:ascii="仿宋" w:hAnsi="仿宋" w:eastAsia="仿宋" w:cs="仿宋"/>
          <w:sz w:val="24"/>
          <w:szCs w:val="24"/>
          <w:highlight w:val="none"/>
          <w:lang w:val="en-US" w:eastAsia="zh-CN"/>
        </w:rPr>
        <w:t>合同履行期限</w:t>
      </w:r>
      <w:r>
        <w:rPr>
          <w:rFonts w:hint="eastAsia" w:ascii="仿宋" w:hAnsi="仿宋" w:eastAsia="仿宋" w:cs="仿宋"/>
          <w:sz w:val="24"/>
          <w:szCs w:val="24"/>
          <w:highlight w:val="none"/>
        </w:rPr>
        <w:t>等不满足招标文件中的相关要求和超出采购人可接受的偏差范围的；</w:t>
      </w:r>
    </w:p>
    <w:p w14:paraId="1167A9B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未按照招标文件规定报价的；</w:t>
      </w:r>
    </w:p>
    <w:p w14:paraId="103092DC">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联合体投标文件未附联合体投标协议书的；</w:t>
      </w:r>
    </w:p>
    <w:p w14:paraId="75FE592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投标文件附有本</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不能接受的条件；</w:t>
      </w:r>
    </w:p>
    <w:p w14:paraId="0BE199C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不符合招标文件中规定的其他实质性要求。</w:t>
      </w:r>
    </w:p>
    <w:p w14:paraId="1774ADD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22.4</w:t>
      </w:r>
      <w:r>
        <w:rPr>
          <w:rFonts w:hint="eastAsia" w:ascii="仿宋" w:hAnsi="仿宋" w:eastAsia="仿宋" w:cs="仿宋"/>
          <w:sz w:val="24"/>
          <w:szCs w:val="24"/>
          <w:highlight w:val="none"/>
        </w:rPr>
        <w:t>重大偏离不允许在开标后修正，但评标委员会将允许修正投标中不构成重大偏离的地方，这些修正不会对其他实质上响应招标文件要求的供应商的竞争地位产生不公正的影响。</w:t>
      </w:r>
    </w:p>
    <w:p w14:paraId="37FE061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22.5</w:t>
      </w:r>
      <w:r>
        <w:rPr>
          <w:rFonts w:hint="eastAsia" w:ascii="仿宋" w:hAnsi="仿宋" w:eastAsia="仿宋" w:cs="仿宋"/>
          <w:sz w:val="24"/>
          <w:szCs w:val="24"/>
          <w:highlight w:val="none"/>
        </w:rPr>
        <w:t>如果投标文件实质上没有响应招标文件的要求，评标委员会将作无效投标处理，供应商不得再对投标文件进行任何修正从而使其投标成为实质上响应的投标。</w:t>
      </w:r>
    </w:p>
    <w:p w14:paraId="1E8F70E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22.6</w:t>
      </w:r>
      <w:r>
        <w:rPr>
          <w:rFonts w:hint="eastAsia" w:ascii="仿宋" w:hAnsi="仿宋" w:eastAsia="仿宋" w:cs="仿宋"/>
          <w:sz w:val="24"/>
          <w:szCs w:val="24"/>
          <w:highlight w:val="none"/>
        </w:rPr>
        <w:t>投标文件的细微偏差是指在实质上响应招标文件要求，但在个别地方存在漏项或者提供了不完整的技术信息和数据等情况，并且补正这些遗漏或者不完整不会对其他供应商造成不公平的结果。细微偏差不影响投标文件的有效性。</w:t>
      </w:r>
    </w:p>
    <w:p w14:paraId="3F1EACB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22.7</w:t>
      </w:r>
      <w:r>
        <w:rPr>
          <w:rFonts w:hint="eastAsia" w:ascii="仿宋" w:hAnsi="仿宋" w:eastAsia="仿宋" w:cs="仿宋"/>
          <w:sz w:val="24"/>
          <w:szCs w:val="24"/>
          <w:highlight w:val="none"/>
        </w:rPr>
        <w:t>审查中，对明显的文字和计算错误按下述原则处理：</w:t>
      </w:r>
    </w:p>
    <w:p w14:paraId="4617FEA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如果正本与副本不一致，以正本为准；</w:t>
      </w:r>
    </w:p>
    <w:p w14:paraId="2A61BD23">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投标报价一览表内容与投标文件中明细表内容不一致的,以投标报价一览表为准；</w:t>
      </w:r>
    </w:p>
    <w:p w14:paraId="355C08C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如果大小写金额不一致的，以大写金额为准；总价金额与按单价汇总金额不一致的，以单价金额计算结果为准；单价金额小数点有明显错误的，应以总价为准，并修改单价； </w:t>
      </w:r>
    </w:p>
    <w:p w14:paraId="65E98B6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调整后的数据应对供应商具有约束力。</w:t>
      </w:r>
    </w:p>
    <w:p w14:paraId="248FC011">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23</w:t>
      </w:r>
      <w:r>
        <w:rPr>
          <w:rFonts w:hint="eastAsia" w:ascii="仿宋" w:hAnsi="仿宋" w:eastAsia="仿宋" w:cs="仿宋"/>
          <w:b/>
          <w:bCs/>
          <w:sz w:val="24"/>
          <w:szCs w:val="24"/>
          <w:highlight w:val="none"/>
        </w:rPr>
        <w:t>.投标的澄清</w:t>
      </w:r>
    </w:p>
    <w:p w14:paraId="747B709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.1评标委员会有权要求供应商对投标文件中含义不明确、同类问题表述不一致或者有明显文字和计算错误等内容作必要的澄清、说明或者纠正。该要求应当采用书面形式,并由评标委员会成员共同签字确认。</w:t>
      </w:r>
    </w:p>
    <w:p w14:paraId="64723A9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2供应商必须按照评标委员会要求的内容和时间做出书面答复，该答复须经法定代表人或供应商代表签字认可，将作为投标文件内容的一部分。澄清、说明或者纠正不得超出投标文件的范围或者改变投标文件的实质性内容。</w:t>
      </w:r>
    </w:p>
    <w:p w14:paraId="295709E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3如评标委员会一致认为某个供应商的报价明显不合理，有降低质量、不能诚信履行或者是价格虚高、物无所值等情形时，评标委员会有权决定是否通知供应商限期进行书面解释或提供相关证明材料。该供应商在规定期限内未做出解释、做出的解释不合理或不能提供证明材料的，</w:t>
      </w:r>
      <w:r>
        <w:rPr>
          <w:rFonts w:hint="eastAsia" w:ascii="仿宋" w:hAnsi="仿宋" w:eastAsia="仿宋" w:cs="仿宋"/>
          <w:b/>
          <w:bCs/>
          <w:sz w:val="24"/>
          <w:szCs w:val="24"/>
          <w:highlight w:val="none"/>
        </w:rPr>
        <w:t>评标委员会可作无效投标处理</w:t>
      </w:r>
      <w:r>
        <w:rPr>
          <w:rFonts w:hint="eastAsia" w:ascii="仿宋" w:hAnsi="仿宋" w:eastAsia="仿宋" w:cs="仿宋"/>
          <w:sz w:val="24"/>
          <w:szCs w:val="24"/>
          <w:highlight w:val="none"/>
        </w:rPr>
        <w:t>。</w:t>
      </w:r>
    </w:p>
    <w:p w14:paraId="3D952454">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24.</w:t>
      </w:r>
      <w:r>
        <w:rPr>
          <w:rFonts w:hint="eastAsia" w:ascii="仿宋" w:hAnsi="仿宋" w:eastAsia="仿宋" w:cs="仿宋"/>
          <w:b/>
          <w:bCs/>
          <w:sz w:val="24"/>
          <w:szCs w:val="24"/>
          <w:highlight w:val="none"/>
        </w:rPr>
        <w:t>比较与评价</w:t>
      </w:r>
    </w:p>
    <w:p w14:paraId="3B8D197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评标委员会只对资格性审查和符合性审查合格的投标文件进行评价和比较；评审应严格按照</w:t>
      </w:r>
      <w:r>
        <w:rPr>
          <w:rFonts w:hint="eastAsia" w:ascii="仿宋" w:hAnsi="仿宋" w:eastAsia="仿宋" w:cs="仿宋"/>
          <w:b/>
          <w:bCs/>
          <w:sz w:val="24"/>
          <w:szCs w:val="24"/>
          <w:highlight w:val="none"/>
        </w:rPr>
        <w:t>招标文件中规定的评标标准、方法和中标条件</w:t>
      </w:r>
      <w:r>
        <w:rPr>
          <w:rFonts w:hint="eastAsia" w:ascii="仿宋" w:hAnsi="仿宋" w:eastAsia="仿宋" w:cs="仿宋"/>
          <w:sz w:val="24"/>
          <w:szCs w:val="24"/>
          <w:highlight w:val="none"/>
        </w:rPr>
        <w:t>进行。</w:t>
      </w:r>
    </w:p>
    <w:p w14:paraId="25922C24">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25.</w:t>
      </w:r>
      <w:r>
        <w:rPr>
          <w:rFonts w:hint="eastAsia" w:ascii="仿宋" w:hAnsi="仿宋" w:eastAsia="仿宋" w:cs="仿宋"/>
          <w:b/>
          <w:bCs/>
          <w:sz w:val="24"/>
          <w:szCs w:val="24"/>
          <w:highlight w:val="none"/>
        </w:rPr>
        <w:t>评审复核</w:t>
      </w:r>
    </w:p>
    <w:p w14:paraId="719F017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评标委员会要对评审数据进行校对、核对，对畸高、畸低的重大差异评分进行复核；要对评分汇总情况进行复核，特别是对排名第一的、报价最低的、投标或相应文件被认定为无效的情形进行重点复核。</w:t>
      </w:r>
    </w:p>
    <w:p w14:paraId="74F82CB4">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26</w:t>
      </w:r>
      <w:r>
        <w:rPr>
          <w:rFonts w:hint="eastAsia" w:ascii="仿宋" w:hAnsi="仿宋" w:eastAsia="仿宋" w:cs="仿宋"/>
          <w:b/>
          <w:bCs/>
          <w:sz w:val="24"/>
          <w:szCs w:val="24"/>
          <w:highlight w:val="none"/>
        </w:rPr>
        <w:t>.确定中标候选供应商名单</w:t>
      </w:r>
    </w:p>
    <w:p w14:paraId="2013736C">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根据详细评审结果按得分由高到低顺序排列中标候选供应商，确定排名第一的中标候选供应商为中标供应商。得分相同的，按投标报价由低到高顺序排列。得分且投标报价相同的，按技术指标优劣顺序排列。</w:t>
      </w:r>
    </w:p>
    <w:p w14:paraId="40FDA253">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27.</w:t>
      </w:r>
      <w:r>
        <w:rPr>
          <w:rFonts w:hint="eastAsia" w:ascii="仿宋" w:hAnsi="仿宋" w:eastAsia="仿宋" w:cs="仿宋"/>
          <w:b/>
          <w:bCs/>
          <w:sz w:val="24"/>
          <w:szCs w:val="24"/>
          <w:highlight w:val="none"/>
        </w:rPr>
        <w:t>编写评标报告</w:t>
      </w:r>
    </w:p>
    <w:p w14:paraId="6742E0F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评标委员会组长根据全体评标成员签字的原始记录和评标结果编写评标报告，并由全体评标成员共同签字确认。</w:t>
      </w:r>
    </w:p>
    <w:p w14:paraId="54B779AE">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28.</w:t>
      </w:r>
      <w:r>
        <w:rPr>
          <w:rFonts w:hint="eastAsia" w:ascii="仿宋" w:hAnsi="仿宋" w:eastAsia="仿宋" w:cs="仿宋"/>
          <w:b/>
          <w:bCs/>
          <w:sz w:val="24"/>
          <w:szCs w:val="24"/>
          <w:highlight w:val="none"/>
        </w:rPr>
        <w:t>评标过程保密</w:t>
      </w:r>
    </w:p>
    <w:p w14:paraId="1C891E7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开标之后，直到授予中标供应商合同止，凡是属于审查、澄清、评价和比较投标的有关资料以及授标意向等，均不得向供应商或其他与评标无关的人员透露。</w:t>
      </w:r>
    </w:p>
    <w:p w14:paraId="3376F002">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29.</w:t>
      </w:r>
      <w:r>
        <w:rPr>
          <w:rFonts w:hint="eastAsia" w:ascii="仿宋" w:hAnsi="仿宋" w:eastAsia="仿宋" w:cs="仿宋"/>
          <w:b/>
          <w:bCs/>
          <w:sz w:val="24"/>
          <w:szCs w:val="24"/>
          <w:highlight w:val="none"/>
        </w:rPr>
        <w:t>关于供应商瑕疵滞后发现的处理规则</w:t>
      </w:r>
    </w:p>
    <w:p w14:paraId="5CD0356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无论基于何种原因，各项本应作拒绝投标和无效投标处理的情形，即便未被及时发现而使该供应商进入初审、详细评审或其它后续程序，包括已经签约的情形，一旦被发现存在上述情形，</w:t>
      </w:r>
      <w:r>
        <w:rPr>
          <w:rFonts w:hint="eastAsia" w:ascii="仿宋" w:hAnsi="仿宋" w:eastAsia="仿宋" w:cs="仿宋"/>
          <w:b/>
          <w:bCs/>
          <w:sz w:val="24"/>
          <w:szCs w:val="24"/>
          <w:highlight w:val="none"/>
          <w:lang w:val="en-US" w:eastAsia="zh-CN"/>
        </w:rPr>
        <w:t>采购人</w:t>
      </w:r>
      <w:r>
        <w:rPr>
          <w:rFonts w:hint="eastAsia" w:ascii="仿宋" w:hAnsi="仿宋" w:eastAsia="仿宋" w:cs="仿宋"/>
          <w:b/>
          <w:bCs/>
          <w:sz w:val="24"/>
          <w:szCs w:val="24"/>
          <w:highlight w:val="none"/>
        </w:rPr>
        <w:t>有权依法采取相应的纠正或补救措施</w:t>
      </w:r>
      <w:r>
        <w:rPr>
          <w:rFonts w:hint="eastAsia" w:ascii="仿宋" w:hAnsi="仿宋" w:eastAsia="仿宋" w:cs="仿宋"/>
          <w:sz w:val="24"/>
          <w:szCs w:val="24"/>
          <w:highlight w:val="none"/>
        </w:rPr>
        <w:t>。一旦此前评议结果被取消，其相关的一切损失均由该供应商承担。</w:t>
      </w:r>
    </w:p>
    <w:p w14:paraId="521F80D7">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30.</w:t>
      </w:r>
      <w:r>
        <w:rPr>
          <w:rFonts w:hint="eastAsia" w:ascii="仿宋" w:hAnsi="仿宋" w:eastAsia="仿宋" w:cs="仿宋"/>
          <w:b/>
          <w:bCs/>
          <w:sz w:val="24"/>
          <w:szCs w:val="24"/>
          <w:highlight w:val="none"/>
        </w:rPr>
        <w:t>采购项目废标</w:t>
      </w:r>
    </w:p>
    <w:p w14:paraId="046F356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.1在评标过程中，评标委员会发现有下列情形之一的，应对采购项目予以废标：</w:t>
      </w:r>
    </w:p>
    <w:p w14:paraId="55C8BD6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符合专业条件的投标供应商或者对招标文件作实质响应的供应商数量不足3家的；</w:t>
      </w:r>
    </w:p>
    <w:p w14:paraId="5D9A921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报价均超过采购预算</w:t>
      </w:r>
      <w:r>
        <w:rPr>
          <w:rFonts w:hint="eastAsia" w:ascii="仿宋" w:hAnsi="仿宋" w:eastAsia="仿宋" w:cs="仿宋"/>
          <w:sz w:val="24"/>
          <w:szCs w:val="24"/>
          <w:highlight w:val="none"/>
          <w:lang w:val="en-US" w:eastAsia="zh-CN"/>
        </w:rPr>
        <w:t>金额</w:t>
      </w:r>
      <w:r>
        <w:rPr>
          <w:rFonts w:hint="eastAsia" w:ascii="仿宋" w:hAnsi="仿宋" w:eastAsia="仿宋" w:cs="仿宋"/>
          <w:sz w:val="24"/>
          <w:szCs w:val="24"/>
          <w:highlight w:val="none"/>
        </w:rPr>
        <w:t>的；</w:t>
      </w:r>
    </w:p>
    <w:p w14:paraId="6B05906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出现影响采购公正的违法、违规行为的；</w:t>
      </w:r>
    </w:p>
    <w:p w14:paraId="2664463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因重大变故，采购任务取消的。</w:t>
      </w:r>
    </w:p>
    <w:p w14:paraId="47C79D8C">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采购项目废标后，评标委员会应做出书面报告。</w:t>
      </w:r>
    </w:p>
    <w:p w14:paraId="43FDB3A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.2 废标后，</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代理机构将在财政部门指定的媒体上发布废标结果公告，并依法重新组织采购活动。</w:t>
      </w:r>
    </w:p>
    <w:p w14:paraId="7EB39E5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.3投标截止时间结束后参加投标的供应商不足三家,或在评标期间出现对招标文件作出实质响应的供应商不足三家情形的，</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代理机构将视具体情况报告政府采购监管部门，按政府采购监管部门答复的意见改为其他方式继续采购。</w:t>
      </w:r>
    </w:p>
    <w:p w14:paraId="4E397D32">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bookmarkStart w:id="30" w:name="_Toc4044"/>
      <w:r>
        <w:rPr>
          <w:rFonts w:hint="eastAsia" w:ascii="仿宋" w:hAnsi="仿宋" w:eastAsia="仿宋" w:cs="仿宋"/>
          <w:b/>
          <w:color w:val="auto"/>
          <w:kern w:val="0"/>
          <w:sz w:val="24"/>
          <w:szCs w:val="24"/>
          <w:highlight w:val="none"/>
        </w:rPr>
        <w:t>七</w:t>
      </w:r>
      <w:r>
        <w:rPr>
          <w:rFonts w:hint="eastAsia" w:ascii="仿宋" w:hAnsi="仿宋" w:eastAsia="仿宋" w:cs="仿宋"/>
          <w:b/>
          <w:color w:val="auto"/>
          <w:kern w:val="0"/>
          <w:sz w:val="24"/>
          <w:szCs w:val="24"/>
          <w:highlight w:val="none"/>
          <w:lang w:val="en-US" w:eastAsia="zh-CN"/>
        </w:rPr>
        <w:t>.</w:t>
      </w:r>
      <w:r>
        <w:rPr>
          <w:rFonts w:hint="eastAsia" w:ascii="仿宋" w:hAnsi="仿宋" w:eastAsia="仿宋" w:cs="仿宋"/>
          <w:b/>
          <w:color w:val="auto"/>
          <w:kern w:val="0"/>
          <w:sz w:val="24"/>
          <w:szCs w:val="24"/>
          <w:highlight w:val="none"/>
        </w:rPr>
        <w:t>签订合同</w:t>
      </w:r>
      <w:bookmarkEnd w:id="30"/>
    </w:p>
    <w:p w14:paraId="677D6CDA">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31.</w:t>
      </w:r>
      <w:r>
        <w:rPr>
          <w:rFonts w:hint="eastAsia" w:ascii="仿宋" w:hAnsi="仿宋" w:eastAsia="仿宋" w:cs="仿宋"/>
          <w:b/>
          <w:bCs/>
          <w:sz w:val="24"/>
          <w:szCs w:val="24"/>
          <w:highlight w:val="none"/>
        </w:rPr>
        <w:t>中标通知</w:t>
      </w:r>
    </w:p>
    <w:p w14:paraId="1D29E35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.1中标供应商确定后,</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代理机构将在刊登本次招标公告的媒体上发布中标</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公告，并以书面形式向中标供应商发出中标通知书，但该中标结果的有效性不依赖于未中标的供应商是否知道中标结果。中标通知书对采购人和中标供应商具有同等法律效力。中标通知书发出以后，采购人改变中标结果或者中标供应商放弃中标，应当承担相应的法律责任。</w:t>
      </w:r>
    </w:p>
    <w:p w14:paraId="6C4EB78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代理机构对未中标的供应商不作未中标原因的解释。</w:t>
      </w:r>
    </w:p>
    <w:p w14:paraId="32BAC19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rPr>
        <w:t>.3中标通知书是合同的组成部分。</w:t>
      </w:r>
    </w:p>
    <w:p w14:paraId="2FD1A953">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32.</w:t>
      </w:r>
      <w:r>
        <w:rPr>
          <w:rFonts w:hint="eastAsia" w:ascii="仿宋" w:hAnsi="仿宋" w:eastAsia="仿宋" w:cs="仿宋"/>
          <w:b/>
          <w:bCs/>
          <w:sz w:val="24"/>
          <w:szCs w:val="24"/>
          <w:highlight w:val="none"/>
        </w:rPr>
        <w:t>签订合同</w:t>
      </w:r>
    </w:p>
    <w:p w14:paraId="7B2253F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.1中标供应商应在接到中标通知书30日内与采购人签订政府采购合同。</w:t>
      </w:r>
    </w:p>
    <w:p w14:paraId="3646722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.2中标供应商应按照招标文件、投标文件及评标过程中的有关澄清、说明或者补正文件的内容与采购人签订合同。中标供应商不得再与采购人签订背离合同实质性内容的其它协议或声明。</w:t>
      </w:r>
    </w:p>
    <w:p w14:paraId="6168AF6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.3中标供应商应当自合同或补充合同签订之日起五个工作日内，将合同副本报政府采购监督部门备案。</w:t>
      </w:r>
    </w:p>
    <w:p w14:paraId="7FC576A0">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33</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招标代理</w:t>
      </w:r>
      <w:r>
        <w:rPr>
          <w:rFonts w:hint="eastAsia" w:ascii="仿宋" w:hAnsi="仿宋" w:eastAsia="仿宋" w:cs="仿宋"/>
          <w:b/>
          <w:color w:val="auto"/>
          <w:kern w:val="0"/>
          <w:sz w:val="24"/>
          <w:szCs w:val="24"/>
          <w:highlight w:val="none"/>
        </w:rPr>
        <w:t>服务费</w:t>
      </w:r>
    </w:p>
    <w:p w14:paraId="12D7465C">
      <w:pPr>
        <w:pStyle w:val="45"/>
        <w:keepNext w:val="0"/>
        <w:keepLines w:val="0"/>
        <w:pageBreakBefore w:val="0"/>
        <w:widowControl w:val="0"/>
        <w:kinsoku/>
        <w:wordWrap/>
        <w:bidi w:val="0"/>
        <w:spacing w:line="560" w:lineRule="exact"/>
        <w:ind w:firstLine="480" w:firstLineChars="200"/>
        <w:jc w:val="left"/>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33</w:t>
      </w:r>
      <w:r>
        <w:rPr>
          <w:rFonts w:hint="eastAsia" w:ascii="仿宋" w:hAnsi="仿宋" w:eastAsia="仿宋" w:cs="仿宋"/>
          <w:color w:val="auto"/>
          <w:kern w:val="0"/>
          <w:sz w:val="24"/>
          <w:szCs w:val="24"/>
          <w:highlight w:val="none"/>
        </w:rPr>
        <w:t>.1</w:t>
      </w:r>
      <w:bookmarkStart w:id="31" w:name="_Toc8527"/>
      <w:r>
        <w:rPr>
          <w:rFonts w:hint="eastAsia" w:ascii="仿宋" w:hAnsi="仿宋" w:eastAsia="仿宋" w:cs="仿宋"/>
          <w:color w:val="auto"/>
          <w:kern w:val="0"/>
          <w:sz w:val="24"/>
          <w:szCs w:val="24"/>
          <w:highlight w:val="none"/>
        </w:rPr>
        <w:t>本次</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按国家有关规定收取</w:t>
      </w:r>
      <w:r>
        <w:rPr>
          <w:rFonts w:hint="eastAsia" w:ascii="仿宋" w:hAnsi="仿宋" w:eastAsia="仿宋" w:cs="仿宋"/>
          <w:color w:val="auto"/>
          <w:kern w:val="0"/>
          <w:sz w:val="24"/>
          <w:szCs w:val="24"/>
          <w:highlight w:val="none"/>
          <w:lang w:val="en-US" w:eastAsia="zh-CN"/>
        </w:rPr>
        <w:t>招标代理</w:t>
      </w:r>
      <w:r>
        <w:rPr>
          <w:rFonts w:hint="eastAsia" w:ascii="仿宋" w:hAnsi="仿宋" w:eastAsia="仿宋" w:cs="仿宋"/>
          <w:color w:val="auto"/>
          <w:kern w:val="0"/>
          <w:sz w:val="24"/>
          <w:szCs w:val="24"/>
          <w:highlight w:val="none"/>
        </w:rPr>
        <w:t>服务费，</w:t>
      </w:r>
      <w:r>
        <w:rPr>
          <w:rFonts w:hint="eastAsia" w:ascii="仿宋" w:hAnsi="仿宋" w:eastAsia="仿宋" w:cs="仿宋"/>
          <w:color w:val="000000"/>
          <w:kern w:val="0"/>
          <w:sz w:val="24"/>
          <w:szCs w:val="24"/>
          <w:highlight w:val="none"/>
          <w:lang w:val="en-US" w:eastAsia="zh-CN"/>
        </w:rPr>
        <w:t>采购代理</w:t>
      </w:r>
      <w:r>
        <w:rPr>
          <w:rFonts w:hint="eastAsia" w:ascii="仿宋" w:hAnsi="仿宋" w:eastAsia="仿宋" w:cs="仿宋"/>
          <w:color w:val="000000"/>
          <w:kern w:val="0"/>
          <w:sz w:val="24"/>
          <w:szCs w:val="24"/>
          <w:highlight w:val="none"/>
        </w:rPr>
        <w:t>服务费参照《采购代理服务收费管理暂行办法》（计价格[2002]1980号）及国家发改办价格[2003]857号文件。请供应商在测算报价时充分考虑这一因素。</w:t>
      </w:r>
    </w:p>
    <w:p w14:paraId="64ACF36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1"/>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33.2中标</w:t>
      </w:r>
      <w:r>
        <w:rPr>
          <w:rFonts w:hint="eastAsia" w:ascii="仿宋" w:hAnsi="仿宋" w:eastAsia="仿宋" w:cs="仿宋"/>
          <w:color w:val="000000"/>
          <w:kern w:val="0"/>
          <w:sz w:val="24"/>
          <w:szCs w:val="24"/>
          <w:highlight w:val="none"/>
        </w:rPr>
        <w:t>供应商在收到</w:t>
      </w:r>
      <w:r>
        <w:rPr>
          <w:rFonts w:hint="eastAsia" w:ascii="仿宋" w:hAnsi="仿宋" w:eastAsia="仿宋" w:cs="仿宋"/>
          <w:color w:val="000000"/>
          <w:kern w:val="0"/>
          <w:sz w:val="24"/>
          <w:szCs w:val="24"/>
          <w:highlight w:val="none"/>
          <w:lang w:val="en-US" w:eastAsia="zh-CN"/>
        </w:rPr>
        <w:t>中标</w:t>
      </w:r>
      <w:r>
        <w:rPr>
          <w:rFonts w:hint="eastAsia" w:ascii="仿宋" w:hAnsi="仿宋" w:eastAsia="仿宋" w:cs="仿宋"/>
          <w:color w:val="000000"/>
          <w:kern w:val="0"/>
          <w:sz w:val="24"/>
          <w:szCs w:val="24"/>
          <w:highlight w:val="none"/>
        </w:rPr>
        <w:t>通知书时，向采购代理机构一次性</w:t>
      </w:r>
      <w:r>
        <w:rPr>
          <w:rFonts w:hint="eastAsia" w:ascii="仿宋" w:hAnsi="仿宋" w:eastAsia="仿宋" w:cs="仿宋"/>
          <w:color w:val="000000"/>
          <w:kern w:val="0"/>
          <w:sz w:val="24"/>
          <w:szCs w:val="24"/>
          <w:highlight w:val="none"/>
          <w:lang w:val="en-US" w:eastAsia="zh-CN"/>
        </w:rPr>
        <w:t>缴纳代理</w:t>
      </w:r>
      <w:r>
        <w:rPr>
          <w:rFonts w:hint="eastAsia" w:ascii="仿宋" w:hAnsi="仿宋" w:eastAsia="仿宋" w:cs="仿宋"/>
          <w:color w:val="000000"/>
          <w:kern w:val="0"/>
          <w:sz w:val="24"/>
          <w:szCs w:val="24"/>
          <w:highlight w:val="none"/>
        </w:rPr>
        <w:t>服务费。</w:t>
      </w:r>
    </w:p>
    <w:p w14:paraId="37B0347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八.</w:t>
      </w:r>
      <w:r>
        <w:rPr>
          <w:rFonts w:hint="eastAsia" w:ascii="仿宋" w:hAnsi="仿宋" w:eastAsia="仿宋" w:cs="仿宋"/>
          <w:b/>
          <w:color w:val="auto"/>
          <w:kern w:val="0"/>
          <w:sz w:val="24"/>
          <w:szCs w:val="24"/>
          <w:highlight w:val="none"/>
        </w:rPr>
        <w:t>保密和披露</w:t>
      </w:r>
      <w:bookmarkEnd w:id="31"/>
    </w:p>
    <w:p w14:paraId="1F27B767">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34.</w:t>
      </w:r>
      <w:r>
        <w:rPr>
          <w:rFonts w:hint="eastAsia" w:ascii="仿宋" w:hAnsi="仿宋" w:eastAsia="仿宋" w:cs="仿宋"/>
          <w:b/>
          <w:bCs/>
          <w:sz w:val="24"/>
          <w:szCs w:val="24"/>
          <w:highlight w:val="none"/>
        </w:rPr>
        <w:t>保密</w:t>
      </w:r>
    </w:p>
    <w:p w14:paraId="52032AA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供应商自领取招标文件之日起，须承诺承担本招标项目下保密义务，不得将因本次招标获得的信息向第三人外传。</w:t>
      </w:r>
    </w:p>
    <w:p w14:paraId="7A5590BC">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35.</w:t>
      </w:r>
      <w:r>
        <w:rPr>
          <w:rFonts w:hint="eastAsia" w:ascii="仿宋" w:hAnsi="仿宋" w:eastAsia="仿宋" w:cs="仿宋"/>
          <w:b/>
          <w:bCs/>
          <w:sz w:val="24"/>
          <w:szCs w:val="24"/>
          <w:highlight w:val="none"/>
        </w:rPr>
        <w:t>披露</w:t>
      </w:r>
    </w:p>
    <w:p w14:paraId="0FA3408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代理机构有权将供应商提供的所有资料向有关政府部门或评审标书的有关人员披露。</w:t>
      </w:r>
    </w:p>
    <w:p w14:paraId="05743393">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.2在</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认为适当时、国家机关调查、审查、审计时以及其他符合法律规定的情形下，代理机构无须事先征求供应商/中标供应商同意而可以披露关于采购过程、合同文本、签署情况的资料、供应商/中标供应商的名称及地址、投标文件的有关信息以及补充条款等，但应当在合理的必要范围内。对任何已经公布过的内容或与之内容相同的资料，以及供应商/中标供应商已经泄露或公开的，无须再承担保密责任。</w:t>
      </w:r>
    </w:p>
    <w:p w14:paraId="0CBF8BC8">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lang w:val="en-US" w:eastAsia="zh-CN"/>
        </w:rPr>
      </w:pPr>
      <w:bookmarkStart w:id="32" w:name="_Toc22363"/>
      <w:r>
        <w:rPr>
          <w:rFonts w:hint="eastAsia" w:ascii="仿宋" w:hAnsi="仿宋" w:eastAsia="仿宋" w:cs="仿宋"/>
          <w:b/>
          <w:color w:val="auto"/>
          <w:kern w:val="0"/>
          <w:sz w:val="24"/>
          <w:szCs w:val="24"/>
          <w:highlight w:val="none"/>
          <w:lang w:val="en-US" w:eastAsia="zh-CN"/>
        </w:rPr>
        <w:t>九.询问和质疑</w:t>
      </w:r>
      <w:bookmarkEnd w:id="32"/>
    </w:p>
    <w:p w14:paraId="45A075AC">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36.</w:t>
      </w:r>
      <w:r>
        <w:rPr>
          <w:rFonts w:hint="eastAsia" w:ascii="仿宋" w:hAnsi="仿宋" w:eastAsia="仿宋" w:cs="仿宋"/>
          <w:b/>
          <w:bCs/>
          <w:sz w:val="24"/>
          <w:szCs w:val="24"/>
          <w:highlight w:val="none"/>
        </w:rPr>
        <w:t>询问</w:t>
      </w:r>
    </w:p>
    <w:p w14:paraId="1B6200B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供应商对政府采购活动事项、</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文件有询问或疑问的，可以口头或书面形式向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代理机构提出询问，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代理机构应当及时做出答复，但答复的内容不得涉及商业秘密。</w:t>
      </w:r>
    </w:p>
    <w:p w14:paraId="47AC5206">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37</w:t>
      </w:r>
      <w:r>
        <w:rPr>
          <w:rFonts w:hint="eastAsia" w:ascii="仿宋" w:hAnsi="仿宋" w:eastAsia="仿宋" w:cs="仿宋"/>
          <w:b/>
          <w:bCs/>
          <w:sz w:val="24"/>
          <w:szCs w:val="24"/>
          <w:highlight w:val="none"/>
        </w:rPr>
        <w:t>.质疑</w:t>
      </w:r>
    </w:p>
    <w:p w14:paraId="5E81F4F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程序受《中华人民共和国政府采购法》和相关法律法规的约束，并受到严格的内部监督，以确保授予合同过程的公平公正。</w:t>
      </w:r>
    </w:p>
    <w:p w14:paraId="6348E8E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.2供应商认为采购过程和中标结果使自己的权益受到损害的，可以在知道或者应知其权益受到损害之日起</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个工作日内，以书面形式向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代理机构提出质疑。</w:t>
      </w:r>
    </w:p>
    <w:p w14:paraId="7DDF56E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.3供应商已经参与了投标，并于开标后对招标文件提出质疑的，其质疑应当被视为无效质疑。</w:t>
      </w:r>
    </w:p>
    <w:p w14:paraId="52A6AA3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.4质疑应以书面形式向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代理机构提出，质疑函须经法定代表人签字并加盖公章。</w:t>
      </w:r>
    </w:p>
    <w:p w14:paraId="098EA5B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.5按照“谁主张、谁举证”的原则，质疑时应当提供相关证明材料。质疑材料按照一式二份提供。</w:t>
      </w:r>
    </w:p>
    <w:p w14:paraId="57E1B51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.6有下列情形之一的，属于无效质疑，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代理机构可不予受理：</w:t>
      </w:r>
    </w:p>
    <w:p w14:paraId="178C6EA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未在有效期限内提出质疑的；</w:t>
      </w:r>
    </w:p>
    <w:p w14:paraId="0594349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质疑未按格式要求以书面形式提出的；</w:t>
      </w:r>
    </w:p>
    <w:p w14:paraId="659130F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质疑函没有法定代表人签署并加盖单位公章的；</w:t>
      </w:r>
    </w:p>
    <w:p w14:paraId="65A415D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D</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质疑事项已经进入投诉或者诉讼程序的；</w:t>
      </w:r>
    </w:p>
    <w:p w14:paraId="3E92ECB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E</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其它不符合受理条件的情形。</w:t>
      </w:r>
    </w:p>
    <w:p w14:paraId="02F937C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代理机构将在收到书面质疑后7个工作日内作出答复或相关处理决定，并以书面形式通知质疑供应商和其他有关供应商。</w:t>
      </w:r>
    </w:p>
    <w:p w14:paraId="733C086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.8供应商进行虚假和恶意质疑的，</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代理机构可以提请政府采购监管部门将其列入不良记录名单，在一至三年内禁止参加政府采购活动，并将处理决定在相关政府采购媒体上公布。</w:t>
      </w:r>
    </w:p>
    <w:p w14:paraId="4D3792C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.9供应商对</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代理机构的答复不满意以及</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代理机构未在规定的时间内做出答复的，可以在答复期满后15个工作日内向政府采购监管部门进行投诉。</w:t>
      </w:r>
    </w:p>
    <w:p w14:paraId="4F9457A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lang w:val="en-US" w:eastAsia="zh-CN"/>
        </w:rPr>
      </w:pPr>
      <w:bookmarkStart w:id="33" w:name="_Toc9771"/>
      <w:r>
        <w:rPr>
          <w:rFonts w:hint="eastAsia" w:ascii="仿宋" w:hAnsi="仿宋" w:eastAsia="仿宋" w:cs="仿宋"/>
          <w:b/>
          <w:color w:val="auto"/>
          <w:kern w:val="0"/>
          <w:sz w:val="24"/>
          <w:szCs w:val="24"/>
          <w:highlight w:val="none"/>
          <w:lang w:val="en-US" w:eastAsia="zh-CN"/>
        </w:rPr>
        <w:t>十.违约处罚</w:t>
      </w:r>
      <w:bookmarkEnd w:id="33"/>
    </w:p>
    <w:p w14:paraId="34D80E93">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38</w:t>
      </w:r>
      <w:r>
        <w:rPr>
          <w:rFonts w:hint="eastAsia" w:ascii="仿宋" w:hAnsi="仿宋" w:eastAsia="仿宋" w:cs="仿宋"/>
          <w:b/>
          <w:bCs/>
          <w:sz w:val="24"/>
          <w:szCs w:val="24"/>
          <w:highlight w:val="none"/>
        </w:rPr>
        <w:t>.违约处罚</w:t>
      </w:r>
    </w:p>
    <w:p w14:paraId="2199656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38</w:t>
      </w:r>
      <w:r>
        <w:rPr>
          <w:rFonts w:hint="eastAsia" w:ascii="仿宋" w:hAnsi="仿宋" w:eastAsia="仿宋" w:cs="仿宋"/>
          <w:sz w:val="24"/>
          <w:szCs w:val="24"/>
          <w:highlight w:val="none"/>
        </w:rPr>
        <w:t>.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6E0725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（1）提供虚假材料谋取中标的；</w:t>
      </w:r>
    </w:p>
    <w:p w14:paraId="2099788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（2）采取不正当手段诋毁、排挤其他供应商的；</w:t>
      </w:r>
    </w:p>
    <w:p w14:paraId="33CC75B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（3）与采购人、其它供应商或者采购代理机构工作人员恶意串通的；</w:t>
      </w:r>
    </w:p>
    <w:p w14:paraId="0BE5773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（4）向采购人、采购代理机构工作人员行贿或者提供其他不正益的；</w:t>
      </w:r>
    </w:p>
    <w:p w14:paraId="4600E4E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（5）在采购过程中与采购人进行协商谈判的；</w:t>
      </w:r>
    </w:p>
    <w:p w14:paraId="7B6B5D4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（6）向评标委员会成员行贿或者提供其他不正当利益；</w:t>
      </w:r>
    </w:p>
    <w:p w14:paraId="3EE87ED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（7）拒绝有关部门监督检查或提供虚假情况的；</w:t>
      </w:r>
    </w:p>
    <w:p w14:paraId="0AF9979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（8）中标后无正当理由拒不与采购人签订政府采购合同</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w:t>
      </w:r>
    </w:p>
    <w:p w14:paraId="71A50FFC">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（9）未按照</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文件确定的事项签订政府采购合同；</w:t>
      </w:r>
    </w:p>
    <w:p w14:paraId="040F454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（10）将政府采购合同转包；</w:t>
      </w:r>
    </w:p>
    <w:p w14:paraId="3B07FEA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（11）提供假冒伪劣产品；</w:t>
      </w:r>
    </w:p>
    <w:p w14:paraId="1D89592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（12）擅自变更、中止或者终止政府采购合同。</w:t>
      </w:r>
    </w:p>
    <w:p w14:paraId="7491A36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38</w:t>
      </w:r>
      <w:r>
        <w:rPr>
          <w:rFonts w:hint="eastAsia" w:ascii="仿宋" w:hAnsi="仿宋" w:eastAsia="仿宋" w:cs="仿宋"/>
          <w:sz w:val="24"/>
          <w:szCs w:val="24"/>
          <w:highlight w:val="none"/>
        </w:rPr>
        <w:t>.2有下列情形之一的，视为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串通投标，其投标无效：</w:t>
      </w:r>
    </w:p>
    <w:p w14:paraId="0AEDDE2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）不同投标人的投标文件由同一单位或者个人编制；</w:t>
      </w:r>
    </w:p>
    <w:p w14:paraId="716712E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）不同投标人委托同一单位或者个人办理投标事宜；</w:t>
      </w:r>
    </w:p>
    <w:p w14:paraId="3BED9F7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）不同投标人的投标文件载明的项目管理成员或者联系人员为同一人；</w:t>
      </w:r>
    </w:p>
    <w:p w14:paraId="6B487FB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）不同投标人的投标文件异常一致或者投标报价呈规律性差异；</w:t>
      </w:r>
    </w:p>
    <w:p w14:paraId="71DD3E9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）不同投标人的投标文件相互混装；</w:t>
      </w:r>
    </w:p>
    <w:p w14:paraId="0BF59DF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）不同投标人的投标保证金从同一单位或者个人的账户转出。</w:t>
      </w:r>
    </w:p>
    <w:bookmarkEnd w:id="17"/>
    <w:p w14:paraId="21E5BDBB">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outlineLvl w:val="1"/>
        <w:rPr>
          <w:rFonts w:hint="eastAsia" w:ascii="仿宋" w:hAnsi="仿宋" w:eastAsia="仿宋" w:cs="仿宋"/>
          <w:b/>
          <w:color w:val="auto"/>
          <w:kern w:val="0"/>
          <w:sz w:val="24"/>
          <w:szCs w:val="24"/>
          <w:highlight w:val="none"/>
          <w:lang w:val="en-US" w:eastAsia="zh-CN"/>
        </w:rPr>
      </w:pPr>
      <w:bookmarkStart w:id="34" w:name="_Toc20961"/>
      <w:bookmarkStart w:id="35" w:name="_Toc26991"/>
      <w:bookmarkStart w:id="36" w:name="_Toc175644026"/>
      <w:r>
        <w:rPr>
          <w:rFonts w:hint="eastAsia" w:ascii="仿宋" w:hAnsi="仿宋" w:eastAsia="仿宋" w:cs="仿宋"/>
          <w:b/>
          <w:color w:val="auto"/>
          <w:kern w:val="0"/>
          <w:sz w:val="24"/>
          <w:szCs w:val="24"/>
          <w:highlight w:val="none"/>
          <w:lang w:val="en-US" w:eastAsia="zh-CN"/>
        </w:rPr>
        <w:t>十一、“政采智贷”</w:t>
      </w:r>
      <w:bookmarkEnd w:id="34"/>
      <w:bookmarkEnd w:id="35"/>
    </w:p>
    <w:p w14:paraId="49B2E08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 根据财政部门文件精神，凡是在大同市进行工商登记且参加政府采购活动并取得政府采购合同的中小企业，均可向“山西政府采购信用融资平台”上开展“政采智贷”业务的银行申请贷款。</w:t>
      </w:r>
    </w:p>
    <w:p w14:paraId="7639731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40. 政府采购中标供应商存在融资需求，在签订政府采购合同后，可以进入“山西政府采购网”-“政采智贷”模块-“山西政府采购信用融资平台”选择所在地区-试点银行机构，点击立即申请-立即登录，进行合同融资申请。</w:t>
      </w:r>
    </w:p>
    <w:p w14:paraId="208360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3023BE68">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bookmarkEnd w:id="36"/>
    <w:p w14:paraId="2F0DB5E1">
      <w:pPr>
        <w:keepNext w:val="0"/>
        <w:keepLines w:val="0"/>
        <w:pageBreakBefore w:val="0"/>
        <w:widowControl/>
        <w:kinsoku/>
        <w:wordWrap/>
        <w:overflowPunct/>
        <w:topLinePunct w:val="0"/>
        <w:autoSpaceDE/>
        <w:autoSpaceDN/>
        <w:bidi w:val="0"/>
        <w:snapToGrid w:val="0"/>
        <w:spacing w:line="560" w:lineRule="exact"/>
        <w:jc w:val="center"/>
        <w:outlineLvl w:val="0"/>
        <w:rPr>
          <w:rFonts w:hint="eastAsia" w:ascii="仿宋" w:hAnsi="仿宋" w:eastAsia="仿宋" w:cs="仿宋"/>
          <w:b/>
          <w:color w:val="auto"/>
          <w:kern w:val="0"/>
          <w:sz w:val="24"/>
          <w:szCs w:val="24"/>
          <w:highlight w:val="none"/>
        </w:rPr>
      </w:pPr>
      <w:bookmarkStart w:id="37" w:name="_Toc28096"/>
      <w:r>
        <w:rPr>
          <w:rFonts w:hint="eastAsia" w:ascii="仿宋" w:hAnsi="仿宋" w:eastAsia="仿宋" w:cs="仿宋"/>
          <w:b/>
          <w:color w:val="auto"/>
          <w:kern w:val="0"/>
          <w:sz w:val="28"/>
          <w:szCs w:val="28"/>
          <w:highlight w:val="none"/>
        </w:rPr>
        <w:t>第四部分</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评标标准和评标方法</w:t>
      </w:r>
      <w:bookmarkEnd w:id="37"/>
    </w:p>
    <w:p w14:paraId="7F0AB055">
      <w:pPr>
        <w:keepNext w:val="0"/>
        <w:keepLines w:val="0"/>
        <w:pageBreakBefore w:val="0"/>
        <w:widowControl/>
        <w:kinsoku/>
        <w:wordWrap/>
        <w:overflowPunct/>
        <w:topLinePunct w:val="0"/>
        <w:autoSpaceDE/>
        <w:autoSpaceDN/>
        <w:bidi w:val="0"/>
        <w:snapToGrid w:val="0"/>
        <w:spacing w:line="560" w:lineRule="exact"/>
        <w:ind w:firstLine="482" w:firstLineChars="200"/>
        <w:outlineLvl w:val="9"/>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一、资格</w:t>
      </w:r>
      <w:r>
        <w:rPr>
          <w:rFonts w:hint="eastAsia" w:ascii="仿宋" w:hAnsi="仿宋" w:eastAsia="仿宋" w:cs="仿宋"/>
          <w:b/>
          <w:color w:val="auto"/>
          <w:kern w:val="0"/>
          <w:sz w:val="24"/>
          <w:szCs w:val="24"/>
          <w:highlight w:val="none"/>
          <w:lang w:val="en-US" w:eastAsia="zh-CN"/>
        </w:rPr>
        <w:t>性审查要求</w:t>
      </w:r>
    </w:p>
    <w:tbl>
      <w:tblPr>
        <w:tblStyle w:val="31"/>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967"/>
        <w:gridCol w:w="5959"/>
      </w:tblGrid>
      <w:tr w14:paraId="5945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0BE6BCE8">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序号</w:t>
            </w:r>
          </w:p>
        </w:tc>
        <w:tc>
          <w:tcPr>
            <w:tcW w:w="2967" w:type="dxa"/>
            <w:vAlign w:val="center"/>
          </w:tcPr>
          <w:p w14:paraId="2DE9CC60">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内容</w:t>
            </w:r>
          </w:p>
        </w:tc>
        <w:tc>
          <w:tcPr>
            <w:tcW w:w="5959" w:type="dxa"/>
            <w:vAlign w:val="center"/>
          </w:tcPr>
          <w:p w14:paraId="7D524C46">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标准</w:t>
            </w:r>
          </w:p>
        </w:tc>
      </w:tr>
      <w:tr w14:paraId="6C90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30" w:type="dxa"/>
            <w:vAlign w:val="center"/>
          </w:tcPr>
          <w:p w14:paraId="48DBA5B5">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1</w:t>
            </w:r>
          </w:p>
        </w:tc>
        <w:tc>
          <w:tcPr>
            <w:tcW w:w="2967" w:type="dxa"/>
            <w:vAlign w:val="center"/>
          </w:tcPr>
          <w:p w14:paraId="2D70ED84">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具有独立承担民事责任的能力</w:t>
            </w:r>
          </w:p>
        </w:tc>
        <w:tc>
          <w:tcPr>
            <w:tcW w:w="5959" w:type="dxa"/>
            <w:vAlign w:val="center"/>
          </w:tcPr>
          <w:p w14:paraId="6054B5D8">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提供供应商信用承诺书。</w:t>
            </w:r>
          </w:p>
          <w:p w14:paraId="2CD117F4">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7B9B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30" w:type="dxa"/>
            <w:vAlign w:val="center"/>
          </w:tcPr>
          <w:p w14:paraId="0967CC30">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2</w:t>
            </w:r>
          </w:p>
        </w:tc>
        <w:tc>
          <w:tcPr>
            <w:tcW w:w="2967" w:type="dxa"/>
            <w:vAlign w:val="center"/>
          </w:tcPr>
          <w:p w14:paraId="6E10F539">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具有良好的商业信誉和健全的财务会计制度</w:t>
            </w:r>
          </w:p>
        </w:tc>
        <w:tc>
          <w:tcPr>
            <w:tcW w:w="5959" w:type="dxa"/>
            <w:vAlign w:val="center"/>
          </w:tcPr>
          <w:p w14:paraId="1B9C76D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提供供应商信用承诺书。</w:t>
            </w:r>
          </w:p>
          <w:p w14:paraId="5C887FC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47B5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30" w:type="dxa"/>
            <w:vAlign w:val="center"/>
          </w:tcPr>
          <w:p w14:paraId="285DC9F5">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3</w:t>
            </w:r>
          </w:p>
        </w:tc>
        <w:tc>
          <w:tcPr>
            <w:tcW w:w="2967" w:type="dxa"/>
            <w:vAlign w:val="center"/>
          </w:tcPr>
          <w:p w14:paraId="311980B7">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具有履行合同所必需的设备和专业技术能力</w:t>
            </w:r>
          </w:p>
        </w:tc>
        <w:tc>
          <w:tcPr>
            <w:tcW w:w="5959" w:type="dxa"/>
            <w:vAlign w:val="center"/>
          </w:tcPr>
          <w:p w14:paraId="3A6BB59C">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提供供应商信用承诺书。</w:t>
            </w:r>
          </w:p>
          <w:p w14:paraId="5123064D">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4F53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0" w:type="dxa"/>
            <w:vAlign w:val="center"/>
          </w:tcPr>
          <w:p w14:paraId="1B544DFD">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 xml:space="preserve">4 </w:t>
            </w:r>
          </w:p>
        </w:tc>
        <w:tc>
          <w:tcPr>
            <w:tcW w:w="2967" w:type="dxa"/>
            <w:vAlign w:val="center"/>
          </w:tcPr>
          <w:p w14:paraId="0C409A5C">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有依法缴纳税收和社会保障资金的良好记录</w:t>
            </w:r>
          </w:p>
        </w:tc>
        <w:tc>
          <w:tcPr>
            <w:tcW w:w="5959" w:type="dxa"/>
            <w:vAlign w:val="center"/>
          </w:tcPr>
          <w:p w14:paraId="256E7EC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提供供应商信用承诺书。</w:t>
            </w:r>
          </w:p>
          <w:p w14:paraId="1B02A3D0">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7239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42BD8114">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5</w:t>
            </w:r>
          </w:p>
        </w:tc>
        <w:tc>
          <w:tcPr>
            <w:tcW w:w="2967" w:type="dxa"/>
            <w:vAlign w:val="center"/>
          </w:tcPr>
          <w:p w14:paraId="7B0DBCB2">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参加政府采购活动前三年内，在经营活动中没有重大违法记录</w:t>
            </w:r>
          </w:p>
        </w:tc>
        <w:tc>
          <w:tcPr>
            <w:tcW w:w="5959" w:type="dxa"/>
            <w:vAlign w:val="center"/>
          </w:tcPr>
          <w:p w14:paraId="590CF01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提供供应商信用承诺书。</w:t>
            </w:r>
          </w:p>
          <w:p w14:paraId="6063DD9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5118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30" w:type="dxa"/>
            <w:vAlign w:val="center"/>
          </w:tcPr>
          <w:p w14:paraId="1781B3FF">
            <w:pPr>
              <w:snapToGrid w:val="0"/>
              <w:spacing w:line="44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6</w:t>
            </w:r>
          </w:p>
        </w:tc>
        <w:tc>
          <w:tcPr>
            <w:tcW w:w="2967" w:type="dxa"/>
            <w:vAlign w:val="center"/>
          </w:tcPr>
          <w:p w14:paraId="65E3003F">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保证金缴纳情况</w:t>
            </w:r>
          </w:p>
        </w:tc>
        <w:tc>
          <w:tcPr>
            <w:tcW w:w="5959" w:type="dxa"/>
            <w:vAlign w:val="center"/>
          </w:tcPr>
          <w:p w14:paraId="508D5D15">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供应商须在招标前提交保证金。保证金应当以电汇、支票、汇票、本票或者金融机构、担保机构出具的保函等非现金形式提交，响应文件中需附保证金交款凭证及其基本存款账户开户许可证或基本存款账户信息材料。</w:t>
            </w:r>
          </w:p>
          <w:p w14:paraId="5A38D38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未按要求提交保证金，或所提交保证金不完全符合各项要求的招标，将被视为无效投标。证明文件清晰有效、符合要求。</w:t>
            </w:r>
          </w:p>
        </w:tc>
      </w:tr>
      <w:tr w14:paraId="5E4C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0" w:type="dxa"/>
            <w:vAlign w:val="center"/>
          </w:tcPr>
          <w:p w14:paraId="384ED1AD">
            <w:pPr>
              <w:snapToGrid w:val="0"/>
              <w:spacing w:line="440" w:lineRule="exact"/>
              <w:jc w:val="center"/>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2967" w:type="dxa"/>
            <w:vAlign w:val="center"/>
          </w:tcPr>
          <w:p w14:paraId="457E97F4">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单位负责人为同一人或者存在直接控股、管理关系的不同供应商，不得参加同一合同项下的采购活动的承诺函</w:t>
            </w:r>
          </w:p>
        </w:tc>
        <w:tc>
          <w:tcPr>
            <w:tcW w:w="5959" w:type="dxa"/>
            <w:vAlign w:val="center"/>
          </w:tcPr>
          <w:p w14:paraId="08EE315F">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提供供应商承诺书。</w:t>
            </w:r>
          </w:p>
          <w:p w14:paraId="1400024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0C97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vAlign w:val="center"/>
          </w:tcPr>
          <w:p w14:paraId="42A7C2E9">
            <w:pPr>
              <w:snapToGrid w:val="0"/>
              <w:spacing w:line="440" w:lineRule="exact"/>
              <w:jc w:val="center"/>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w:t>
            </w:r>
          </w:p>
        </w:tc>
        <w:tc>
          <w:tcPr>
            <w:tcW w:w="2967" w:type="dxa"/>
            <w:vAlign w:val="center"/>
          </w:tcPr>
          <w:p w14:paraId="38ED43F4">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廉洁自律承诺书</w:t>
            </w:r>
          </w:p>
        </w:tc>
        <w:tc>
          <w:tcPr>
            <w:tcW w:w="5959" w:type="dxa"/>
            <w:vAlign w:val="center"/>
          </w:tcPr>
          <w:p w14:paraId="0154C348">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提供供应商廉洁自律承诺书</w:t>
            </w:r>
          </w:p>
          <w:p w14:paraId="2BD45A41">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bl>
    <w:p w14:paraId="1B8A9BA4">
      <w:pPr>
        <w:pStyle w:val="65"/>
        <w:keepNext w:val="0"/>
        <w:keepLines w:val="0"/>
        <w:pageBreakBefore w:val="0"/>
        <w:kinsoku/>
        <w:wordWrap/>
        <w:overflowPunct/>
        <w:topLinePunct w:val="0"/>
        <w:autoSpaceDE/>
        <w:autoSpaceDN/>
        <w:bidi w:val="0"/>
        <w:snapToGrid w:val="0"/>
        <w:spacing w:line="560" w:lineRule="exact"/>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说明： 1、</w:t>
      </w:r>
      <w:r>
        <w:rPr>
          <w:rFonts w:hint="eastAsia" w:ascii="仿宋" w:hAnsi="仿宋" w:eastAsia="仿宋" w:cs="仿宋"/>
          <w:b w:val="0"/>
          <w:bCs/>
          <w:color w:val="auto"/>
          <w:sz w:val="24"/>
          <w:szCs w:val="24"/>
          <w:highlight w:val="none"/>
          <w:lang w:val="en-US" w:eastAsia="zh-CN"/>
        </w:rPr>
        <w:t>资格性审查</w:t>
      </w:r>
      <w:r>
        <w:rPr>
          <w:rFonts w:hint="eastAsia" w:ascii="仿宋" w:hAnsi="仿宋" w:eastAsia="仿宋" w:cs="仿宋"/>
          <w:b w:val="0"/>
          <w:bCs/>
          <w:color w:val="auto"/>
          <w:sz w:val="24"/>
          <w:szCs w:val="24"/>
          <w:highlight w:val="none"/>
        </w:rPr>
        <w:t>的内容若有一项未提供或达不到</w:t>
      </w:r>
      <w:r>
        <w:rPr>
          <w:rFonts w:hint="eastAsia" w:ascii="仿宋" w:hAnsi="仿宋" w:eastAsia="仿宋" w:cs="仿宋"/>
          <w:b w:val="0"/>
          <w:bCs/>
          <w:color w:val="auto"/>
          <w:sz w:val="24"/>
          <w:szCs w:val="24"/>
          <w:highlight w:val="none"/>
          <w:lang w:val="en-US" w:eastAsia="zh-CN"/>
        </w:rPr>
        <w:t>审</w:t>
      </w:r>
      <w:r>
        <w:rPr>
          <w:rFonts w:hint="eastAsia" w:ascii="仿宋" w:hAnsi="仿宋" w:eastAsia="仿宋" w:cs="仿宋"/>
          <w:b w:val="0"/>
          <w:bCs/>
          <w:color w:val="auto"/>
          <w:sz w:val="24"/>
          <w:szCs w:val="24"/>
          <w:highlight w:val="none"/>
        </w:rPr>
        <w:t>查标准，将导致其不具备</w:t>
      </w:r>
      <w:r>
        <w:rPr>
          <w:rFonts w:hint="eastAsia" w:ascii="仿宋" w:hAnsi="仿宋" w:eastAsia="仿宋" w:cs="仿宋"/>
          <w:b w:val="0"/>
          <w:bCs/>
          <w:color w:val="auto"/>
          <w:sz w:val="24"/>
          <w:szCs w:val="24"/>
          <w:highlight w:val="none"/>
          <w:lang w:val="en-US" w:eastAsia="zh-CN"/>
        </w:rPr>
        <w:t>投标</w:t>
      </w:r>
      <w:r>
        <w:rPr>
          <w:rFonts w:hint="eastAsia" w:ascii="仿宋" w:hAnsi="仿宋" w:eastAsia="仿宋" w:cs="仿宋"/>
          <w:b w:val="0"/>
          <w:bCs/>
          <w:color w:val="auto"/>
          <w:sz w:val="24"/>
          <w:szCs w:val="24"/>
          <w:highlight w:val="none"/>
        </w:rPr>
        <w:t>资格，且不允许在开标后补正。</w:t>
      </w:r>
    </w:p>
    <w:p w14:paraId="7AB797E9">
      <w:pPr>
        <w:keepNext w:val="0"/>
        <w:keepLines w:val="0"/>
        <w:pageBreakBefore w:val="0"/>
        <w:kinsoku/>
        <w:wordWrap/>
        <w:overflowPunct/>
        <w:topLinePunct w:val="0"/>
        <w:autoSpaceDE/>
        <w:autoSpaceDN/>
        <w:bidi w:val="0"/>
        <w:spacing w:line="56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符合性审查</w:t>
      </w:r>
      <w:r>
        <w:rPr>
          <w:rFonts w:hint="eastAsia" w:ascii="仿宋" w:hAnsi="仿宋" w:eastAsia="仿宋" w:cs="仿宋"/>
          <w:b/>
          <w:color w:val="auto"/>
          <w:sz w:val="24"/>
          <w:szCs w:val="24"/>
          <w:highlight w:val="none"/>
          <w:lang w:val="en-US" w:eastAsia="zh-CN"/>
        </w:rPr>
        <w:t>要求</w:t>
      </w:r>
    </w:p>
    <w:tbl>
      <w:tblPr>
        <w:tblStyle w:val="31"/>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31"/>
        <w:gridCol w:w="2289"/>
        <w:gridCol w:w="4773"/>
      </w:tblGrid>
      <w:tr w14:paraId="140A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5" w:type="dxa"/>
            <w:vAlign w:val="center"/>
          </w:tcPr>
          <w:p w14:paraId="070689A8">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序号</w:t>
            </w:r>
          </w:p>
        </w:tc>
        <w:tc>
          <w:tcPr>
            <w:tcW w:w="1031" w:type="dxa"/>
            <w:vAlign w:val="center"/>
          </w:tcPr>
          <w:p w14:paraId="20DB9CB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类型</w:t>
            </w:r>
          </w:p>
        </w:tc>
        <w:tc>
          <w:tcPr>
            <w:tcW w:w="2289" w:type="dxa"/>
            <w:vAlign w:val="center"/>
          </w:tcPr>
          <w:p w14:paraId="2418ED08">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要求</w:t>
            </w:r>
          </w:p>
        </w:tc>
        <w:tc>
          <w:tcPr>
            <w:tcW w:w="4773" w:type="dxa"/>
            <w:vAlign w:val="center"/>
          </w:tcPr>
          <w:p w14:paraId="6B4A14BC">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要求说明</w:t>
            </w:r>
          </w:p>
        </w:tc>
      </w:tr>
      <w:tr w14:paraId="292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6CFB4DB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031" w:type="dxa"/>
            <w:vAlign w:val="center"/>
          </w:tcPr>
          <w:p w14:paraId="7FE1F22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商务</w:t>
            </w:r>
          </w:p>
        </w:tc>
        <w:tc>
          <w:tcPr>
            <w:tcW w:w="2289" w:type="dxa"/>
            <w:vAlign w:val="center"/>
          </w:tcPr>
          <w:p w14:paraId="1A1469EA">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对供应商提供的法定代表人（负责人）身份证明文件、法定代表人授权书、响应函的符合性、完整性进行审查。</w:t>
            </w:r>
          </w:p>
        </w:tc>
        <w:tc>
          <w:tcPr>
            <w:tcW w:w="4773" w:type="dxa"/>
            <w:vAlign w:val="center"/>
          </w:tcPr>
          <w:p w14:paraId="1C2FE717">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1、审核法定代表人身份证响应文件格式要求格式提供；内容是否完整；文件有效期是否符合采购文件要求；授权人签字是否在授权书有效期内；是否按采购文件要求对其进行了签署、盖章等。</w:t>
            </w:r>
          </w:p>
          <w:p w14:paraId="74C10FD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全部符合，即为有效，否则，响应无效。</w:t>
            </w:r>
          </w:p>
          <w:p w14:paraId="2D8A2EBC">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2、证明文件须内容完整、签署符合要求、加盖电子CA章。否则，响应无效。</w:t>
            </w:r>
          </w:p>
        </w:tc>
      </w:tr>
      <w:tr w14:paraId="5F06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23CAC4FF">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1031" w:type="dxa"/>
            <w:vAlign w:val="center"/>
          </w:tcPr>
          <w:p w14:paraId="34F439B0">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报价</w:t>
            </w:r>
          </w:p>
        </w:tc>
        <w:tc>
          <w:tcPr>
            <w:tcW w:w="2289" w:type="dxa"/>
            <w:vAlign w:val="center"/>
          </w:tcPr>
          <w:p w14:paraId="1855E09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对供应商的报价的符合性、完整性进行审查。</w:t>
            </w:r>
          </w:p>
        </w:tc>
        <w:tc>
          <w:tcPr>
            <w:tcW w:w="4773" w:type="dxa"/>
            <w:vAlign w:val="center"/>
          </w:tcPr>
          <w:p w14:paraId="3196D26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审查开标一览表、是否按采购文件提供格式的内容进行填写；内容是否完整；供货服务内容是否与采购文件一致；是否按采购文件要求对其进行了签署，授权代表的签署时间是否在授权签署时间内。全部符合，即为有效，否则，响应无效；</w:t>
            </w:r>
          </w:p>
          <w:p w14:paraId="0212C4CA">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2、报价若存在漏项、缺项；存在有超出本项目预算金额或最高限价的报价的，报价无效；</w:t>
            </w:r>
          </w:p>
          <w:p w14:paraId="2514272A">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3、报价有可选择或可调整的报价的，报价无效；</w:t>
            </w:r>
          </w:p>
          <w:p w14:paraId="112F4F6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4、证明文件须内容完整、签署符合要求、加盖电子CA章。否则，响应无效。</w:t>
            </w:r>
          </w:p>
        </w:tc>
      </w:tr>
      <w:tr w14:paraId="4EA5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24BCA4C9">
            <w:pPr>
              <w:rPr>
                <w:rFonts w:hint="eastAsia" w:ascii="仿宋" w:hAnsi="仿宋" w:eastAsia="仿宋" w:cs="仿宋"/>
                <w:sz w:val="24"/>
                <w:highlight w:val="none"/>
              </w:rPr>
            </w:pPr>
            <w:r>
              <w:rPr>
                <w:rFonts w:hint="eastAsia" w:ascii="仿宋" w:hAnsi="仿宋" w:eastAsia="仿宋" w:cs="仿宋"/>
                <w:sz w:val="24"/>
                <w:highlight w:val="none"/>
              </w:rPr>
              <w:t>3</w:t>
            </w:r>
          </w:p>
        </w:tc>
        <w:tc>
          <w:tcPr>
            <w:tcW w:w="1031" w:type="dxa"/>
            <w:vAlign w:val="center"/>
          </w:tcPr>
          <w:p w14:paraId="740A7EB2">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技术</w:t>
            </w:r>
          </w:p>
        </w:tc>
        <w:tc>
          <w:tcPr>
            <w:tcW w:w="2289" w:type="dxa"/>
            <w:vAlign w:val="center"/>
          </w:tcPr>
          <w:p w14:paraId="51AB5E0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对供应商提供的商务、技术要求的符合性、完整性进行审查。</w:t>
            </w:r>
          </w:p>
        </w:tc>
        <w:tc>
          <w:tcPr>
            <w:tcW w:w="4773" w:type="dxa"/>
            <w:vAlign w:val="center"/>
          </w:tcPr>
          <w:p w14:paraId="3643645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1、审核开标一览表；主要商务、技术要求的响应情况；响应文件对采购文件中的相关要求是否做出实质性、符合性响应。</w:t>
            </w:r>
          </w:p>
          <w:p w14:paraId="526D8572">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2、须内容完整、签署符合要求、加盖电子CA章。否则，响应无效。</w:t>
            </w:r>
          </w:p>
        </w:tc>
      </w:tr>
    </w:tbl>
    <w:p w14:paraId="7F0AADA3">
      <w:pPr>
        <w:pStyle w:val="65"/>
        <w:keepNext w:val="0"/>
        <w:keepLines w:val="0"/>
        <w:pageBreakBefore w:val="0"/>
        <w:kinsoku/>
        <w:wordWrap/>
        <w:overflowPunct/>
        <w:topLinePunct w:val="0"/>
        <w:autoSpaceDE/>
        <w:autoSpaceDN/>
        <w:bidi w:val="0"/>
        <w:snapToGrid w:val="0"/>
        <w:spacing w:line="560" w:lineRule="exact"/>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说明：符合性审查的内容，经评标委员会共同认定没有做出实质性响应的，将导致投标无效。</w:t>
      </w:r>
    </w:p>
    <w:p w14:paraId="7E5BE2F3">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2" w:firstLineChars="200"/>
        <w:textAlignment w:val="baseline"/>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异常低价处理</w:t>
      </w:r>
    </w:p>
    <w:p w14:paraId="30FA2F68">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政府采购评审中出现下列情形之一的，评审委员会应当启动异常低价投标（响应）审查程序：</w:t>
      </w:r>
    </w:p>
    <w:p w14:paraId="03B8510D">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F75777D">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B16C853">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（3）投标（响应）报价低于采购项目最高限价45%的，即投标（响应）报价&lt;采购项目最高限价×45%；</w:t>
      </w:r>
    </w:p>
    <w:p w14:paraId="7E590F74">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（4）评审委员会基于专业判断，认为供应商报价过低，有可能影响产品质量或者不能诚信履约的其他情形。</w:t>
      </w:r>
    </w:p>
    <w:p w14:paraId="25B5D2A8">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0E791C">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441BA3">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2" w:firstLineChars="200"/>
        <w:textAlignment w:val="baseline"/>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、落实政府采购政策性要求的评审内容及标准</w:t>
      </w:r>
    </w:p>
    <w:p w14:paraId="3652C4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（一）本国产品标准的适用范围：本国产品标准适用于货物，包括政府采购货物项目和服务项目中涉及的货物。</w:t>
      </w:r>
    </w:p>
    <w:p w14:paraId="7EAD59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4DB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73F10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4D13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二）采购标的涉及强制采购绿色产品标的物，供应商必须投报“节能产品政府采购品目清单”中的强制节能产品，同时提供处于有效期之内的产品认证证书扫描件，并如实填写《政府强制采购产品明细表》；不接受非强制采购产品。</w:t>
      </w:r>
    </w:p>
    <w:p w14:paraId="53C82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采购标的涉及优先采购的绿色产品标的物，供应商可以投报“节能产品政府采购品目清单”中的非强制类产品、“环境标志产品政府采购品目清单”中的产品，也可投报清单以外的产品。</w:t>
      </w:r>
    </w:p>
    <w:p w14:paraId="341EB3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当供应商所投产品属于优先采购的绿色产品时，享受该项产品的价格折扣政策优惠。供应商应提供处于有效期之内的节能/环保产品认证证书扫描件，并如实填写《政府采购绿色产品明细表》，符合价格扣除优惠措施的，将根据供应商提供的产品及证明材料给予一定比例的价格扣除。</w:t>
      </w:r>
    </w:p>
    <w:p w14:paraId="403DDC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35EFDB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符合绿色数据中心建设要求承诺书》。</w:t>
      </w:r>
    </w:p>
    <w:p w14:paraId="432F95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（五）本项目采购标的物涉及计算机产品或硬件产品内预装软件的，供应商须填写《正版软件承诺》。</w:t>
      </w:r>
    </w:p>
    <w:p w14:paraId="76C42E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六）投标货物中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52675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（七）小型、微型企业参加本项目的评审标准</w:t>
      </w:r>
    </w:p>
    <w:p w14:paraId="66D749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7D8802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2.小型、微企业只有提供本企业制造的货物或者服务，或者提供其他小型、微企业制造的货物，享受投标货物价格折扣。</w:t>
      </w:r>
    </w:p>
    <w:p w14:paraId="11A7C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3.小型、微型企业提供的货物既有中小企业制造货物，也有大型企业制造货物的，不享受价格折扣。</w:t>
      </w:r>
    </w:p>
    <w:p w14:paraId="61157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股、管理关系的，不享受价格扣除优惠政策。</w:t>
      </w:r>
    </w:p>
    <w:p w14:paraId="31BD6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的小微企业与分包企业之间存在直接控股、管理关系的，不享受价格扣除优惠政策。</w:t>
      </w:r>
    </w:p>
    <w:p w14:paraId="0F1803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6.通过享受扶持政策、价格折扣并获得政府采购合同的：小微企业不得将合同分包给大中型企业；中型企业不得将合同分包给大型企业。</w:t>
      </w:r>
    </w:p>
    <w:p w14:paraId="301AF2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（八）残疾人福利性单位参加本项目的评审标准</w:t>
      </w:r>
    </w:p>
    <w:p w14:paraId="58A3B8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须根据财库【2017】141号《关于促进残疾人就业政府采购政策的通知》的要求，如实填写《残疾人福利性单位声明函》，残疾人福利性单位参加本项目投标时，享受等同于小微企业的价格折扣，用扣除后的价格参与评审。</w:t>
      </w:r>
    </w:p>
    <w:p w14:paraId="0BA8B2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2.享受政府采购支持政策的残疾人福利性单位应当同时满足以下条件：</w:t>
      </w:r>
    </w:p>
    <w:p w14:paraId="2B2D2A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（1）安置的残疾人占本单位在职职工人数的比例不低于25%（含25%），并且安置的残疾人人数不少于10人（含10人）；</w:t>
      </w:r>
    </w:p>
    <w:p w14:paraId="2151B3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（2）依法与安置的每位残疾人签订了一年以上（含一年）的劳动合同或服务协议；</w:t>
      </w:r>
    </w:p>
    <w:p w14:paraId="15B16D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（3）为安置的每位残疾人按月足额缴纳了基本养老保险、基本医疗保险、失业保险、工伤保险和生育保险等社会保险费；</w:t>
      </w:r>
    </w:p>
    <w:p w14:paraId="4E18AB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（4）通过银行等金融机构向安置的每位残疾人，按月支付了不低于单位所在区县适用的经省级人民政府批准的月最低工资标准的工资；</w:t>
      </w:r>
    </w:p>
    <w:p w14:paraId="2F96E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（5）提供本单位制造的货物、承担的工程或者服务（以下简称产品），或者提供其他残疾人福利性单位制造的货物（不包括使用非残疾人福利性单位注册商标的货物）;</w:t>
      </w:r>
    </w:p>
    <w:p w14:paraId="1E9CEA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8A2C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（7）供应商提供的《残疾人福利性单位声明函》与事实不符的，依照《政府采购法》第七十七条第一款的规定追究法律责任；</w:t>
      </w:r>
    </w:p>
    <w:p w14:paraId="1F9A95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DB80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（九）监狱企业参加本项目的评审标准</w:t>
      </w:r>
    </w:p>
    <w:p w14:paraId="012FC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1.监狱企业参加投标视同小微企业，需提供由省级以上监狱管理局或戒毒管理局出具的属于监狱企业的证明文件。</w:t>
      </w:r>
    </w:p>
    <w:p w14:paraId="2876F9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2.监狱企业只有提供本企业制造的货物或服务，或者提供其他小、微企业制造的货物，享受等同于小微企业的价格折扣。</w:t>
      </w:r>
    </w:p>
    <w:p w14:paraId="259DA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7AEDE4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（十）专门面向中小企业采购的项目，不重复执行中小企业发展、促进残疾人就业、支持监狱企业发展的价格优惠政策。</w:t>
      </w:r>
    </w:p>
    <w:p w14:paraId="458456A4">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0" w:firstLineChars="200"/>
        <w:textAlignment w:val="baseline"/>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十一）本项目涉及商品包装和快递包装的评审标准：严格落实《商品包装政府采购需求标准（试行）》《快递包装政府采购需求标准（试行）》。本项目涉及商品包装和快递包装要求的，供应商须填写《商品包装和快递包装承诺函》。</w:t>
      </w:r>
    </w:p>
    <w:p w14:paraId="5631EC13">
      <w:pPr>
        <w:keepNext w:val="0"/>
        <w:keepLines w:val="0"/>
        <w:pageBreakBefore w:val="0"/>
        <w:widowControl w:val="0"/>
        <w:numPr>
          <w:ilvl w:val="0"/>
          <w:numId w:val="0"/>
        </w:numPr>
        <w:kinsoku/>
        <w:wordWrap/>
        <w:overflowPunct/>
        <w:topLinePunct w:val="0"/>
        <w:autoSpaceDE/>
        <w:autoSpaceDN/>
        <w:bidi w:val="0"/>
        <w:adjustRightInd w:val="0"/>
        <w:spacing w:before="0" w:after="0" w:line="560" w:lineRule="exact"/>
        <w:ind w:firstLine="482" w:firstLineChars="200"/>
        <w:textAlignment w:val="baseline"/>
        <w:outlineLvl w:val="9"/>
        <w:rPr>
          <w:rFonts w:hint="eastAsia" w:ascii="仿宋" w:hAnsi="仿宋" w:eastAsia="仿宋" w:cs="仿宋"/>
          <w:b/>
          <w:sz w:val="24"/>
          <w:szCs w:val="24"/>
          <w:highlight w:val="none"/>
          <w:lang w:val="en-US" w:eastAsia="zh-CN" w:bidi="ar-SA"/>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sz w:val="24"/>
          <w:szCs w:val="24"/>
          <w:highlight w:val="none"/>
          <w:lang w:val="en-US" w:eastAsia="zh-CN" w:bidi="ar-SA"/>
        </w:rPr>
        <w:t>无效响应的情形</w:t>
      </w:r>
    </w:p>
    <w:p w14:paraId="7C1C07A7">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baseline"/>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未通过资格性、符合性审查的投标文件为无效响应。</w:t>
      </w:r>
    </w:p>
    <w:p w14:paraId="140A2560">
      <w:pPr>
        <w:keepNext w:val="0"/>
        <w:keepLines w:val="0"/>
        <w:pageBreakBefore w:val="0"/>
        <w:widowControl/>
        <w:kinsoku/>
        <w:wordWrap/>
        <w:overflowPunct/>
        <w:topLinePunct w:val="0"/>
        <w:autoSpaceDE/>
        <w:autoSpaceDN/>
        <w:bidi w:val="0"/>
        <w:adjustRightInd/>
        <w:snapToGrid w:val="0"/>
        <w:spacing w:line="560" w:lineRule="exact"/>
        <w:ind w:firstLine="482" w:firstLineChars="200"/>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w:t>
      </w:r>
      <w:r>
        <w:rPr>
          <w:rFonts w:hint="eastAsia" w:ascii="仿宋" w:hAnsi="仿宋" w:eastAsia="仿宋" w:cs="仿宋"/>
          <w:b/>
          <w:bCs/>
          <w:color w:val="auto"/>
          <w:kern w:val="0"/>
          <w:sz w:val="24"/>
          <w:szCs w:val="24"/>
          <w:highlight w:val="none"/>
        </w:rPr>
        <w:t>评分细则</w:t>
      </w:r>
    </w:p>
    <w:p w14:paraId="5A889E73">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评标委员会将对实质性响应的投标文件进行评价和比较，评标采用综合评分法确定中标候选供应商。按综合得分由高到低顺序排列。得分相同的，按投标报价由低到高顺序排列。投标报价也相同的，按技术指标优劣顺序排列。采用综合评分法的，最低有效报价不能作为中标的保证</w:t>
      </w:r>
      <w:r>
        <w:rPr>
          <w:rFonts w:hint="eastAsia" w:ascii="仿宋" w:hAnsi="仿宋" w:eastAsia="仿宋" w:cs="仿宋"/>
          <w:color w:val="auto"/>
          <w:kern w:val="0"/>
          <w:sz w:val="24"/>
          <w:szCs w:val="24"/>
          <w:highlight w:val="none"/>
        </w:rPr>
        <w:t>。</w:t>
      </w:r>
    </w:p>
    <w:p w14:paraId="29423724">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、本次评标采用综合评分法，综合评分法是指投标文件满足招标文件全部实质性要求，且按照评审因素的量化指标评审得分最高的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为第一中标候选</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。评标委员会根据综合得分由高到底顺序推荐中标候选</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，确定排名第一的中标候选</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为中标供应商。评审因素的设定主要包含价格、技术、商务以及对招标文件的响应程度。每一</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的最终得分为所有评委评分的算术平均值，得分保留两位小数。具体评审因素如下:</w:t>
      </w:r>
    </w:p>
    <w:p w14:paraId="23E2E5FE">
      <w:pPr>
        <w:keepNext w:val="0"/>
        <w:keepLines w:val="0"/>
        <w:pageBreakBefore w:val="0"/>
        <w:widowControl/>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3、综合评分法评分细则</w:t>
      </w:r>
    </w:p>
    <w:p w14:paraId="0840292F">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tbl>
      <w:tblPr>
        <w:tblStyle w:val="32"/>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3"/>
        <w:gridCol w:w="929"/>
      </w:tblGrid>
      <w:tr w14:paraId="1275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43" w:type="dxa"/>
            <w:noWrap w:val="0"/>
            <w:vAlign w:val="center"/>
          </w:tcPr>
          <w:p w14:paraId="72087561">
            <w:pPr>
              <w:tabs>
                <w:tab w:val="left" w:pos="567"/>
              </w:tabs>
              <w:snapToGrid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评定内容及标准</w:t>
            </w:r>
          </w:p>
        </w:tc>
        <w:tc>
          <w:tcPr>
            <w:tcW w:w="929" w:type="dxa"/>
            <w:noWrap w:val="0"/>
            <w:vAlign w:val="center"/>
          </w:tcPr>
          <w:p w14:paraId="2E4AA4B5">
            <w:pPr>
              <w:tabs>
                <w:tab w:val="left" w:pos="567"/>
              </w:tabs>
              <w:snapToGrid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得分</w:t>
            </w:r>
          </w:p>
        </w:tc>
      </w:tr>
      <w:tr w14:paraId="7314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3" w:type="dxa"/>
            <w:noWrap w:val="0"/>
            <w:vAlign w:val="center"/>
          </w:tcPr>
          <w:p w14:paraId="18CB9FFC">
            <w:pPr>
              <w:tabs>
                <w:tab w:val="left" w:pos="567"/>
              </w:tabs>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一、商务部分</w:t>
            </w:r>
          </w:p>
        </w:tc>
        <w:tc>
          <w:tcPr>
            <w:tcW w:w="929" w:type="dxa"/>
            <w:noWrap w:val="0"/>
            <w:vAlign w:val="center"/>
          </w:tcPr>
          <w:p w14:paraId="0A5D289B">
            <w:pPr>
              <w:tabs>
                <w:tab w:val="left" w:pos="567"/>
              </w:tabs>
              <w:snapToGrid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9分</w:t>
            </w:r>
          </w:p>
        </w:tc>
      </w:tr>
      <w:tr w14:paraId="0240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8643" w:type="dxa"/>
            <w:noWrap w:val="0"/>
            <w:vAlign w:val="center"/>
          </w:tcPr>
          <w:p w14:paraId="5F25D960">
            <w:pPr>
              <w:tabs>
                <w:tab w:val="left" w:pos="567"/>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近</w:t>
            </w: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年同类业绩</w:t>
            </w:r>
          </w:p>
          <w:p w14:paraId="3AC923F9">
            <w:pPr>
              <w:tabs>
                <w:tab w:val="left" w:pos="567"/>
              </w:tabs>
              <w:snapToGrid w:val="0"/>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指合同签订日期为2023年5月至响应文件递交截止日前，提供具有同类型/相类似的服务案例，要求必须提供与最终用户签订的合同首页、合同金额所在页、签字盖章页的复印件，每提供一份业绩证明得3分，最高9分。</w:t>
            </w:r>
          </w:p>
          <w:p w14:paraId="1875A0B7">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注：合同的乙方必须与服务商的名称完全一致，如公司名称发生变更，必须提供工商部门的证明文件。</w:t>
            </w:r>
          </w:p>
        </w:tc>
        <w:tc>
          <w:tcPr>
            <w:tcW w:w="929" w:type="dxa"/>
            <w:noWrap w:val="0"/>
            <w:vAlign w:val="center"/>
          </w:tcPr>
          <w:p w14:paraId="28A1AD74">
            <w:pPr>
              <w:tabs>
                <w:tab w:val="left" w:pos="567"/>
              </w:tabs>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r>
      <w:tr w14:paraId="43D2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3" w:type="dxa"/>
            <w:noWrap w:val="0"/>
            <w:vAlign w:val="center"/>
          </w:tcPr>
          <w:p w14:paraId="24798DB1">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技术部分</w:t>
            </w:r>
          </w:p>
        </w:tc>
        <w:tc>
          <w:tcPr>
            <w:tcW w:w="929" w:type="dxa"/>
            <w:noWrap w:val="0"/>
            <w:vAlign w:val="center"/>
          </w:tcPr>
          <w:p w14:paraId="45553231">
            <w:pPr>
              <w:tabs>
                <w:tab w:val="left" w:pos="567"/>
              </w:tabs>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81</w:t>
            </w:r>
          </w:p>
        </w:tc>
      </w:tr>
      <w:tr w14:paraId="319F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3" w:type="dxa"/>
            <w:noWrap w:val="0"/>
            <w:vAlign w:val="center"/>
          </w:tcPr>
          <w:p w14:paraId="58CED9C4">
            <w:pPr>
              <w:tabs>
                <w:tab w:val="left" w:pos="567"/>
              </w:tabs>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1、实施方案</w:t>
            </w:r>
          </w:p>
          <w:p w14:paraId="6ADC5805">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提供的医疗大模型及智能体平台落地实施方案应包括（1）项目实施过程中进度控制、（2）保障措施、（3）跨系统融合与AI场景应用等项目重难点分析、（4）应对措施、（5）软硬件质量保证措施、（6）数据安全与风险控制措施、（7）应急措施，确保各项工作能够按计划有效落地执行。</w:t>
            </w:r>
          </w:p>
          <w:p w14:paraId="14426045">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标准：每提供1项得5分。方案内容完整且符合本项目采购需求及实际情况，最高得35分。每有一项存在内容缺陷的扣1分，扣完该项分值为止。（其中“项”指上述条款（1）（2）（3）（4）（5）（6）（7））每缺少一项内容，该条不得分。</w:t>
            </w:r>
          </w:p>
        </w:tc>
        <w:tc>
          <w:tcPr>
            <w:tcW w:w="929" w:type="dxa"/>
            <w:noWrap w:val="0"/>
            <w:vAlign w:val="center"/>
          </w:tcPr>
          <w:p w14:paraId="398F11EC">
            <w:pPr>
              <w:tabs>
                <w:tab w:val="left" w:pos="567"/>
              </w:tabs>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r>
      <w:tr w14:paraId="7927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3" w:type="dxa"/>
            <w:noWrap w:val="0"/>
            <w:vAlign w:val="center"/>
          </w:tcPr>
          <w:p w14:paraId="0326504D">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2、项目实施团队</w:t>
            </w:r>
          </w:p>
          <w:p w14:paraId="27580631">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总负责人：1人，具有①信息系统项目管理师(人力资源和社会保障部、工业和信息化部)、②系统架构设计师证书(人力资源和社会保障部、工业和信息化部）。每提供一项证书得2分（其中“项”指上述条款①②），满分4分，不提供不得分。</w:t>
            </w:r>
          </w:p>
          <w:p w14:paraId="14274EB7">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技术负责人：1名，具有①系统分析师证书(人力资源和社会保障部、工业和信息化部)、②软件设计师证书（人力资源和社会保障部、工业和信息化部）。每提供一项证书得1.5分（其中“项”指上述条款①②），满分3分，不提供不得分。</w:t>
            </w:r>
          </w:p>
          <w:p w14:paraId="0EE19922">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（3）其他项目成员：具有①国家计算机技术与软件专业技术资格中级及以上证书（人力资源和社会保障部、工业和信息化部）。每提供一项证书得1分（其中“项”指上述条款①），满分5分，不提供不得分。</w:t>
            </w:r>
          </w:p>
          <w:p w14:paraId="22E7FCCE">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（同一人具备多类证书只算作一类，需提供人员近6个月内任意一个月社保证明材料及证书复印件，加盖公章）。</w:t>
            </w:r>
          </w:p>
        </w:tc>
        <w:tc>
          <w:tcPr>
            <w:tcW w:w="929" w:type="dxa"/>
            <w:noWrap w:val="0"/>
            <w:vAlign w:val="center"/>
          </w:tcPr>
          <w:p w14:paraId="46567EDD">
            <w:pPr>
              <w:tabs>
                <w:tab w:val="left" w:pos="567"/>
              </w:tabs>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7B34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3" w:type="dxa"/>
            <w:noWrap w:val="0"/>
            <w:vAlign w:val="center"/>
          </w:tcPr>
          <w:p w14:paraId="3ED62953">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3、技术响应</w:t>
            </w:r>
          </w:p>
          <w:p w14:paraId="2B9DFAB6">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（1）标注“★”的为关键技术要求，满足招标文件要求得18分，不满足招标文件要求的，按否决投标处理。</w:t>
            </w:r>
          </w:p>
          <w:p w14:paraId="3972085C">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（2）每有一项非标“★”项参数不满足或负偏离扣1分（其中“项”指采购需求中未标“★”），扣分≥10分，本项得分为0。</w:t>
            </w:r>
          </w:p>
        </w:tc>
        <w:tc>
          <w:tcPr>
            <w:tcW w:w="929" w:type="dxa"/>
            <w:noWrap w:val="0"/>
            <w:vAlign w:val="center"/>
          </w:tcPr>
          <w:p w14:paraId="7BC26038">
            <w:pPr>
              <w:tabs>
                <w:tab w:val="left" w:pos="567"/>
              </w:tabs>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672E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643" w:type="dxa"/>
            <w:noWrap w:val="0"/>
            <w:vAlign w:val="top"/>
          </w:tcPr>
          <w:p w14:paraId="58C51D99">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4、培训方案</w:t>
            </w:r>
          </w:p>
          <w:p w14:paraId="119FA605">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根据投标人提供的（1）项目培训计划、（2）现场培训节点、（3）集中培训安排、（4）培训内容等方面进行评价。</w:t>
            </w:r>
          </w:p>
          <w:p w14:paraId="65E6E4B4">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标准：每提供一项得2分。方案内容完整且符合本项目采购需求及实际情况，最高得8分。每有一项存在内容缺陷的扣1分，扣完该项分值为止。（其中“项”指上述条款（1）（2）（3）（4））每缺少一项内容，该条不得分。</w:t>
            </w:r>
          </w:p>
        </w:tc>
        <w:tc>
          <w:tcPr>
            <w:tcW w:w="929" w:type="dxa"/>
            <w:noWrap w:val="0"/>
            <w:vAlign w:val="center"/>
          </w:tcPr>
          <w:p w14:paraId="5EA7F9CD">
            <w:pPr>
              <w:tabs>
                <w:tab w:val="left" w:pos="567"/>
              </w:tabs>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CD8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8643" w:type="dxa"/>
            <w:noWrap w:val="0"/>
            <w:vAlign w:val="center"/>
          </w:tcPr>
          <w:p w14:paraId="6AEC13A9">
            <w:pPr>
              <w:tabs>
                <w:tab w:val="left" w:pos="567"/>
              </w:tabs>
              <w:snapToGrid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5、售后服务方案</w:t>
            </w:r>
          </w:p>
          <w:p w14:paraId="1445E65D">
            <w:pPr>
              <w:tabs>
                <w:tab w:val="left" w:pos="567"/>
              </w:tabs>
              <w:snapToGrid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根据投标人提供的（1）质保内售后服务方案、（2）售后保障服务体系、（3）质保后售后服务方案、（4）售后服务机构等方面进行评价。</w:t>
            </w:r>
          </w:p>
          <w:p w14:paraId="64F02864">
            <w:pPr>
              <w:tabs>
                <w:tab w:val="left" w:pos="567"/>
              </w:tabs>
              <w:snapToGrid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标准：每提供一项得2分。方案内容完整且符合本项目采购需求及实际情况，最高得8分。每有一项存在内容缺陷的扣1分，扣完该项分值为止。（其中“项”指上述条款（1）（2）（3）（4））每缺少一项内容，该条不得分。</w:t>
            </w:r>
          </w:p>
        </w:tc>
        <w:tc>
          <w:tcPr>
            <w:tcW w:w="929" w:type="dxa"/>
            <w:noWrap w:val="0"/>
            <w:vAlign w:val="center"/>
          </w:tcPr>
          <w:p w14:paraId="3A8C9D0C">
            <w:pPr>
              <w:tabs>
                <w:tab w:val="left" w:pos="567"/>
              </w:tabs>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FB8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2" w:type="dxa"/>
            <w:gridSpan w:val="2"/>
            <w:noWrap w:val="0"/>
            <w:vAlign w:val="center"/>
          </w:tcPr>
          <w:p w14:paraId="0ACED33D">
            <w:pPr>
              <w:tabs>
                <w:tab w:val="left" w:pos="567"/>
              </w:tabs>
              <w:snapToGrid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lang w:val="en-US" w:eastAsia="zh-CN"/>
              </w:rPr>
              <w:t>说明：</w:t>
            </w:r>
            <w:r>
              <w:rPr>
                <w:rFonts w:hint="eastAsia" w:ascii="仿宋" w:hAnsi="仿宋" w:eastAsia="仿宋" w:cs="仿宋"/>
                <w:color w:val="auto"/>
                <w:sz w:val="24"/>
                <w:highlight w:val="none"/>
              </w:rPr>
              <w:t>内容或提供材料有</w:t>
            </w:r>
            <w:r>
              <w:rPr>
                <w:rFonts w:hint="eastAsia" w:ascii="仿宋" w:hAnsi="仿宋" w:eastAsia="仿宋" w:cs="仿宋"/>
                <w:color w:val="auto"/>
                <w:sz w:val="24"/>
                <w:highlight w:val="none"/>
                <w:lang w:val="en-US" w:eastAsia="zh-CN"/>
              </w:rPr>
              <w:t>缺陷</w:t>
            </w:r>
            <w:r>
              <w:rPr>
                <w:rFonts w:hint="eastAsia" w:ascii="仿宋" w:hAnsi="仿宋" w:eastAsia="仿宋" w:cs="仿宋"/>
                <w:color w:val="auto"/>
                <w:sz w:val="24"/>
                <w:highlight w:val="none"/>
              </w:rPr>
              <w:t>是指内容片面；</w:t>
            </w:r>
            <w:r>
              <w:rPr>
                <w:rFonts w:hint="eastAsia" w:ascii="仿宋" w:hAnsi="仿宋" w:eastAsia="仿宋" w:cs="仿宋"/>
                <w:color w:val="auto"/>
                <w:sz w:val="24"/>
                <w:highlight w:val="none"/>
                <w:lang w:val="en-US" w:eastAsia="zh-CN"/>
              </w:rPr>
              <w:t>表述不清或错误</w:t>
            </w:r>
            <w:r>
              <w:rPr>
                <w:rFonts w:hint="eastAsia" w:ascii="仿宋" w:hAnsi="仿宋" w:eastAsia="仿宋" w:cs="仿宋"/>
                <w:color w:val="auto"/>
                <w:sz w:val="24"/>
                <w:highlight w:val="none"/>
              </w:rPr>
              <w:t>；非专门针对本项目或不</w:t>
            </w:r>
            <w:r>
              <w:rPr>
                <w:rFonts w:hint="eastAsia" w:ascii="仿宋" w:hAnsi="仿宋" w:eastAsia="仿宋" w:cs="仿宋"/>
                <w:color w:val="auto"/>
                <w:sz w:val="24"/>
                <w:highlight w:val="none"/>
                <w:lang w:eastAsia="zh-CN"/>
              </w:rPr>
              <w:t>符合</w:t>
            </w:r>
            <w:r>
              <w:rPr>
                <w:rFonts w:hint="eastAsia" w:ascii="仿宋" w:hAnsi="仿宋" w:eastAsia="仿宋" w:cs="仿宋"/>
                <w:color w:val="auto"/>
                <w:sz w:val="24"/>
                <w:highlight w:val="none"/>
              </w:rPr>
              <w:t>本项目特征，套用其他项目内容，</w:t>
            </w:r>
            <w:r>
              <w:rPr>
                <w:rFonts w:hint="eastAsia" w:ascii="仿宋" w:hAnsi="仿宋" w:eastAsia="仿宋" w:cs="仿宋"/>
                <w:color w:val="auto"/>
                <w:sz w:val="24"/>
                <w:highlight w:val="none"/>
                <w:lang w:val="en-US" w:eastAsia="zh-CN"/>
              </w:rPr>
              <w:t>不切实际、内容空泛</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前后不一致；凭空编造</w:t>
            </w:r>
            <w:r>
              <w:rPr>
                <w:rFonts w:hint="eastAsia" w:ascii="仿宋" w:hAnsi="仿宋" w:eastAsia="仿宋" w:cs="仿宋"/>
                <w:color w:val="auto"/>
                <w:sz w:val="24"/>
                <w:highlight w:val="none"/>
              </w:rPr>
              <w:t>等情况。</w:t>
            </w:r>
          </w:p>
        </w:tc>
      </w:tr>
      <w:tr w14:paraId="62D1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3" w:type="dxa"/>
            <w:noWrap w:val="0"/>
            <w:vAlign w:val="center"/>
          </w:tcPr>
          <w:p w14:paraId="6F02878A">
            <w:pPr>
              <w:tabs>
                <w:tab w:val="left" w:pos="567"/>
              </w:tabs>
              <w:snapToGrid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、价格分</w:t>
            </w:r>
          </w:p>
          <w:p w14:paraId="1BEEB42E">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满足磋商文件要求且响应价格最低的响应报价为响应基准价，其价格分为满分。其他供应商的价格分统一按照下列公式计算： </w:t>
            </w:r>
          </w:p>
          <w:p w14:paraId="3E9EB4AF">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响应报价得分=(响应基准价/最后报价)×10×100%</w:t>
            </w:r>
          </w:p>
          <w:p w14:paraId="1B9C47CF">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49661BB9">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（1）有效投标人是指通过符合性审查，未被废除投标资格的的投标人。</w:t>
            </w:r>
          </w:p>
          <w:p w14:paraId="33AEF13A">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（2）投标报价超过招标最高限价为无效标。</w:t>
            </w:r>
          </w:p>
          <w:p w14:paraId="15E835F5">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异常低价审查</w:t>
            </w:r>
          </w:p>
          <w:p w14:paraId="243DA38B">
            <w:pPr>
              <w:numPr>
                <w:numId w:val="0"/>
              </w:num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w:t>
            </w:r>
            <w:r>
              <w:rPr>
                <w:rFonts w:hint="eastAsia" w:ascii="仿宋" w:hAnsi="仿宋" w:eastAsia="仿宋" w:cs="仿宋"/>
                <w:color w:val="000000" w:themeColor="text1"/>
                <w:sz w:val="24"/>
                <w:szCs w:val="24"/>
                <w:highlight w:val="none"/>
                <w14:textFill>
                  <w14:solidFill>
                    <w14:schemeClr w14:val="tx1"/>
                  </w14:solidFill>
                </w14:textFill>
              </w:rPr>
              <w:t>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w:t>
            </w:r>
          </w:p>
          <w:p w14:paraId="1DD1A129">
            <w:pPr>
              <w:numPr>
                <w:numId w:val="0"/>
              </w:num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07555A95">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）政府采购政策本国产品政策</w:t>
            </w:r>
          </w:p>
          <w:p w14:paraId="78DFFB8A">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①本项目政府采购活动中既有本国产品又有非本国产品参与竞争的，依法对本国产品给予价格评审优惠，对本国产品的报价给予 20%的价格扣除，用扣除后的价格参与评审。</w:t>
            </w:r>
          </w:p>
          <w:p w14:paraId="5222EF05">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当采购项目或者采购包中含有多种产品，供应商为该采购项目或者采购包提供的符合本国产品标准的产品成本之和占该供应商提供的全部产品成本之和的比例达到80%以上时（供应商需在投标分项报价表中填写比例数值），依法对该供应商提供的全部产品给予价格评审优惠，即对该供应商提供的全部产品的总报价给予 20%的价格扣除，用扣除后的价格参与评审。供应商未填写比例数值，或比例数值未达到80%的，将不享受本国产品价格评审优惠。</w:t>
            </w:r>
          </w:p>
          <w:p w14:paraId="615AAA1B">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③供应商需按照招标文件的要求提供《关于符合本国产品标准的声明函》（以下简称《声明函》），如不提供将不享受本国产品价格评审优惠。</w:t>
            </w:r>
          </w:p>
          <w:p w14:paraId="25B587E8">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供应商需在《声明函》中逐一、准确填写产品名称、厂名、生产厂址三项信息（《声明函》中用斜线划除的地方无需填写），三项信息中任意一项未填写的视为该项产品不符合本国产品标准，不享受本国产品价格评审优惠。</w:t>
            </w:r>
          </w:p>
          <w:p w14:paraId="4EAFE92C">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 号）和招标文件规定的，供应商提供的相关产品视为不符合本国产品标准。</w:t>
            </w:r>
          </w:p>
          <w:p w14:paraId="082A96D2">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评标价＝投标报价×(1－20%）</w:t>
            </w:r>
          </w:p>
          <w:p w14:paraId="7F5180EF">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）政府采购政策小型、微型企业和监狱企业产品、残疾人福利性企业价格扣除：</w:t>
            </w:r>
          </w:p>
          <w:p w14:paraId="3170D2EE">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A、小型、微型企业，投标报价将给予 15%的价格扣除，即：</w:t>
            </w:r>
          </w:p>
          <w:p w14:paraId="528D6222">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评标价＝投标报价×(1－15%）。评标委员会根据报价人提供的《中小企业声明函》（格式见招标文件第九部分），认定其是否属于小型、微型企业并享受价格扣除的优惠政策。</w:t>
            </w:r>
          </w:p>
          <w:p w14:paraId="5E898355">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B、监狱企业视同小型、微型企业，投标报价将给予15%的价格扣除，即：</w:t>
            </w:r>
          </w:p>
          <w:p w14:paraId="0C8B4931">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评标价＝投标报价×(1－15%）。评标委员会根据报价人提供的证明文件，认定其是否属于监狱企业并享受价格扣除的优惠政策。</w:t>
            </w:r>
          </w:p>
          <w:p w14:paraId="3C379014">
            <w:pPr>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C、残疾人福利性企业，其投标报价将给予 15%的价格扣除，即：</w:t>
            </w:r>
          </w:p>
          <w:p w14:paraId="4CA1D55B">
            <w:pPr>
              <w:tabs>
                <w:tab w:val="left" w:pos="567"/>
              </w:tabs>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评标价＝投标报价×(1－15%）。评标委员会根据报价人提供的证明文件，认定其是否属于监狱企业并享受价格扣除的优惠政策。</w:t>
            </w:r>
          </w:p>
        </w:tc>
        <w:tc>
          <w:tcPr>
            <w:tcW w:w="929" w:type="dxa"/>
            <w:noWrap w:val="0"/>
            <w:vAlign w:val="center"/>
          </w:tcPr>
          <w:p w14:paraId="170E9601">
            <w:pPr>
              <w:tabs>
                <w:tab w:val="left" w:pos="567"/>
              </w:tabs>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w:t>
            </w:r>
          </w:p>
        </w:tc>
      </w:tr>
    </w:tbl>
    <w:p w14:paraId="089D703D">
      <w:pPr>
        <w:keepNext w:val="0"/>
        <w:keepLines w:val="0"/>
        <w:pageBreakBefore w:val="0"/>
        <w:widowControl w:val="0"/>
        <w:kinsoku/>
        <w:wordWrap/>
        <w:overflowPunct/>
        <w:topLinePunct w:val="0"/>
        <w:autoSpaceDE/>
        <w:autoSpaceDN/>
        <w:bidi w:val="0"/>
        <w:adjustRightInd/>
        <w:snapToGrid/>
        <w:spacing w:before="157" w:beforeLines="50"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注：招标文件没有规定的评标标准不得作为评审依据。</w:t>
      </w:r>
    </w:p>
    <w:p w14:paraId="2A8D4139">
      <w:pPr>
        <w:keepNext w:val="0"/>
        <w:keepLines w:val="0"/>
        <w:pageBreakBefore w:val="0"/>
        <w:kinsoku/>
        <w:wordWrap/>
        <w:overflowPunct/>
        <w:topLinePunct w:val="0"/>
        <w:autoSpaceDE/>
        <w:autoSpaceDN/>
        <w:bidi w:val="0"/>
        <w:spacing w:line="560" w:lineRule="exact"/>
        <w:rPr>
          <w:rFonts w:hint="eastAsia" w:ascii="仿宋" w:hAnsi="仿宋" w:eastAsia="仿宋" w:cs="仿宋"/>
          <w:sz w:val="24"/>
          <w:szCs w:val="24"/>
          <w:highlight w:val="none"/>
        </w:rPr>
        <w:sectPr>
          <w:footerReference r:id="rId7" w:type="default"/>
          <w:pgSz w:w="11906" w:h="16838"/>
          <w:pgMar w:top="1440" w:right="1080" w:bottom="1440" w:left="1080" w:header="851" w:footer="992" w:gutter="0"/>
          <w:pgNumType w:fmt="decimal" w:start="1"/>
          <w:cols w:space="720" w:num="1"/>
          <w:docGrid w:linePitch="312" w:charSpace="0"/>
        </w:sectPr>
      </w:pPr>
    </w:p>
    <w:p w14:paraId="56895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outlineLvl w:val="0"/>
        <w:rPr>
          <w:rStyle w:val="102"/>
          <w:rFonts w:hint="eastAsia" w:ascii="仿宋" w:hAnsi="仿宋" w:eastAsia="仿宋" w:cs="仿宋"/>
          <w:color w:val="000000"/>
          <w:kern w:val="0"/>
          <w:sz w:val="24"/>
          <w:szCs w:val="24"/>
          <w:highlight w:val="none"/>
        </w:rPr>
      </w:pPr>
      <w:bookmarkStart w:id="38" w:name="_Toc4530"/>
      <w:r>
        <w:rPr>
          <w:rStyle w:val="102"/>
          <w:rFonts w:hint="eastAsia" w:ascii="仿宋" w:hAnsi="仿宋" w:eastAsia="仿宋" w:cs="仿宋"/>
          <w:b/>
          <w:bCs/>
          <w:color w:val="000000"/>
          <w:kern w:val="0"/>
          <w:sz w:val="28"/>
          <w:szCs w:val="28"/>
          <w:highlight w:val="none"/>
        </w:rPr>
        <w:t>第五部分</w:t>
      </w:r>
      <w:r>
        <w:rPr>
          <w:rStyle w:val="102"/>
          <w:rFonts w:hint="eastAsia" w:ascii="仿宋" w:hAnsi="仿宋" w:eastAsia="仿宋" w:cs="仿宋"/>
          <w:b/>
          <w:bCs/>
          <w:color w:val="000000"/>
          <w:kern w:val="0"/>
          <w:sz w:val="28"/>
          <w:szCs w:val="28"/>
          <w:highlight w:val="none"/>
          <w:lang w:val="en-US" w:eastAsia="zh-CN"/>
        </w:rPr>
        <w:t xml:space="preserve"> </w:t>
      </w:r>
      <w:r>
        <w:rPr>
          <w:rStyle w:val="102"/>
          <w:rFonts w:hint="eastAsia" w:ascii="仿宋" w:hAnsi="仿宋" w:eastAsia="仿宋" w:cs="仿宋"/>
          <w:b/>
          <w:bCs/>
          <w:color w:val="000000"/>
          <w:kern w:val="0"/>
          <w:sz w:val="28"/>
          <w:szCs w:val="28"/>
          <w:highlight w:val="none"/>
        </w:rPr>
        <w:t>商务、</w:t>
      </w:r>
      <w:r>
        <w:rPr>
          <w:rStyle w:val="102"/>
          <w:rFonts w:hint="eastAsia" w:ascii="仿宋" w:hAnsi="仿宋" w:eastAsia="仿宋" w:cs="仿宋"/>
          <w:b/>
          <w:bCs/>
          <w:color w:val="000000"/>
          <w:kern w:val="0"/>
          <w:sz w:val="28"/>
          <w:szCs w:val="28"/>
          <w:highlight w:val="none"/>
          <w:lang w:val="en-US" w:eastAsia="zh-CN"/>
        </w:rPr>
        <w:t>技术</w:t>
      </w:r>
      <w:r>
        <w:rPr>
          <w:rStyle w:val="102"/>
          <w:rFonts w:hint="eastAsia" w:ascii="仿宋" w:hAnsi="仿宋" w:eastAsia="仿宋" w:cs="仿宋"/>
          <w:b/>
          <w:bCs/>
          <w:color w:val="000000"/>
          <w:kern w:val="0"/>
          <w:sz w:val="28"/>
          <w:szCs w:val="28"/>
          <w:highlight w:val="none"/>
        </w:rPr>
        <w:t>要求</w:t>
      </w:r>
      <w:bookmarkEnd w:id="38"/>
    </w:p>
    <w:p w14:paraId="4987DF45">
      <w:pPr>
        <w:rPr>
          <w:rFonts w:hint="eastAsia" w:ascii="仿宋" w:hAnsi="仿宋" w:eastAsia="仿宋" w:cs="仿宋"/>
          <w:color w:val="000000"/>
          <w:sz w:val="28"/>
          <w:szCs w:val="28"/>
          <w:highlight w:val="none"/>
        </w:rPr>
      </w:pPr>
    </w:p>
    <w:p w14:paraId="6EE669BB">
      <w:pPr>
        <w:pStyle w:val="136"/>
        <w:topLinePunct/>
        <w:spacing w:after="120"/>
        <w:ind w:firstLine="480"/>
        <w:jc w:val="left"/>
        <w:outlineLvl w:val="0"/>
        <w:rPr>
          <w:rFonts w:hint="eastAsia" w:ascii="仿宋" w:hAnsi="仿宋" w:eastAsia="仿宋" w:cs="仿宋"/>
          <w:sz w:val="24"/>
          <w:szCs w:val="24"/>
        </w:rPr>
      </w:pPr>
      <w:bookmarkStart w:id="39" w:name="_Toc361"/>
      <w:r>
        <w:rPr>
          <w:rFonts w:hint="eastAsia" w:ascii="仿宋" w:hAnsi="仿宋" w:eastAsia="仿宋" w:cs="仿宋"/>
          <w:sz w:val="24"/>
          <w:szCs w:val="24"/>
        </w:rPr>
        <w:t>第一部分 项目概况</w:t>
      </w:r>
    </w:p>
    <w:p w14:paraId="18732EBC">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1、项目名称</w:t>
      </w:r>
    </w:p>
    <w:p w14:paraId="15D4A942">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本项目全称为阳高县医疗集团人民医院智慧医疗智能体服务平台建设项目，项目简称医疗智能体平台。</w:t>
      </w:r>
    </w:p>
    <w:p w14:paraId="1A6DFCFB">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2、采购内容</w:t>
      </w:r>
    </w:p>
    <w:p w14:paraId="088EDEE9">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包含硬件算力服务、数据和应用服务器、医生手持终端、语音采集器、病历自动生成智能体、多模态辅助诊断智能体、医保合规审核智能体、查房助手智能体、病案质控智能体及大模型深度微调与训练。</w:t>
      </w:r>
    </w:p>
    <w:p w14:paraId="6C0A4D2F">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3、采购预算</w:t>
      </w:r>
    </w:p>
    <w:p w14:paraId="623FFB49">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本项目采购预算390万元，</w:t>
      </w:r>
    </w:p>
    <w:p w14:paraId="4B97F90F">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4、合同履行期限</w:t>
      </w:r>
    </w:p>
    <w:p w14:paraId="203A909D">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本项合同履行期限为1年。</w:t>
      </w:r>
    </w:p>
    <w:p w14:paraId="01CA9A8D">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5、服务地点</w:t>
      </w:r>
    </w:p>
    <w:p w14:paraId="5497B996">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项目建设地点为阳高县医疗集团人民医院。</w:t>
      </w:r>
    </w:p>
    <w:p w14:paraId="5BB78955">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6、项目建设周期</w:t>
      </w:r>
    </w:p>
    <w:p w14:paraId="2B1C6A8E">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本项目建设周期6个月</w:t>
      </w:r>
    </w:p>
    <w:p w14:paraId="7C3099E8">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7、采购方式</w:t>
      </w:r>
    </w:p>
    <w:p w14:paraId="6F8D4EB1">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 xml:space="preserve"> 公开招标</w:t>
      </w:r>
    </w:p>
    <w:p w14:paraId="1B10CE6B">
      <w:pPr>
        <w:pStyle w:val="136"/>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8、落实政府采购政策需满足的资格要求：无。</w:t>
      </w:r>
    </w:p>
    <w:p w14:paraId="6ECBAAEC">
      <w:pPr>
        <w:pStyle w:val="135"/>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9、项目验收</w:t>
      </w:r>
    </w:p>
    <w:p w14:paraId="16690796">
      <w:pPr>
        <w:pStyle w:val="58"/>
        <w:spacing w:line="360" w:lineRule="auto"/>
        <w:ind w:firstLine="480" w:firstLineChars="200"/>
        <w:rPr>
          <w:rFonts w:hint="eastAsia" w:ascii="仿宋" w:hAnsi="仿宋" w:eastAsia="仿宋"/>
        </w:rPr>
      </w:pPr>
      <w:r>
        <w:rPr>
          <w:rFonts w:hint="eastAsia" w:ascii="仿宋" w:hAnsi="仿宋" w:eastAsia="仿宋"/>
        </w:rPr>
        <w:t>（1）验收组织：本项目验收由采购人依法组织实施。鉴于项目的技术复杂性，采购人有权依法委托具有相关资质的第三方专业测评机构或组织行业专家团队，协助开展项目的技术检测与最终验收工作，相关验收或测评费用由中标供应商承担。</w:t>
      </w:r>
    </w:p>
    <w:p w14:paraId="5654D60A">
      <w:pPr>
        <w:pStyle w:val="58"/>
        <w:spacing w:line="360" w:lineRule="auto"/>
        <w:ind w:firstLine="480" w:firstLineChars="200"/>
        <w:rPr>
          <w:rFonts w:hint="eastAsia" w:ascii="仿宋" w:hAnsi="仿宋" w:eastAsia="仿宋"/>
        </w:rPr>
      </w:pPr>
      <w:r>
        <w:rPr>
          <w:rFonts w:hint="eastAsia" w:ascii="仿宋" w:hAnsi="仿宋" w:eastAsia="仿宋"/>
        </w:rPr>
        <w:t>（2）验收标准：项目须严格按照招标文件中的《项目技术要求》及投标文件中的承诺进行逐项验收。各项指标均达到合同约定标准后，方可签署最终验收报告。</w:t>
      </w:r>
    </w:p>
    <w:p w14:paraId="0FA42197">
      <w:pPr>
        <w:pStyle w:val="135"/>
        <w:topLinePunct/>
        <w:spacing w:after="120"/>
        <w:ind w:firstLine="480"/>
        <w:jc w:val="left"/>
        <w:outlineLvl w:val="0"/>
        <w:rPr>
          <w:rFonts w:hint="eastAsia" w:ascii="仿宋" w:hAnsi="仿宋" w:eastAsia="仿宋" w:cs="仿宋"/>
          <w:sz w:val="24"/>
          <w:szCs w:val="24"/>
        </w:rPr>
      </w:pPr>
      <w:r>
        <w:rPr>
          <w:rFonts w:hint="eastAsia" w:ascii="仿宋" w:hAnsi="仿宋" w:eastAsia="仿宋" w:cs="仿宋"/>
          <w:sz w:val="24"/>
          <w:szCs w:val="24"/>
        </w:rPr>
        <w:t>10、付款方式与进度</w:t>
      </w:r>
    </w:p>
    <w:p w14:paraId="26A95D2C">
      <w:pPr>
        <w:pStyle w:val="58"/>
        <w:spacing w:line="360" w:lineRule="auto"/>
        <w:ind w:firstLine="480" w:firstLineChars="200"/>
        <w:rPr>
          <w:rFonts w:hint="eastAsia" w:ascii="仿宋" w:hAnsi="仿宋" w:eastAsia="仿宋"/>
        </w:rPr>
      </w:pPr>
      <w:r>
        <w:rPr>
          <w:rFonts w:hint="eastAsia" w:ascii="仿宋" w:hAnsi="仿宋" w:eastAsia="仿宋"/>
        </w:rPr>
        <w:t>本项目涉及大模型私有化训练、多系统集成及软硬件部署，为保障项目高质量落地，采用按项目里程碑进度分期支付的方式。具体支付进度及比例约定如下：</w:t>
      </w:r>
    </w:p>
    <w:p w14:paraId="4A68271E">
      <w:pPr>
        <w:pStyle w:val="58"/>
        <w:spacing w:line="360" w:lineRule="auto"/>
        <w:ind w:firstLine="480" w:firstLineChars="200"/>
        <w:rPr>
          <w:rFonts w:hint="eastAsia" w:ascii="仿宋" w:hAnsi="仿宋" w:eastAsia="仿宋"/>
        </w:rPr>
      </w:pPr>
      <w:r>
        <w:rPr>
          <w:rFonts w:hint="eastAsia" w:ascii="仿宋" w:hAnsi="仿宋" w:eastAsia="仿宋"/>
        </w:rPr>
        <w:t>（1）第一期（预付款，【50】%）： 政府采购合同签订生效，且中标供应商向采购人提供等额有效发票后15个工作日内，采购人向中标供应商支付合同总金额的 【50】% 作为项目预付款，用于硬件设备的采购备货与前期数据对接准备。</w:t>
      </w:r>
    </w:p>
    <w:p w14:paraId="18B18457">
      <w:pPr>
        <w:pStyle w:val="58"/>
        <w:spacing w:line="360" w:lineRule="auto"/>
        <w:ind w:firstLine="480" w:firstLineChars="200"/>
        <w:rPr>
          <w:rFonts w:hint="eastAsia" w:ascii="仿宋" w:hAnsi="仿宋" w:eastAsia="仿宋"/>
        </w:rPr>
      </w:pPr>
      <w:r>
        <w:rPr>
          <w:rFonts w:hint="eastAsia" w:ascii="仿宋" w:hAnsi="仿宋" w:eastAsia="仿宋"/>
        </w:rPr>
        <w:t>（2）第二期（上线试运行款，【30】%）： 中标供应商完成全部硬件设备（训推一体服务器、终端等）的到货、安装调试，完成历史病历数据的清洗与大模型本地化微调（SFT），且“五大核心应用智能体”在采购人指定科室上线并试运行。经采购人初步审核确认系统运转稳定后，凭有效发票，采购人向中标供应商支付合同总金额的 【30】%。</w:t>
      </w:r>
    </w:p>
    <w:p w14:paraId="6D2EBA4C">
      <w:pPr>
        <w:pStyle w:val="58"/>
        <w:spacing w:line="360" w:lineRule="auto"/>
        <w:ind w:firstLine="480" w:firstLineChars="200"/>
        <w:rPr>
          <w:rFonts w:hint="eastAsia" w:ascii="仿宋" w:hAnsi="仿宋" w:eastAsia="仿宋"/>
        </w:rPr>
      </w:pPr>
      <w:r>
        <w:rPr>
          <w:rFonts w:hint="eastAsia" w:ascii="仿宋" w:hAnsi="仿宋" w:eastAsia="仿宋"/>
        </w:rPr>
        <w:t>（3）第三期（终验款，【15】%）： 试运行结束，项目完成所有合同约定的建设内容，经采购人（或采购人委托的第三方评估机构）出具正式的《项目整体验收合格报告》，并移交全套技术文档与培训资料后，凭有效发票，采购人向中标供应商支付合同总金额的 【15】%。</w:t>
      </w:r>
    </w:p>
    <w:p w14:paraId="34ADD465">
      <w:pPr>
        <w:spacing w:line="360" w:lineRule="auto"/>
        <w:ind w:firstLine="480" w:firstLineChars="200"/>
        <w:rPr>
          <w:rFonts w:hint="eastAsia" w:ascii="仿宋" w:hAnsi="仿宋" w:eastAsia="仿宋" w:cs="仿宋"/>
          <w:sz w:val="24"/>
        </w:rPr>
      </w:pPr>
      <w:r>
        <w:rPr>
          <w:rFonts w:hint="eastAsia" w:ascii="仿宋" w:hAnsi="仿宋" w:eastAsia="仿宋"/>
          <w:sz w:val="24"/>
        </w:rPr>
        <w:t>（4）第四期（质保金，【5】%）： 合同总金额的 【5】% 作为项目质量保证金。自项目整体验收合格之日起满 1 年，在此期间系统运行稳定、大模型按承诺完成年度迭代且无重大未解决的质量或售后服务问题，采购人在收到中标供应商付款申请后15个工作日内无息结清该笔尾款。</w:t>
      </w:r>
    </w:p>
    <w:p w14:paraId="0BB9F7FE">
      <w:pPr>
        <w:spacing w:line="360" w:lineRule="auto"/>
        <w:rPr>
          <w:rFonts w:hint="eastAsia" w:ascii="仿宋" w:hAnsi="仿宋" w:eastAsia="仿宋" w:cs="仿宋"/>
          <w:sz w:val="24"/>
        </w:rPr>
      </w:pPr>
      <w:r>
        <w:rPr>
          <w:rFonts w:hint="eastAsia" w:ascii="仿宋" w:hAnsi="仿宋" w:eastAsia="仿宋" w:cs="仿宋"/>
          <w:sz w:val="24"/>
        </w:rPr>
        <w:t>第二部分  招标技术参数</w:t>
      </w:r>
    </w:p>
    <w:p w14:paraId="786B81D1">
      <w:pPr>
        <w:pStyle w:val="13"/>
        <w:ind w:firstLine="562"/>
        <w:outlineLvl w:val="1"/>
        <w:rPr>
          <w:rFonts w:hint="eastAsia" w:ascii="仿宋" w:hAnsi="仿宋" w:eastAsia="仿宋" w:cs="仿宋_GB2312"/>
          <w:b/>
          <w:bCs/>
          <w:sz w:val="24"/>
        </w:rPr>
      </w:pPr>
      <w:r>
        <w:rPr>
          <w:rFonts w:hint="eastAsia" w:ascii="仿宋" w:hAnsi="仿宋" w:eastAsia="仿宋" w:cs="仿宋_GB2312"/>
          <w:b/>
          <w:bCs/>
          <w:sz w:val="24"/>
        </w:rPr>
        <w:t>一、项目总体要求</w:t>
      </w:r>
    </w:p>
    <w:p w14:paraId="4F60381E">
      <w:pPr>
        <w:pStyle w:val="13"/>
        <w:ind w:firstLine="562"/>
        <w:rPr>
          <w:rFonts w:hint="eastAsia" w:ascii="仿宋" w:hAnsi="仿宋" w:eastAsia="仿宋" w:cs="仿宋_GB2312"/>
          <w:b/>
          <w:bCs/>
          <w:sz w:val="24"/>
        </w:rPr>
      </w:pPr>
      <w:r>
        <w:rPr>
          <w:rFonts w:hint="eastAsia" w:ascii="仿宋" w:hAnsi="仿宋" w:eastAsia="仿宋" w:cs="仿宋_GB2312"/>
          <w:b/>
          <w:bCs/>
          <w:sz w:val="24"/>
        </w:rPr>
        <w:t>1.项目工作背景与目标</w:t>
      </w:r>
    </w:p>
    <w:p w14:paraId="3955C737">
      <w:pPr>
        <w:pStyle w:val="58"/>
        <w:spacing w:line="360" w:lineRule="auto"/>
        <w:ind w:firstLine="480" w:firstLineChars="200"/>
        <w:rPr>
          <w:rFonts w:hint="eastAsia" w:ascii="仿宋" w:hAnsi="仿宋" w:eastAsia="仿宋"/>
        </w:rPr>
      </w:pPr>
      <w:r>
        <w:rPr>
          <w:rFonts w:hint="eastAsia" w:ascii="仿宋" w:hAnsi="仿宋" w:eastAsia="仿宋"/>
        </w:rPr>
        <w:t>1). 国家战略指引，人工智能赋能医疗服务提档升级。</w:t>
      </w:r>
    </w:p>
    <w:p w14:paraId="2AC86D89">
      <w:pPr>
        <w:pStyle w:val="58"/>
        <w:spacing w:line="360" w:lineRule="auto"/>
        <w:ind w:firstLine="480" w:firstLineChars="200"/>
        <w:rPr>
          <w:rFonts w:hint="eastAsia" w:ascii="仿宋" w:hAnsi="仿宋" w:eastAsia="仿宋"/>
        </w:rPr>
      </w:pPr>
      <w:r>
        <w:rPr>
          <w:rFonts w:hint="eastAsia" w:ascii="仿宋" w:hAnsi="仿宋" w:eastAsia="仿宋"/>
        </w:rPr>
        <w:t>近年来，党中央、国务院高度重视人工智能与医疗健康的深度融合发展。2025年4月26日，习近平总书记在中央政治局第二十次集体学习时发表重要讲话，明确强调要全面推进人工智能科技创新、产业发展和赋能应用。在此战略指引下，结合《新一代人工智能发展规划》（国发〔2017〕35号）与《关于促进“互联网+医疗健康”发展的意见》（国办发〔2018〕26号）的总体部署，我国医疗卫生行业的数智化转型已跨入以“大模型”为核心底座的全新发展阶段，利用AI技术优化医疗资源配置、提升医疗服务效能已成为国家级发展共识。</w:t>
      </w:r>
    </w:p>
    <w:p w14:paraId="661EF177">
      <w:pPr>
        <w:pStyle w:val="58"/>
        <w:spacing w:line="360" w:lineRule="auto"/>
        <w:ind w:firstLine="480" w:firstLineChars="200"/>
        <w:rPr>
          <w:rFonts w:hint="eastAsia" w:ascii="仿宋" w:hAnsi="仿宋" w:eastAsia="仿宋"/>
        </w:rPr>
      </w:pPr>
      <w:r>
        <w:rPr>
          <w:rFonts w:hint="eastAsia" w:ascii="仿宋" w:hAnsi="仿宋" w:eastAsia="仿宋"/>
        </w:rPr>
        <w:t>2). 行业政策落地，明确“智能体”与“大模型”建设目标</w:t>
      </w:r>
    </w:p>
    <w:p w14:paraId="4C22541F">
      <w:pPr>
        <w:pStyle w:val="58"/>
        <w:spacing w:line="360" w:lineRule="auto"/>
        <w:ind w:firstLine="480" w:firstLineChars="200"/>
        <w:rPr>
          <w:rFonts w:hint="eastAsia" w:ascii="仿宋" w:hAnsi="仿宋" w:eastAsia="仿宋"/>
        </w:rPr>
      </w:pPr>
      <w:r>
        <w:rPr>
          <w:rFonts w:hint="eastAsia" w:ascii="仿宋" w:hAnsi="仿宋" w:eastAsia="仿宋"/>
        </w:rPr>
        <w:t>为加快前沿技术的临床转化，2025年，国家卫健委、国家发改委、工信部等五部门联合印发了《关于促进和规范“人工智能+医疗卫生”应用发展的实施意见》（国卫办规划发〔2025〕30号），文件中明确提出要求：到2027年，要形成一批临床专病专科垂直大模型和智能体应用，使基层诊疗智能辅助、临床专科专病诊疗智能辅助决策和患者就诊智能服务在医疗卫生机构得到广泛应用。 同期，国家卫健委等三部门联合发布的《卫生健康行业人工智能应用场景参考指引》，更是为医疗AI在临床辅助决策、病历自动生成、医保智能审核及病案质控等核心业务场景的落地指明了具体的建设路径。</w:t>
      </w:r>
    </w:p>
    <w:p w14:paraId="5C0206B2">
      <w:pPr>
        <w:pStyle w:val="58"/>
        <w:spacing w:line="360" w:lineRule="auto"/>
        <w:ind w:firstLine="480" w:firstLineChars="200"/>
        <w:rPr>
          <w:rFonts w:hint="eastAsia" w:ascii="仿宋" w:hAnsi="仿宋" w:eastAsia="仿宋"/>
        </w:rPr>
      </w:pPr>
      <w:r>
        <w:rPr>
          <w:rFonts w:hint="eastAsia" w:ascii="仿宋" w:hAnsi="仿宋" w:eastAsia="仿宋"/>
        </w:rPr>
        <w:t>3). 地方规划支撑，打造公立医院高质量发展示范标杆</w:t>
      </w:r>
    </w:p>
    <w:p w14:paraId="54C7C7E9">
      <w:pPr>
        <w:pStyle w:val="58"/>
        <w:spacing w:line="360" w:lineRule="auto"/>
        <w:ind w:firstLine="480" w:firstLineChars="200"/>
        <w:rPr>
          <w:rFonts w:hint="eastAsia" w:ascii="仿宋" w:hAnsi="仿宋" w:eastAsia="仿宋"/>
        </w:rPr>
      </w:pPr>
      <w:r>
        <w:rPr>
          <w:rFonts w:hint="eastAsia" w:ascii="仿宋" w:hAnsi="仿宋" w:eastAsia="仿宋"/>
        </w:rPr>
        <w:t>在地方落地层面，山西省人民政府在《山西省“十四五”公共卫生体系规划》中着重强调了要加快新一代信息技术与生命科学的深度融合。作为区域医疗卫生高地，大同市积极响应国家及省级号召，依托《山西省大同市中央财政支持公立医院改革与高质量发展示范项目实施方案》，全面启动了公立医院的高质量发展数智化建设。</w:t>
      </w:r>
    </w:p>
    <w:p w14:paraId="0F4D090B">
      <w:pPr>
        <w:pStyle w:val="58"/>
        <w:spacing w:line="360" w:lineRule="auto"/>
        <w:ind w:firstLine="480" w:firstLineChars="200"/>
        <w:rPr>
          <w:rFonts w:hint="eastAsia" w:ascii="仿宋" w:hAnsi="仿宋" w:eastAsia="仿宋"/>
        </w:rPr>
      </w:pPr>
      <w:r>
        <w:rPr>
          <w:rFonts w:hint="eastAsia" w:ascii="仿宋" w:hAnsi="仿宋" w:eastAsia="仿宋"/>
        </w:rPr>
        <w:t>4). 本项目建设契机</w:t>
      </w:r>
    </w:p>
    <w:p w14:paraId="1960A4D8">
      <w:pPr>
        <w:pStyle w:val="58"/>
        <w:spacing w:line="360" w:lineRule="auto"/>
        <w:ind w:firstLine="480" w:firstLineChars="200"/>
        <w:rPr>
          <w:rFonts w:hint="eastAsia" w:ascii="仿宋" w:hAnsi="仿宋" w:eastAsia="仿宋"/>
        </w:rPr>
      </w:pPr>
      <w:r>
        <w:rPr>
          <w:rFonts w:hint="eastAsia" w:ascii="仿宋" w:hAnsi="仿宋" w:eastAsia="仿宋"/>
        </w:rPr>
        <w:t>本项目正是在上述国家宏观政策与地方高质量发展规划的强烈共振下应运而生。针对当前医院普遍面临的临床文书书写负担重、多学科诊疗决策支持不足、医保违规风险管控难、病案质控依赖人工等痛点，亟需引入符合国家政策导向的“医疗大模型与智能体”技术。通过建设多模态辅助诊断、病历自动生成、医保合规审核等核心智能体，将全面响应国家“人工智能+医疗卫生”的建设号召，切实提升医院的智能化诊疗水平与精细化管理效能。</w:t>
      </w:r>
    </w:p>
    <w:p w14:paraId="2BA0AEA3">
      <w:pPr>
        <w:pStyle w:val="13"/>
        <w:ind w:firstLine="562"/>
        <w:outlineLvl w:val="1"/>
        <w:rPr>
          <w:rFonts w:hint="eastAsia" w:ascii="仿宋" w:hAnsi="仿宋" w:eastAsia="仿宋" w:cs="仿宋_GB2312"/>
          <w:b/>
          <w:bCs/>
          <w:sz w:val="24"/>
        </w:rPr>
      </w:pPr>
      <w:r>
        <w:rPr>
          <w:rFonts w:hint="eastAsia" w:ascii="仿宋" w:hAnsi="仿宋" w:eastAsia="仿宋" w:cs="仿宋_GB2312"/>
          <w:b/>
          <w:bCs/>
          <w:sz w:val="24"/>
        </w:rPr>
        <w:t>二、项目实施要求</w:t>
      </w:r>
    </w:p>
    <w:p w14:paraId="4E587795">
      <w:pPr>
        <w:pStyle w:val="49"/>
        <w:ind w:firstLine="0" w:firstLineChars="0"/>
        <w:rPr>
          <w:rStyle w:val="102"/>
          <w:rFonts w:hint="eastAsia" w:ascii="仿宋" w:hAnsi="仿宋" w:eastAsia="仿宋" w:cs="仿宋_GB2312"/>
          <w:color w:val="000000"/>
          <w:kern w:val="0"/>
          <w:sz w:val="24"/>
        </w:rPr>
      </w:pPr>
    </w:p>
    <w:p w14:paraId="32F07D33">
      <w:pPr>
        <w:topLinePunct/>
        <w:spacing w:line="360" w:lineRule="auto"/>
        <w:ind w:firstLine="562"/>
        <w:jc w:val="left"/>
        <w:outlineLvl w:val="2"/>
        <w:rPr>
          <w:rFonts w:hint="eastAsia" w:ascii="仿宋" w:hAnsi="仿宋" w:eastAsia="仿宋" w:cs="仿宋_GB2312"/>
          <w:b/>
          <w:sz w:val="24"/>
        </w:rPr>
      </w:pPr>
      <w:r>
        <w:rPr>
          <w:rFonts w:hint="eastAsia" w:ascii="仿宋" w:hAnsi="仿宋" w:eastAsia="仿宋" w:cs="仿宋_GB2312"/>
          <w:b/>
          <w:sz w:val="24"/>
        </w:rPr>
        <w:t>1.实施方案要求</w:t>
      </w:r>
    </w:p>
    <w:p w14:paraId="4EFFE0D9">
      <w:pPr>
        <w:topLinePunct/>
        <w:spacing w:line="360" w:lineRule="auto"/>
        <w:ind w:firstLine="560"/>
        <w:jc w:val="left"/>
        <w:rPr>
          <w:rFonts w:hint="eastAsia" w:ascii="仿宋" w:hAnsi="仿宋" w:eastAsia="仿宋" w:cs="仿宋_GB2312"/>
          <w:bCs/>
          <w:sz w:val="24"/>
        </w:rPr>
      </w:pPr>
      <w:r>
        <w:rPr>
          <w:rFonts w:hint="eastAsia" w:ascii="仿宋" w:hAnsi="仿宋" w:eastAsia="仿宋" w:cs="仿宋_GB2312"/>
          <w:bCs/>
          <w:sz w:val="24"/>
        </w:rPr>
        <w:t>供应商应</w:t>
      </w:r>
      <w:r>
        <w:rPr>
          <w:rFonts w:hint="eastAsia" w:ascii="仿宋" w:hAnsi="仿宋" w:eastAsia="仿宋" w:cs="仿宋_GB2312"/>
          <w:sz w:val="24"/>
        </w:rPr>
        <w:t>提供详细、完善、可行性强的医疗大模型及智能体平台落地实施方案，实施方案应包括项目实施过程中进度控制、保障措施、跨系统融合与AI场景应用等项目重难点分析、应对措施、软硬件质量保证措施、数据安全与风险控制措施、应急措施等，确保各项工作能够按计划有效落地执行。</w:t>
      </w:r>
    </w:p>
    <w:p w14:paraId="4961BE12">
      <w:pPr>
        <w:pStyle w:val="13"/>
        <w:numPr>
          <w:ilvl w:val="0"/>
          <w:numId w:val="1"/>
        </w:numPr>
        <w:outlineLvl w:val="1"/>
        <w:rPr>
          <w:rFonts w:hint="eastAsia" w:ascii="仿宋" w:hAnsi="仿宋" w:eastAsia="仿宋" w:cs="仿宋_GB2312"/>
          <w:b/>
          <w:bCs/>
          <w:sz w:val="24"/>
        </w:rPr>
      </w:pPr>
      <w:r>
        <w:rPr>
          <w:rFonts w:hint="eastAsia" w:ascii="仿宋" w:hAnsi="仿宋" w:eastAsia="仿宋" w:cs="仿宋_GB2312"/>
          <w:b/>
          <w:bCs/>
          <w:sz w:val="24"/>
        </w:rPr>
        <w:t>项目技术要求</w:t>
      </w:r>
    </w:p>
    <w:p w14:paraId="45C59F31">
      <w:pPr>
        <w:pStyle w:val="13"/>
        <w:ind w:firstLine="560"/>
        <w:rPr>
          <w:rFonts w:hint="eastAsia" w:ascii="仿宋" w:hAnsi="仿宋" w:eastAsia="仿宋" w:cs="仿宋_GB2312"/>
          <w:sz w:val="24"/>
        </w:rPr>
      </w:pPr>
      <w:r>
        <w:rPr>
          <w:rFonts w:hint="eastAsia" w:ascii="仿宋" w:hAnsi="仿宋" w:eastAsia="仿宋" w:cs="仿宋_GB2312"/>
          <w:sz w:val="24"/>
        </w:rPr>
        <w:t>本项目旨在通过引入先进的大语言模型与多模态人工智能技术，依托高性能国产化训推一体算力底座，在保障医疗数据不出院、安全合规的前提下，基于院内数据训练专用的医疗大模型底座，深度赋能医院临床诊疗、文书书写、医保审核、住院查房与病案质控等核心业务场景，开展多模态辅助诊断智能体、病历自动生成智能体、医保合规审核智能体、查房助手智能体、病案质控智能体五个核心应用模块的建设工作。</w:t>
      </w:r>
    </w:p>
    <w:p w14:paraId="4978EECC">
      <w:pPr>
        <w:spacing w:line="360" w:lineRule="auto"/>
        <w:ind w:firstLine="480" w:firstLineChars="200"/>
        <w:rPr>
          <w:rFonts w:hint="eastAsia" w:ascii="仿宋_GB2312" w:hAnsi="仿宋_GB2312" w:eastAsia="仿宋_GB2312" w:cs="仿宋_GB2312"/>
          <w:bCs/>
          <w:sz w:val="24"/>
        </w:rPr>
      </w:pPr>
    </w:p>
    <w:p w14:paraId="3F6DD356">
      <w:pPr>
        <w:pStyle w:val="4"/>
        <w:numPr>
          <w:ilvl w:val="0"/>
          <w:numId w:val="2"/>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基于院内专有数据的基座大模型深度微调与训练</w:t>
      </w:r>
    </w:p>
    <w:p w14:paraId="7351722A">
      <w:pPr>
        <w:topLinePunct/>
        <w:spacing w:line="360" w:lineRule="auto"/>
        <w:jc w:val="left"/>
        <w:rPr>
          <w:rFonts w:hint="eastAsia"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实现私有化部署，所有数据、模型、算力均部署于医院本地服务器，不</w:t>
      </w:r>
      <w:r>
        <w:rPr>
          <w:rFonts w:hint="eastAsia" w:ascii="仿宋" w:hAnsi="仿宋" w:eastAsia="仿宋" w:cs="仿宋_GB2312"/>
          <w:sz w:val="24"/>
        </w:rPr>
        <w:t>能</w:t>
      </w:r>
      <w:r>
        <w:rPr>
          <w:rFonts w:ascii="仿宋" w:hAnsi="仿宋" w:eastAsia="仿宋" w:cs="仿宋_GB2312"/>
          <w:sz w:val="24"/>
        </w:rPr>
        <w:t>依赖外部云服务，</w:t>
      </w:r>
      <w:r>
        <w:rPr>
          <w:rFonts w:hint="eastAsia" w:ascii="仿宋" w:hAnsi="仿宋" w:eastAsia="仿宋" w:cs="仿宋_GB2312"/>
          <w:sz w:val="24"/>
        </w:rPr>
        <w:t>要</w:t>
      </w:r>
      <w:r>
        <w:rPr>
          <w:rFonts w:ascii="仿宋" w:hAnsi="仿宋" w:eastAsia="仿宋" w:cs="仿宋_GB2312"/>
          <w:sz w:val="24"/>
        </w:rPr>
        <w:t>符合《网络安全法》《数据安全法》《个人信息保护法》及医疗行业数据安全规范；</w:t>
      </w:r>
    </w:p>
    <w:p w14:paraId="1695B2FE">
      <w:pPr>
        <w:pStyle w:val="13"/>
        <w:rPr>
          <w:rFonts w:hint="eastAsia" w:ascii="仿宋" w:hAnsi="仿宋" w:eastAsia="仿宋" w:cs="仿宋_GB2312"/>
          <w:sz w:val="24"/>
        </w:rPr>
      </w:pPr>
      <w:r>
        <w:rPr>
          <w:rFonts w:hint="eastAsia" w:ascii="仿宋" w:hAnsi="仿宋" w:eastAsia="仿宋" w:cs="仿宋_GB2312"/>
          <w:sz w:val="24"/>
        </w:rPr>
        <w:t>（2）模型的数据标注和训练需符合GB/T 45674-2025（网络安全技术 生成式人工智能数据标注安全规范）、GB/T 45654-2025（网络安全技术 生成式人工智能服务安全基本要求），数据标注中的安全性标注比例不低于3%，对于每一种类型的训练数据,如文本、图片、音频等,应在将数据用于训练前,对全部训练数据进行过滤,过滤方法包括但不限于关键词、分类模型、人工抽检等,去除数据中的违法不良信息。</w:t>
      </w:r>
    </w:p>
    <w:p w14:paraId="080065F6">
      <w:pPr>
        <w:pStyle w:val="13"/>
        <w:rPr>
          <w:rFonts w:hint="eastAsia" w:ascii="仿宋" w:hAnsi="仿宋" w:eastAsia="仿宋" w:cs="仿宋_GB2312"/>
          <w:sz w:val="24"/>
        </w:rPr>
      </w:pPr>
      <w:r>
        <w:rPr>
          <w:rFonts w:ascii="仿宋" w:hAnsi="仿宋" w:eastAsia="仿宋" w:cs="仿宋"/>
          <w:b/>
          <w:bCs/>
          <w:sz w:val="24"/>
        </w:rPr>
        <w:t>★</w:t>
      </w:r>
      <w:r>
        <w:rPr>
          <w:rFonts w:hint="eastAsia" w:ascii="仿宋" w:hAnsi="仿宋" w:eastAsia="仿宋" w:cs="仿宋_GB2312"/>
          <w:sz w:val="24"/>
        </w:rPr>
        <w:t>（2）</w:t>
      </w:r>
      <w:r>
        <w:rPr>
          <w:rFonts w:ascii="仿宋" w:hAnsi="仿宋" w:eastAsia="仿宋" w:cs="仿宋_GB2312"/>
          <w:sz w:val="24"/>
        </w:rPr>
        <w:t>模型需适配县域医院常见病、多发病诊疗场景，覆盖内科、外科、妇产科、儿科等核心科室，</w:t>
      </w:r>
      <w:r>
        <w:rPr>
          <w:rFonts w:hint="eastAsia" w:ascii="仿宋" w:hAnsi="仿宋" w:eastAsia="仿宋" w:cs="仿宋_GB2312"/>
          <w:sz w:val="24"/>
        </w:rPr>
        <w:t>要</w:t>
      </w:r>
      <w:r>
        <w:rPr>
          <w:rFonts w:ascii="仿宋" w:hAnsi="仿宋" w:eastAsia="仿宋" w:cs="仿宋_GB2312"/>
          <w:sz w:val="24"/>
        </w:rPr>
        <w:t>支持多模态数据（文本、影像、检验报告）处理与理解；</w:t>
      </w:r>
    </w:p>
    <w:p w14:paraId="12543DE0">
      <w:pPr>
        <w:pStyle w:val="13"/>
        <w:rPr>
          <w:rFonts w:hint="eastAsia" w:ascii="仿宋" w:hAnsi="仿宋" w:eastAsia="仿宋" w:cs="仿宋_GB2312"/>
          <w:sz w:val="24"/>
        </w:rPr>
      </w:pPr>
      <w:r>
        <w:rPr>
          <w:rFonts w:ascii="仿宋" w:hAnsi="仿宋" w:eastAsia="仿宋" w:cs="仿宋"/>
          <w:b/>
          <w:bCs/>
          <w:sz w:val="24"/>
        </w:rPr>
        <w:t>★</w:t>
      </w:r>
      <w:r>
        <w:rPr>
          <w:rFonts w:hint="eastAsia" w:ascii="仿宋" w:hAnsi="仿宋" w:eastAsia="仿宋" w:cs="仿宋_GB2312"/>
          <w:sz w:val="24"/>
        </w:rPr>
        <w:t>（3）</w:t>
      </w:r>
      <w:r>
        <w:rPr>
          <w:rFonts w:ascii="仿宋" w:hAnsi="仿宋" w:eastAsia="仿宋" w:cs="仿宋_GB2312"/>
          <w:sz w:val="24"/>
        </w:rPr>
        <w:t>具备低延迟、高并发能力，支持院内多科室同时调用，响应速度满足临床实时使用需求</w:t>
      </w:r>
      <w:r>
        <w:rPr>
          <w:rFonts w:hint="eastAsia" w:ascii="仿宋" w:hAnsi="仿宋" w:eastAsia="仿宋" w:cs="仿宋_GB2312"/>
          <w:sz w:val="24"/>
        </w:rPr>
        <w:t>，支持≥50 路用户同时调用，单请求响应时间≤2 秒（文本类）、≤5 秒（图像类）</w:t>
      </w:r>
      <w:r>
        <w:rPr>
          <w:rFonts w:ascii="仿宋" w:hAnsi="仿宋" w:eastAsia="仿宋" w:cs="仿宋_GB2312"/>
          <w:sz w:val="24"/>
        </w:rPr>
        <w:t>；</w:t>
      </w:r>
    </w:p>
    <w:p w14:paraId="44D673FF">
      <w:pPr>
        <w:pStyle w:val="13"/>
        <w:rPr>
          <w:rFonts w:hint="eastAsia" w:ascii="仿宋" w:hAnsi="仿宋" w:eastAsia="仿宋" w:cs="仿宋_GB2312"/>
          <w:sz w:val="24"/>
        </w:rPr>
      </w:pPr>
      <w:r>
        <w:rPr>
          <w:rFonts w:hint="eastAsia" w:ascii="仿宋" w:hAnsi="仿宋" w:eastAsia="仿宋" w:cs="仿宋_GB2312"/>
          <w:sz w:val="24"/>
        </w:rPr>
        <w:t>（4）提供完整的模型训练、迭代、管理工具，支持后续基于新增医疗数据持续优化模型。</w:t>
      </w:r>
    </w:p>
    <w:p w14:paraId="722CCB42">
      <w:pPr>
        <w:pStyle w:val="13"/>
        <w:rPr>
          <w:rFonts w:hint="eastAsia" w:ascii="仿宋" w:hAnsi="仿宋" w:eastAsia="仿宋" w:cs="仿宋_GB2312"/>
          <w:sz w:val="24"/>
        </w:rPr>
      </w:pPr>
      <w:r>
        <w:rPr>
          <w:rFonts w:hint="eastAsia" w:ascii="仿宋" w:hAnsi="仿宋" w:eastAsia="仿宋" w:cs="仿宋_GB2312"/>
          <w:sz w:val="24"/>
        </w:rPr>
        <w:t>（5）基座模型要求：采用国产主流大模型基座，参数量≥140亿，支持 INT4/INT8 量化部署，兼顾性能与算力成本。支持不低于 32K tokens 超长上下文理解，可完整处理单份完整电子病历、检验报告等长文本数据。</w:t>
      </w:r>
    </w:p>
    <w:p w14:paraId="3B7EAA13">
      <w:pPr>
        <w:pStyle w:val="5"/>
        <w:widowControl/>
        <w:spacing w:line="480" w:lineRule="atLeast"/>
        <w:rPr>
          <w:rFonts w:hint="eastAsia" w:ascii="仿宋" w:hAnsi="仿宋" w:eastAsia="仿宋" w:cs="仿宋_GB2312"/>
          <w:b w:val="0"/>
          <w:bCs w:val="0"/>
          <w:snapToGrid w:val="0"/>
          <w:sz w:val="24"/>
          <w:szCs w:val="24"/>
        </w:rPr>
      </w:pPr>
      <w:r>
        <w:rPr>
          <w:rFonts w:hint="eastAsia" w:ascii="仿宋" w:hAnsi="仿宋" w:eastAsia="仿宋" w:cs="仿宋_GB2312"/>
          <w:b w:val="0"/>
          <w:bCs w:val="0"/>
          <w:snapToGrid w:val="0"/>
          <w:sz w:val="24"/>
          <w:szCs w:val="24"/>
        </w:rPr>
        <w:t>（</w:t>
      </w:r>
      <w:r>
        <w:rPr>
          <w:rFonts w:hint="eastAsia" w:ascii="仿宋" w:hAnsi="仿宋" w:eastAsia="仿宋" w:cs="仿宋_GB2312"/>
          <w:b w:val="0"/>
          <w:bCs w:val="0"/>
          <w:snapToGrid w:val="0"/>
          <w:sz w:val="24"/>
          <w:szCs w:val="24"/>
          <w:lang w:val="en-US"/>
        </w:rPr>
        <w:t>6</w:t>
      </w:r>
      <w:r>
        <w:rPr>
          <w:rFonts w:hint="eastAsia" w:ascii="仿宋" w:hAnsi="仿宋" w:eastAsia="仿宋" w:cs="仿宋_GB2312"/>
          <w:b w:val="0"/>
          <w:bCs w:val="0"/>
          <w:snapToGrid w:val="0"/>
          <w:sz w:val="24"/>
          <w:szCs w:val="24"/>
        </w:rPr>
        <w:t>）</w:t>
      </w:r>
      <w:r>
        <w:rPr>
          <w:rFonts w:ascii="仿宋" w:hAnsi="仿宋" w:eastAsia="仿宋" w:cs="仿宋_GB2312"/>
          <w:b w:val="0"/>
          <w:bCs w:val="0"/>
          <w:snapToGrid w:val="0"/>
          <w:sz w:val="24"/>
          <w:szCs w:val="24"/>
        </w:rPr>
        <w:t>训练数据要求</w:t>
      </w:r>
    </w:p>
    <w:p w14:paraId="054F6190">
      <w:pPr>
        <w:widowControl/>
        <w:numPr>
          <w:ilvl w:val="0"/>
          <w:numId w:val="3"/>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数据来源：整合医院近 5 年脱敏电子病历（≥</w:t>
      </w:r>
      <w:r>
        <w:rPr>
          <w:rFonts w:hint="eastAsia" w:ascii="仿宋" w:hAnsi="仿宋" w:eastAsia="仿宋" w:cs="仿宋_GB2312"/>
          <w:snapToGrid w:val="0"/>
          <w:sz w:val="24"/>
        </w:rPr>
        <w:t>5</w:t>
      </w:r>
      <w:r>
        <w:rPr>
          <w:rFonts w:ascii="仿宋" w:hAnsi="仿宋" w:eastAsia="仿宋" w:cs="仿宋_GB2312"/>
          <w:snapToGrid w:val="0"/>
          <w:sz w:val="24"/>
          <w:lang w:val="zh-CN"/>
        </w:rPr>
        <w:t>万份）、检验检查报告（≥</w:t>
      </w:r>
      <w:r>
        <w:rPr>
          <w:rFonts w:hint="eastAsia" w:ascii="仿宋" w:hAnsi="仿宋" w:eastAsia="仿宋" w:cs="仿宋_GB2312"/>
          <w:snapToGrid w:val="0"/>
          <w:sz w:val="24"/>
        </w:rPr>
        <w:t>5</w:t>
      </w:r>
      <w:r>
        <w:rPr>
          <w:rFonts w:ascii="仿宋" w:hAnsi="仿宋" w:eastAsia="仿宋" w:cs="仿宋_GB2312"/>
          <w:snapToGrid w:val="0"/>
          <w:sz w:val="24"/>
          <w:lang w:val="zh-CN"/>
        </w:rPr>
        <w:t>万份）、医学影像报告（≥</w:t>
      </w:r>
      <w:r>
        <w:rPr>
          <w:rFonts w:hint="eastAsia" w:ascii="仿宋" w:hAnsi="仿宋" w:eastAsia="仿宋" w:cs="仿宋_GB2312"/>
          <w:snapToGrid w:val="0"/>
          <w:sz w:val="24"/>
        </w:rPr>
        <w:t>5000</w:t>
      </w:r>
      <w:r>
        <w:rPr>
          <w:rFonts w:ascii="仿宋" w:hAnsi="仿宋" w:eastAsia="仿宋" w:cs="仿宋_GB2312"/>
          <w:snapToGrid w:val="0"/>
          <w:sz w:val="24"/>
          <w:lang w:val="zh-CN"/>
        </w:rPr>
        <w:t>份）、国家及行业诊疗指南、药品说明书、医学教材等合规医疗数据；</w:t>
      </w:r>
    </w:p>
    <w:p w14:paraId="515E8FCD">
      <w:pPr>
        <w:widowControl/>
        <w:numPr>
          <w:ilvl w:val="0"/>
          <w:numId w:val="3"/>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数据治理：完成数据脱敏（去除患者姓名、身份证号、联系方式等敏感信息）、清洗、标注、标准化处理，符合 ICD-10 疾病编码、医保药品目录等标准；</w:t>
      </w:r>
    </w:p>
    <w:p w14:paraId="33BF980B">
      <w:pPr>
        <w:widowControl/>
        <w:numPr>
          <w:ilvl w:val="0"/>
          <w:numId w:val="3"/>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数据质量：结构化数据完整率≥95%，非结构化数据标注准确率≥98%，覆盖县域医院常见疾病（≥</w:t>
      </w:r>
      <w:r>
        <w:rPr>
          <w:rFonts w:hint="eastAsia" w:ascii="仿宋" w:hAnsi="仿宋" w:eastAsia="仿宋" w:cs="仿宋_GB2312"/>
          <w:snapToGrid w:val="0"/>
          <w:sz w:val="24"/>
        </w:rPr>
        <w:t>1</w:t>
      </w:r>
      <w:r>
        <w:rPr>
          <w:rFonts w:ascii="仿宋" w:hAnsi="仿宋" w:eastAsia="仿宋" w:cs="仿宋_GB2312"/>
          <w:snapToGrid w:val="0"/>
          <w:sz w:val="24"/>
          <w:lang w:val="zh-CN"/>
        </w:rPr>
        <w:t>00 种）及诊疗流程。</w:t>
      </w:r>
    </w:p>
    <w:p w14:paraId="5838BF67">
      <w:pPr>
        <w:widowControl/>
        <w:numPr>
          <w:ilvl w:val="0"/>
          <w:numId w:val="3"/>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数据安全：所有医疗数据采用 AES-256 加密存储、传输，严格遵循 “数据不出院” 原则，禁止数据外传</w:t>
      </w:r>
      <w:r>
        <w:rPr>
          <w:rFonts w:hint="eastAsia" w:ascii="仿宋" w:hAnsi="仿宋" w:eastAsia="仿宋" w:cs="仿宋_GB2312"/>
          <w:snapToGrid w:val="0"/>
          <w:sz w:val="24"/>
          <w:lang w:val="zh-CN"/>
        </w:rPr>
        <w:t>;</w:t>
      </w:r>
    </w:p>
    <w:p w14:paraId="1413B15B">
      <w:pPr>
        <w:pStyle w:val="5"/>
        <w:widowControl/>
        <w:spacing w:line="480" w:lineRule="atLeast"/>
        <w:rPr>
          <w:rFonts w:hint="eastAsia" w:ascii="仿宋" w:hAnsi="仿宋" w:eastAsia="仿宋" w:cs="仿宋_GB2312"/>
          <w:snapToGrid w:val="0"/>
          <w:sz w:val="24"/>
          <w:szCs w:val="24"/>
        </w:rPr>
      </w:pPr>
      <w:r>
        <w:rPr>
          <w:rFonts w:hint="eastAsia" w:ascii="仿宋" w:hAnsi="仿宋" w:eastAsia="仿宋" w:cs="仿宋_GB2312"/>
          <w:b w:val="0"/>
          <w:bCs w:val="0"/>
          <w:snapToGrid w:val="0"/>
          <w:sz w:val="24"/>
          <w:szCs w:val="24"/>
        </w:rPr>
        <w:t>（</w:t>
      </w:r>
      <w:r>
        <w:rPr>
          <w:rFonts w:hint="eastAsia" w:ascii="仿宋" w:hAnsi="仿宋" w:eastAsia="仿宋" w:cs="仿宋_GB2312"/>
          <w:b w:val="0"/>
          <w:bCs w:val="0"/>
          <w:snapToGrid w:val="0"/>
          <w:sz w:val="24"/>
          <w:szCs w:val="24"/>
          <w:lang w:val="en-US"/>
        </w:rPr>
        <w:t>7</w:t>
      </w:r>
      <w:r>
        <w:rPr>
          <w:rFonts w:hint="eastAsia" w:ascii="仿宋" w:hAnsi="仿宋" w:eastAsia="仿宋" w:cs="仿宋_GB2312"/>
          <w:b w:val="0"/>
          <w:bCs w:val="0"/>
          <w:snapToGrid w:val="0"/>
          <w:sz w:val="24"/>
          <w:szCs w:val="24"/>
        </w:rPr>
        <w:t>）</w:t>
      </w:r>
      <w:r>
        <w:rPr>
          <w:rFonts w:ascii="仿宋" w:hAnsi="仿宋" w:eastAsia="仿宋" w:cs="仿宋_GB2312"/>
          <w:b w:val="0"/>
          <w:bCs w:val="0"/>
          <w:snapToGrid w:val="0"/>
          <w:sz w:val="24"/>
          <w:szCs w:val="24"/>
        </w:rPr>
        <w:t>训练算力及环境要求</w:t>
      </w:r>
    </w:p>
    <w:p w14:paraId="5287A8DA">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训练效率：每轮迭代时间≤4 小时，总训练周期≤3 个月（含数据处理、模型微调、验证优化）；</w:t>
      </w:r>
    </w:p>
    <w:p w14:paraId="3965A743">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训练环境需部署防火墙、入侵检测、数据加密等安全设施，实现训练过程全程溯源、日志留存（留存期≥3 年）。</w:t>
      </w:r>
    </w:p>
    <w:p w14:paraId="0BCE76AE">
      <w:pPr>
        <w:pStyle w:val="5"/>
        <w:widowControl/>
        <w:spacing w:line="480" w:lineRule="atLeast"/>
        <w:rPr>
          <w:rFonts w:hint="eastAsia" w:ascii="仿宋" w:hAnsi="仿宋" w:eastAsia="仿宋" w:cs="仿宋_GB2312"/>
          <w:b w:val="0"/>
          <w:bCs w:val="0"/>
          <w:snapToGrid w:val="0"/>
          <w:sz w:val="24"/>
          <w:szCs w:val="24"/>
        </w:rPr>
      </w:pPr>
      <w:r>
        <w:rPr>
          <w:rFonts w:hint="eastAsia" w:ascii="仿宋" w:hAnsi="仿宋" w:eastAsia="仿宋" w:cs="仿宋_GB2312"/>
          <w:b w:val="0"/>
          <w:bCs w:val="0"/>
          <w:snapToGrid w:val="0"/>
          <w:sz w:val="24"/>
          <w:szCs w:val="24"/>
        </w:rPr>
        <w:t>（</w:t>
      </w:r>
      <w:r>
        <w:rPr>
          <w:rFonts w:hint="eastAsia" w:ascii="仿宋" w:hAnsi="仿宋" w:eastAsia="仿宋" w:cs="仿宋_GB2312"/>
          <w:b w:val="0"/>
          <w:bCs w:val="0"/>
          <w:snapToGrid w:val="0"/>
          <w:sz w:val="24"/>
          <w:szCs w:val="24"/>
          <w:lang w:val="en-US"/>
        </w:rPr>
        <w:t>8</w:t>
      </w:r>
      <w:r>
        <w:rPr>
          <w:rFonts w:hint="eastAsia" w:ascii="仿宋" w:hAnsi="仿宋" w:eastAsia="仿宋" w:cs="仿宋_GB2312"/>
          <w:b w:val="0"/>
          <w:bCs w:val="0"/>
          <w:snapToGrid w:val="0"/>
          <w:sz w:val="24"/>
          <w:szCs w:val="24"/>
        </w:rPr>
        <w:t>）</w:t>
      </w:r>
      <w:r>
        <w:rPr>
          <w:rFonts w:hint="eastAsia" w:ascii="仿宋" w:hAnsi="仿宋" w:eastAsia="仿宋" w:cs="仿宋_GB2312"/>
          <w:b w:val="0"/>
          <w:bCs w:val="0"/>
          <w:snapToGrid w:val="0"/>
          <w:sz w:val="24"/>
          <w:szCs w:val="24"/>
          <w:lang w:val="en-US"/>
        </w:rPr>
        <w:t>训练</w:t>
      </w:r>
      <w:r>
        <w:rPr>
          <w:rFonts w:ascii="仿宋" w:hAnsi="仿宋" w:eastAsia="仿宋" w:cs="仿宋_GB2312"/>
          <w:b w:val="0"/>
          <w:bCs w:val="0"/>
          <w:snapToGrid w:val="0"/>
          <w:sz w:val="24"/>
          <w:szCs w:val="24"/>
        </w:rPr>
        <w:t>平台管理功能</w:t>
      </w:r>
    </w:p>
    <w:p w14:paraId="0AABB3AD">
      <w:pPr>
        <w:widowControl/>
        <w:numPr>
          <w:ilvl w:val="0"/>
          <w:numId w:val="5"/>
        </w:numPr>
        <w:tabs>
          <w:tab w:val="left" w:pos="72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模型管理：支持模型版本管理、迭代升级、性能监控、参数调优；</w:t>
      </w:r>
    </w:p>
    <w:p w14:paraId="7818ABBE">
      <w:pPr>
        <w:widowControl/>
        <w:numPr>
          <w:ilvl w:val="0"/>
          <w:numId w:val="5"/>
        </w:numPr>
        <w:tabs>
          <w:tab w:val="left" w:pos="72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数据管理：提供数据上传、脱敏、存储、备份、权限管控功能，支持数据分类分级管理；</w:t>
      </w:r>
    </w:p>
    <w:p w14:paraId="65818531">
      <w:pPr>
        <w:widowControl/>
        <w:numPr>
          <w:ilvl w:val="0"/>
          <w:numId w:val="5"/>
        </w:numPr>
        <w:tabs>
          <w:tab w:val="left" w:pos="720"/>
        </w:tabs>
        <w:spacing w:line="480" w:lineRule="atLeast"/>
        <w:ind w:left="420"/>
        <w:jc w:val="left"/>
        <w:rPr>
          <w:rFonts w:ascii="仿宋" w:eastAsia="仿宋" w:cs="仿宋_GB2312"/>
          <w:snapToGrid w:val="0"/>
          <w:sz w:val="24"/>
        </w:rPr>
      </w:pPr>
      <w:r>
        <w:rPr>
          <w:rFonts w:ascii="仿宋" w:hAnsi="仿宋" w:eastAsia="仿宋" w:cs="仿宋_GB2312"/>
          <w:snapToGrid w:val="0"/>
          <w:sz w:val="24"/>
          <w:lang w:val="zh-CN"/>
        </w:rPr>
        <w:t>用户管理：基于角色分配权限，实现操作日志全程追溯；</w:t>
      </w:r>
    </w:p>
    <w:p w14:paraId="34DF9BAB">
      <w:pPr>
        <w:pStyle w:val="5"/>
        <w:widowControl/>
        <w:spacing w:line="480" w:lineRule="atLeast"/>
        <w:rPr>
          <w:rFonts w:hint="eastAsia" w:ascii="仿宋" w:hAnsi="仿宋" w:eastAsia="仿宋" w:cs="仿宋_GB2312"/>
          <w:b w:val="0"/>
          <w:bCs w:val="0"/>
          <w:snapToGrid w:val="0"/>
          <w:sz w:val="24"/>
          <w:szCs w:val="24"/>
        </w:rPr>
      </w:pPr>
      <w:r>
        <w:rPr>
          <w:rFonts w:hint="eastAsia" w:ascii="仿宋" w:hAnsi="仿宋" w:eastAsia="仿宋" w:cs="仿宋_GB2312"/>
          <w:b w:val="0"/>
          <w:bCs w:val="0"/>
          <w:snapToGrid w:val="0"/>
          <w:sz w:val="24"/>
          <w:szCs w:val="24"/>
        </w:rPr>
        <w:t>（</w:t>
      </w:r>
      <w:r>
        <w:rPr>
          <w:rFonts w:hint="eastAsia" w:ascii="仿宋" w:hAnsi="仿宋" w:eastAsia="仿宋" w:cs="仿宋_GB2312"/>
          <w:b w:val="0"/>
          <w:bCs w:val="0"/>
          <w:snapToGrid w:val="0"/>
          <w:sz w:val="24"/>
          <w:szCs w:val="24"/>
          <w:lang w:val="en-US"/>
        </w:rPr>
        <w:t>9</w:t>
      </w:r>
      <w:r>
        <w:rPr>
          <w:rFonts w:hint="eastAsia" w:ascii="仿宋" w:hAnsi="仿宋" w:eastAsia="仿宋" w:cs="仿宋_GB2312"/>
          <w:b w:val="0"/>
          <w:bCs w:val="0"/>
          <w:snapToGrid w:val="0"/>
          <w:sz w:val="24"/>
          <w:szCs w:val="24"/>
        </w:rPr>
        <w:t>）服务要求</w:t>
      </w:r>
    </w:p>
    <w:p w14:paraId="0163B40F">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提供完整的项目实施方案，包括训练计划、部署流程、进度安排、风险应对措施</w:t>
      </w:r>
      <w:r>
        <w:rPr>
          <w:rFonts w:hint="eastAsia" w:ascii="仿宋" w:hAnsi="仿宋" w:eastAsia="仿宋" w:cs="仿宋_GB2312"/>
          <w:snapToGrid w:val="0"/>
          <w:sz w:val="24"/>
          <w:lang w:val="zh-CN"/>
        </w:rPr>
        <w:t>；</w:t>
      </w:r>
    </w:p>
    <w:p w14:paraId="68FF5B1E">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派驻专业技术团队驻场服务（不少于</w:t>
      </w:r>
      <w:r>
        <w:rPr>
          <w:rFonts w:hint="eastAsia" w:ascii="仿宋" w:hAnsi="仿宋" w:eastAsia="仿宋" w:cs="仿宋_GB2312"/>
          <w:snapToGrid w:val="0"/>
          <w:sz w:val="24"/>
        </w:rPr>
        <w:t>5</w:t>
      </w:r>
      <w:r>
        <w:rPr>
          <w:rFonts w:ascii="仿宋" w:hAnsi="仿宋" w:eastAsia="仿宋" w:cs="仿宋_GB2312"/>
          <w:snapToGrid w:val="0"/>
          <w:sz w:val="24"/>
          <w:lang w:val="zh-CN"/>
        </w:rPr>
        <w:t>人），全程负责数据处理、模型训练、平台部署、系统调试；</w:t>
      </w:r>
    </w:p>
    <w:p w14:paraId="27578C88">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免费维护期内提供 7×24 小时技术支持，响应时间≤1 小时，故障解决时间≤4 小时；</w:t>
      </w:r>
    </w:p>
    <w:p w14:paraId="64B6FB4C">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免费提供模型迭代优化服务（每年不少于 2 次），支持基于新增医疗数据持续提升模型性能；</w:t>
      </w:r>
    </w:p>
    <w:p w14:paraId="5AD36DCC">
      <w:pPr>
        <w:widowControl/>
        <w:numPr>
          <w:ilvl w:val="0"/>
          <w:numId w:val="4"/>
        </w:numPr>
        <w:tabs>
          <w:tab w:val="left" w:pos="720"/>
          <w:tab w:val="clear" w:pos="1140"/>
        </w:tabs>
        <w:spacing w:line="480" w:lineRule="atLeast"/>
        <w:ind w:left="420"/>
        <w:jc w:val="left"/>
        <w:rPr>
          <w:rFonts w:hint="eastAsia" w:ascii="仿宋" w:hAnsi="仿宋" w:eastAsia="仿宋" w:cs="仿宋_GB2312"/>
          <w:snapToGrid w:val="0"/>
          <w:sz w:val="24"/>
          <w:lang w:val="zh-CN"/>
        </w:rPr>
      </w:pPr>
      <w:r>
        <w:rPr>
          <w:rFonts w:ascii="仿宋" w:hAnsi="仿宋" w:eastAsia="仿宋" w:cs="仿宋_GB2312"/>
          <w:snapToGrid w:val="0"/>
          <w:sz w:val="24"/>
          <w:lang w:val="zh-CN"/>
        </w:rPr>
        <w:t>交付全套技术文档，包括模型训练报告、部署手册、用户手册、接口文档、安全测评报告等。</w:t>
      </w:r>
    </w:p>
    <w:p w14:paraId="7C28071E">
      <w:pPr>
        <w:pStyle w:val="4"/>
        <w:numPr>
          <w:ilvl w:val="0"/>
          <w:numId w:val="2"/>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多临床场景的“医疗智能体”的开发部署</w:t>
      </w:r>
    </w:p>
    <w:p w14:paraId="26A60C33">
      <w:pPr>
        <w:pStyle w:val="14"/>
        <w:ind w:firstLine="240"/>
        <w:rPr>
          <w:rFonts w:eastAsia="仿宋"/>
          <w:sz w:val="24"/>
        </w:rPr>
      </w:pPr>
      <w:r>
        <w:rPr>
          <w:rFonts w:hint="eastAsia" w:ascii="仿宋" w:hAnsi="仿宋" w:eastAsia="仿宋" w:cs="仿宋_GB2312"/>
          <w:sz w:val="24"/>
        </w:rPr>
        <w:t>通过引入先进的大语言模型与多模态人工智能技术，依托高性能国产化训推一体算力底座，在保障医疗数据不出院、安全合规的前提下，深度赋能医院临床诊疗、文书书写、医保审核、住院查房与病案质控等核心业务场景，开展多模态辅助诊断智能体、病历自动生成智能体、医保合规审核智能体、查房助手智能体、病案质控智能体五个核心应用模块的建设工作。具体建设内容要求如下。</w:t>
      </w:r>
    </w:p>
    <w:p w14:paraId="4B2ED592">
      <w:pPr>
        <w:pStyle w:val="4"/>
        <w:tabs>
          <w:tab w:val="left" w:pos="900"/>
        </w:tabs>
        <w:spacing w:before="0" w:after="0" w:line="360" w:lineRule="auto"/>
        <w:rPr>
          <w:rFonts w:hint="eastAsia" w:ascii="仿宋" w:hAnsi="仿宋" w:eastAsia="仿宋" w:cs="仿宋_GB2312"/>
          <w:sz w:val="24"/>
          <w:szCs w:val="24"/>
        </w:rPr>
      </w:pPr>
      <w:r>
        <w:rPr>
          <w:rFonts w:hint="eastAsia" w:ascii="仿宋" w:hAnsi="仿宋" w:eastAsia="仿宋" w:cs="仿宋_GB2312"/>
          <w:sz w:val="24"/>
          <w:szCs w:val="24"/>
        </w:rPr>
        <w:t>（1）多模态辅助诊断智能体</w:t>
      </w:r>
    </w:p>
    <w:p w14:paraId="5EC42218">
      <w:pPr>
        <w:spacing w:line="360" w:lineRule="auto"/>
        <w:ind w:firstLine="560"/>
        <w:rPr>
          <w:rFonts w:hint="eastAsia" w:ascii="仿宋" w:hAnsi="仿宋" w:eastAsia="仿宋" w:cs="仿宋"/>
          <w:sz w:val="24"/>
        </w:rPr>
      </w:pPr>
      <w:r>
        <w:rPr>
          <w:rFonts w:hint="eastAsia" w:ascii="仿宋" w:hAnsi="仿宋" w:eastAsia="仿宋" w:cs="仿宋"/>
          <w:sz w:val="24"/>
        </w:rPr>
        <w:t>本模块旨在通过前沿人工智能技术，建立全方位、智能化的临床诊疗决策辅助体系。系统需具备对多源异构医疗数据的综合处理能力，全面赋能临床医生，提升诊疗效率与准确率。具体建设要求如下：</w:t>
      </w:r>
    </w:p>
    <w:p w14:paraId="255CEDAE">
      <w:pPr>
        <w:spacing w:line="360" w:lineRule="auto"/>
        <w:ind w:firstLine="560"/>
        <w:rPr>
          <w:rFonts w:hint="eastAsia" w:ascii="仿宋" w:hAnsi="仿宋" w:eastAsia="仿宋" w:cs="仿宋"/>
          <w:sz w:val="24"/>
        </w:rPr>
      </w:pPr>
      <w:r>
        <w:rPr>
          <w:rFonts w:hint="eastAsia" w:ascii="仿宋" w:hAnsi="仿宋" w:eastAsia="仿宋" w:cs="仿宋"/>
          <w:sz w:val="24"/>
        </w:rPr>
        <w:t>1）多源数据接入</w:t>
      </w:r>
    </w:p>
    <w:p w14:paraId="7916E275">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结构化业务数据接入：为打破院内信息孤岛，实现临床数据的互联互通，要求系统具备全面的结构化数据集成能力。需能够与医院现有的核心业务系统建立安全、稳定的数据交互链路，完整获取患者的临床诊断信息、处方开立明细等各类结构化业务记录。</w:t>
      </w:r>
    </w:p>
    <w:p w14:paraId="7DFA8FD2">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非结构化病历文本解析：针对临床中包含大量关键医疗信息的自由文本内容，系统需具备深度的自然语言处理能力。要求能够合规调阅并解析电子病历（EMR）系统中的现病史、既往史、家族史等非结构化文本段落，精准提取隐藏的病情线索。</w:t>
      </w:r>
    </w:p>
    <w:p w14:paraId="106C6C18">
      <w:pPr>
        <w:spacing w:line="360" w:lineRule="auto"/>
        <w:ind w:firstLine="560"/>
        <w:rPr>
          <w:rFonts w:hint="eastAsia" w:ascii="仿宋" w:hAnsi="仿宋" w:eastAsia="仿宋" w:cs="仿宋"/>
          <w:sz w:val="24"/>
        </w:rPr>
      </w:pPr>
      <w:r>
        <w:rPr>
          <w:rFonts w:hint="eastAsia" w:ascii="仿宋" w:hAnsi="仿宋" w:eastAsia="仿宋" w:cs="仿宋"/>
          <w:sz w:val="24"/>
        </w:rPr>
        <w:t>医学影像多维数据对接：要求系统具备与院内影像归档系统（PACS）对接的能力，能够自动化获取并解析患者的各类影像学检查报告结论，提取关键影像参数，实现图文信息的有效融合。</w:t>
      </w:r>
    </w:p>
    <w:p w14:paraId="2A7B917D">
      <w:pPr>
        <w:spacing w:line="360" w:lineRule="auto"/>
        <w:ind w:firstLine="560"/>
        <w:rPr>
          <w:rFonts w:hint="eastAsia" w:ascii="仿宋" w:hAnsi="仿宋" w:eastAsia="仿宋" w:cs="仿宋"/>
          <w:sz w:val="24"/>
        </w:rPr>
      </w:pPr>
      <w:r>
        <w:rPr>
          <w:rFonts w:hint="eastAsia" w:ascii="仿宋" w:hAnsi="仿宋" w:eastAsia="仿宋" w:cs="仿宋"/>
          <w:sz w:val="24"/>
        </w:rPr>
        <w:t>实验室检验数据获取：为全面评估患者生理状态，系统需支持与实验室系统（LIS）无缝对接，自动化获取关键的实验室检验指标明细，确保决策系统拥有及时的生化依据。</w:t>
      </w:r>
    </w:p>
    <w:p w14:paraId="618927CC">
      <w:pPr>
        <w:spacing w:line="360" w:lineRule="auto"/>
        <w:ind w:firstLine="560"/>
        <w:rPr>
          <w:rFonts w:hint="eastAsia" w:ascii="仿宋" w:hAnsi="仿宋" w:eastAsia="仿宋" w:cs="仿宋"/>
          <w:sz w:val="24"/>
        </w:rPr>
      </w:pPr>
      <w:r>
        <w:rPr>
          <w:rFonts w:hint="eastAsia" w:ascii="仿宋" w:hAnsi="仿宋" w:eastAsia="仿宋" w:cs="仿宋"/>
          <w:sz w:val="24"/>
        </w:rPr>
        <w:t>跨系统数据索引与匹配：系统需具备强大的患者主索引管理能力。基于患者的唯一身份标识，对跨系统的数据进行统一的时间轴对齐与逻辑索引，为构建患者全景健康档案奠定基础。</w:t>
      </w:r>
    </w:p>
    <w:p w14:paraId="65C8B092">
      <w:pPr>
        <w:spacing w:line="360" w:lineRule="auto"/>
        <w:ind w:firstLine="560"/>
        <w:rPr>
          <w:rFonts w:hint="eastAsia" w:ascii="仿宋" w:hAnsi="仿宋" w:eastAsia="仿宋" w:cs="仿宋"/>
          <w:sz w:val="24"/>
        </w:rPr>
      </w:pPr>
      <w:r>
        <w:rPr>
          <w:rFonts w:hint="eastAsia" w:ascii="仿宋" w:hAnsi="仿宋" w:eastAsia="仿宋" w:cs="仿宋"/>
          <w:sz w:val="24"/>
        </w:rPr>
        <w:t>2）多模态数据对齐融合</w:t>
      </w:r>
    </w:p>
    <w:p w14:paraId="5F2ACDB8">
      <w:pPr>
        <w:spacing w:line="360" w:lineRule="auto"/>
        <w:ind w:firstLine="560"/>
        <w:rPr>
          <w:rFonts w:hint="eastAsia" w:ascii="仿宋" w:hAnsi="仿宋" w:eastAsia="仿宋" w:cs="仿宋"/>
          <w:sz w:val="24"/>
        </w:rPr>
      </w:pPr>
      <w:r>
        <w:rPr>
          <w:rFonts w:hint="eastAsia" w:ascii="仿宋" w:hAnsi="仿宋" w:eastAsia="仿宋" w:cs="仿宋"/>
          <w:sz w:val="24"/>
        </w:rPr>
        <w:t>文本与数值逻辑对齐分析：系统需能够将病历文本中记录的主观临床症状，与检验系统获取的客观异常数值进行逻辑层面的交叉比对与自动对齐。</w:t>
      </w:r>
    </w:p>
    <w:p w14:paraId="0822EF47">
      <w:pPr>
        <w:spacing w:line="360" w:lineRule="auto"/>
        <w:ind w:firstLine="560"/>
        <w:rPr>
          <w:rFonts w:hint="eastAsia" w:ascii="仿宋" w:hAnsi="仿宋" w:eastAsia="仿宋" w:cs="仿宋"/>
          <w:sz w:val="24"/>
        </w:rPr>
      </w:pPr>
      <w:r>
        <w:rPr>
          <w:rFonts w:hint="eastAsia" w:ascii="仿宋" w:hAnsi="仿宋" w:eastAsia="仿宋" w:cs="仿宋"/>
          <w:sz w:val="24"/>
        </w:rPr>
        <w:t>文本与影像语义对齐：支持将影像报告中关于病灶位置、形态特征的专科描述，与电子病历查体段落的体征描述进行深度语义匹配，确保病情描述的一致性。</w:t>
      </w:r>
    </w:p>
    <w:p w14:paraId="3F422BB1">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多模态数据全景视图展示：要求提供统一、高度整合的多模态全景展示看板。在一个视图内集中呈现病历文本、影像学结论及数值化检验指标，辅助医生在最短时间内掌握病情全貌。</w:t>
      </w:r>
    </w:p>
    <w:p w14:paraId="68930847">
      <w:pPr>
        <w:spacing w:line="360" w:lineRule="auto"/>
        <w:ind w:firstLine="560"/>
        <w:rPr>
          <w:rFonts w:hint="eastAsia" w:ascii="仿宋" w:hAnsi="仿宋" w:eastAsia="仿宋" w:cs="仿宋"/>
          <w:sz w:val="24"/>
        </w:rPr>
      </w:pPr>
      <w:r>
        <w:rPr>
          <w:rFonts w:hint="eastAsia" w:ascii="仿宋" w:hAnsi="仿宋" w:eastAsia="仿宋" w:cs="仿宋"/>
          <w:sz w:val="24"/>
        </w:rPr>
        <w:t>病情轨迹融合：针对复诊患者，支持将就诊产生的文本、数值及影像结论，进行动态融合与可视化展示，呈现疾病演变。</w:t>
      </w:r>
    </w:p>
    <w:p w14:paraId="6BB189F8">
      <w:pPr>
        <w:spacing w:line="360" w:lineRule="auto"/>
        <w:ind w:firstLine="560"/>
        <w:rPr>
          <w:rFonts w:hint="eastAsia" w:ascii="仿宋" w:hAnsi="仿宋" w:eastAsia="仿宋" w:cs="仿宋"/>
          <w:sz w:val="24"/>
        </w:rPr>
      </w:pPr>
      <w:r>
        <w:rPr>
          <w:rFonts w:hint="eastAsia" w:ascii="仿宋" w:hAnsi="仿宋" w:eastAsia="仿宋" w:cs="仿宋"/>
          <w:sz w:val="24"/>
        </w:rPr>
        <w:t>跨模态数据一致性核对：内置临床逻辑规则引擎，智能识别并分析不同数据来源之间是否存在描述冲突，对潜在的临床信息矛盾点执行高亮标识。</w:t>
      </w:r>
    </w:p>
    <w:p w14:paraId="1506EACE">
      <w:pPr>
        <w:spacing w:line="360" w:lineRule="auto"/>
        <w:ind w:firstLine="560"/>
        <w:rPr>
          <w:rFonts w:hint="eastAsia" w:ascii="仿宋" w:hAnsi="仿宋" w:eastAsia="仿宋" w:cs="仿宋"/>
          <w:sz w:val="24"/>
        </w:rPr>
      </w:pPr>
      <w:r>
        <w:rPr>
          <w:rFonts w:hint="eastAsia" w:ascii="仿宋" w:hAnsi="仿宋" w:eastAsia="仿宋" w:cs="仿宋"/>
          <w:sz w:val="24"/>
        </w:rPr>
        <w:t>3）检验数据智能解读</w:t>
      </w:r>
    </w:p>
    <w:p w14:paraId="456A901E">
      <w:pPr>
        <w:spacing w:line="360" w:lineRule="auto"/>
        <w:ind w:firstLine="560"/>
        <w:rPr>
          <w:rFonts w:hint="eastAsia" w:ascii="仿宋" w:hAnsi="仿宋" w:eastAsia="仿宋" w:cs="仿宋"/>
          <w:sz w:val="24"/>
        </w:rPr>
      </w:pPr>
      <w:r>
        <w:rPr>
          <w:rFonts w:hint="eastAsia" w:ascii="仿宋" w:hAnsi="仿宋" w:eastAsia="仿宋" w:cs="仿宋"/>
          <w:sz w:val="24"/>
        </w:rPr>
        <w:t>关键指标自动化提取技术：自动从实验室报告中提取出对临床诊断具有核心意义的医学指标，涵盖血常规、生化指标、凝血功能等维度。</w:t>
      </w:r>
    </w:p>
    <w:p w14:paraId="242799FB">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异常数值临床意义解释：针对指标的异常升降幅度，自动结合临床药学、病理学等多维度，提供详尽的异常临床意义解读与病理机制剖析。</w:t>
      </w:r>
    </w:p>
    <w:p w14:paraId="1E4AE5D0">
      <w:pPr>
        <w:spacing w:line="360" w:lineRule="auto"/>
        <w:ind w:firstLine="560"/>
        <w:rPr>
          <w:rFonts w:hint="eastAsia" w:ascii="仿宋" w:hAnsi="仿宋" w:eastAsia="仿宋" w:cs="仿宋"/>
          <w:sz w:val="24"/>
        </w:rPr>
      </w:pPr>
      <w:r>
        <w:rPr>
          <w:rFonts w:hint="eastAsia" w:ascii="仿宋" w:hAnsi="仿宋" w:eastAsia="仿宋" w:cs="仿宋"/>
          <w:sz w:val="24"/>
        </w:rPr>
        <w:t>初步诊断风险预警提示：基于多项检验指标的异常组合模式进行交叉分析，自动识别患者潜在临床风险并输出预警提示，对需重点干预项目进行醒目标识。</w:t>
      </w:r>
    </w:p>
    <w:p w14:paraId="3A5F15CF">
      <w:pPr>
        <w:spacing w:line="360" w:lineRule="auto"/>
        <w:ind w:firstLine="560"/>
        <w:rPr>
          <w:rFonts w:hint="eastAsia" w:ascii="仿宋" w:hAnsi="仿宋" w:eastAsia="仿宋" w:cs="仿宋"/>
          <w:sz w:val="24"/>
        </w:rPr>
      </w:pPr>
      <w:r>
        <w:rPr>
          <w:rFonts w:hint="eastAsia" w:ascii="仿宋" w:hAnsi="仿宋" w:eastAsia="仿宋" w:cs="仿宋"/>
          <w:sz w:val="24"/>
        </w:rPr>
        <w:t>历史指标趋势可视化分析：支持对选定的关键检验指标进行跨时间点追踪。自动将历次数值绘制成直观的趋势折线图，动态呈现生理指标波动情况。</w:t>
      </w:r>
    </w:p>
    <w:p w14:paraId="6CD47758">
      <w:pPr>
        <w:spacing w:line="360" w:lineRule="auto"/>
        <w:ind w:firstLine="560"/>
        <w:rPr>
          <w:rFonts w:hint="eastAsia" w:ascii="仿宋" w:hAnsi="仿宋" w:eastAsia="仿宋" w:cs="仿宋"/>
          <w:sz w:val="24"/>
        </w:rPr>
      </w:pPr>
      <w:r>
        <w:rPr>
          <w:rFonts w:hint="eastAsia" w:ascii="仿宋" w:hAnsi="仿宋" w:eastAsia="仿宋" w:cs="仿宋"/>
          <w:sz w:val="24"/>
        </w:rPr>
        <w:t>异常指标与指南关联展示：针对严重偏离参考值区间的指标，自动检索并关联展示强相关的临床诊疗建议及初步处置原则。</w:t>
      </w:r>
    </w:p>
    <w:p w14:paraId="2DF3604F">
      <w:pPr>
        <w:spacing w:line="360" w:lineRule="auto"/>
        <w:ind w:firstLine="560"/>
        <w:rPr>
          <w:rFonts w:hint="eastAsia" w:ascii="仿宋" w:hAnsi="仿宋" w:eastAsia="仿宋" w:cs="仿宋"/>
          <w:sz w:val="24"/>
        </w:rPr>
      </w:pPr>
      <w:r>
        <w:rPr>
          <w:rFonts w:hint="eastAsia" w:ascii="仿宋" w:hAnsi="仿宋" w:eastAsia="仿宋" w:cs="仿宋"/>
          <w:sz w:val="24"/>
        </w:rPr>
        <w:t>4）智能诊断决策支持</w:t>
      </w:r>
    </w:p>
    <w:p w14:paraId="6CC27B8E">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疑似诊断列表自动生成：基于多模态综合分析，自动生成包含置信度参考的疑似诊断结果列表，并科学提供顺位排名居前的高优先级建议。</w:t>
      </w:r>
    </w:p>
    <w:p w14:paraId="7C0AF403">
      <w:pPr>
        <w:spacing w:line="360" w:lineRule="auto"/>
        <w:ind w:firstLine="560"/>
        <w:rPr>
          <w:rFonts w:hint="eastAsia" w:ascii="仿宋" w:hAnsi="仿宋" w:eastAsia="仿宋" w:cs="仿宋"/>
          <w:sz w:val="24"/>
        </w:rPr>
      </w:pPr>
      <w:r>
        <w:rPr>
          <w:rFonts w:hint="eastAsia" w:ascii="仿宋" w:hAnsi="仿宋" w:eastAsia="仿宋" w:cs="仿宋"/>
          <w:sz w:val="24"/>
        </w:rPr>
        <w:t>鉴别诊断逻辑分析提供：针对推荐的疑似诊断，自动列举并剖析支持该诊断成立的阳性证据，以及排除该诊断的阴性依据，全方位呈现鉴别路径。</w:t>
      </w:r>
    </w:p>
    <w:p w14:paraId="4B4019FD">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权威指南依据自动匹配：在输出诊断建议时建立知识溯源机制，自动匹配并引用权威临床诊疗指南、专家共识条文作为底层推理依据。</w:t>
      </w:r>
    </w:p>
    <w:p w14:paraId="7531E556">
      <w:pPr>
        <w:spacing w:line="360" w:lineRule="auto"/>
        <w:ind w:firstLine="560"/>
        <w:rPr>
          <w:rFonts w:hint="eastAsia" w:ascii="仿宋" w:hAnsi="仿宋" w:eastAsia="仿宋" w:cs="仿宋"/>
          <w:sz w:val="24"/>
        </w:rPr>
      </w:pPr>
      <w:r>
        <w:rPr>
          <w:rFonts w:hint="eastAsia" w:ascii="仿宋" w:hAnsi="仿宋" w:eastAsia="仿宋" w:cs="仿宋"/>
          <w:sz w:val="24"/>
        </w:rPr>
        <w:t>多轮文本交互追问：允许临床医生与引擎进行连续多轮深度对话与病情追问，动态补充线索获取深层建议。</w:t>
      </w:r>
    </w:p>
    <w:p w14:paraId="1637F9B3">
      <w:pPr>
        <w:spacing w:line="360" w:lineRule="auto"/>
        <w:ind w:firstLine="560"/>
        <w:rPr>
          <w:rFonts w:hint="eastAsia" w:ascii="仿宋" w:hAnsi="仿宋" w:eastAsia="仿宋" w:cs="仿宋"/>
          <w:sz w:val="24"/>
        </w:rPr>
      </w:pPr>
      <w:r>
        <w:rPr>
          <w:rFonts w:hint="eastAsia" w:ascii="仿宋" w:hAnsi="仿宋" w:eastAsia="仿宋" w:cs="仿宋"/>
          <w:sz w:val="24"/>
        </w:rPr>
        <w:t>交互过程语境连续性维护：在多轮交互场景中，系统需具备上下文记忆能力，深度理解疾病探讨逻辑，保障推理连贯性与专业医学语境不偏离。</w:t>
      </w:r>
    </w:p>
    <w:p w14:paraId="7C72F967">
      <w:pPr>
        <w:spacing w:line="360" w:lineRule="auto"/>
        <w:ind w:firstLine="560"/>
        <w:rPr>
          <w:rFonts w:hint="eastAsia" w:ascii="仿宋" w:hAnsi="仿宋" w:eastAsia="仿宋" w:cs="仿宋"/>
          <w:sz w:val="24"/>
        </w:rPr>
      </w:pPr>
      <w:r>
        <w:rPr>
          <w:rFonts w:hint="eastAsia" w:ascii="仿宋" w:hAnsi="仿宋" w:eastAsia="仿宋" w:cs="仿宋"/>
          <w:sz w:val="24"/>
        </w:rPr>
        <w:t>5）系统集成与管理</w:t>
      </w:r>
    </w:p>
    <w:p w14:paraId="61D6D928">
      <w:pPr>
        <w:spacing w:line="360" w:lineRule="auto"/>
        <w:ind w:firstLine="560"/>
        <w:rPr>
          <w:rFonts w:hint="eastAsia" w:ascii="仿宋" w:hAnsi="仿宋" w:eastAsia="仿宋" w:cs="仿宋"/>
          <w:sz w:val="24"/>
        </w:rPr>
      </w:pPr>
      <w:r>
        <w:rPr>
          <w:rFonts w:hint="eastAsia" w:ascii="仿宋" w:hAnsi="仿宋" w:eastAsia="仿宋" w:cs="仿宋"/>
          <w:sz w:val="24"/>
        </w:rPr>
        <w:t>医生工作站集成：提供轻量化的前端集成方案，与现有医生工作站并行稳定运行，界面随需唤起，不干扰核心业务操作流程。</w:t>
      </w:r>
    </w:p>
    <w:p w14:paraId="0A55AD60">
      <w:pPr>
        <w:spacing w:line="360" w:lineRule="auto"/>
        <w:ind w:firstLine="560"/>
        <w:rPr>
          <w:rFonts w:hint="eastAsia" w:ascii="仿宋" w:hAnsi="仿宋" w:eastAsia="仿宋" w:cs="仿宋"/>
          <w:sz w:val="24"/>
        </w:rPr>
      </w:pPr>
      <w:r>
        <w:rPr>
          <w:rFonts w:hint="eastAsia" w:ascii="仿宋" w:hAnsi="仿宋" w:eastAsia="仿宋" w:cs="仿宋"/>
          <w:sz w:val="24"/>
        </w:rPr>
        <w:t>用户调用记录与审计日志：建立严密操作审计溯源机制，清晰统计医生调用频次与行为记录，全量保存操作日志以备质量复核与责任追溯。</w:t>
      </w:r>
    </w:p>
    <w:p w14:paraId="13E8E730">
      <w:pPr>
        <w:pStyle w:val="4"/>
        <w:tabs>
          <w:tab w:val="left" w:pos="900"/>
        </w:tabs>
        <w:spacing w:before="0" w:after="0" w:line="360" w:lineRule="auto"/>
        <w:rPr>
          <w:rFonts w:hint="eastAsia" w:ascii="仿宋" w:hAnsi="仿宋" w:eastAsia="仿宋" w:cs="仿宋_GB2312"/>
          <w:sz w:val="24"/>
          <w:szCs w:val="24"/>
        </w:rPr>
      </w:pPr>
      <w:r>
        <w:rPr>
          <w:rFonts w:hint="eastAsia" w:ascii="仿宋" w:hAnsi="仿宋" w:eastAsia="仿宋" w:cs="仿宋_GB2312"/>
          <w:sz w:val="24"/>
          <w:szCs w:val="24"/>
        </w:rPr>
        <w:t>（2）病历自动生成智能体建设需求</w:t>
      </w:r>
    </w:p>
    <w:p w14:paraId="68F9CF76">
      <w:pPr>
        <w:spacing w:line="360" w:lineRule="auto"/>
        <w:ind w:firstLine="560"/>
        <w:rPr>
          <w:rFonts w:hint="eastAsia" w:ascii="仿宋" w:hAnsi="仿宋" w:eastAsia="仿宋" w:cs="仿宋"/>
          <w:sz w:val="24"/>
        </w:rPr>
      </w:pPr>
      <w:r>
        <w:rPr>
          <w:rFonts w:hint="eastAsia" w:ascii="仿宋" w:hAnsi="仿宋" w:eastAsia="仿宋" w:cs="仿宋"/>
          <w:sz w:val="24"/>
        </w:rPr>
        <w:t>本系统模块旨在利用先进的大语言模型与智能语音技术，重塑临床病历书写模式，减轻临床医师文书工作负荷，提升病案录入质量。具体建设要求如下：</w:t>
      </w:r>
    </w:p>
    <w:p w14:paraId="5298D674">
      <w:pPr>
        <w:spacing w:line="360" w:lineRule="auto"/>
        <w:ind w:firstLine="560"/>
        <w:rPr>
          <w:rFonts w:hint="eastAsia" w:ascii="仿宋" w:hAnsi="仿宋" w:eastAsia="仿宋" w:cs="仿宋"/>
          <w:sz w:val="24"/>
        </w:rPr>
      </w:pPr>
      <w:r>
        <w:rPr>
          <w:rFonts w:hint="eastAsia" w:ascii="仿宋" w:hAnsi="仿宋" w:eastAsia="仿宋" w:cs="仿宋"/>
          <w:sz w:val="24"/>
        </w:rPr>
        <w:t>1）智能语音输入与识别</w:t>
      </w:r>
    </w:p>
    <w:p w14:paraId="4C681242">
      <w:pPr>
        <w:spacing w:line="360" w:lineRule="auto"/>
        <w:ind w:firstLine="560"/>
        <w:rPr>
          <w:rFonts w:hint="eastAsia" w:ascii="仿宋" w:hAnsi="仿宋" w:eastAsia="仿宋" w:cs="仿宋"/>
          <w:sz w:val="24"/>
        </w:rPr>
      </w:pPr>
      <w:r>
        <w:rPr>
          <w:rFonts w:hint="eastAsia" w:ascii="仿宋" w:hAnsi="仿宋" w:eastAsia="仿宋" w:cs="仿宋"/>
          <w:sz w:val="24"/>
        </w:rPr>
        <w:t>高准确率语音识别引擎：构建适应医疗场景的高性能语音转写底层能力，支持开诊期间口述病情的实时动态转写，识别准确度需满足临床文书严谨标准。</w:t>
      </w:r>
    </w:p>
    <w:p w14:paraId="4F9139F4">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本地化方言语音自适应： 针对本地区常用方言发音执行针对性的模型训练与优化调参，确保带有方言口音的医患沟通内容能被引擎准确还原。</w:t>
      </w:r>
    </w:p>
    <w:p w14:paraId="11692687">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医疗术语自动化纠偏处理：内置大规模标准化医学词典。在转写瞬间自动执行同音异义专业词汇纠偏与替换，保障底层病历语料规范性。</w:t>
      </w:r>
    </w:p>
    <w:p w14:paraId="09F7B734">
      <w:pPr>
        <w:spacing w:line="360" w:lineRule="auto"/>
        <w:ind w:firstLine="560"/>
        <w:rPr>
          <w:rFonts w:hint="eastAsia" w:ascii="仿宋" w:hAnsi="仿宋" w:eastAsia="仿宋" w:cs="仿宋"/>
          <w:sz w:val="24"/>
        </w:rPr>
      </w:pPr>
      <w:r>
        <w:rPr>
          <w:rFonts w:hint="eastAsia" w:ascii="仿宋" w:hAnsi="仿宋" w:eastAsia="仿宋" w:cs="仿宋"/>
          <w:sz w:val="24"/>
        </w:rPr>
        <w:t>环境杂音智能过滤降噪：配备先进的音频增强技术，在门急诊等嘈杂环境下，精准定向提取核心医患沟通的音频有效特征。</w:t>
      </w:r>
    </w:p>
    <w:p w14:paraId="7F3BF52B">
      <w:pPr>
        <w:spacing w:line="360" w:lineRule="auto"/>
        <w:ind w:firstLine="560"/>
        <w:rPr>
          <w:rFonts w:hint="eastAsia" w:ascii="仿宋" w:hAnsi="仿宋" w:eastAsia="仿宋" w:cs="仿宋"/>
          <w:sz w:val="24"/>
        </w:rPr>
      </w:pPr>
      <w:r>
        <w:rPr>
          <w:rFonts w:hint="eastAsia" w:ascii="仿宋" w:hAnsi="仿宋" w:eastAsia="仿宋" w:cs="仿宋"/>
          <w:sz w:val="24"/>
        </w:rPr>
        <w:t>语音实时转文字预览：提供实时的前端文字渲染能力，支持在界面上动态预览转写进程，方便医生即时核对并进行快速干预。</w:t>
      </w:r>
    </w:p>
    <w:p w14:paraId="3A396410">
      <w:pPr>
        <w:spacing w:line="360" w:lineRule="auto"/>
        <w:ind w:firstLine="560"/>
        <w:rPr>
          <w:rFonts w:hint="eastAsia" w:ascii="仿宋" w:hAnsi="仿宋" w:eastAsia="仿宋" w:cs="仿宋"/>
          <w:sz w:val="24"/>
        </w:rPr>
      </w:pPr>
      <w:r>
        <w:rPr>
          <w:rFonts w:hint="eastAsia" w:ascii="仿宋" w:hAnsi="仿宋" w:eastAsia="仿宋" w:cs="仿宋"/>
          <w:sz w:val="24"/>
        </w:rPr>
        <w:t>2）要素智能提取填充</w:t>
      </w:r>
    </w:p>
    <w:p w14:paraId="46C093F3">
      <w:pPr>
        <w:spacing w:line="360" w:lineRule="auto"/>
        <w:ind w:firstLine="560"/>
        <w:rPr>
          <w:rFonts w:hint="eastAsia" w:ascii="仿宋" w:hAnsi="仿宋" w:eastAsia="仿宋" w:cs="仿宋"/>
          <w:sz w:val="24"/>
        </w:rPr>
      </w:pPr>
      <w:r>
        <w:rPr>
          <w:rFonts w:hint="eastAsia" w:ascii="仿宋" w:hAnsi="仿宋" w:eastAsia="仿宋" w:cs="仿宋"/>
          <w:sz w:val="24"/>
        </w:rPr>
        <w:t>病历核心要素结构化提取：具备深度的机器阅读理解能力，自动从非结构化的医患对话转写文本中，精准提取主诉、现病史、查体、辅助检查、拟定诊断等核心医疗要素。</w:t>
      </w:r>
    </w:p>
    <w:p w14:paraId="64F8BED2">
      <w:pPr>
        <w:spacing w:line="360" w:lineRule="auto"/>
        <w:ind w:firstLine="560"/>
        <w:rPr>
          <w:rFonts w:hint="eastAsia" w:ascii="仿宋" w:hAnsi="仿宋" w:eastAsia="仿宋" w:cs="仿宋"/>
          <w:sz w:val="24"/>
        </w:rPr>
      </w:pPr>
      <w:r>
        <w:rPr>
          <w:rFonts w:hint="eastAsia" w:ascii="仿宋" w:hAnsi="仿宋" w:eastAsia="仿宋" w:cs="仿宋"/>
          <w:sz w:val="24"/>
        </w:rPr>
        <w:t>多模态辅助诊断建议引用：支持与多模态辅助模块数据打通，一键式调阅并引用诊断引擎生成的诊疗建议，自动结构化填充至当前病历段落中。</w:t>
      </w:r>
    </w:p>
    <w:p w14:paraId="35BD6D8F">
      <w:pPr>
        <w:spacing w:line="360" w:lineRule="auto"/>
        <w:ind w:firstLine="560"/>
        <w:rPr>
          <w:rFonts w:hint="eastAsia" w:ascii="仿宋" w:hAnsi="仿宋" w:eastAsia="仿宋" w:cs="仿宋"/>
          <w:sz w:val="24"/>
        </w:rPr>
      </w:pPr>
      <w:r>
        <w:rPr>
          <w:rFonts w:hint="eastAsia" w:ascii="仿宋" w:hAnsi="仿宋" w:eastAsia="仿宋" w:cs="仿宋"/>
          <w:sz w:val="24"/>
        </w:rPr>
        <w:t>文书标准模板智能匹配：根据就诊的科室属性，自动检索并精准匹配预设的专科标准病历模板，确保字段结构符合专科文书管理规范。</w:t>
      </w:r>
    </w:p>
    <w:p w14:paraId="3F20D6AC">
      <w:pPr>
        <w:spacing w:line="360" w:lineRule="auto"/>
        <w:ind w:firstLine="560"/>
        <w:rPr>
          <w:rFonts w:hint="eastAsia" w:ascii="仿宋" w:hAnsi="仿宋" w:eastAsia="仿宋" w:cs="仿宋"/>
          <w:sz w:val="24"/>
        </w:rPr>
      </w:pPr>
      <w:r>
        <w:rPr>
          <w:rFonts w:hint="eastAsia" w:ascii="仿宋" w:hAnsi="仿宋" w:eastAsia="仿宋" w:cs="仿宋"/>
          <w:sz w:val="24"/>
        </w:rPr>
        <w:t>结构化字段自动化填充：支持将提炼出的各类结构化要素信息，精准对位回填至已匹配模板的对应数据框内，实现病历草稿极速生成。</w:t>
      </w:r>
    </w:p>
    <w:p w14:paraId="69D86883">
      <w:pPr>
        <w:spacing w:line="360" w:lineRule="auto"/>
        <w:ind w:firstLine="560"/>
        <w:rPr>
          <w:rFonts w:hint="eastAsia" w:ascii="仿宋" w:hAnsi="仿宋" w:eastAsia="仿宋" w:cs="仿宋"/>
          <w:sz w:val="24"/>
        </w:rPr>
      </w:pPr>
      <w:r>
        <w:rPr>
          <w:rFonts w:hint="eastAsia" w:ascii="仿宋" w:hAnsi="仿宋" w:eastAsia="仿宋" w:cs="仿宋"/>
          <w:sz w:val="24"/>
        </w:rPr>
        <w:t>非标准口语转医学术语： 针对患者口语化表达，自动转化为符合标准医学主题词表或最新ICD编码分类体系下的书面规范术语。</w:t>
      </w:r>
    </w:p>
    <w:p w14:paraId="2E2E563D">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文本要素逻辑性校验：在完成要素提取后启动逻辑自检机制，自动执行文本因果关联与逻辑核对，确保主诉、现病史与拟定诊断等信息高度一致。</w:t>
      </w:r>
    </w:p>
    <w:p w14:paraId="42AF242C">
      <w:pPr>
        <w:spacing w:line="360" w:lineRule="auto"/>
        <w:ind w:firstLine="560"/>
        <w:rPr>
          <w:rFonts w:hint="eastAsia" w:ascii="仿宋" w:hAnsi="仿宋" w:eastAsia="仿宋" w:cs="仿宋"/>
          <w:sz w:val="24"/>
        </w:rPr>
      </w:pPr>
      <w:r>
        <w:rPr>
          <w:rFonts w:hint="eastAsia" w:ascii="仿宋" w:hAnsi="仿宋" w:eastAsia="仿宋" w:cs="仿宋"/>
          <w:sz w:val="24"/>
        </w:rPr>
        <w:t>3）病历生成与回写</w:t>
      </w:r>
    </w:p>
    <w:p w14:paraId="540B86CC">
      <w:pPr>
        <w:spacing w:line="360" w:lineRule="auto"/>
        <w:ind w:firstLine="560"/>
        <w:rPr>
          <w:rFonts w:hint="eastAsia" w:ascii="仿宋" w:hAnsi="仿宋" w:eastAsia="仿宋" w:cs="仿宋"/>
          <w:sz w:val="24"/>
        </w:rPr>
      </w:pPr>
      <w:r>
        <w:rPr>
          <w:rFonts w:hint="eastAsia" w:ascii="仿宋" w:hAnsi="仿宋" w:eastAsia="仿宋" w:cs="仿宋"/>
          <w:sz w:val="24"/>
        </w:rPr>
        <w:t>门诊病历草稿一键生成：基于数据融合极速生成具备完整排版格式的门诊病历初稿，直接供当诊医生进行最终审阅确认。</w:t>
      </w:r>
    </w:p>
    <w:p w14:paraId="593F1FA4">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最终病历一键回写系统：医生完成电子签名确认后，支持通过标准接口，将最终定稿内容一键回填归档至HIS或EMR系统中，完成闭环。</w:t>
      </w:r>
    </w:p>
    <w:p w14:paraId="65ADC71E">
      <w:pPr>
        <w:spacing w:line="360" w:lineRule="auto"/>
        <w:ind w:firstLine="560"/>
        <w:rPr>
          <w:rFonts w:hint="eastAsia" w:ascii="仿宋" w:hAnsi="仿宋" w:eastAsia="仿宋" w:cs="仿宋"/>
          <w:sz w:val="24"/>
        </w:rPr>
      </w:pPr>
      <w:r>
        <w:rPr>
          <w:rFonts w:hint="eastAsia" w:ascii="仿宋" w:hAnsi="仿宋" w:eastAsia="仿宋" w:cs="仿宋"/>
          <w:sz w:val="24"/>
        </w:rPr>
        <w:t>在院既往病历便捷引用：提供便捷的历史档案调阅入口，支持医生一键查询并引用患者既往就诊的核心记录作为本次病历的参考基线。</w:t>
      </w:r>
    </w:p>
    <w:p w14:paraId="56BCC35B">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回诊后病历生成：针对患者检查后回诊场景，智能结合回诊前后两次医患沟通的语义信息及新出具的客观结果，综合生成完整连贯的门诊病历。</w:t>
      </w:r>
    </w:p>
    <w:p w14:paraId="229F64C2">
      <w:pPr>
        <w:spacing w:line="360" w:lineRule="auto"/>
        <w:ind w:firstLine="560"/>
        <w:rPr>
          <w:rFonts w:hint="eastAsia" w:ascii="仿宋" w:hAnsi="仿宋" w:eastAsia="仿宋" w:cs="仿宋"/>
          <w:sz w:val="24"/>
        </w:rPr>
      </w:pPr>
      <w:r>
        <w:rPr>
          <w:rFonts w:hint="eastAsia" w:ascii="仿宋" w:hAnsi="仿宋" w:eastAsia="仿宋" w:cs="仿宋"/>
          <w:sz w:val="24"/>
        </w:rPr>
        <w:t>4）个性化模板管理</w:t>
      </w:r>
    </w:p>
    <w:p w14:paraId="57E93321">
      <w:pPr>
        <w:spacing w:line="360" w:lineRule="auto"/>
        <w:ind w:firstLine="560"/>
        <w:rPr>
          <w:rFonts w:hint="eastAsia" w:ascii="仿宋" w:hAnsi="仿宋" w:eastAsia="仿宋" w:cs="仿宋"/>
          <w:sz w:val="24"/>
        </w:rPr>
      </w:pPr>
      <w:r>
        <w:rPr>
          <w:rFonts w:hint="eastAsia" w:ascii="仿宋" w:hAnsi="仿宋" w:eastAsia="仿宋" w:cs="仿宋"/>
          <w:sz w:val="24"/>
        </w:rPr>
        <w:t>分科室病历模板库维护：提供模板层级管理后台，支持各科室自主设定专科病历层级结构及填写规则。</w:t>
      </w:r>
    </w:p>
    <w:p w14:paraId="285B4BDC">
      <w:pPr>
        <w:spacing w:line="360" w:lineRule="auto"/>
        <w:ind w:firstLine="560"/>
        <w:rPr>
          <w:rFonts w:hint="eastAsia" w:ascii="仿宋" w:hAnsi="仿宋" w:eastAsia="仿宋" w:cs="仿宋"/>
          <w:sz w:val="24"/>
        </w:rPr>
      </w:pPr>
      <w:r>
        <w:rPr>
          <w:rFonts w:hint="eastAsia" w:ascii="仿宋" w:hAnsi="仿宋" w:eastAsia="仿宋" w:cs="仿宋"/>
          <w:sz w:val="24"/>
        </w:rPr>
        <w:t>个性化书写习惯自学习：支持对医生已归档病历进行深度学习，自动适应特定医生的行文风格与常用句式，提升生成内容的贴合度。</w:t>
      </w:r>
    </w:p>
    <w:p w14:paraId="517A0CB7">
      <w:pPr>
        <w:spacing w:line="360" w:lineRule="auto"/>
        <w:ind w:firstLine="560"/>
        <w:rPr>
          <w:rFonts w:hint="eastAsia" w:ascii="仿宋" w:hAnsi="仿宋" w:eastAsia="仿宋" w:cs="仿宋"/>
          <w:sz w:val="24"/>
        </w:rPr>
      </w:pPr>
      <w:r>
        <w:rPr>
          <w:rFonts w:hint="eastAsia" w:ascii="仿宋" w:hAnsi="仿宋" w:eastAsia="仿宋" w:cs="仿宋"/>
          <w:sz w:val="24"/>
        </w:rPr>
        <w:t>5）病历质量智能控制</w:t>
      </w:r>
    </w:p>
    <w:p w14:paraId="5246A17F">
      <w:pPr>
        <w:spacing w:line="360" w:lineRule="auto"/>
        <w:ind w:firstLine="560"/>
        <w:rPr>
          <w:rFonts w:hint="eastAsia" w:ascii="仿宋" w:hAnsi="仿宋" w:eastAsia="仿宋" w:cs="仿宋"/>
          <w:sz w:val="24"/>
        </w:rPr>
      </w:pPr>
      <w:r>
        <w:rPr>
          <w:rFonts w:hint="eastAsia" w:ascii="仿宋" w:hAnsi="仿宋" w:eastAsia="仿宋" w:cs="仿宋"/>
          <w:sz w:val="24"/>
        </w:rPr>
        <w:t>关键文书段落缺失监测： 病历初稿生成完毕时，自动扫描识别主诉、拟定诊断等法定核心段落是否存在遗漏，触发强制性预警。</w:t>
      </w:r>
    </w:p>
    <w:p w14:paraId="7AAE56E1">
      <w:pPr>
        <w:spacing w:line="360" w:lineRule="auto"/>
        <w:ind w:firstLine="560"/>
        <w:rPr>
          <w:rFonts w:hint="eastAsia" w:ascii="仿宋" w:hAnsi="仿宋" w:eastAsia="仿宋" w:cs="仿宋"/>
          <w:sz w:val="24"/>
        </w:rPr>
      </w:pPr>
      <w:r>
        <w:rPr>
          <w:rFonts w:hint="eastAsia" w:ascii="仿宋" w:hAnsi="仿宋" w:eastAsia="仿宋" w:cs="仿宋"/>
          <w:sz w:val="24"/>
        </w:rPr>
        <w:t>医疗逻辑矛盾实时预警：深入文本内涵执行质控，检测内部深层逻辑冲突。</w:t>
      </w:r>
    </w:p>
    <w:p w14:paraId="0D47FC76">
      <w:pPr>
        <w:spacing w:line="360" w:lineRule="auto"/>
        <w:ind w:firstLine="560"/>
        <w:rPr>
          <w:rFonts w:hint="eastAsia" w:ascii="仿宋" w:hAnsi="仿宋" w:eastAsia="仿宋" w:cs="仿宋"/>
          <w:sz w:val="24"/>
        </w:rPr>
      </w:pPr>
      <w:r>
        <w:rPr>
          <w:rFonts w:hint="eastAsia" w:ascii="仿宋" w:hAnsi="仿宋" w:eastAsia="仿宋" w:cs="仿宋"/>
          <w:sz w:val="24"/>
        </w:rPr>
        <w:t>非标准简写智能提示：智能识别并在界面显著标识夹杂的非规范医学简写，主动提示引导修正为标准专有名词。</w:t>
      </w:r>
    </w:p>
    <w:p w14:paraId="1DAD0520">
      <w:pPr>
        <w:spacing w:line="360" w:lineRule="auto"/>
        <w:ind w:firstLine="560"/>
        <w:rPr>
          <w:rFonts w:hint="eastAsia" w:ascii="仿宋" w:hAnsi="仿宋" w:eastAsia="仿宋" w:cs="仿宋"/>
          <w:sz w:val="24"/>
        </w:rPr>
      </w:pPr>
      <w:r>
        <w:rPr>
          <w:rFonts w:hint="eastAsia" w:ascii="仿宋" w:hAnsi="仿宋" w:eastAsia="仿宋" w:cs="仿宋"/>
          <w:sz w:val="24"/>
        </w:rPr>
        <w:t>质控预警汇总看板展示：在病历提交归档前，以汇总看板形式集中展示当前存在的各类质控缺陷明细，确保提交前完成整改。</w:t>
      </w:r>
    </w:p>
    <w:p w14:paraId="11AA5054">
      <w:pPr>
        <w:spacing w:line="360" w:lineRule="auto"/>
        <w:ind w:firstLine="560"/>
        <w:rPr>
          <w:rFonts w:hint="eastAsia" w:ascii="仿宋" w:hAnsi="仿宋" w:eastAsia="仿宋" w:cs="仿宋"/>
          <w:sz w:val="24"/>
        </w:rPr>
      </w:pPr>
      <w:r>
        <w:rPr>
          <w:rFonts w:hint="eastAsia" w:ascii="仿宋" w:hAnsi="仿宋" w:eastAsia="仿宋" w:cs="仿宋"/>
          <w:sz w:val="24"/>
        </w:rPr>
        <w:t>6）集成与数据集成</w:t>
      </w:r>
    </w:p>
    <w:p w14:paraId="4DD866BB">
      <w:pPr>
        <w:spacing w:line="360" w:lineRule="auto"/>
        <w:ind w:firstLine="560"/>
        <w:rPr>
          <w:rFonts w:hint="eastAsia" w:ascii="仿宋" w:hAnsi="仿宋" w:eastAsia="仿宋" w:cs="仿宋"/>
          <w:sz w:val="24"/>
        </w:rPr>
      </w:pPr>
      <w:r>
        <w:rPr>
          <w:rFonts w:hint="eastAsia" w:ascii="仿宋" w:hAnsi="仿宋" w:eastAsia="仿宋" w:cs="仿宋"/>
          <w:sz w:val="24"/>
        </w:rPr>
        <w:t>医生工作站集成：以无感化的前端组件深度集成于现有的工作站中，与主体程序并行稳定运行，随需触发而不破坏原生业务流。</w:t>
      </w:r>
    </w:p>
    <w:p w14:paraId="01E9E0F7">
      <w:pPr>
        <w:spacing w:line="360" w:lineRule="auto"/>
        <w:ind w:firstLine="560"/>
        <w:rPr>
          <w:rFonts w:hint="eastAsia" w:ascii="仿宋" w:hAnsi="仿宋" w:eastAsia="仿宋" w:cs="仿宋"/>
          <w:sz w:val="24"/>
        </w:rPr>
      </w:pPr>
      <w:r>
        <w:rPr>
          <w:rFonts w:hint="eastAsia" w:ascii="仿宋" w:hAnsi="仿宋" w:eastAsia="仿宋" w:cs="仿宋"/>
          <w:sz w:val="24"/>
        </w:rPr>
        <w:t>多系统病史数据调用：跨越系统边界合规调阅LIS、PACS等院内异构数据，为病历智能推演生成提供全量数据上下文支撑。</w:t>
      </w:r>
    </w:p>
    <w:p w14:paraId="04680CB8">
      <w:pPr>
        <w:pStyle w:val="4"/>
        <w:tabs>
          <w:tab w:val="left" w:pos="900"/>
        </w:tabs>
        <w:spacing w:before="0" w:after="0" w:line="360" w:lineRule="auto"/>
        <w:rPr>
          <w:rFonts w:hint="eastAsia" w:ascii="仿宋" w:hAnsi="仿宋" w:eastAsia="仿宋" w:cs="仿宋_GB2312"/>
          <w:sz w:val="24"/>
          <w:szCs w:val="24"/>
        </w:rPr>
      </w:pPr>
      <w:r>
        <w:rPr>
          <w:rFonts w:hint="eastAsia" w:ascii="仿宋" w:hAnsi="仿宋" w:eastAsia="仿宋" w:cs="仿宋_GB2312"/>
          <w:sz w:val="24"/>
          <w:szCs w:val="24"/>
        </w:rPr>
        <w:t>（3）医保合规审核智能体建设需求</w:t>
      </w:r>
    </w:p>
    <w:p w14:paraId="26BCB009">
      <w:pPr>
        <w:spacing w:line="360" w:lineRule="auto"/>
        <w:ind w:firstLine="560"/>
        <w:rPr>
          <w:rFonts w:hint="eastAsia" w:ascii="仿宋" w:hAnsi="仿宋" w:eastAsia="仿宋" w:cs="仿宋"/>
          <w:sz w:val="24"/>
        </w:rPr>
      </w:pPr>
      <w:r>
        <w:rPr>
          <w:rFonts w:hint="eastAsia" w:ascii="仿宋" w:hAnsi="仿宋" w:eastAsia="仿宋" w:cs="仿宋"/>
          <w:sz w:val="24"/>
        </w:rPr>
        <w:t>本模块旨在全面响应国家医保基金监管要求，通过构建融合轻量化规则与大语言模型的双引擎审核体系，实现医疗行为事前、事中、事后的全流程合规管控，防范医保违规风险。具体要求如下：</w:t>
      </w:r>
    </w:p>
    <w:p w14:paraId="2FBA14CA">
      <w:pPr>
        <w:spacing w:line="360" w:lineRule="auto"/>
        <w:ind w:firstLine="560"/>
        <w:rPr>
          <w:rFonts w:hint="eastAsia" w:ascii="仿宋" w:hAnsi="仿宋" w:eastAsia="仿宋" w:cs="仿宋"/>
          <w:sz w:val="24"/>
        </w:rPr>
      </w:pPr>
      <w:r>
        <w:rPr>
          <w:rFonts w:hint="eastAsia" w:ascii="仿宋" w:hAnsi="仿宋" w:eastAsia="仿宋" w:cs="仿宋"/>
          <w:sz w:val="24"/>
        </w:rPr>
        <w:t>1）政策库维护管理</w:t>
      </w:r>
    </w:p>
    <w:p w14:paraId="10BC5793">
      <w:pPr>
        <w:spacing w:line="360" w:lineRule="auto"/>
        <w:ind w:firstLine="560"/>
        <w:rPr>
          <w:rFonts w:hint="eastAsia" w:ascii="仿宋" w:hAnsi="仿宋" w:eastAsia="仿宋" w:cs="仿宋"/>
          <w:sz w:val="24"/>
        </w:rPr>
      </w:pPr>
      <w:r>
        <w:rPr>
          <w:rFonts w:hint="eastAsia" w:ascii="仿宋" w:hAnsi="仿宋" w:eastAsia="仿宋" w:cs="仿宋"/>
          <w:sz w:val="24"/>
        </w:rPr>
        <w:t>三级政策数据库同步管理：全面支持国家、省、市三级医保政策文件的统一上传、结构化展示与精准检索，确保本地审核规则覆盖完整。</w:t>
      </w:r>
    </w:p>
    <w:p w14:paraId="2478577E">
      <w:pPr>
        <w:spacing w:line="360" w:lineRule="auto"/>
        <w:ind w:firstLine="560"/>
        <w:rPr>
          <w:rFonts w:hint="eastAsia" w:ascii="仿宋" w:hAnsi="仿宋" w:eastAsia="仿宋" w:cs="仿宋"/>
          <w:sz w:val="24"/>
        </w:rPr>
      </w:pPr>
      <w:r>
        <w:rPr>
          <w:rFonts w:hint="eastAsia" w:ascii="仿宋" w:hAnsi="仿宋" w:eastAsia="仿宋" w:cs="仿宋"/>
          <w:sz w:val="24"/>
        </w:rPr>
        <w:t>既往处罚案例导入：支持批量导入历史医保拒付及违规处罚案例数据，并以列表展示支持关键词检索。</w:t>
      </w:r>
    </w:p>
    <w:p w14:paraId="37C137A1">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规则引擎自学习演进机制：引入反馈学习机制，基于历史案例与日常申诉成功数据，自动优化底层的审核机制，实现审核规则的动态自适应。</w:t>
      </w:r>
    </w:p>
    <w:p w14:paraId="0A7FFC30">
      <w:pPr>
        <w:spacing w:line="360" w:lineRule="auto"/>
        <w:ind w:firstLine="560"/>
        <w:rPr>
          <w:rFonts w:hint="eastAsia" w:ascii="仿宋" w:hAnsi="仿宋" w:eastAsia="仿宋" w:cs="仿宋"/>
          <w:sz w:val="24"/>
        </w:rPr>
      </w:pPr>
      <w:r>
        <w:rPr>
          <w:rFonts w:hint="eastAsia" w:ascii="仿宋" w:hAnsi="仿宋" w:eastAsia="仿宋" w:cs="仿宋"/>
          <w:sz w:val="24"/>
        </w:rPr>
        <w:t>诊前诊断政策自动关联回显：开立处方前，根据患者当前诊断，自动在后台检索并关联回显对应的医保支付限制条款原文，提供合规参考。</w:t>
      </w:r>
    </w:p>
    <w:p w14:paraId="6AFA6D64">
      <w:pPr>
        <w:spacing w:line="360" w:lineRule="auto"/>
        <w:ind w:firstLine="560"/>
        <w:rPr>
          <w:rFonts w:hint="eastAsia" w:ascii="仿宋" w:hAnsi="仿宋" w:eastAsia="仿宋" w:cs="仿宋"/>
          <w:sz w:val="24"/>
        </w:rPr>
      </w:pPr>
      <w:r>
        <w:rPr>
          <w:rFonts w:hint="eastAsia" w:ascii="仿宋" w:hAnsi="仿宋" w:eastAsia="仿宋" w:cs="仿宋"/>
          <w:sz w:val="24"/>
        </w:rPr>
        <w:t>药品项目政策自动关联回显：根据拟开立的特定药品或诊疗项目，自动检索并动态提示与该项目相关的医保报销限定政策与使用限制说明。</w:t>
      </w:r>
    </w:p>
    <w:p w14:paraId="244378C3">
      <w:pPr>
        <w:spacing w:line="360" w:lineRule="auto"/>
        <w:ind w:firstLine="560"/>
        <w:rPr>
          <w:rFonts w:hint="eastAsia" w:ascii="仿宋" w:hAnsi="仿宋" w:eastAsia="仿宋" w:cs="仿宋"/>
          <w:sz w:val="24"/>
        </w:rPr>
      </w:pPr>
      <w:r>
        <w:rPr>
          <w:rFonts w:hint="eastAsia" w:ascii="仿宋" w:hAnsi="仿宋" w:eastAsia="仿宋" w:cs="仿宋"/>
          <w:sz w:val="24"/>
        </w:rPr>
        <w:t>2）智能审核引擎</w:t>
      </w:r>
    </w:p>
    <w:p w14:paraId="4B7C85D0">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智能规则干预引擎构建：针对极速响应的门急诊开单场景，构建基于轻量化算法的事前干预引擎，在开单动作发生瞬间执行毫秒级实时合规性预审。</w:t>
      </w:r>
    </w:p>
    <w:p w14:paraId="03266684">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大模型深度稽核引擎构建：针对隐蔽性违规行为，引入基于大语言模型语义推理的事后审计引擎。利用夜间闲置算力对全量患者文本执行深度稽核研判。</w:t>
      </w:r>
    </w:p>
    <w:p w14:paraId="73378348">
      <w:pPr>
        <w:spacing w:line="360" w:lineRule="auto"/>
        <w:ind w:firstLine="560"/>
        <w:rPr>
          <w:rFonts w:hint="eastAsia" w:ascii="仿宋" w:hAnsi="仿宋" w:eastAsia="仿宋" w:cs="仿宋"/>
          <w:sz w:val="24"/>
        </w:rPr>
      </w:pPr>
      <w:r>
        <w:rPr>
          <w:rFonts w:hint="eastAsia" w:ascii="仿宋" w:hAnsi="仿宋" w:eastAsia="仿宋" w:cs="仿宋"/>
          <w:sz w:val="24"/>
        </w:rPr>
        <w:t>医嘱开立实时合规扫描功能：自动触发全局合规扫描，并根据底层阈值即刻向前端触发强制或提示性预警动作。</w:t>
      </w:r>
    </w:p>
    <w:p w14:paraId="33B45D3E">
      <w:pPr>
        <w:spacing w:line="360" w:lineRule="auto"/>
        <w:ind w:firstLine="560"/>
        <w:rPr>
          <w:rFonts w:hint="eastAsia" w:ascii="仿宋" w:hAnsi="仿宋" w:eastAsia="仿宋" w:cs="仿宋"/>
          <w:sz w:val="24"/>
        </w:rPr>
      </w:pPr>
      <w:r>
        <w:rPr>
          <w:rFonts w:hint="eastAsia" w:ascii="仿宋" w:hAnsi="仿宋" w:eastAsia="仿宋" w:cs="仿宋"/>
          <w:sz w:val="24"/>
        </w:rPr>
        <w:t>违规行为多分类识别标识：识别并分类标识超剂量用药、超限制范围使用、超适应症用药、违规使用目录外项目等多种典型违规行为。</w:t>
      </w:r>
    </w:p>
    <w:p w14:paraId="2969D649">
      <w:pPr>
        <w:spacing w:line="360" w:lineRule="auto"/>
        <w:ind w:firstLine="560"/>
        <w:rPr>
          <w:rFonts w:hint="eastAsia" w:ascii="仿宋" w:hAnsi="仿宋" w:eastAsia="仿宋" w:cs="仿宋"/>
          <w:sz w:val="24"/>
        </w:rPr>
      </w:pPr>
      <w:r>
        <w:rPr>
          <w:rFonts w:hint="eastAsia" w:ascii="仿宋" w:hAnsi="仿宋" w:eastAsia="仿宋" w:cs="仿宋"/>
          <w:sz w:val="24"/>
        </w:rPr>
        <w:t>诊疗行为合规性深度扫描：审查范围延伸至各类实验室检查、手术操作及高值耗材使用等全类别医疗服务项目执行全量的合规审查，向前端反馈结论。</w:t>
      </w:r>
    </w:p>
    <w:p w14:paraId="5C4E824A">
      <w:pPr>
        <w:spacing w:line="360" w:lineRule="auto"/>
        <w:ind w:firstLine="560"/>
        <w:rPr>
          <w:rFonts w:hint="eastAsia" w:ascii="仿宋" w:hAnsi="仿宋" w:eastAsia="仿宋" w:cs="仿宋"/>
          <w:sz w:val="24"/>
        </w:rPr>
      </w:pPr>
      <w:r>
        <w:rPr>
          <w:rFonts w:hint="eastAsia" w:ascii="仿宋" w:hAnsi="仿宋" w:eastAsia="仿宋" w:cs="仿宋"/>
          <w:sz w:val="24"/>
        </w:rPr>
        <w:t>3）诊间预警交互</w:t>
      </w:r>
    </w:p>
    <w:p w14:paraId="4AE92D92">
      <w:pPr>
        <w:spacing w:line="360" w:lineRule="auto"/>
        <w:ind w:firstLine="560"/>
        <w:rPr>
          <w:rFonts w:hint="eastAsia" w:ascii="仿宋" w:hAnsi="仿宋" w:eastAsia="仿宋" w:cs="仿宋"/>
          <w:sz w:val="24"/>
        </w:rPr>
      </w:pPr>
      <w:r>
        <w:rPr>
          <w:rFonts w:hint="eastAsia" w:ascii="仿宋" w:hAnsi="仿宋" w:eastAsia="仿宋" w:cs="仿宋"/>
          <w:sz w:val="24"/>
        </w:rPr>
        <w:t>医生工作站强制弹窗提醒：在识别到高危严重医保违规动作时，在医生站操作界面中央触发强阻断性拦截提醒，阻止违规业务流。</w:t>
      </w:r>
    </w:p>
    <w:p w14:paraId="6E8607F6">
      <w:pPr>
        <w:spacing w:line="360" w:lineRule="auto"/>
        <w:ind w:firstLine="560"/>
        <w:rPr>
          <w:rFonts w:hint="eastAsia" w:ascii="仿宋" w:hAnsi="仿宋" w:eastAsia="仿宋" w:cs="仿宋"/>
          <w:sz w:val="24"/>
        </w:rPr>
      </w:pPr>
      <w:r>
        <w:rPr>
          <w:rFonts w:hint="eastAsia" w:ascii="仿宋" w:hAnsi="仿宋" w:eastAsia="仿宋" w:cs="仿宋"/>
          <w:sz w:val="24"/>
        </w:rPr>
        <w:t>工作站引导性提示：对于轻微引导性风险，采用伴随展示提供建议，保障临床核心开单业务连续性与流畅性。</w:t>
      </w:r>
    </w:p>
    <w:p w14:paraId="26EC64FA">
      <w:pPr>
        <w:spacing w:line="360" w:lineRule="auto"/>
        <w:ind w:firstLine="560"/>
        <w:rPr>
          <w:rFonts w:hint="eastAsia" w:ascii="仿宋" w:hAnsi="仿宋" w:eastAsia="仿宋" w:cs="仿宋"/>
          <w:sz w:val="24"/>
        </w:rPr>
      </w:pPr>
      <w:r>
        <w:rPr>
          <w:rFonts w:hint="eastAsia" w:ascii="仿宋" w:hAnsi="仿宋" w:eastAsia="仿宋" w:cs="仿宋"/>
          <w:sz w:val="24"/>
        </w:rPr>
        <w:t>违规项目精准高亮定位展示：在触发预警时，以高亮显示导致违规的特定药品或诊疗项目明细，方便医生执行“点对点”纠错。</w:t>
      </w:r>
    </w:p>
    <w:p w14:paraId="55EA80FE">
      <w:pPr>
        <w:spacing w:line="360" w:lineRule="auto"/>
        <w:ind w:firstLine="560"/>
        <w:rPr>
          <w:rFonts w:hint="eastAsia" w:ascii="仿宋" w:hAnsi="仿宋" w:eastAsia="仿宋" w:cs="仿宋"/>
          <w:sz w:val="24"/>
        </w:rPr>
      </w:pPr>
      <w:r>
        <w:rPr>
          <w:rFonts w:hint="eastAsia" w:ascii="仿宋" w:hAnsi="仿宋" w:eastAsia="仿宋" w:cs="仿宋"/>
          <w:sz w:val="24"/>
        </w:rPr>
        <w:t>违规原因语义化描述展示：支持将复杂的政策限制逻辑转化为临床直观易懂的违规理由描述，与预警动作同步在前端进行解释展示。</w:t>
      </w:r>
    </w:p>
    <w:p w14:paraId="206376A1">
      <w:pPr>
        <w:spacing w:line="360" w:lineRule="auto"/>
        <w:ind w:firstLine="560"/>
        <w:rPr>
          <w:rFonts w:hint="eastAsia" w:ascii="仿宋" w:hAnsi="仿宋" w:eastAsia="仿宋" w:cs="仿宋"/>
          <w:sz w:val="24"/>
        </w:rPr>
      </w:pPr>
      <w:r>
        <w:rPr>
          <w:rFonts w:hint="eastAsia" w:ascii="仿宋" w:hAnsi="仿宋" w:eastAsia="仿宋" w:cs="仿宋"/>
          <w:sz w:val="24"/>
        </w:rPr>
        <w:t>拦截预警等级分类定制管理：支持管理部门对触发的拦截信息进行分级归类，灵活配置强制拦截、人工确认通过或仅提醒等差异化管控策略。</w:t>
      </w:r>
    </w:p>
    <w:p w14:paraId="22CAB69D">
      <w:pPr>
        <w:spacing w:line="360" w:lineRule="auto"/>
        <w:ind w:firstLine="560"/>
        <w:rPr>
          <w:rFonts w:hint="eastAsia" w:ascii="仿宋" w:hAnsi="仿宋" w:eastAsia="仿宋" w:cs="仿宋"/>
          <w:sz w:val="24"/>
        </w:rPr>
      </w:pPr>
      <w:r>
        <w:rPr>
          <w:rFonts w:hint="eastAsia" w:ascii="仿宋" w:hAnsi="仿宋" w:eastAsia="仿宋" w:cs="仿宋"/>
          <w:sz w:val="24"/>
        </w:rPr>
        <w:t>4）合规方案引导</w:t>
      </w:r>
    </w:p>
    <w:p w14:paraId="55CC5A62">
      <w:pPr>
        <w:spacing w:line="360" w:lineRule="auto"/>
        <w:ind w:firstLine="560"/>
        <w:rPr>
          <w:rFonts w:hint="eastAsia" w:ascii="仿宋" w:hAnsi="仿宋" w:eastAsia="仿宋" w:cs="仿宋"/>
          <w:sz w:val="24"/>
        </w:rPr>
      </w:pPr>
      <w:r>
        <w:rPr>
          <w:rFonts w:hint="eastAsia" w:ascii="仿宋" w:hAnsi="仿宋" w:eastAsia="仿宋" w:cs="仿宋"/>
          <w:sz w:val="24"/>
        </w:rPr>
        <w:t>按需求调阅替代药品建议：在面临用药预警时，允许主动智能化查询，系统推送符合医保支付政策且具备临床等效替代价值的推荐药品清单。</w:t>
      </w:r>
    </w:p>
    <w:p w14:paraId="1BB44808">
      <w:pPr>
        <w:spacing w:line="360" w:lineRule="auto"/>
        <w:ind w:firstLine="560"/>
        <w:rPr>
          <w:rFonts w:hint="eastAsia" w:ascii="仿宋" w:hAnsi="仿宋" w:eastAsia="仿宋" w:cs="仿宋"/>
          <w:sz w:val="24"/>
        </w:rPr>
      </w:pPr>
      <w:r>
        <w:rPr>
          <w:rFonts w:hint="eastAsia" w:ascii="仿宋" w:hAnsi="仿宋" w:eastAsia="仿宋" w:cs="仿宋"/>
          <w:sz w:val="24"/>
        </w:rPr>
        <w:t>按需求调阅替代方案建议：根据诊疗需要主动调阅，系统反馈符合标准临床路径要求、满足医保限定支付标准的替代诊疗检查方案参考建议。</w:t>
      </w:r>
    </w:p>
    <w:p w14:paraId="6E3C19FE">
      <w:pPr>
        <w:spacing w:line="360" w:lineRule="auto"/>
        <w:ind w:firstLine="560"/>
        <w:rPr>
          <w:rFonts w:hint="eastAsia" w:ascii="仿宋" w:hAnsi="仿宋" w:eastAsia="仿宋" w:cs="仿宋"/>
          <w:sz w:val="24"/>
        </w:rPr>
      </w:pPr>
      <w:r>
        <w:rPr>
          <w:rFonts w:hint="eastAsia" w:ascii="仿宋" w:hAnsi="仿宋" w:eastAsia="仿宋" w:cs="仿宋"/>
          <w:sz w:val="24"/>
        </w:rPr>
        <w:t>医生工作站引导式修正功能：在预警界面提供引导式的修改指导，引导医生快速完成违规内容的合规化替换与实时更新。</w:t>
      </w:r>
    </w:p>
    <w:p w14:paraId="12BE233B">
      <w:pPr>
        <w:spacing w:line="360" w:lineRule="auto"/>
        <w:ind w:firstLine="560"/>
        <w:rPr>
          <w:rFonts w:hint="eastAsia" w:ascii="仿宋" w:hAnsi="仿宋" w:eastAsia="仿宋" w:cs="仿宋"/>
          <w:sz w:val="24"/>
        </w:rPr>
      </w:pPr>
    </w:p>
    <w:p w14:paraId="235A4EF3">
      <w:pPr>
        <w:spacing w:line="360" w:lineRule="auto"/>
        <w:ind w:firstLine="560"/>
        <w:rPr>
          <w:rFonts w:hint="eastAsia" w:ascii="仿宋" w:hAnsi="仿宋" w:eastAsia="仿宋" w:cs="仿宋"/>
          <w:sz w:val="24"/>
        </w:rPr>
      </w:pPr>
      <w:r>
        <w:rPr>
          <w:rFonts w:hint="eastAsia" w:ascii="仿宋" w:hAnsi="仿宋" w:eastAsia="仿宋" w:cs="仿宋"/>
          <w:sz w:val="24"/>
        </w:rPr>
        <w:t>5）处方合理用药规范校验</w:t>
      </w:r>
    </w:p>
    <w:p w14:paraId="5A9382D0">
      <w:pPr>
        <w:spacing w:line="360" w:lineRule="auto"/>
        <w:ind w:firstLine="560"/>
        <w:rPr>
          <w:rFonts w:hint="eastAsia" w:ascii="仿宋" w:hAnsi="仿宋" w:eastAsia="仿宋" w:cs="仿宋"/>
          <w:sz w:val="24"/>
        </w:rPr>
      </w:pPr>
      <w:r>
        <w:rPr>
          <w:rFonts w:hint="eastAsia" w:ascii="仿宋" w:hAnsi="仿宋" w:eastAsia="仿宋" w:cs="仿宋"/>
          <w:sz w:val="24"/>
        </w:rPr>
        <w:t>内置药学与循证知识体系：底层内置完整的国家药品说明书逻辑、药典规范、临床路径及权威循证医学指南体系，提供合规规则支撑。</w:t>
      </w:r>
    </w:p>
    <w:p w14:paraId="680E4ACA">
      <w:pPr>
        <w:spacing w:line="360" w:lineRule="auto"/>
        <w:ind w:firstLine="560"/>
        <w:rPr>
          <w:rFonts w:hint="eastAsia" w:ascii="仿宋" w:hAnsi="仿宋" w:eastAsia="仿宋" w:cs="仿宋"/>
          <w:sz w:val="24"/>
        </w:rPr>
      </w:pPr>
      <w:r>
        <w:rPr>
          <w:rFonts w:hint="eastAsia" w:ascii="仿宋" w:hAnsi="仿宋" w:eastAsia="仿宋" w:cs="仿宋"/>
          <w:sz w:val="24"/>
        </w:rPr>
        <w:t>多维度合理性评估与风险评分：实时调用药学知识网络，对处方进行多维度的临床合理性交叉评估，计算并输出量化的处方总体风险评分。</w:t>
      </w:r>
    </w:p>
    <w:p w14:paraId="07581070">
      <w:pPr>
        <w:spacing w:line="360" w:lineRule="auto"/>
        <w:ind w:firstLine="560"/>
        <w:rPr>
          <w:rFonts w:hint="eastAsia" w:ascii="仿宋" w:hAnsi="仿宋" w:eastAsia="仿宋" w:cs="仿宋"/>
          <w:sz w:val="24"/>
        </w:rPr>
      </w:pPr>
      <w:r>
        <w:rPr>
          <w:rFonts w:hint="eastAsia" w:ascii="仿宋" w:hAnsi="仿宋" w:eastAsia="仿宋" w:cs="仿宋"/>
          <w:sz w:val="24"/>
        </w:rPr>
        <w:t>可疑处方醒目标识与前端提示：经综合评估且评分判定为异常或潜藏隐患的可疑处方，在开单交互界面执行极其醒目的高亮标识及预警干预操作。</w:t>
      </w:r>
    </w:p>
    <w:p w14:paraId="587B3F20">
      <w:pPr>
        <w:spacing w:line="360" w:lineRule="auto"/>
        <w:ind w:firstLine="560"/>
        <w:rPr>
          <w:rFonts w:hint="eastAsia" w:ascii="仿宋" w:hAnsi="仿宋" w:eastAsia="仿宋" w:cs="仿宋"/>
          <w:sz w:val="24"/>
        </w:rPr>
      </w:pPr>
      <w:r>
        <w:rPr>
          <w:rFonts w:hint="eastAsia" w:ascii="仿宋" w:hAnsi="仿宋" w:eastAsia="仿宋" w:cs="仿宋"/>
          <w:sz w:val="24"/>
        </w:rPr>
        <w:t>6）审计统计分析</w:t>
      </w:r>
    </w:p>
    <w:p w14:paraId="0B318F70">
      <w:pPr>
        <w:spacing w:line="360" w:lineRule="auto"/>
        <w:ind w:firstLine="560"/>
        <w:rPr>
          <w:rFonts w:hint="eastAsia" w:ascii="仿宋" w:hAnsi="仿宋" w:eastAsia="仿宋" w:cs="仿宋"/>
          <w:sz w:val="24"/>
        </w:rPr>
      </w:pPr>
      <w:r>
        <w:rPr>
          <w:rFonts w:hint="eastAsia" w:ascii="仿宋" w:hAnsi="仿宋" w:eastAsia="仿宋" w:cs="仿宋"/>
          <w:sz w:val="24"/>
        </w:rPr>
        <w:t>预警拦截数据按周期汇总：支持按设定的周期自动归集并汇总全院及各个科室的预警触发总次数、实际拦截数量及整改采纳率等核心指标。</w:t>
      </w:r>
    </w:p>
    <w:p w14:paraId="075862E1">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医保基金运行情况审计报告：基于标准模版结合动态数据，自动撰写生成完整的审计报告，涵盖医保基金运行态势分析及合规改进建议。</w:t>
      </w:r>
    </w:p>
    <w:p w14:paraId="64D60523">
      <w:pPr>
        <w:spacing w:line="360" w:lineRule="auto"/>
        <w:ind w:firstLine="560"/>
        <w:rPr>
          <w:rFonts w:hint="eastAsia" w:ascii="仿宋" w:hAnsi="仿宋" w:eastAsia="仿宋" w:cs="仿宋"/>
          <w:sz w:val="24"/>
        </w:rPr>
      </w:pPr>
      <w:r>
        <w:rPr>
          <w:rFonts w:hint="eastAsia" w:ascii="仿宋" w:hAnsi="仿宋" w:eastAsia="仿宋" w:cs="仿宋"/>
          <w:sz w:val="24"/>
        </w:rPr>
        <w:t>审计报表自定义条件导出： 支持将全院医保基金运行态势、拦截统计等核心数据资源，以标准报表格式执行一键导出功能。</w:t>
      </w:r>
    </w:p>
    <w:p w14:paraId="019000C9">
      <w:pPr>
        <w:spacing w:line="360" w:lineRule="auto"/>
        <w:ind w:firstLine="560"/>
        <w:rPr>
          <w:rFonts w:hint="eastAsia" w:ascii="仿宋" w:hAnsi="仿宋" w:eastAsia="仿宋" w:cs="仿宋"/>
          <w:sz w:val="24"/>
        </w:rPr>
      </w:pPr>
      <w:r>
        <w:rPr>
          <w:rFonts w:hint="eastAsia" w:ascii="仿宋" w:hAnsi="仿宋" w:eastAsia="仿宋" w:cs="仿宋"/>
          <w:sz w:val="24"/>
        </w:rPr>
        <w:t>7）集成与管理</w:t>
      </w:r>
    </w:p>
    <w:p w14:paraId="0C7AD62C">
      <w:pPr>
        <w:spacing w:line="360" w:lineRule="auto"/>
        <w:ind w:firstLine="560"/>
        <w:rPr>
          <w:rFonts w:hint="eastAsia" w:ascii="仿宋" w:hAnsi="仿宋" w:eastAsia="仿宋" w:cs="仿宋"/>
          <w:sz w:val="24"/>
        </w:rPr>
      </w:pPr>
      <w:r>
        <w:rPr>
          <w:rFonts w:hint="eastAsia" w:ascii="仿宋" w:hAnsi="仿宋" w:eastAsia="仿宋" w:cs="仿宋"/>
          <w:sz w:val="24"/>
        </w:rPr>
        <w:t>HIS/EMR系统集成：具备互联互通能力，支持与医院核心的HIS、EMR系统深度集成，保障业务场景下规则自动触发与数据准确实时同步。</w:t>
      </w:r>
    </w:p>
    <w:p w14:paraId="5F76FD79">
      <w:pPr>
        <w:spacing w:line="360" w:lineRule="auto"/>
        <w:ind w:firstLine="560"/>
        <w:rPr>
          <w:rFonts w:hint="eastAsia" w:ascii="仿宋" w:hAnsi="仿宋" w:eastAsia="仿宋" w:cs="仿宋"/>
          <w:sz w:val="24"/>
        </w:rPr>
      </w:pPr>
      <w:r>
        <w:rPr>
          <w:rFonts w:hint="eastAsia" w:ascii="仿宋" w:hAnsi="仿宋" w:eastAsia="仿宋" w:cs="仿宋"/>
          <w:sz w:val="24"/>
        </w:rPr>
        <w:t>全流程审核审计痕迹留痕：必须全量、永久记录每笔预警记录的底层数据，包括触发账号、操作时间、处理结果及修改内容明细，满足责任追溯及审计要求。</w:t>
      </w:r>
    </w:p>
    <w:p w14:paraId="72E6E5BB">
      <w:pPr>
        <w:pStyle w:val="4"/>
        <w:tabs>
          <w:tab w:val="left" w:pos="900"/>
        </w:tabs>
        <w:spacing w:before="0" w:after="0" w:line="360" w:lineRule="auto"/>
        <w:rPr>
          <w:rFonts w:hint="eastAsia" w:ascii="仿宋" w:hAnsi="仿宋" w:eastAsia="仿宋" w:cs="仿宋_GB2312"/>
          <w:sz w:val="24"/>
          <w:szCs w:val="24"/>
        </w:rPr>
      </w:pPr>
      <w:r>
        <w:rPr>
          <w:rFonts w:hint="eastAsia" w:ascii="仿宋" w:hAnsi="仿宋" w:eastAsia="仿宋" w:cs="仿宋_GB2312"/>
          <w:sz w:val="24"/>
          <w:szCs w:val="24"/>
        </w:rPr>
        <w:t>（4）查房助手智能体建设需求</w:t>
      </w:r>
    </w:p>
    <w:p w14:paraId="1F082621">
      <w:pPr>
        <w:spacing w:line="360" w:lineRule="auto"/>
        <w:ind w:firstLine="560"/>
        <w:rPr>
          <w:rFonts w:hint="eastAsia" w:ascii="仿宋" w:hAnsi="仿宋" w:eastAsia="仿宋" w:cs="仿宋"/>
          <w:sz w:val="24"/>
        </w:rPr>
      </w:pPr>
      <w:r>
        <w:rPr>
          <w:rFonts w:hint="eastAsia" w:ascii="仿宋" w:hAnsi="仿宋" w:eastAsia="仿宋" w:cs="仿宋"/>
          <w:sz w:val="24"/>
        </w:rPr>
        <w:t>查房助手模块旨在建设面向住院床旁移动场景的AI助手体系，彻底解放医护双手，提升查房与病房管理的综合效能。具体建设要求如下：</w:t>
      </w:r>
    </w:p>
    <w:p w14:paraId="16AB88BF">
      <w:pPr>
        <w:spacing w:line="360" w:lineRule="auto"/>
        <w:ind w:firstLine="560"/>
        <w:rPr>
          <w:rFonts w:hint="eastAsia" w:ascii="仿宋" w:hAnsi="仿宋" w:eastAsia="仿宋" w:cs="仿宋"/>
          <w:sz w:val="24"/>
        </w:rPr>
      </w:pPr>
      <w:r>
        <w:rPr>
          <w:rFonts w:hint="eastAsia" w:ascii="仿宋" w:hAnsi="仿宋" w:eastAsia="仿宋" w:cs="仿宋"/>
          <w:sz w:val="24"/>
        </w:rPr>
        <w:t>1）查房语音录制与转写</w:t>
      </w:r>
    </w:p>
    <w:p w14:paraId="4DA9C92C">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即时音频录制与转换：具备即时音频流录制服务能力，支持在移动终端一键开启查房过程的音频录制，并在屏幕同步提供转写文字实时预览。</w:t>
      </w:r>
    </w:p>
    <w:p w14:paraId="05978942">
      <w:pPr>
        <w:spacing w:line="360" w:lineRule="auto"/>
        <w:ind w:firstLine="560"/>
        <w:rPr>
          <w:rFonts w:hint="eastAsia" w:ascii="仿宋" w:hAnsi="仿宋" w:eastAsia="仿宋" w:cs="仿宋"/>
          <w:sz w:val="24"/>
        </w:rPr>
      </w:pPr>
      <w:r>
        <w:rPr>
          <w:rFonts w:hint="eastAsia" w:ascii="仿宋" w:hAnsi="仿宋" w:eastAsia="仿宋" w:cs="仿宋"/>
          <w:sz w:val="24"/>
        </w:rPr>
        <w:t>多角色语音精准转写：底层语音引擎具备声纹分辨能力，能够准确隔离并提取查房现场医生、患者、护士等多角色的混合语音流，实现精准转写。</w:t>
      </w:r>
    </w:p>
    <w:p w14:paraId="21796E83">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方言及医疗术语优化：针对常用地方方言及专业医疗术语执行声学模型调优，保障复杂病房沟通环境下的最终文字转写高准确率。</w:t>
      </w:r>
    </w:p>
    <w:p w14:paraId="4A9160A5">
      <w:pPr>
        <w:spacing w:line="360" w:lineRule="auto"/>
        <w:ind w:firstLine="560"/>
        <w:rPr>
          <w:rFonts w:hint="eastAsia" w:ascii="仿宋" w:hAnsi="仿宋" w:eastAsia="仿宋" w:cs="仿宋"/>
          <w:sz w:val="24"/>
        </w:rPr>
      </w:pPr>
      <w:r>
        <w:rPr>
          <w:rFonts w:hint="eastAsia" w:ascii="仿宋" w:hAnsi="仿宋" w:eastAsia="仿宋" w:cs="仿宋"/>
          <w:sz w:val="24"/>
        </w:rPr>
        <w:t>医疗术语自动化纠偏处理：内置标准化医学词库，接收转写结果瞬间自动执行语义审核与同音异义专业术语纠偏替换，确保病历语料符合法定规范。</w:t>
      </w:r>
    </w:p>
    <w:p w14:paraId="4635779A">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音频降噪与质量增强：提供先进的智能环境声学降噪技术，有效过滤剥离病房内各种非人声及设备杂音干扰，提取高质量语音特征。</w:t>
      </w:r>
    </w:p>
    <w:p w14:paraId="0C3A2ABC">
      <w:pPr>
        <w:spacing w:line="360" w:lineRule="auto"/>
        <w:ind w:firstLine="560"/>
        <w:rPr>
          <w:rFonts w:hint="eastAsia" w:ascii="仿宋" w:hAnsi="仿宋" w:eastAsia="仿宋" w:cs="仿宋"/>
          <w:sz w:val="24"/>
        </w:rPr>
      </w:pPr>
      <w:r>
        <w:rPr>
          <w:rFonts w:hint="eastAsia" w:ascii="仿宋" w:hAnsi="仿宋" w:eastAsia="仿宋" w:cs="仿宋"/>
          <w:sz w:val="24"/>
        </w:rPr>
        <w:t>2）查房信息智能提取</w:t>
      </w:r>
    </w:p>
    <w:p w14:paraId="2E863555">
      <w:pPr>
        <w:spacing w:line="360" w:lineRule="auto"/>
        <w:ind w:firstLine="560"/>
        <w:rPr>
          <w:rFonts w:hint="eastAsia" w:ascii="仿宋" w:hAnsi="仿宋" w:eastAsia="仿宋" w:cs="仿宋"/>
          <w:sz w:val="24"/>
        </w:rPr>
      </w:pPr>
      <w:r>
        <w:rPr>
          <w:rFonts w:hint="eastAsia" w:ascii="仿宋" w:hAnsi="仿宋" w:eastAsia="仿宋" w:cs="仿宋"/>
          <w:sz w:val="24"/>
        </w:rPr>
        <w:t>病情关键要素提取：借助大语言模型的阅读理解能力，自动从非结构化的查房对话中，精准定位并提取主诉、体征、用药反应、查体要点等核心要素。</w:t>
      </w:r>
    </w:p>
    <w:p w14:paraId="6DB8B8D8">
      <w:pPr>
        <w:spacing w:line="360" w:lineRule="auto"/>
        <w:ind w:firstLine="560"/>
        <w:rPr>
          <w:rFonts w:hint="eastAsia" w:ascii="仿宋" w:hAnsi="仿宋" w:eastAsia="仿宋" w:cs="仿宋"/>
          <w:sz w:val="24"/>
        </w:rPr>
      </w:pPr>
      <w:r>
        <w:rPr>
          <w:rFonts w:hint="eastAsia" w:ascii="仿宋" w:hAnsi="仿宋" w:eastAsia="仿宋" w:cs="仿宋"/>
          <w:sz w:val="24"/>
        </w:rPr>
        <w:t>结构化输出与对接：支持将智能提炼的医疗信息片段，按自定义的专科模板结构及规则进行自动化拼装，确保精准对接并反向填充至院内EMR系统中。</w:t>
      </w:r>
    </w:p>
    <w:p w14:paraId="629834CC">
      <w:pPr>
        <w:spacing w:line="360" w:lineRule="auto"/>
        <w:ind w:firstLine="560"/>
        <w:rPr>
          <w:rFonts w:hint="eastAsia" w:ascii="仿宋" w:hAnsi="仿宋" w:eastAsia="仿宋" w:cs="仿宋"/>
          <w:sz w:val="24"/>
        </w:rPr>
      </w:pPr>
      <w:r>
        <w:rPr>
          <w:rFonts w:hint="eastAsia" w:ascii="仿宋" w:hAnsi="仿宋" w:eastAsia="仿宋" w:cs="仿宋"/>
          <w:sz w:val="24"/>
        </w:rPr>
        <w:t>智能查房摘要生成： 具备长文本浓缩提炼能力，自动对床旁查房过程进行高度概括摘要，提炼患者核心病情动态变化与待处理事项清单。</w:t>
      </w:r>
    </w:p>
    <w:p w14:paraId="042E598B">
      <w:pPr>
        <w:spacing w:line="360" w:lineRule="auto"/>
        <w:ind w:firstLine="560"/>
        <w:rPr>
          <w:rFonts w:hint="eastAsia" w:ascii="仿宋" w:hAnsi="仿宋" w:eastAsia="仿宋" w:cs="仿宋"/>
          <w:sz w:val="24"/>
        </w:rPr>
      </w:pPr>
      <w:r>
        <w:rPr>
          <w:rFonts w:hint="eastAsia" w:ascii="仿宋" w:hAnsi="仿宋" w:eastAsia="仿宋" w:cs="仿宋"/>
          <w:sz w:val="24"/>
        </w:rPr>
        <w:t>3）查房记录生成管理</w:t>
      </w:r>
    </w:p>
    <w:p w14:paraId="012DDE66">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记录初稿自动化生成：整合非结构化的提取信息，按照医疗文书法定规范排版格式与专业行文逻辑，快速生成结构清晰、逻辑严谨的查房记录初稿。</w:t>
      </w:r>
    </w:p>
    <w:p w14:paraId="57B9ABAC">
      <w:pPr>
        <w:spacing w:line="360" w:lineRule="auto"/>
        <w:ind w:firstLine="560"/>
        <w:rPr>
          <w:rFonts w:hint="eastAsia" w:ascii="仿宋" w:hAnsi="仿宋" w:eastAsia="仿宋" w:cs="仿宋"/>
          <w:sz w:val="24"/>
        </w:rPr>
      </w:pPr>
      <w:r>
        <w:rPr>
          <w:rFonts w:hint="eastAsia" w:ascii="仿宋" w:hAnsi="仿宋" w:eastAsia="仿宋" w:cs="仿宋"/>
          <w:sz w:val="24"/>
        </w:rPr>
        <w:t>补充修改： 支持医护人员在移动端对生成的初稿执行补充完善操作。</w:t>
      </w:r>
    </w:p>
    <w:p w14:paraId="08FBBD4E">
      <w:pPr>
        <w:spacing w:line="360" w:lineRule="auto"/>
        <w:ind w:firstLine="560"/>
        <w:rPr>
          <w:rFonts w:hint="eastAsia" w:ascii="仿宋" w:hAnsi="仿宋" w:eastAsia="仿宋" w:cs="仿宋"/>
          <w:sz w:val="24"/>
        </w:rPr>
      </w:pPr>
      <w:r>
        <w:rPr>
          <w:rFonts w:hint="eastAsia" w:ascii="仿宋" w:hAnsi="仿宋" w:eastAsia="仿宋" w:cs="仿宋"/>
          <w:sz w:val="24"/>
        </w:rPr>
        <w:t>4）数据实时同步调用</w:t>
      </w:r>
    </w:p>
    <w:p w14:paraId="3C9A13C8">
      <w:pPr>
        <w:spacing w:line="360" w:lineRule="auto"/>
        <w:ind w:firstLine="560"/>
        <w:rPr>
          <w:rFonts w:hint="eastAsia" w:ascii="仿宋" w:hAnsi="仿宋" w:eastAsia="仿宋" w:cs="仿宋"/>
          <w:sz w:val="24"/>
        </w:rPr>
      </w:pPr>
      <w:r>
        <w:rPr>
          <w:rFonts w:hint="eastAsia" w:ascii="仿宋" w:hAnsi="仿宋" w:eastAsia="仿宋" w:cs="仿宋"/>
          <w:sz w:val="24"/>
        </w:rPr>
        <w:t>HIS/EMR资料实时调阅：在移动查房现场环境下，实时从后台系统极速调阅并展示患者的基础信息、历次检查报告结论以及既往病历档案。</w:t>
      </w:r>
    </w:p>
    <w:p w14:paraId="7DF5AD34">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同步回写：医生完成查房记录审核确认后，支持通过安全接口将定稿的查房报告数据包一键同步回写至院内核心系统中正式生效。</w:t>
      </w:r>
    </w:p>
    <w:p w14:paraId="5502A404">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移动端与桌面端联动：支持强一致性的跨端业务联动，移动端生成的记录草稿必须支持在PC桌面工作站端同步展示与二次编辑。</w:t>
      </w:r>
    </w:p>
    <w:p w14:paraId="615B1EAB">
      <w:pPr>
        <w:spacing w:line="360" w:lineRule="auto"/>
        <w:ind w:firstLine="560"/>
        <w:rPr>
          <w:rFonts w:hint="eastAsia" w:ascii="仿宋" w:hAnsi="仿宋" w:eastAsia="仿宋" w:cs="仿宋"/>
          <w:sz w:val="24"/>
        </w:rPr>
      </w:pPr>
      <w:r>
        <w:rPr>
          <w:rFonts w:hint="eastAsia" w:ascii="仿宋" w:hAnsi="仿宋" w:eastAsia="仿宋" w:cs="仿宋"/>
          <w:sz w:val="24"/>
        </w:rPr>
        <w:t>5）临床辅助预警</w:t>
      </w:r>
    </w:p>
    <w:p w14:paraId="7FB47191">
      <w:pPr>
        <w:spacing w:line="360" w:lineRule="auto"/>
        <w:ind w:firstLine="560"/>
        <w:rPr>
          <w:rFonts w:hint="eastAsia" w:ascii="仿宋" w:hAnsi="仿宋" w:eastAsia="仿宋" w:cs="仿宋"/>
          <w:sz w:val="24"/>
        </w:rPr>
      </w:pPr>
      <w:r>
        <w:rPr>
          <w:rFonts w:hint="eastAsia" w:ascii="仿宋" w:hAnsi="仿宋" w:eastAsia="仿宋" w:cs="仿宋"/>
          <w:sz w:val="24"/>
        </w:rPr>
        <w:t>实时临床风险预警：结合查房提取到的增量信息，运用AI推理模型智能交叉比对，提供各类临床辅助预警。</w:t>
      </w:r>
    </w:p>
    <w:p w14:paraId="4875B3A6">
      <w:pPr>
        <w:spacing w:line="360" w:lineRule="auto"/>
        <w:ind w:firstLine="560"/>
        <w:rPr>
          <w:rFonts w:hint="eastAsia" w:ascii="仿宋" w:hAnsi="仿宋" w:eastAsia="仿宋" w:cs="仿宋"/>
          <w:sz w:val="24"/>
        </w:rPr>
      </w:pPr>
      <w:r>
        <w:rPr>
          <w:rFonts w:hint="eastAsia" w:ascii="仿宋" w:hAnsi="仿宋" w:eastAsia="仿宋" w:cs="仿宋"/>
          <w:sz w:val="24"/>
        </w:rPr>
        <w:t>6）统计报表</w:t>
      </w:r>
    </w:p>
    <w:p w14:paraId="6679B767">
      <w:pPr>
        <w:spacing w:line="360" w:lineRule="auto"/>
        <w:ind w:firstLine="560"/>
        <w:rPr>
          <w:rFonts w:hint="eastAsia" w:ascii="仿宋" w:hAnsi="仿宋" w:eastAsia="仿宋" w:cs="仿宋"/>
          <w:sz w:val="24"/>
        </w:rPr>
      </w:pPr>
      <w:r>
        <w:rPr>
          <w:rFonts w:hint="eastAsia" w:ascii="仿宋" w:hAnsi="仿宋" w:eastAsia="仿宋" w:cs="仿宋"/>
          <w:sz w:val="24"/>
        </w:rPr>
        <w:t>查房数据统计报表： 支持按照周期自动汇总各科室移动查房业务量、音频时长、采纳率等核心数据，生成结构化报表供管理端查阅。</w:t>
      </w:r>
    </w:p>
    <w:p w14:paraId="667DCAEC">
      <w:pPr>
        <w:pStyle w:val="4"/>
        <w:tabs>
          <w:tab w:val="left" w:pos="900"/>
        </w:tabs>
        <w:spacing w:before="0" w:after="0" w:line="360" w:lineRule="auto"/>
        <w:rPr>
          <w:rFonts w:hint="eastAsia" w:ascii="仿宋" w:hAnsi="仿宋" w:eastAsia="仿宋" w:cs="仿宋_GB2312"/>
          <w:sz w:val="24"/>
          <w:szCs w:val="24"/>
        </w:rPr>
      </w:pPr>
      <w:r>
        <w:rPr>
          <w:rFonts w:hint="eastAsia" w:ascii="仿宋" w:hAnsi="仿宋" w:eastAsia="仿宋" w:cs="仿宋_GB2312"/>
          <w:sz w:val="24"/>
          <w:szCs w:val="24"/>
        </w:rPr>
        <w:t>（5）病案质控智能体建设需求</w:t>
      </w:r>
    </w:p>
    <w:p w14:paraId="02DEBE24">
      <w:pPr>
        <w:spacing w:line="360" w:lineRule="auto"/>
        <w:ind w:firstLine="560"/>
        <w:rPr>
          <w:rFonts w:hint="eastAsia" w:ascii="仿宋" w:hAnsi="仿宋" w:eastAsia="仿宋" w:cs="仿宋"/>
          <w:sz w:val="24"/>
        </w:rPr>
      </w:pPr>
      <w:r>
        <w:rPr>
          <w:rFonts w:hint="eastAsia" w:ascii="仿宋" w:hAnsi="仿宋" w:eastAsia="仿宋" w:cs="仿宋"/>
          <w:sz w:val="24"/>
        </w:rPr>
        <w:t>病案质控模块旨在运用大模型与自然语言理解技术，实现病案质量从书写源头到终末归档的全流程、全覆盖、深内涵的智能化管控体系。具体要求如下：</w:t>
      </w:r>
    </w:p>
    <w:p w14:paraId="36312EF7">
      <w:pPr>
        <w:spacing w:line="360" w:lineRule="auto"/>
        <w:ind w:firstLine="560"/>
        <w:rPr>
          <w:rFonts w:hint="eastAsia" w:ascii="仿宋" w:hAnsi="仿宋" w:eastAsia="仿宋" w:cs="仿宋"/>
          <w:sz w:val="24"/>
        </w:rPr>
      </w:pPr>
      <w:r>
        <w:rPr>
          <w:rFonts w:hint="eastAsia" w:ascii="仿宋" w:hAnsi="仿宋" w:eastAsia="仿宋" w:cs="仿宋"/>
          <w:sz w:val="24"/>
        </w:rPr>
        <w:t>1）数据对接及病历分析</w:t>
      </w:r>
    </w:p>
    <w:p w14:paraId="17E382F1">
      <w:pPr>
        <w:spacing w:line="360" w:lineRule="auto"/>
        <w:ind w:firstLine="560"/>
        <w:rPr>
          <w:rFonts w:hint="eastAsia" w:ascii="仿宋" w:hAnsi="仿宋" w:eastAsia="仿宋" w:cs="仿宋"/>
          <w:sz w:val="24"/>
        </w:rPr>
      </w:pPr>
      <w:r>
        <w:rPr>
          <w:rFonts w:hint="eastAsia" w:ascii="仿宋" w:hAnsi="仿宋" w:eastAsia="仿宋" w:cs="仿宋"/>
          <w:sz w:val="24"/>
        </w:rPr>
        <w:t>自动化数据抽提对接：基于预设规则，支持与医院核心各类业务中台深度对接，从结构化报表及非结构化病历文本中自动化抽提诊疗信息进行质控分析。</w:t>
      </w:r>
    </w:p>
    <w:p w14:paraId="0E230D6D">
      <w:pPr>
        <w:spacing w:line="360" w:lineRule="auto"/>
        <w:ind w:firstLine="560"/>
        <w:rPr>
          <w:rFonts w:hint="eastAsia" w:ascii="仿宋" w:hAnsi="仿宋" w:eastAsia="仿宋" w:cs="仿宋"/>
          <w:sz w:val="24"/>
        </w:rPr>
      </w:pPr>
      <w:r>
        <w:rPr>
          <w:rFonts w:hint="eastAsia" w:ascii="仿宋" w:hAnsi="仿宋" w:eastAsia="仿宋" w:cs="仿宋"/>
          <w:sz w:val="24"/>
        </w:rPr>
        <w:t>病历AI分析：支持对特定调阅的单份病案执行大模型深度审阅，协助医护及编码员迅速定位隐藏在长段落文本中关于诊断定性、方案合理性等合规性缺陷。</w:t>
      </w:r>
    </w:p>
    <w:p w14:paraId="71C6D913">
      <w:pPr>
        <w:spacing w:line="360" w:lineRule="auto"/>
        <w:ind w:firstLine="560"/>
        <w:rPr>
          <w:rFonts w:hint="eastAsia" w:ascii="仿宋" w:hAnsi="仿宋" w:eastAsia="仿宋" w:cs="仿宋"/>
          <w:sz w:val="24"/>
        </w:rPr>
      </w:pPr>
      <w:r>
        <w:rPr>
          <w:rFonts w:hint="eastAsia" w:ascii="仿宋" w:hAnsi="仿宋" w:eastAsia="仿宋" w:cs="仿宋"/>
          <w:sz w:val="24"/>
        </w:rPr>
        <w:t>2）完整性与时限质控</w:t>
      </w:r>
    </w:p>
    <w:p w14:paraId="74829CDE">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自动化全量缺失识别：对已完成的医疗文书执行自动化全覆盖扫描，精准识别并标识出主诉缺失、手术记录要点遗漏、知情同意项未填等必填项缺失。</w:t>
      </w:r>
    </w:p>
    <w:p w14:paraId="51C8F14D">
      <w:pPr>
        <w:spacing w:line="360" w:lineRule="auto"/>
        <w:ind w:firstLine="560"/>
        <w:rPr>
          <w:rFonts w:hint="eastAsia" w:ascii="仿宋" w:hAnsi="仿宋" w:eastAsia="仿宋" w:cs="仿宋"/>
          <w:sz w:val="24"/>
        </w:rPr>
      </w:pPr>
      <w:r>
        <w:rPr>
          <w:rFonts w:hint="eastAsia" w:ascii="仿宋" w:hAnsi="仿宋" w:eastAsia="仿宋" w:cs="仿宋"/>
          <w:sz w:val="24"/>
        </w:rPr>
        <w:t>缺陷预警与纠偏引导：当引擎侦测到文书缺失或核心漏填时，触发显著提醒动作，并提供引导，督促完成内容补全。</w:t>
      </w:r>
    </w:p>
    <w:p w14:paraId="24DDEC2B">
      <w:pPr>
        <w:spacing w:line="360" w:lineRule="auto"/>
        <w:ind w:firstLine="560"/>
        <w:rPr>
          <w:rFonts w:hint="eastAsia" w:ascii="仿宋" w:hAnsi="仿宋" w:eastAsia="仿宋" w:cs="仿宋"/>
          <w:sz w:val="24"/>
        </w:rPr>
      </w:pPr>
      <w:r>
        <w:rPr>
          <w:rFonts w:hint="eastAsia" w:ascii="仿宋" w:hAnsi="仿宋" w:eastAsia="仿宋" w:cs="仿宋"/>
          <w:sz w:val="24"/>
        </w:rPr>
        <w:t>差异化规则定制：支持病案管理部门根据不同科室业务特征，自定义、热配置下发特定的必填项质控规则约束库及扣分逻辑触发阈值。</w:t>
      </w:r>
    </w:p>
    <w:p w14:paraId="70B9F540">
      <w:pPr>
        <w:spacing w:line="360" w:lineRule="auto"/>
        <w:ind w:firstLine="560"/>
        <w:rPr>
          <w:rFonts w:hint="eastAsia" w:ascii="仿宋" w:hAnsi="仿宋" w:eastAsia="仿宋" w:cs="仿宋"/>
          <w:sz w:val="24"/>
        </w:rPr>
      </w:pPr>
      <w:r>
        <w:rPr>
          <w:rFonts w:hint="eastAsia" w:ascii="仿宋" w:hAnsi="仿宋" w:eastAsia="仿宋" w:cs="仿宋"/>
          <w:sz w:val="24"/>
        </w:rPr>
        <w:t>超时任务自动化预警：建立严密的全局时钟体系，针对即将逼近或已超时的待写文书任务，自动发送预警提示，并支持根据规则执行业务流程拦截动作。</w:t>
      </w:r>
    </w:p>
    <w:p w14:paraId="29028AF8">
      <w:pPr>
        <w:spacing w:line="360" w:lineRule="auto"/>
        <w:ind w:firstLine="560"/>
        <w:rPr>
          <w:rFonts w:hint="eastAsia" w:ascii="仿宋" w:hAnsi="仿宋" w:eastAsia="仿宋" w:cs="仿宋"/>
          <w:sz w:val="24"/>
        </w:rPr>
      </w:pPr>
      <w:r>
        <w:rPr>
          <w:rFonts w:hint="eastAsia" w:ascii="仿宋" w:hAnsi="仿宋" w:eastAsia="仿宋" w:cs="仿宋"/>
          <w:sz w:val="24"/>
        </w:rPr>
        <w:t>3）逻辑一致性核查</w:t>
      </w:r>
    </w:p>
    <w:p w14:paraId="619A032A">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临床因果逻辑一致性检查：深度医学因果推导，自动核对最终下达的诊断结论是否能与前提条件保持逻辑因果对齐。</w:t>
      </w:r>
    </w:p>
    <w:p w14:paraId="6C784F80">
      <w:pPr>
        <w:spacing w:line="360" w:lineRule="auto"/>
        <w:ind w:firstLine="560"/>
        <w:rPr>
          <w:rFonts w:hint="eastAsia" w:ascii="仿宋" w:hAnsi="仿宋" w:eastAsia="仿宋" w:cs="仿宋"/>
          <w:sz w:val="24"/>
        </w:rPr>
      </w:pPr>
      <w:r>
        <w:rPr>
          <w:rFonts w:hint="eastAsia" w:ascii="仿宋" w:hAnsi="仿宋" w:eastAsia="仿宋" w:cs="仿宋"/>
          <w:sz w:val="24"/>
        </w:rPr>
        <w:t>检查结果一致性比对：自动调阅客观结论数据，强制核对病程描述中关于异常指标或影像分析的文本描述，是否与原始辅助报告单存在矛盾。</w:t>
      </w:r>
    </w:p>
    <w:p w14:paraId="5E8EDB42">
      <w:pPr>
        <w:spacing w:line="360" w:lineRule="auto"/>
        <w:ind w:firstLine="560"/>
        <w:rPr>
          <w:rFonts w:hint="eastAsia" w:ascii="仿宋" w:hAnsi="仿宋" w:eastAsia="仿宋" w:cs="仿宋"/>
          <w:sz w:val="24"/>
        </w:rPr>
      </w:pPr>
      <w:r>
        <w:rPr>
          <w:rFonts w:ascii="仿宋" w:hAnsi="仿宋" w:eastAsia="仿宋" w:cs="仿宋"/>
          <w:b/>
          <w:bCs/>
          <w:sz w:val="24"/>
        </w:rPr>
        <w:t>★</w:t>
      </w:r>
      <w:r>
        <w:rPr>
          <w:rFonts w:hint="eastAsia" w:ascii="仿宋" w:hAnsi="仿宋" w:eastAsia="仿宋" w:cs="仿宋"/>
          <w:sz w:val="24"/>
        </w:rPr>
        <w:t>用药指征逻辑自检：自动核查医嘱开立的治疗药品，与其对应的确诊疾病名称及病程描述之间，是否存在明确的、符合病历规范要求的逻辑支撑关系。</w:t>
      </w:r>
    </w:p>
    <w:p w14:paraId="297E5343">
      <w:pPr>
        <w:spacing w:line="360" w:lineRule="auto"/>
        <w:ind w:firstLine="560"/>
        <w:rPr>
          <w:rFonts w:hint="eastAsia" w:ascii="仿宋" w:hAnsi="仿宋" w:eastAsia="仿宋" w:cs="仿宋"/>
          <w:sz w:val="24"/>
        </w:rPr>
      </w:pPr>
      <w:r>
        <w:rPr>
          <w:rFonts w:hint="eastAsia" w:ascii="仿宋" w:hAnsi="仿宋" w:eastAsia="仿宋" w:cs="仿宋"/>
          <w:sz w:val="24"/>
        </w:rPr>
        <w:t>临床线索遗漏标注识别：自动挖掘长文本中隐藏的逻辑矛盾信息，或侦测出重要异常指标、关键阳性体征未在病程中分析追踪等内涵遗漏并予以暴露。</w:t>
      </w:r>
    </w:p>
    <w:p w14:paraId="6E4CF479">
      <w:pPr>
        <w:spacing w:line="360" w:lineRule="auto"/>
        <w:ind w:firstLine="560"/>
        <w:rPr>
          <w:rFonts w:hint="eastAsia" w:ascii="仿宋" w:hAnsi="仿宋" w:eastAsia="仿宋" w:cs="仿宋"/>
          <w:sz w:val="24"/>
        </w:rPr>
      </w:pPr>
      <w:r>
        <w:rPr>
          <w:rFonts w:hint="eastAsia" w:ascii="仿宋" w:hAnsi="仿宋" w:eastAsia="仿宋" w:cs="仿宋"/>
          <w:sz w:val="24"/>
        </w:rPr>
        <w:t>4）交叉验证与标注</w:t>
      </w:r>
    </w:p>
    <w:p w14:paraId="194BBC92">
      <w:pPr>
        <w:spacing w:line="360" w:lineRule="auto"/>
        <w:ind w:firstLine="560"/>
        <w:rPr>
          <w:rFonts w:hint="eastAsia" w:ascii="仿宋" w:hAnsi="仿宋" w:eastAsia="仿宋" w:cs="仿宋"/>
          <w:sz w:val="24"/>
        </w:rPr>
      </w:pPr>
      <w:r>
        <w:rPr>
          <w:rFonts w:hint="eastAsia" w:ascii="仿宋" w:hAnsi="仿宋" w:eastAsia="仿宋" w:cs="仿宋"/>
          <w:sz w:val="24"/>
        </w:rPr>
        <w:t>跨系统信息交叉比对：自动化全方位整合检验、影像、医嘱、护理单等客观信息，以此为基准与医生主观病历文本内容执行自动化验证与逆向比对纠错。</w:t>
      </w:r>
    </w:p>
    <w:p w14:paraId="098DF533">
      <w:pPr>
        <w:spacing w:line="360" w:lineRule="auto"/>
        <w:ind w:firstLine="560"/>
        <w:rPr>
          <w:rFonts w:hint="eastAsia" w:ascii="仿宋" w:hAnsi="仿宋" w:eastAsia="仿宋" w:cs="仿宋"/>
          <w:sz w:val="24"/>
        </w:rPr>
      </w:pPr>
      <w:r>
        <w:rPr>
          <w:rFonts w:hint="eastAsia" w:ascii="仿宋" w:hAnsi="仿宋" w:eastAsia="仿宋" w:cs="仿宋"/>
          <w:sz w:val="24"/>
        </w:rPr>
        <w:t>术语识别规范建议建议：依托医学词库，自动精准识别并定位文本中的非标准行业术语、极度缩写，并在质控界面推荐符合国家标准的规范医学术语纠偏方案。</w:t>
      </w:r>
    </w:p>
    <w:p w14:paraId="260455EF">
      <w:pPr>
        <w:spacing w:line="360" w:lineRule="auto"/>
        <w:ind w:firstLine="560"/>
        <w:rPr>
          <w:rFonts w:hint="eastAsia" w:ascii="仿宋" w:hAnsi="仿宋" w:eastAsia="仿宋" w:cs="仿宋"/>
          <w:sz w:val="24"/>
        </w:rPr>
      </w:pPr>
      <w:r>
        <w:rPr>
          <w:rFonts w:hint="eastAsia" w:ascii="仿宋" w:hAnsi="仿宋" w:eastAsia="仿宋" w:cs="仿宋"/>
          <w:sz w:val="24"/>
        </w:rPr>
        <w:t>疑似问题高亮标注提示：针对识别确定的全部形式与内涵病历缺陷，在界面通过色彩高亮或下划线执行醒目标注，并提供针对性的修改建议辅助文案。</w:t>
      </w:r>
    </w:p>
    <w:p w14:paraId="0F617257">
      <w:pPr>
        <w:spacing w:line="360" w:lineRule="auto"/>
        <w:ind w:firstLine="560"/>
        <w:rPr>
          <w:rFonts w:hint="eastAsia" w:ascii="仿宋" w:hAnsi="仿宋" w:eastAsia="仿宋" w:cs="仿宋"/>
          <w:sz w:val="24"/>
        </w:rPr>
      </w:pPr>
      <w:r>
        <w:rPr>
          <w:rFonts w:hint="eastAsia" w:ascii="仿宋" w:hAnsi="仿宋" w:eastAsia="仿宋" w:cs="仿宋"/>
          <w:sz w:val="24"/>
        </w:rPr>
        <w:t>管理依据在线回显：在前端标注病历缺陷项时，支持在线同步展示并清晰回显对应的国家《病历书写规范》条款、单病种指南或院内管理规则原文参考。</w:t>
      </w:r>
    </w:p>
    <w:p w14:paraId="286C3625">
      <w:pPr>
        <w:spacing w:line="360" w:lineRule="auto"/>
        <w:ind w:firstLine="560"/>
        <w:rPr>
          <w:rFonts w:hint="eastAsia" w:ascii="仿宋" w:hAnsi="仿宋" w:eastAsia="仿宋" w:cs="仿宋"/>
          <w:sz w:val="24"/>
        </w:rPr>
      </w:pPr>
      <w:r>
        <w:rPr>
          <w:rFonts w:hint="eastAsia" w:ascii="仿宋" w:hAnsi="仿宋" w:eastAsia="仿宋" w:cs="仿宋"/>
          <w:sz w:val="24"/>
        </w:rPr>
        <w:t>5）质控看板</w:t>
      </w:r>
    </w:p>
    <w:p w14:paraId="5A65E84E">
      <w:pPr>
        <w:spacing w:line="360" w:lineRule="auto"/>
        <w:ind w:firstLine="560"/>
        <w:rPr>
          <w:rFonts w:hint="eastAsia" w:ascii="仿宋" w:hAnsi="仿宋" w:eastAsia="仿宋" w:cs="仿宋"/>
          <w:sz w:val="24"/>
        </w:rPr>
      </w:pPr>
      <w:r>
        <w:rPr>
          <w:rFonts w:hint="eastAsia" w:ascii="仿宋" w:hAnsi="仿宋" w:eastAsia="仿宋" w:cs="仿宋"/>
          <w:sz w:val="24"/>
        </w:rPr>
        <w:t>质控指标看板：内置紧跟政策导向的医疗质量质控指标体系。自动计算各项核心管理指标的发展趋势，并支持以可视化看板形式进行集中展示与数据导出分析。</w:t>
      </w:r>
    </w:p>
    <w:p w14:paraId="128DE163">
      <w:pPr>
        <w:widowControl/>
        <w:jc w:val="left"/>
        <w:rPr>
          <w:rFonts w:hint="eastAsia" w:ascii="仿宋" w:hAnsi="仿宋" w:eastAsia="仿宋" w:cs="仿宋"/>
          <w:sz w:val="24"/>
        </w:rPr>
      </w:pPr>
    </w:p>
    <w:p w14:paraId="680C5FC4">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训推一体算力服务器</w:t>
      </w:r>
    </w:p>
    <w:p w14:paraId="3DC2C303">
      <w:pPr>
        <w:spacing w:line="360" w:lineRule="auto"/>
        <w:ind w:firstLine="560"/>
        <w:rPr>
          <w:rFonts w:hint="eastAsia" w:ascii="仿宋" w:hAnsi="仿宋" w:eastAsia="仿宋" w:cs="仿宋"/>
          <w:sz w:val="24"/>
        </w:rPr>
      </w:pPr>
      <w:r>
        <w:rPr>
          <w:rFonts w:hint="eastAsia" w:ascii="仿宋" w:hAnsi="仿宋" w:eastAsia="仿宋" w:cs="仿宋"/>
          <w:sz w:val="24"/>
        </w:rPr>
        <w:t>1、配置清单</w:t>
      </w:r>
    </w:p>
    <w:tbl>
      <w:tblPr>
        <w:tblStyle w:val="3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88"/>
        <w:gridCol w:w="4078"/>
        <w:gridCol w:w="2308"/>
        <w:gridCol w:w="1641"/>
      </w:tblGrid>
      <w:tr w14:paraId="50E9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737" w:type="pct"/>
          </w:tcPr>
          <w:p w14:paraId="73C017A3">
            <w:pPr>
              <w:pStyle w:val="134"/>
              <w:spacing w:before="103" w:line="221" w:lineRule="auto"/>
              <w:ind w:left="442"/>
              <w:rPr>
                <w:rFonts w:hint="eastAsia" w:ascii="仿宋" w:hAnsi="仿宋" w:eastAsia="仿宋"/>
                <w:b/>
                <w:bCs/>
              </w:rPr>
            </w:pPr>
            <w:r>
              <w:rPr>
                <w:rFonts w:ascii="仿宋" w:hAnsi="仿宋" w:eastAsia="仿宋"/>
                <w:b/>
                <w:bCs/>
                <w:spacing w:val="-5"/>
              </w:rPr>
              <w:t>序号</w:t>
            </w:r>
          </w:p>
        </w:tc>
        <w:tc>
          <w:tcPr>
            <w:tcW w:w="2165" w:type="pct"/>
          </w:tcPr>
          <w:p w14:paraId="2B57C858">
            <w:pPr>
              <w:pStyle w:val="134"/>
              <w:spacing w:before="104" w:line="221" w:lineRule="auto"/>
              <w:ind w:left="1756"/>
              <w:rPr>
                <w:rFonts w:hint="eastAsia" w:ascii="仿宋" w:hAnsi="仿宋" w:eastAsia="仿宋"/>
                <w:b/>
                <w:bCs/>
              </w:rPr>
            </w:pPr>
            <w:r>
              <w:rPr>
                <w:rFonts w:ascii="仿宋" w:hAnsi="仿宋" w:eastAsia="仿宋"/>
                <w:b/>
                <w:bCs/>
                <w:spacing w:val="-7"/>
              </w:rPr>
              <w:t>名称</w:t>
            </w:r>
          </w:p>
        </w:tc>
        <w:tc>
          <w:tcPr>
            <w:tcW w:w="1225" w:type="pct"/>
          </w:tcPr>
          <w:p w14:paraId="61ADA2D2">
            <w:pPr>
              <w:pStyle w:val="134"/>
              <w:spacing w:before="104" w:line="219" w:lineRule="auto"/>
              <w:ind w:left="893"/>
              <w:rPr>
                <w:rFonts w:hint="eastAsia" w:ascii="仿宋" w:hAnsi="仿宋" w:eastAsia="仿宋"/>
                <w:b/>
                <w:bCs/>
              </w:rPr>
            </w:pPr>
            <w:r>
              <w:rPr>
                <w:rFonts w:ascii="仿宋" w:hAnsi="仿宋" w:eastAsia="仿宋"/>
                <w:b/>
                <w:bCs/>
                <w:spacing w:val="-6"/>
              </w:rPr>
              <w:t>数量</w:t>
            </w:r>
          </w:p>
        </w:tc>
        <w:tc>
          <w:tcPr>
            <w:tcW w:w="871" w:type="pct"/>
          </w:tcPr>
          <w:p w14:paraId="5D4C3DBC">
            <w:pPr>
              <w:pStyle w:val="134"/>
              <w:spacing w:before="104" w:line="220" w:lineRule="auto"/>
              <w:ind w:left="566"/>
              <w:rPr>
                <w:rFonts w:hint="eastAsia" w:ascii="仿宋" w:hAnsi="仿宋" w:eastAsia="仿宋"/>
                <w:b/>
                <w:bCs/>
              </w:rPr>
            </w:pPr>
            <w:r>
              <w:rPr>
                <w:rFonts w:ascii="仿宋" w:hAnsi="仿宋" w:eastAsia="仿宋"/>
                <w:b/>
                <w:bCs/>
                <w:spacing w:val="-6"/>
              </w:rPr>
              <w:t>单位</w:t>
            </w:r>
          </w:p>
        </w:tc>
      </w:tr>
      <w:tr w14:paraId="614F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7" w:type="pct"/>
          </w:tcPr>
          <w:p w14:paraId="1F79C418">
            <w:pPr>
              <w:pStyle w:val="134"/>
              <w:spacing w:before="145" w:line="184" w:lineRule="auto"/>
              <w:ind w:left="640"/>
              <w:rPr>
                <w:rFonts w:hint="eastAsia" w:ascii="仿宋" w:hAnsi="仿宋" w:eastAsia="仿宋"/>
              </w:rPr>
            </w:pPr>
            <w:r>
              <w:rPr>
                <w:rFonts w:ascii="仿宋" w:hAnsi="仿宋" w:eastAsia="仿宋"/>
              </w:rPr>
              <w:t>1</w:t>
            </w:r>
          </w:p>
        </w:tc>
        <w:tc>
          <w:tcPr>
            <w:tcW w:w="2165" w:type="pct"/>
            <w:vAlign w:val="center"/>
          </w:tcPr>
          <w:p w14:paraId="1D647FE6">
            <w:pPr>
              <w:pStyle w:val="134"/>
              <w:spacing w:before="109" w:line="219" w:lineRule="auto"/>
              <w:ind w:left="120"/>
              <w:jc w:val="center"/>
              <w:rPr>
                <w:rFonts w:hint="eastAsia" w:ascii="仿宋" w:hAnsi="仿宋" w:eastAsia="仿宋"/>
              </w:rPr>
            </w:pPr>
            <w:r>
              <w:rPr>
                <w:rFonts w:hint="eastAsia" w:ascii="仿宋" w:hAnsi="仿宋" w:eastAsia="仿宋"/>
              </w:rPr>
              <w:t>训推一体机(服务器)</w:t>
            </w:r>
          </w:p>
        </w:tc>
        <w:tc>
          <w:tcPr>
            <w:tcW w:w="1225" w:type="pct"/>
          </w:tcPr>
          <w:p w14:paraId="338B505B">
            <w:pPr>
              <w:pStyle w:val="134"/>
              <w:spacing w:before="145" w:line="184" w:lineRule="auto"/>
              <w:ind w:left="1089"/>
              <w:rPr>
                <w:rFonts w:hint="eastAsia" w:ascii="仿宋" w:hAnsi="仿宋" w:eastAsia="仿宋"/>
              </w:rPr>
            </w:pPr>
            <w:r>
              <w:rPr>
                <w:rFonts w:ascii="仿宋" w:hAnsi="仿宋" w:eastAsia="仿宋"/>
              </w:rPr>
              <w:t>1</w:t>
            </w:r>
          </w:p>
        </w:tc>
        <w:tc>
          <w:tcPr>
            <w:tcW w:w="871" w:type="pct"/>
          </w:tcPr>
          <w:p w14:paraId="02967693">
            <w:pPr>
              <w:pStyle w:val="134"/>
              <w:spacing w:before="109" w:line="221" w:lineRule="auto"/>
              <w:ind w:left="703"/>
              <w:rPr>
                <w:rFonts w:hint="eastAsia" w:ascii="仿宋" w:hAnsi="仿宋" w:eastAsia="仿宋"/>
              </w:rPr>
            </w:pPr>
            <w:r>
              <w:rPr>
                <w:rFonts w:ascii="仿宋" w:hAnsi="仿宋" w:eastAsia="仿宋"/>
              </w:rPr>
              <w:t>台</w:t>
            </w:r>
          </w:p>
        </w:tc>
      </w:tr>
      <w:tr w14:paraId="68DC2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7" w:type="pct"/>
          </w:tcPr>
          <w:p w14:paraId="43B1B80B">
            <w:pPr>
              <w:pStyle w:val="134"/>
              <w:spacing w:before="145" w:line="184" w:lineRule="auto"/>
              <w:ind w:left="640"/>
              <w:rPr>
                <w:rFonts w:hint="eastAsia" w:ascii="仿宋" w:hAnsi="仿宋" w:eastAsia="仿宋"/>
              </w:rPr>
            </w:pPr>
            <w:r>
              <w:rPr>
                <w:rFonts w:ascii="仿宋" w:hAnsi="仿宋" w:eastAsia="仿宋"/>
              </w:rPr>
              <w:t>2</w:t>
            </w:r>
          </w:p>
        </w:tc>
        <w:tc>
          <w:tcPr>
            <w:tcW w:w="2165" w:type="pct"/>
            <w:vAlign w:val="center"/>
          </w:tcPr>
          <w:p w14:paraId="13EE66AD">
            <w:pPr>
              <w:pStyle w:val="134"/>
              <w:spacing w:before="109" w:line="219" w:lineRule="auto"/>
              <w:ind w:left="120"/>
              <w:jc w:val="center"/>
              <w:rPr>
                <w:rFonts w:hint="eastAsia" w:ascii="仿宋" w:hAnsi="仿宋" w:eastAsia="仿宋"/>
                <w:spacing w:val="-4"/>
              </w:rPr>
            </w:pPr>
            <w:r>
              <w:rPr>
                <w:rFonts w:ascii="仿宋" w:hAnsi="仿宋" w:eastAsia="仿宋"/>
                <w:spacing w:val="-4"/>
              </w:rPr>
              <w:t>GPU卡</w:t>
            </w:r>
          </w:p>
        </w:tc>
        <w:tc>
          <w:tcPr>
            <w:tcW w:w="1225" w:type="pct"/>
          </w:tcPr>
          <w:p w14:paraId="3BE5A4CF">
            <w:pPr>
              <w:pStyle w:val="134"/>
              <w:spacing w:before="145" w:line="184" w:lineRule="auto"/>
              <w:ind w:left="1089"/>
              <w:rPr>
                <w:rFonts w:hint="eastAsia" w:ascii="仿宋" w:hAnsi="仿宋" w:eastAsia="仿宋"/>
              </w:rPr>
            </w:pPr>
            <w:r>
              <w:rPr>
                <w:rFonts w:ascii="仿宋" w:hAnsi="仿宋" w:eastAsia="仿宋"/>
              </w:rPr>
              <w:t>4</w:t>
            </w:r>
          </w:p>
        </w:tc>
        <w:tc>
          <w:tcPr>
            <w:tcW w:w="871" w:type="pct"/>
          </w:tcPr>
          <w:p w14:paraId="73F0683F">
            <w:pPr>
              <w:pStyle w:val="134"/>
              <w:spacing w:before="109" w:line="221" w:lineRule="auto"/>
              <w:ind w:left="703"/>
              <w:rPr>
                <w:rFonts w:hint="eastAsia" w:ascii="仿宋" w:hAnsi="仿宋" w:eastAsia="仿宋"/>
              </w:rPr>
            </w:pPr>
            <w:r>
              <w:rPr>
                <w:rFonts w:ascii="仿宋" w:hAnsi="仿宋" w:eastAsia="仿宋"/>
              </w:rPr>
              <w:t>张</w:t>
            </w:r>
          </w:p>
        </w:tc>
      </w:tr>
    </w:tbl>
    <w:p w14:paraId="6167B19E">
      <w:pPr>
        <w:spacing w:line="360" w:lineRule="auto"/>
        <w:ind w:firstLine="560"/>
        <w:rPr>
          <w:rFonts w:hint="eastAsia" w:ascii="仿宋" w:hAnsi="仿宋" w:eastAsia="仿宋" w:cs="仿宋"/>
          <w:sz w:val="24"/>
        </w:rPr>
      </w:pPr>
      <w:r>
        <w:rPr>
          <w:rFonts w:hint="eastAsia" w:ascii="仿宋" w:hAnsi="仿宋" w:eastAsia="仿宋" w:cs="仿宋"/>
          <w:sz w:val="24"/>
        </w:rPr>
        <w:t>2、详细技术要求</w:t>
      </w:r>
    </w:p>
    <w:tbl>
      <w:tblPr>
        <w:tblStyle w:val="31"/>
        <w:tblW w:w="4997" w:type="pct"/>
        <w:tblInd w:w="0" w:type="dxa"/>
        <w:tblLayout w:type="autofit"/>
        <w:tblCellMar>
          <w:top w:w="0" w:type="dxa"/>
          <w:left w:w="108" w:type="dxa"/>
          <w:bottom w:w="0" w:type="dxa"/>
          <w:right w:w="108" w:type="dxa"/>
        </w:tblCellMar>
      </w:tblPr>
      <w:tblGrid>
        <w:gridCol w:w="765"/>
        <w:gridCol w:w="1030"/>
        <w:gridCol w:w="1552"/>
        <w:gridCol w:w="6276"/>
      </w:tblGrid>
      <w:tr w14:paraId="0724F41E">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6215ED56">
            <w:pPr>
              <w:spacing w:line="360" w:lineRule="auto"/>
              <w:jc w:val="center"/>
              <w:rPr>
                <w:rFonts w:hint="eastAsia" w:ascii="仿宋" w:hAnsi="仿宋" w:eastAsia="仿宋"/>
                <w:b/>
                <w:bCs/>
                <w:spacing w:val="-1"/>
                <w:sz w:val="24"/>
              </w:rPr>
            </w:pPr>
            <w:bookmarkStart w:id="40" w:name="_Hlk228200651"/>
            <w:r>
              <w:rPr>
                <w:rFonts w:ascii="仿宋" w:hAnsi="仿宋" w:eastAsia="仿宋"/>
                <w:b/>
                <w:bCs/>
                <w:spacing w:val="-1"/>
                <w:sz w:val="24"/>
              </w:rPr>
              <w:t>序号</w:t>
            </w:r>
          </w:p>
        </w:tc>
        <w:tc>
          <w:tcPr>
            <w:tcW w:w="535" w:type="pct"/>
            <w:tcBorders>
              <w:top w:val="single" w:color="auto" w:sz="4" w:space="0"/>
              <w:left w:val="single" w:color="auto" w:sz="4" w:space="0"/>
              <w:bottom w:val="single" w:color="auto" w:sz="4" w:space="0"/>
              <w:right w:val="single" w:color="auto" w:sz="4" w:space="0"/>
            </w:tcBorders>
            <w:noWrap/>
            <w:vAlign w:val="center"/>
          </w:tcPr>
          <w:p w14:paraId="7E3EEE81">
            <w:pPr>
              <w:spacing w:line="360" w:lineRule="auto"/>
              <w:jc w:val="center"/>
              <w:rPr>
                <w:rFonts w:hint="eastAsia" w:ascii="仿宋" w:hAnsi="仿宋" w:eastAsia="仿宋"/>
                <w:b/>
                <w:bCs/>
                <w:spacing w:val="-1"/>
                <w:sz w:val="24"/>
              </w:rPr>
            </w:pPr>
            <w:r>
              <w:rPr>
                <w:rFonts w:ascii="仿宋" w:hAnsi="仿宋" w:eastAsia="仿宋"/>
                <w:b/>
                <w:bCs/>
                <w:spacing w:val="-1"/>
                <w:sz w:val="24"/>
              </w:rPr>
              <w:t>重要性</w:t>
            </w:r>
          </w:p>
        </w:tc>
        <w:tc>
          <w:tcPr>
            <w:tcW w:w="806" w:type="pct"/>
            <w:tcBorders>
              <w:top w:val="single" w:color="auto" w:sz="4" w:space="0"/>
              <w:left w:val="single" w:color="auto" w:sz="4" w:space="0"/>
              <w:bottom w:val="single" w:color="auto" w:sz="4" w:space="0"/>
              <w:right w:val="single" w:color="auto" w:sz="4" w:space="0"/>
            </w:tcBorders>
            <w:vAlign w:val="center"/>
          </w:tcPr>
          <w:p w14:paraId="4F50CB24">
            <w:pPr>
              <w:spacing w:line="360" w:lineRule="auto"/>
              <w:jc w:val="center"/>
              <w:rPr>
                <w:rFonts w:hint="eastAsia" w:ascii="仿宋" w:hAnsi="仿宋" w:eastAsia="仿宋"/>
                <w:b/>
                <w:bCs/>
                <w:spacing w:val="-1"/>
                <w:sz w:val="24"/>
              </w:rPr>
            </w:pPr>
            <w:r>
              <w:rPr>
                <w:rFonts w:ascii="仿宋" w:hAnsi="仿宋" w:eastAsia="仿宋"/>
                <w:b/>
                <w:bCs/>
                <w:spacing w:val="-1"/>
                <w:sz w:val="24"/>
              </w:rPr>
              <w:t>技术指标</w:t>
            </w:r>
          </w:p>
        </w:tc>
        <w:tc>
          <w:tcPr>
            <w:tcW w:w="3260" w:type="pct"/>
            <w:tcBorders>
              <w:top w:val="single" w:color="auto" w:sz="4" w:space="0"/>
              <w:left w:val="single" w:color="auto" w:sz="4" w:space="0"/>
              <w:bottom w:val="single" w:color="auto" w:sz="4" w:space="0"/>
              <w:right w:val="single" w:color="auto" w:sz="4" w:space="0"/>
            </w:tcBorders>
            <w:vAlign w:val="center"/>
          </w:tcPr>
          <w:p w14:paraId="698DFCB7">
            <w:pPr>
              <w:spacing w:line="360" w:lineRule="auto"/>
              <w:jc w:val="center"/>
              <w:rPr>
                <w:rFonts w:hint="eastAsia" w:ascii="仿宋" w:hAnsi="仿宋" w:eastAsia="仿宋"/>
                <w:b/>
                <w:bCs/>
                <w:spacing w:val="-1"/>
                <w:sz w:val="24"/>
              </w:rPr>
            </w:pPr>
            <w:r>
              <w:rPr>
                <w:rFonts w:ascii="仿宋" w:hAnsi="仿宋" w:eastAsia="仿宋"/>
                <w:b/>
                <w:bCs/>
                <w:spacing w:val="-1"/>
                <w:sz w:val="24"/>
              </w:rPr>
              <w:t>重要参数</w:t>
            </w:r>
          </w:p>
        </w:tc>
      </w:tr>
      <w:tr w14:paraId="57C6B0A7">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2FB5CB23">
            <w:pPr>
              <w:spacing w:line="360" w:lineRule="auto"/>
              <w:jc w:val="center"/>
              <w:rPr>
                <w:rFonts w:hint="eastAsia" w:ascii="仿宋" w:hAnsi="仿宋" w:eastAsia="仿宋"/>
                <w:spacing w:val="-1"/>
                <w:sz w:val="24"/>
              </w:rPr>
            </w:pP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vAlign w:val="center"/>
          </w:tcPr>
          <w:p w14:paraId="6C3EC5F1">
            <w:pPr>
              <w:spacing w:line="360" w:lineRule="auto"/>
              <w:jc w:val="center"/>
              <w:rPr>
                <w:rFonts w:hint="eastAsia" w:ascii="仿宋" w:hAnsi="仿宋" w:eastAsia="仿宋"/>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3F3CB2A6">
            <w:pPr>
              <w:spacing w:line="360" w:lineRule="auto"/>
              <w:jc w:val="center"/>
              <w:rPr>
                <w:rFonts w:hint="eastAsia" w:ascii="仿宋" w:hAnsi="仿宋" w:eastAsia="仿宋"/>
                <w:spacing w:val="-1"/>
                <w:sz w:val="24"/>
              </w:rPr>
            </w:pPr>
            <w:r>
              <w:rPr>
                <w:rFonts w:ascii="仿宋" w:hAnsi="仿宋" w:eastAsia="仿宋"/>
                <w:spacing w:val="-1"/>
                <w:sz w:val="24"/>
              </w:rPr>
              <w:t xml:space="preserve"> 形态</w:t>
            </w:r>
          </w:p>
        </w:tc>
        <w:tc>
          <w:tcPr>
            <w:tcW w:w="3260" w:type="pct"/>
            <w:tcBorders>
              <w:top w:val="single" w:color="auto" w:sz="4" w:space="0"/>
              <w:left w:val="single" w:color="auto" w:sz="4" w:space="0"/>
              <w:bottom w:val="single" w:color="auto" w:sz="4" w:space="0"/>
              <w:right w:val="single" w:color="auto" w:sz="4" w:space="0"/>
            </w:tcBorders>
            <w:vAlign w:val="center"/>
          </w:tcPr>
          <w:p w14:paraId="169E6D23">
            <w:pPr>
              <w:spacing w:line="360" w:lineRule="auto"/>
              <w:rPr>
                <w:rFonts w:hint="eastAsia" w:ascii="仿宋" w:hAnsi="仿宋" w:eastAsia="仿宋"/>
                <w:spacing w:val="-1"/>
                <w:sz w:val="24"/>
              </w:rPr>
            </w:pPr>
            <w:r>
              <w:rPr>
                <w:rFonts w:hint="eastAsia" w:ascii="仿宋" w:hAnsi="仿宋" w:eastAsia="仿宋"/>
                <w:spacing w:val="-1"/>
                <w:sz w:val="24"/>
              </w:rPr>
              <w:t>塔式液冷</w:t>
            </w:r>
            <w:r>
              <w:rPr>
                <w:rFonts w:ascii="仿宋" w:hAnsi="仿宋" w:eastAsia="仿宋"/>
                <w:spacing w:val="-1"/>
                <w:sz w:val="24"/>
              </w:rPr>
              <w:t>服务器，</w:t>
            </w:r>
            <w:r>
              <w:rPr>
                <w:rFonts w:hint="eastAsia" w:ascii="仿宋" w:hAnsi="仿宋" w:eastAsia="仿宋"/>
                <w:spacing w:val="-1"/>
                <w:sz w:val="24"/>
              </w:rPr>
              <w:t>可移动式</w:t>
            </w:r>
            <w:r>
              <w:rPr>
                <w:rFonts w:ascii="仿宋" w:hAnsi="仿宋" w:eastAsia="仿宋"/>
                <w:spacing w:val="-1"/>
                <w:sz w:val="24"/>
              </w:rPr>
              <w:t>服务器产品，支持</w:t>
            </w:r>
            <w:r>
              <w:rPr>
                <w:rFonts w:hint="eastAsia" w:ascii="仿宋" w:hAnsi="仿宋" w:eastAsia="仿宋"/>
                <w:spacing w:val="-1"/>
                <w:sz w:val="24"/>
              </w:rPr>
              <w:t>处理器与加速单元独立升级；</w:t>
            </w:r>
          </w:p>
          <w:p w14:paraId="56CDA198">
            <w:pPr>
              <w:spacing w:line="360" w:lineRule="auto"/>
              <w:rPr>
                <w:rFonts w:hint="eastAsia" w:ascii="仿宋" w:hAnsi="仿宋" w:eastAsia="仿宋"/>
                <w:spacing w:val="-1"/>
                <w:sz w:val="24"/>
              </w:rPr>
            </w:pPr>
            <w:r>
              <w:rPr>
                <w:rFonts w:hint="eastAsia" w:ascii="仿宋" w:hAnsi="仿宋" w:eastAsia="仿宋"/>
                <w:spacing w:val="-1"/>
                <w:sz w:val="24"/>
              </w:rPr>
              <w:t>采用一体化液冷散热架构，具备密封防漏及低噪音特性；</w:t>
            </w:r>
          </w:p>
          <w:p w14:paraId="29BD21CE">
            <w:pPr>
              <w:spacing w:line="360" w:lineRule="auto"/>
              <w:rPr>
                <w:rFonts w:hint="eastAsia" w:ascii="仿宋" w:hAnsi="仿宋" w:eastAsia="仿宋"/>
                <w:spacing w:val="-1"/>
                <w:sz w:val="24"/>
              </w:rPr>
            </w:pPr>
            <w:r>
              <w:rPr>
                <w:rFonts w:hint="eastAsia" w:ascii="仿宋" w:hAnsi="仿宋" w:eastAsia="仿宋"/>
                <w:spacing w:val="-1"/>
                <w:sz w:val="24"/>
              </w:rPr>
              <w:t>在满负载情况下具备稳定温控能力</w:t>
            </w:r>
            <w:r>
              <w:rPr>
                <w:rFonts w:ascii="仿宋" w:hAnsi="仿宋" w:eastAsia="仿宋"/>
                <w:spacing w:val="-1"/>
                <w:sz w:val="24"/>
              </w:rPr>
              <w:t>，</w:t>
            </w:r>
            <w:r>
              <w:rPr>
                <w:rFonts w:hint="eastAsia" w:ascii="仿宋" w:hAnsi="仿宋" w:eastAsia="仿宋"/>
                <w:spacing w:val="-1"/>
                <w:sz w:val="24"/>
              </w:rPr>
              <w:t>满足</w:t>
            </w:r>
            <w:r>
              <w:rPr>
                <w:rFonts w:ascii="仿宋" w:hAnsi="仿宋" w:eastAsia="仿宋"/>
                <w:spacing w:val="-1"/>
                <w:sz w:val="24"/>
              </w:rPr>
              <w:t xml:space="preserve"> 7×24 小时连续运行</w:t>
            </w:r>
            <w:r>
              <w:rPr>
                <w:rFonts w:hint="eastAsia" w:ascii="仿宋" w:hAnsi="仿宋" w:eastAsia="仿宋"/>
                <w:spacing w:val="-1"/>
                <w:sz w:val="24"/>
              </w:rPr>
              <w:t>。</w:t>
            </w:r>
          </w:p>
        </w:tc>
      </w:tr>
      <w:tr w14:paraId="601C8337">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7C73E82E">
            <w:pPr>
              <w:spacing w:line="360" w:lineRule="auto"/>
              <w:jc w:val="center"/>
              <w:rPr>
                <w:rFonts w:hint="eastAsia" w:ascii="仿宋" w:hAnsi="仿宋" w:eastAsia="仿宋"/>
                <w:spacing w:val="-1"/>
                <w:sz w:val="24"/>
              </w:rPr>
            </w:pP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vAlign w:val="center"/>
          </w:tcPr>
          <w:p w14:paraId="059F3409">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479BF28B">
            <w:pPr>
              <w:spacing w:line="360" w:lineRule="auto"/>
              <w:jc w:val="center"/>
              <w:rPr>
                <w:rFonts w:hint="eastAsia" w:ascii="仿宋" w:hAnsi="仿宋" w:eastAsia="仿宋"/>
                <w:spacing w:val="-1"/>
                <w:sz w:val="24"/>
              </w:rPr>
            </w:pPr>
            <w:r>
              <w:rPr>
                <w:rFonts w:ascii="仿宋" w:hAnsi="仿宋" w:eastAsia="仿宋"/>
                <w:spacing w:val="-1"/>
                <w:sz w:val="24"/>
              </w:rPr>
              <w:t xml:space="preserve"> 处理器</w:t>
            </w:r>
          </w:p>
        </w:tc>
        <w:tc>
          <w:tcPr>
            <w:tcW w:w="3260" w:type="pct"/>
            <w:tcBorders>
              <w:top w:val="single" w:color="auto" w:sz="4" w:space="0"/>
              <w:left w:val="single" w:color="auto" w:sz="4" w:space="0"/>
              <w:bottom w:val="single" w:color="auto" w:sz="4" w:space="0"/>
              <w:right w:val="single" w:color="auto" w:sz="4" w:space="0"/>
            </w:tcBorders>
            <w:vAlign w:val="center"/>
          </w:tcPr>
          <w:p w14:paraId="44B49DF4">
            <w:pPr>
              <w:spacing w:line="360" w:lineRule="auto"/>
              <w:rPr>
                <w:rFonts w:hint="eastAsia" w:ascii="仿宋" w:hAnsi="仿宋" w:eastAsia="仿宋"/>
                <w:spacing w:val="-1"/>
                <w:sz w:val="24"/>
              </w:rPr>
            </w:pPr>
            <w:r>
              <w:rPr>
                <w:rFonts w:hint="eastAsia" w:ascii="仿宋" w:hAnsi="仿宋" w:eastAsia="仿宋"/>
                <w:spacing w:val="-1"/>
                <w:sz w:val="24"/>
              </w:rPr>
              <w:t>配置≥2颗服务器级高性能处理器，单颗处理器核心数≥32核，主频≥2.1GHz，单颗功耗≤270W。</w:t>
            </w:r>
          </w:p>
        </w:tc>
      </w:tr>
      <w:tr w14:paraId="265ADFB2">
        <w:tblPrEx>
          <w:tblCellMar>
            <w:top w:w="0" w:type="dxa"/>
            <w:left w:w="108" w:type="dxa"/>
            <w:bottom w:w="0" w:type="dxa"/>
            <w:right w:w="108" w:type="dxa"/>
          </w:tblCellMar>
        </w:tblPrEx>
        <w:trPr>
          <w:trHeight w:val="90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40E2AC33">
            <w:pPr>
              <w:spacing w:line="360" w:lineRule="auto"/>
              <w:jc w:val="center"/>
              <w:rPr>
                <w:rFonts w:hint="eastAsia" w:ascii="仿宋" w:hAnsi="仿宋" w:eastAsia="仿宋"/>
                <w:spacing w:val="-1"/>
                <w:sz w:val="24"/>
              </w:rPr>
            </w:pP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vAlign w:val="center"/>
          </w:tcPr>
          <w:p w14:paraId="52F4E47D">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EE5F96">
            <w:pPr>
              <w:spacing w:line="360" w:lineRule="auto"/>
              <w:jc w:val="center"/>
              <w:rPr>
                <w:rFonts w:hint="eastAsia" w:ascii="仿宋" w:hAnsi="仿宋" w:eastAsia="仿宋"/>
                <w:spacing w:val="-1"/>
                <w:sz w:val="24"/>
              </w:rPr>
            </w:pPr>
            <w:r>
              <w:rPr>
                <w:rFonts w:ascii="仿宋" w:hAnsi="仿宋" w:eastAsia="仿宋"/>
                <w:spacing w:val="-1"/>
                <w:sz w:val="24"/>
              </w:rPr>
              <w:t>内存</w:t>
            </w:r>
          </w:p>
        </w:tc>
        <w:tc>
          <w:tcPr>
            <w:tcW w:w="3260" w:type="pct"/>
            <w:tcBorders>
              <w:top w:val="single" w:color="auto" w:sz="4" w:space="0"/>
              <w:left w:val="single" w:color="auto" w:sz="4" w:space="0"/>
              <w:bottom w:val="single" w:color="auto" w:sz="4" w:space="0"/>
              <w:right w:val="single" w:color="auto" w:sz="4" w:space="0"/>
            </w:tcBorders>
            <w:vAlign w:val="center"/>
          </w:tcPr>
          <w:p w14:paraId="2ED5BE9B">
            <w:pPr>
              <w:spacing w:line="360" w:lineRule="auto"/>
              <w:rPr>
                <w:rFonts w:hint="eastAsia" w:ascii="仿宋" w:hAnsi="仿宋" w:eastAsia="仿宋"/>
                <w:spacing w:val="-1"/>
                <w:sz w:val="24"/>
              </w:rPr>
            </w:pPr>
            <w:r>
              <w:rPr>
                <w:rFonts w:ascii="仿宋" w:hAnsi="仿宋" w:eastAsia="仿宋"/>
                <w:spacing w:val="-1"/>
                <w:sz w:val="24"/>
              </w:rPr>
              <w:t>配置</w:t>
            </w:r>
            <w:r>
              <w:rPr>
                <w:rFonts w:hint="eastAsia" w:ascii="仿宋" w:hAnsi="仿宋" w:eastAsia="仿宋"/>
                <w:spacing w:val="-1"/>
                <w:sz w:val="24"/>
              </w:rPr>
              <w:t>≥512GB</w:t>
            </w:r>
            <w:r>
              <w:rPr>
                <w:rFonts w:ascii="仿宋" w:hAnsi="仿宋" w:eastAsia="仿宋"/>
                <w:spacing w:val="-1"/>
                <w:sz w:val="24"/>
              </w:rPr>
              <w:t xml:space="preserve"> DDR5 4800MHz ECC RDIMM内存</w:t>
            </w:r>
            <w:r>
              <w:rPr>
                <w:rFonts w:hint="eastAsia" w:ascii="仿宋" w:hAnsi="仿宋" w:eastAsia="仿宋"/>
                <w:spacing w:val="-1"/>
                <w:sz w:val="24"/>
              </w:rPr>
              <w:t>；</w:t>
            </w:r>
          </w:p>
          <w:p w14:paraId="58FE143A">
            <w:pPr>
              <w:spacing w:line="360" w:lineRule="auto"/>
              <w:rPr>
                <w:rFonts w:hint="eastAsia" w:ascii="仿宋" w:hAnsi="仿宋" w:eastAsia="仿宋"/>
                <w:spacing w:val="-1"/>
                <w:sz w:val="24"/>
              </w:rPr>
            </w:pPr>
            <w:r>
              <w:rPr>
                <w:rFonts w:ascii="仿宋" w:hAnsi="仿宋" w:eastAsia="仿宋"/>
                <w:spacing w:val="-1"/>
                <w:sz w:val="24"/>
              </w:rPr>
              <w:t>支持</w:t>
            </w:r>
            <w:r>
              <w:rPr>
                <w:rFonts w:hint="eastAsia" w:ascii="仿宋" w:hAnsi="仿宋" w:eastAsia="仿宋"/>
                <w:spacing w:val="-1"/>
                <w:sz w:val="24"/>
              </w:rPr>
              <w:t>≥16</w:t>
            </w:r>
            <w:r>
              <w:rPr>
                <w:rFonts w:ascii="仿宋" w:hAnsi="仿宋" w:eastAsia="仿宋"/>
                <w:spacing w:val="-1"/>
                <w:sz w:val="24"/>
              </w:rPr>
              <w:t>个内存插槽，</w:t>
            </w:r>
            <w:r>
              <w:rPr>
                <w:rFonts w:hint="eastAsia" w:ascii="仿宋" w:hAnsi="仿宋" w:eastAsia="仿宋"/>
                <w:spacing w:val="-1"/>
                <w:sz w:val="24"/>
              </w:rPr>
              <w:t>最大可支持5600MHz，</w:t>
            </w:r>
            <w:r>
              <w:rPr>
                <w:rFonts w:ascii="仿宋" w:hAnsi="仿宋" w:eastAsia="仿宋"/>
                <w:spacing w:val="-1"/>
                <w:sz w:val="24"/>
              </w:rPr>
              <w:t>最大可支持4TB内存容量，支持内存ECC保护、内存镜像、内存热备</w:t>
            </w:r>
            <w:r>
              <w:rPr>
                <w:rFonts w:hint="eastAsia" w:ascii="仿宋" w:hAnsi="仿宋" w:eastAsia="仿宋"/>
                <w:spacing w:val="-1"/>
                <w:sz w:val="24"/>
              </w:rPr>
              <w:t>。</w:t>
            </w:r>
          </w:p>
        </w:tc>
      </w:tr>
      <w:tr w14:paraId="1003AFC0">
        <w:tblPrEx>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744755A">
            <w:pPr>
              <w:spacing w:line="360" w:lineRule="auto"/>
              <w:jc w:val="center"/>
              <w:rPr>
                <w:rFonts w:hint="eastAsia" w:ascii="仿宋" w:hAnsi="仿宋" w:eastAsia="仿宋"/>
                <w:spacing w:val="-1"/>
                <w:sz w:val="24"/>
              </w:rPr>
            </w:pP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vAlign w:val="center"/>
          </w:tcPr>
          <w:p w14:paraId="6856AE52">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606A7B92">
            <w:pPr>
              <w:spacing w:line="360" w:lineRule="auto"/>
              <w:jc w:val="center"/>
              <w:rPr>
                <w:rFonts w:hint="eastAsia" w:ascii="仿宋" w:hAnsi="仿宋" w:eastAsia="仿宋"/>
                <w:spacing w:val="-1"/>
                <w:sz w:val="24"/>
              </w:rPr>
            </w:pPr>
            <w:r>
              <w:rPr>
                <w:rFonts w:ascii="仿宋" w:hAnsi="仿宋" w:eastAsia="仿宋"/>
                <w:spacing w:val="-1"/>
                <w:sz w:val="24"/>
              </w:rPr>
              <w:t>硬盘</w:t>
            </w:r>
          </w:p>
        </w:tc>
        <w:tc>
          <w:tcPr>
            <w:tcW w:w="3260" w:type="pct"/>
            <w:tcBorders>
              <w:top w:val="single" w:color="auto" w:sz="4" w:space="0"/>
              <w:left w:val="single" w:color="auto" w:sz="4" w:space="0"/>
              <w:bottom w:val="single" w:color="auto" w:sz="4" w:space="0"/>
              <w:right w:val="single" w:color="auto" w:sz="4" w:space="0"/>
            </w:tcBorders>
            <w:vAlign w:val="center"/>
          </w:tcPr>
          <w:p w14:paraId="70136C93">
            <w:pPr>
              <w:spacing w:line="360" w:lineRule="auto"/>
              <w:rPr>
                <w:rFonts w:hint="eastAsia" w:ascii="仿宋" w:hAnsi="仿宋" w:eastAsia="仿宋"/>
                <w:spacing w:val="-1"/>
                <w:sz w:val="24"/>
              </w:rPr>
            </w:pPr>
            <w:r>
              <w:rPr>
                <w:rFonts w:hint="eastAsia" w:ascii="仿宋" w:hAnsi="仿宋" w:eastAsia="仿宋"/>
                <w:spacing w:val="-1"/>
                <w:sz w:val="24"/>
              </w:rPr>
              <w:t>配置≥1块SSD 480G 2.5in 企业级 SSD硬盘，≥1块SSD 3.84T 2.5in 企业级 SSD硬盘;</w:t>
            </w:r>
          </w:p>
          <w:p w14:paraId="343929C1">
            <w:pPr>
              <w:spacing w:line="360" w:lineRule="auto"/>
              <w:rPr>
                <w:rFonts w:hint="eastAsia" w:ascii="仿宋" w:hAnsi="仿宋" w:eastAsia="仿宋"/>
                <w:spacing w:val="-1"/>
                <w:sz w:val="24"/>
              </w:rPr>
            </w:pPr>
            <w:r>
              <w:rPr>
                <w:rFonts w:hint="eastAsia" w:ascii="仿宋" w:hAnsi="仿宋" w:eastAsia="仿宋"/>
                <w:spacing w:val="-1"/>
                <w:sz w:val="24"/>
              </w:rPr>
              <w:t>支持≥8个3.5寸SAS/SATA硬盘和6个2.5寸NVME硬盘，可支持SAS/SATA/NVMe SSD 混插。</w:t>
            </w:r>
          </w:p>
        </w:tc>
      </w:tr>
      <w:tr w14:paraId="0FFE6CAC">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787A1C08">
            <w:pPr>
              <w:spacing w:line="360" w:lineRule="auto"/>
              <w:jc w:val="center"/>
              <w:rPr>
                <w:rFonts w:hint="eastAsia" w:ascii="仿宋" w:hAnsi="仿宋" w:eastAsia="仿宋"/>
                <w:spacing w:val="-1"/>
                <w:sz w:val="24"/>
              </w:rPr>
            </w:pPr>
            <w:r>
              <w:rPr>
                <w:rFonts w:hint="eastAsia" w:ascii="仿宋" w:hAnsi="仿宋" w:eastAsia="仿宋"/>
                <w:spacing w:val="-1"/>
                <w:sz w:val="24"/>
              </w:rPr>
              <w:t>5</w:t>
            </w:r>
          </w:p>
        </w:tc>
        <w:tc>
          <w:tcPr>
            <w:tcW w:w="535" w:type="pct"/>
            <w:tcBorders>
              <w:top w:val="single" w:color="auto" w:sz="4" w:space="0"/>
              <w:left w:val="single" w:color="auto" w:sz="4" w:space="0"/>
              <w:bottom w:val="single" w:color="auto" w:sz="4" w:space="0"/>
              <w:right w:val="single" w:color="auto" w:sz="4" w:space="0"/>
            </w:tcBorders>
            <w:noWrap/>
            <w:vAlign w:val="center"/>
          </w:tcPr>
          <w:p w14:paraId="7F926373">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vAlign w:val="center"/>
          </w:tcPr>
          <w:p w14:paraId="2DFE3F6B">
            <w:pPr>
              <w:spacing w:line="360" w:lineRule="auto"/>
              <w:jc w:val="center"/>
              <w:rPr>
                <w:rFonts w:hint="eastAsia" w:ascii="仿宋" w:hAnsi="仿宋" w:eastAsia="仿宋"/>
                <w:spacing w:val="-1"/>
                <w:sz w:val="24"/>
              </w:rPr>
            </w:pPr>
            <w:r>
              <w:rPr>
                <w:rFonts w:ascii="仿宋" w:hAnsi="仿宋" w:eastAsia="仿宋"/>
                <w:spacing w:val="-1"/>
                <w:sz w:val="24"/>
              </w:rPr>
              <w:t>SSD</w:t>
            </w:r>
          </w:p>
        </w:tc>
        <w:tc>
          <w:tcPr>
            <w:tcW w:w="3260" w:type="pct"/>
            <w:tcBorders>
              <w:top w:val="single" w:color="auto" w:sz="4" w:space="0"/>
              <w:left w:val="single" w:color="auto" w:sz="4" w:space="0"/>
              <w:bottom w:val="single" w:color="auto" w:sz="4" w:space="0"/>
              <w:right w:val="single" w:color="auto" w:sz="4" w:space="0"/>
            </w:tcBorders>
            <w:vAlign w:val="center"/>
          </w:tcPr>
          <w:p w14:paraId="0DD3C377">
            <w:pPr>
              <w:spacing w:line="360" w:lineRule="auto"/>
              <w:rPr>
                <w:rFonts w:hint="eastAsia" w:ascii="仿宋" w:hAnsi="仿宋" w:eastAsia="仿宋"/>
                <w:spacing w:val="-1"/>
                <w:sz w:val="24"/>
              </w:rPr>
            </w:pPr>
            <w:r>
              <w:rPr>
                <w:rFonts w:hint="eastAsia" w:ascii="仿宋" w:hAnsi="仿宋" w:eastAsia="仿宋"/>
                <w:spacing w:val="-1"/>
                <w:sz w:val="24"/>
              </w:rPr>
              <w:t>板载≥2个M.2  PCIe 4.0 x4接口。</w:t>
            </w:r>
          </w:p>
        </w:tc>
      </w:tr>
      <w:tr w14:paraId="6944B262">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2E9BBE0E">
            <w:pPr>
              <w:spacing w:line="360" w:lineRule="auto"/>
              <w:jc w:val="center"/>
              <w:rPr>
                <w:rFonts w:hint="eastAsia" w:ascii="仿宋" w:hAnsi="仿宋" w:eastAsia="仿宋"/>
                <w:spacing w:val="-1"/>
                <w:sz w:val="24"/>
              </w:rPr>
            </w:pPr>
            <w:r>
              <w:rPr>
                <w:rFonts w:hint="eastAsia" w:ascii="仿宋" w:hAnsi="仿宋" w:eastAsia="仿宋"/>
                <w:spacing w:val="-1"/>
                <w:sz w:val="24"/>
              </w:rPr>
              <w:t>6</w:t>
            </w:r>
          </w:p>
        </w:tc>
        <w:tc>
          <w:tcPr>
            <w:tcW w:w="535" w:type="pct"/>
            <w:tcBorders>
              <w:top w:val="single" w:color="auto" w:sz="4" w:space="0"/>
              <w:left w:val="single" w:color="auto" w:sz="4" w:space="0"/>
              <w:bottom w:val="single" w:color="auto" w:sz="4" w:space="0"/>
              <w:right w:val="single" w:color="auto" w:sz="4" w:space="0"/>
            </w:tcBorders>
            <w:noWrap/>
            <w:vAlign w:val="center"/>
          </w:tcPr>
          <w:p w14:paraId="27D6E213">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79ABB536">
            <w:pPr>
              <w:spacing w:line="360" w:lineRule="auto"/>
              <w:jc w:val="center"/>
              <w:rPr>
                <w:rFonts w:hint="eastAsia" w:ascii="仿宋" w:hAnsi="仿宋" w:eastAsia="仿宋"/>
                <w:spacing w:val="-1"/>
                <w:sz w:val="24"/>
              </w:rPr>
            </w:pPr>
            <w:r>
              <w:rPr>
                <w:rFonts w:ascii="仿宋" w:hAnsi="仿宋" w:eastAsia="仿宋"/>
                <w:spacing w:val="-1"/>
                <w:sz w:val="24"/>
              </w:rPr>
              <w:t>硬盘控制器</w:t>
            </w:r>
          </w:p>
        </w:tc>
        <w:tc>
          <w:tcPr>
            <w:tcW w:w="3260" w:type="pct"/>
            <w:tcBorders>
              <w:top w:val="single" w:color="auto" w:sz="4" w:space="0"/>
              <w:left w:val="single" w:color="auto" w:sz="4" w:space="0"/>
              <w:bottom w:val="single" w:color="auto" w:sz="4" w:space="0"/>
              <w:right w:val="single" w:color="auto" w:sz="4" w:space="0"/>
            </w:tcBorders>
            <w:vAlign w:val="center"/>
          </w:tcPr>
          <w:p w14:paraId="4B53CF4E">
            <w:pPr>
              <w:spacing w:line="360" w:lineRule="auto"/>
              <w:rPr>
                <w:rFonts w:hint="eastAsia" w:ascii="仿宋" w:hAnsi="仿宋" w:eastAsia="仿宋"/>
                <w:spacing w:val="-1"/>
                <w:sz w:val="24"/>
              </w:rPr>
            </w:pPr>
            <w:r>
              <w:rPr>
                <w:rFonts w:ascii="仿宋" w:hAnsi="仿宋" w:eastAsia="仿宋"/>
                <w:spacing w:val="-1"/>
                <w:sz w:val="24"/>
              </w:rPr>
              <w:t>板载</w:t>
            </w:r>
            <w:r>
              <w:rPr>
                <w:rFonts w:hint="eastAsia" w:ascii="仿宋" w:hAnsi="仿宋" w:eastAsia="仿宋"/>
                <w:spacing w:val="-1"/>
                <w:sz w:val="24"/>
              </w:rPr>
              <w:t>≥</w:t>
            </w:r>
            <w:r>
              <w:rPr>
                <w:rFonts w:ascii="仿宋" w:hAnsi="仿宋" w:eastAsia="仿宋"/>
                <w:spacing w:val="-1"/>
                <w:sz w:val="24"/>
              </w:rPr>
              <w:t>1</w:t>
            </w:r>
            <w:r>
              <w:rPr>
                <w:rFonts w:hint="eastAsia" w:ascii="仿宋" w:hAnsi="仿宋" w:eastAsia="仿宋"/>
                <w:spacing w:val="-1"/>
                <w:sz w:val="24"/>
              </w:rPr>
              <w:t>0</w:t>
            </w:r>
            <w:r>
              <w:rPr>
                <w:rFonts w:ascii="仿宋" w:hAnsi="仿宋" w:eastAsia="仿宋"/>
                <w:spacing w:val="-1"/>
                <w:sz w:val="24"/>
              </w:rPr>
              <w:t>个SATA硬盘，</w:t>
            </w:r>
            <w:r>
              <w:rPr>
                <w:rFonts w:hint="eastAsia" w:ascii="仿宋" w:hAnsi="仿宋" w:eastAsia="仿宋"/>
                <w:spacing w:val="-1"/>
                <w:sz w:val="24"/>
              </w:rPr>
              <w:t xml:space="preserve">≥6个NVMe U.2 SSD </w:t>
            </w:r>
            <w:r>
              <w:rPr>
                <w:rFonts w:ascii="仿宋" w:hAnsi="仿宋" w:eastAsia="仿宋"/>
                <w:spacing w:val="-1"/>
                <w:sz w:val="24"/>
              </w:rPr>
              <w:t>无需外接控制器</w:t>
            </w:r>
            <w:r>
              <w:rPr>
                <w:rFonts w:hint="eastAsia" w:ascii="仿宋" w:hAnsi="仿宋" w:eastAsia="仿宋"/>
                <w:spacing w:val="-1"/>
                <w:sz w:val="24"/>
              </w:rPr>
              <w:t>。</w:t>
            </w:r>
          </w:p>
        </w:tc>
      </w:tr>
      <w:tr w14:paraId="14FC8124">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B7C4BA5">
            <w:pPr>
              <w:spacing w:line="360" w:lineRule="auto"/>
              <w:jc w:val="center"/>
              <w:rPr>
                <w:rFonts w:hint="eastAsia" w:ascii="仿宋" w:hAnsi="仿宋" w:eastAsia="仿宋"/>
                <w:spacing w:val="-1"/>
                <w:sz w:val="24"/>
              </w:rPr>
            </w:pPr>
            <w:r>
              <w:rPr>
                <w:rFonts w:hint="eastAsia" w:ascii="仿宋" w:hAnsi="仿宋" w:eastAsia="仿宋"/>
                <w:spacing w:val="-1"/>
                <w:sz w:val="24"/>
              </w:rPr>
              <w:t>7</w:t>
            </w:r>
          </w:p>
        </w:tc>
        <w:tc>
          <w:tcPr>
            <w:tcW w:w="535" w:type="pct"/>
            <w:tcBorders>
              <w:top w:val="single" w:color="auto" w:sz="4" w:space="0"/>
              <w:left w:val="single" w:color="auto" w:sz="4" w:space="0"/>
              <w:bottom w:val="single" w:color="auto" w:sz="4" w:space="0"/>
              <w:right w:val="single" w:color="auto" w:sz="4" w:space="0"/>
            </w:tcBorders>
            <w:noWrap/>
            <w:vAlign w:val="center"/>
          </w:tcPr>
          <w:p w14:paraId="3A6EBDF3">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4579F848">
            <w:pPr>
              <w:spacing w:line="360" w:lineRule="auto"/>
              <w:jc w:val="center"/>
              <w:rPr>
                <w:rFonts w:hint="eastAsia" w:ascii="仿宋" w:hAnsi="仿宋" w:eastAsia="仿宋"/>
                <w:spacing w:val="-1"/>
                <w:sz w:val="24"/>
              </w:rPr>
            </w:pPr>
            <w:r>
              <w:rPr>
                <w:rFonts w:ascii="仿宋" w:hAnsi="仿宋" w:eastAsia="仿宋"/>
                <w:spacing w:val="-1"/>
                <w:sz w:val="24"/>
              </w:rPr>
              <w:t xml:space="preserve"> PCIe扩展</w:t>
            </w:r>
          </w:p>
        </w:tc>
        <w:tc>
          <w:tcPr>
            <w:tcW w:w="3260" w:type="pct"/>
            <w:tcBorders>
              <w:top w:val="single" w:color="auto" w:sz="4" w:space="0"/>
              <w:left w:val="single" w:color="auto" w:sz="4" w:space="0"/>
              <w:bottom w:val="single" w:color="auto" w:sz="4" w:space="0"/>
              <w:right w:val="single" w:color="auto" w:sz="4" w:space="0"/>
            </w:tcBorders>
            <w:vAlign w:val="center"/>
          </w:tcPr>
          <w:p w14:paraId="7336B64C">
            <w:pPr>
              <w:spacing w:line="360" w:lineRule="auto"/>
              <w:rPr>
                <w:rFonts w:hint="eastAsia" w:ascii="仿宋" w:hAnsi="仿宋" w:eastAsia="仿宋"/>
                <w:spacing w:val="-1"/>
                <w:sz w:val="24"/>
              </w:rPr>
            </w:pPr>
            <w:r>
              <w:rPr>
                <w:rFonts w:hint="eastAsia" w:ascii="仿宋" w:hAnsi="仿宋" w:eastAsia="仿宋"/>
                <w:spacing w:val="-1"/>
                <w:sz w:val="24"/>
              </w:rPr>
              <w:t>≥6</w:t>
            </w:r>
            <w:r>
              <w:rPr>
                <w:rFonts w:ascii="仿宋" w:hAnsi="仿宋" w:eastAsia="仿宋"/>
                <w:spacing w:val="-1"/>
                <w:sz w:val="24"/>
              </w:rPr>
              <w:t xml:space="preserve">个PCIe 5.0 </w:t>
            </w:r>
            <w:r>
              <w:rPr>
                <w:rFonts w:hint="eastAsia" w:ascii="仿宋" w:hAnsi="仿宋" w:eastAsia="仿宋"/>
                <w:spacing w:val="-1"/>
                <w:sz w:val="24"/>
              </w:rPr>
              <w:t>扩展</w:t>
            </w:r>
            <w:r>
              <w:rPr>
                <w:rFonts w:ascii="仿宋" w:hAnsi="仿宋" w:eastAsia="仿宋"/>
                <w:spacing w:val="-1"/>
                <w:sz w:val="24"/>
              </w:rPr>
              <w:t>插槽</w:t>
            </w:r>
            <w:r>
              <w:rPr>
                <w:rFonts w:hint="eastAsia" w:ascii="仿宋" w:hAnsi="仿宋" w:eastAsia="仿宋"/>
                <w:spacing w:val="-1"/>
                <w:sz w:val="24"/>
              </w:rPr>
              <w:t>。</w:t>
            </w:r>
          </w:p>
        </w:tc>
      </w:tr>
      <w:tr w14:paraId="501690FC">
        <w:tblPrEx>
          <w:tblCellMar>
            <w:top w:w="0" w:type="dxa"/>
            <w:left w:w="108" w:type="dxa"/>
            <w:bottom w:w="0" w:type="dxa"/>
            <w:right w:w="108" w:type="dxa"/>
          </w:tblCellMar>
        </w:tblPrEx>
        <w:trPr>
          <w:trHeight w:val="862" w:hRule="atLeast"/>
        </w:trPr>
        <w:tc>
          <w:tcPr>
            <w:tcW w:w="398" w:type="pct"/>
            <w:tcBorders>
              <w:top w:val="single" w:color="auto" w:sz="4" w:space="0"/>
              <w:left w:val="single" w:color="auto" w:sz="4" w:space="0"/>
              <w:right w:val="single" w:color="auto" w:sz="4" w:space="0"/>
            </w:tcBorders>
            <w:noWrap/>
            <w:vAlign w:val="center"/>
          </w:tcPr>
          <w:p w14:paraId="35F2FB8D">
            <w:pPr>
              <w:spacing w:line="360" w:lineRule="auto"/>
              <w:jc w:val="center"/>
              <w:rPr>
                <w:rFonts w:hint="eastAsia" w:ascii="仿宋" w:hAnsi="仿宋" w:eastAsia="仿宋"/>
                <w:spacing w:val="-1"/>
                <w:sz w:val="24"/>
              </w:rPr>
            </w:pPr>
            <w:r>
              <w:rPr>
                <w:rFonts w:hint="eastAsia" w:ascii="仿宋" w:hAnsi="仿宋" w:eastAsia="仿宋"/>
                <w:spacing w:val="-1"/>
                <w:sz w:val="24"/>
              </w:rPr>
              <w:t>8</w:t>
            </w:r>
          </w:p>
        </w:tc>
        <w:tc>
          <w:tcPr>
            <w:tcW w:w="535" w:type="pct"/>
            <w:tcBorders>
              <w:top w:val="single" w:color="auto" w:sz="4" w:space="0"/>
              <w:left w:val="single" w:color="auto" w:sz="4" w:space="0"/>
              <w:right w:val="single" w:color="auto" w:sz="4" w:space="0"/>
            </w:tcBorders>
            <w:noWrap/>
            <w:vAlign w:val="center"/>
          </w:tcPr>
          <w:p w14:paraId="45A90FE9">
            <w:pPr>
              <w:spacing w:line="360" w:lineRule="auto"/>
              <w:jc w:val="center"/>
              <w:rPr>
                <w:rFonts w:hint="eastAsia" w:ascii="仿宋" w:hAnsi="仿宋" w:eastAsia="仿宋"/>
                <w:spacing w:val="-1"/>
                <w:sz w:val="24"/>
              </w:rPr>
            </w:pPr>
            <w:r>
              <w:rPr>
                <w:rFonts w:hint="eastAsia" w:ascii="仿宋" w:hAnsi="仿宋" w:eastAsia="仿宋"/>
                <w:color w:val="000000"/>
                <w:spacing w:val="-1"/>
                <w:sz w:val="24"/>
              </w:rPr>
              <w:t>★</w:t>
            </w:r>
          </w:p>
        </w:tc>
        <w:tc>
          <w:tcPr>
            <w:tcW w:w="806" w:type="pct"/>
            <w:tcBorders>
              <w:top w:val="single" w:color="auto" w:sz="4" w:space="0"/>
              <w:left w:val="single" w:color="auto" w:sz="4" w:space="0"/>
              <w:right w:val="single" w:color="auto" w:sz="4" w:space="0"/>
            </w:tcBorders>
            <w:noWrap/>
            <w:vAlign w:val="center"/>
          </w:tcPr>
          <w:p w14:paraId="01D446A0">
            <w:pPr>
              <w:spacing w:line="360" w:lineRule="auto"/>
              <w:jc w:val="center"/>
              <w:rPr>
                <w:rFonts w:hint="eastAsia" w:ascii="仿宋" w:hAnsi="仿宋" w:eastAsia="仿宋"/>
                <w:spacing w:val="-1"/>
                <w:sz w:val="24"/>
              </w:rPr>
            </w:pPr>
            <w:r>
              <w:rPr>
                <w:rFonts w:ascii="仿宋" w:hAnsi="仿宋" w:eastAsia="仿宋"/>
                <w:spacing w:val="-1"/>
                <w:sz w:val="24"/>
              </w:rPr>
              <w:t xml:space="preserve"> GPU卡</w:t>
            </w:r>
          </w:p>
        </w:tc>
        <w:tc>
          <w:tcPr>
            <w:tcW w:w="3260" w:type="pct"/>
            <w:tcBorders>
              <w:top w:val="single" w:color="auto" w:sz="4" w:space="0"/>
              <w:left w:val="single" w:color="auto" w:sz="4" w:space="0"/>
              <w:bottom w:val="single" w:color="auto" w:sz="4" w:space="0"/>
              <w:right w:val="single" w:color="auto" w:sz="4" w:space="0"/>
            </w:tcBorders>
            <w:vAlign w:val="center"/>
          </w:tcPr>
          <w:p w14:paraId="47A60798">
            <w:pPr>
              <w:spacing w:line="360" w:lineRule="auto"/>
              <w:rPr>
                <w:rFonts w:hint="eastAsia" w:ascii="仿宋" w:hAnsi="仿宋" w:eastAsia="仿宋"/>
                <w:spacing w:val="-4"/>
                <w:sz w:val="24"/>
              </w:rPr>
            </w:pPr>
            <w:r>
              <w:rPr>
                <w:rFonts w:hint="eastAsia" w:ascii="仿宋" w:hAnsi="仿宋" w:eastAsia="仿宋" w:cs="宋体"/>
                <w:color w:val="000000"/>
                <w:kern w:val="0"/>
                <w:sz w:val="24"/>
              </w:rPr>
              <w:t>国产自研品牌，具备通用 GPGPU 架构和指令集；单卡算力性能：半精浮点算力 FP16≥235TFLOPS ，BF16</w:t>
            </w:r>
            <w:bookmarkStart w:id="41" w:name="OLE_LINK3"/>
            <w:bookmarkStart w:id="42" w:name="OLE_LINK1"/>
            <w:r>
              <w:rPr>
                <w:rFonts w:hint="eastAsia" w:ascii="仿宋" w:hAnsi="仿宋" w:eastAsia="仿宋" w:cs="宋体"/>
                <w:color w:val="000000"/>
                <w:kern w:val="0"/>
                <w:sz w:val="24"/>
              </w:rPr>
              <w:t>≥</w:t>
            </w:r>
            <w:bookmarkEnd w:id="41"/>
            <w:bookmarkEnd w:id="42"/>
            <w:r>
              <w:rPr>
                <w:rFonts w:hint="eastAsia" w:ascii="仿宋" w:hAnsi="仿宋" w:eastAsia="仿宋" w:cs="宋体"/>
                <w:color w:val="000000"/>
                <w:kern w:val="0"/>
                <w:sz w:val="24"/>
              </w:rPr>
              <w:t>235TFLOPS； 整型算力 INT 8≥470 TOPS；≥64G HBM2e 显存，GPU 实测显存带宽≥1.6TB/s ；支持卡间互联技术，用于计算节点内部 GPU 之间数据互联，互联带宽不低于 350GB/s；</w:t>
            </w:r>
          </w:p>
          <w:p w14:paraId="477E3726">
            <w:pPr>
              <w:spacing w:line="360" w:lineRule="auto"/>
              <w:rPr>
                <w:rFonts w:hint="eastAsia" w:ascii="仿宋" w:hAnsi="仿宋" w:eastAsia="仿宋"/>
                <w:spacing w:val="-4"/>
                <w:sz w:val="24"/>
              </w:rPr>
            </w:pPr>
            <w:r>
              <w:rPr>
                <w:rFonts w:hint="eastAsia" w:ascii="仿宋" w:hAnsi="仿宋" w:eastAsia="仿宋"/>
                <w:spacing w:val="-4"/>
                <w:sz w:val="24"/>
              </w:rPr>
              <w:t>兼容CUDA。</w:t>
            </w:r>
          </w:p>
        </w:tc>
      </w:tr>
      <w:tr w14:paraId="70E48753">
        <w:tblPrEx>
          <w:tblCellMar>
            <w:top w:w="0" w:type="dxa"/>
            <w:left w:w="108" w:type="dxa"/>
            <w:bottom w:w="0" w:type="dxa"/>
            <w:right w:w="108" w:type="dxa"/>
          </w:tblCellMar>
        </w:tblPrEx>
        <w:trPr>
          <w:trHeight w:val="832"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CC4E7C5">
            <w:pPr>
              <w:spacing w:line="360" w:lineRule="auto"/>
              <w:jc w:val="center"/>
              <w:rPr>
                <w:rFonts w:hint="eastAsia" w:ascii="仿宋" w:hAnsi="仿宋" w:eastAsia="仿宋"/>
                <w:spacing w:val="-1"/>
                <w:sz w:val="24"/>
              </w:rPr>
            </w:pPr>
            <w:r>
              <w:rPr>
                <w:rFonts w:hint="eastAsia" w:ascii="仿宋" w:hAnsi="仿宋" w:eastAsia="仿宋"/>
                <w:spacing w:val="-1"/>
                <w:sz w:val="24"/>
              </w:rPr>
              <w:t>9</w:t>
            </w:r>
          </w:p>
        </w:tc>
        <w:tc>
          <w:tcPr>
            <w:tcW w:w="535" w:type="pct"/>
            <w:tcBorders>
              <w:top w:val="single" w:color="auto" w:sz="4" w:space="0"/>
              <w:left w:val="single" w:color="auto" w:sz="4" w:space="0"/>
              <w:bottom w:val="single" w:color="auto" w:sz="4" w:space="0"/>
              <w:right w:val="single" w:color="auto" w:sz="4" w:space="0"/>
            </w:tcBorders>
            <w:noWrap/>
            <w:vAlign w:val="center"/>
          </w:tcPr>
          <w:p w14:paraId="78FC2A55">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7CF100CD">
            <w:pPr>
              <w:spacing w:line="360" w:lineRule="auto"/>
              <w:jc w:val="center"/>
              <w:rPr>
                <w:rFonts w:hint="eastAsia" w:ascii="仿宋" w:hAnsi="仿宋" w:eastAsia="仿宋"/>
                <w:spacing w:val="-1"/>
                <w:sz w:val="24"/>
              </w:rPr>
            </w:pPr>
            <w:r>
              <w:rPr>
                <w:rFonts w:ascii="仿宋" w:hAnsi="仿宋" w:eastAsia="仿宋"/>
                <w:spacing w:val="-1"/>
                <w:sz w:val="24"/>
              </w:rPr>
              <w:t xml:space="preserve"> GPU卡</w:t>
            </w:r>
          </w:p>
          <w:p w14:paraId="44B8B77A">
            <w:pPr>
              <w:spacing w:line="360" w:lineRule="auto"/>
              <w:jc w:val="center"/>
              <w:rPr>
                <w:rFonts w:hint="eastAsia" w:ascii="仿宋" w:hAnsi="仿宋" w:eastAsia="仿宋"/>
                <w:spacing w:val="-1"/>
                <w:sz w:val="24"/>
              </w:rPr>
            </w:pPr>
            <w:r>
              <w:rPr>
                <w:rFonts w:ascii="仿宋" w:hAnsi="仿宋" w:eastAsia="仿宋"/>
                <w:spacing w:val="-1"/>
                <w:sz w:val="24"/>
              </w:rPr>
              <w:t>可调</w:t>
            </w:r>
          </w:p>
        </w:tc>
        <w:tc>
          <w:tcPr>
            <w:tcW w:w="3260" w:type="pct"/>
            <w:tcBorders>
              <w:top w:val="single" w:color="auto" w:sz="4" w:space="0"/>
              <w:left w:val="single" w:color="auto" w:sz="4" w:space="0"/>
              <w:bottom w:val="single" w:color="auto" w:sz="4" w:space="0"/>
              <w:right w:val="single" w:color="auto" w:sz="4" w:space="0"/>
            </w:tcBorders>
            <w:vAlign w:val="center"/>
          </w:tcPr>
          <w:p w14:paraId="7D6398A9">
            <w:pPr>
              <w:spacing w:line="360" w:lineRule="auto"/>
              <w:rPr>
                <w:rFonts w:hint="eastAsia" w:ascii="仿宋" w:hAnsi="仿宋" w:eastAsia="仿宋"/>
                <w:spacing w:val="-1"/>
                <w:sz w:val="24"/>
              </w:rPr>
            </w:pPr>
            <w:r>
              <w:rPr>
                <w:rFonts w:ascii="仿宋" w:hAnsi="仿宋" w:eastAsia="仿宋"/>
                <w:spacing w:val="-1"/>
                <w:sz w:val="24"/>
              </w:rPr>
              <w:t>为满足不同场景下使用达到最优性能，GPU的PCIe 连接拓扑支持CPU：GPU=1：</w:t>
            </w:r>
            <w:r>
              <w:rPr>
                <w:rFonts w:hint="eastAsia" w:ascii="仿宋" w:hAnsi="仿宋" w:eastAsia="仿宋"/>
                <w:spacing w:val="-1"/>
                <w:sz w:val="24"/>
              </w:rPr>
              <w:t>2</w:t>
            </w:r>
            <w:r>
              <w:rPr>
                <w:rFonts w:ascii="仿宋" w:hAnsi="仿宋" w:eastAsia="仿宋"/>
                <w:spacing w:val="-1"/>
                <w:sz w:val="24"/>
              </w:rPr>
              <w:t>或者CPU：GPU=</w:t>
            </w:r>
            <w:r>
              <w:rPr>
                <w:rFonts w:hint="eastAsia" w:ascii="仿宋" w:hAnsi="仿宋" w:eastAsia="仿宋"/>
                <w:spacing w:val="-1"/>
                <w:sz w:val="24"/>
              </w:rPr>
              <w:t>2</w:t>
            </w:r>
            <w:r>
              <w:rPr>
                <w:rFonts w:ascii="仿宋" w:hAnsi="仿宋" w:eastAsia="仿宋"/>
                <w:spacing w:val="-1"/>
                <w:sz w:val="24"/>
              </w:rPr>
              <w:t>：</w:t>
            </w:r>
            <w:r>
              <w:rPr>
                <w:rFonts w:hint="eastAsia" w:ascii="仿宋" w:hAnsi="仿宋" w:eastAsia="仿宋"/>
                <w:spacing w:val="-1"/>
                <w:sz w:val="24"/>
              </w:rPr>
              <w:t>4。</w:t>
            </w:r>
          </w:p>
        </w:tc>
      </w:tr>
      <w:tr w14:paraId="643CA6FF">
        <w:tblPrEx>
          <w:tblCellMar>
            <w:top w:w="0" w:type="dxa"/>
            <w:left w:w="108" w:type="dxa"/>
            <w:bottom w:w="0" w:type="dxa"/>
            <w:right w:w="108" w:type="dxa"/>
          </w:tblCellMar>
        </w:tblPrEx>
        <w:trPr>
          <w:trHeight w:val="681"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A2865C7">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0</w:t>
            </w:r>
          </w:p>
        </w:tc>
        <w:tc>
          <w:tcPr>
            <w:tcW w:w="535" w:type="pct"/>
            <w:tcBorders>
              <w:top w:val="single" w:color="auto" w:sz="4" w:space="0"/>
              <w:left w:val="single" w:color="auto" w:sz="4" w:space="0"/>
              <w:bottom w:val="single" w:color="auto" w:sz="4" w:space="0"/>
              <w:right w:val="single" w:color="auto" w:sz="4" w:space="0"/>
            </w:tcBorders>
            <w:noWrap/>
            <w:vAlign w:val="center"/>
          </w:tcPr>
          <w:p w14:paraId="4AD5490D">
            <w:pPr>
              <w:tabs>
                <w:tab w:val="center" w:pos="419"/>
                <w:tab w:val="left" w:pos="538"/>
              </w:tabs>
              <w:spacing w:line="360" w:lineRule="auto"/>
              <w:ind w:firstLine="238" w:firstLineChars="100"/>
              <w:jc w:val="left"/>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736055AE">
            <w:pPr>
              <w:spacing w:line="360" w:lineRule="auto"/>
              <w:jc w:val="center"/>
              <w:rPr>
                <w:rFonts w:hint="eastAsia" w:ascii="仿宋" w:hAnsi="仿宋" w:eastAsia="仿宋"/>
                <w:spacing w:val="-1"/>
                <w:sz w:val="24"/>
              </w:rPr>
            </w:pPr>
            <w:r>
              <w:rPr>
                <w:rFonts w:ascii="仿宋" w:hAnsi="仿宋" w:eastAsia="仿宋"/>
                <w:spacing w:val="-1"/>
                <w:sz w:val="24"/>
              </w:rPr>
              <w:t>网络</w:t>
            </w:r>
          </w:p>
        </w:tc>
        <w:tc>
          <w:tcPr>
            <w:tcW w:w="3260" w:type="pct"/>
            <w:tcBorders>
              <w:top w:val="single" w:color="auto" w:sz="4" w:space="0"/>
              <w:left w:val="single" w:color="auto" w:sz="4" w:space="0"/>
              <w:bottom w:val="single" w:color="auto" w:sz="4" w:space="0"/>
              <w:right w:val="single" w:color="auto" w:sz="4" w:space="0"/>
            </w:tcBorders>
            <w:vAlign w:val="center"/>
          </w:tcPr>
          <w:p w14:paraId="51C3EBDF">
            <w:pPr>
              <w:spacing w:line="360" w:lineRule="auto"/>
              <w:rPr>
                <w:rFonts w:hint="eastAsia" w:ascii="仿宋" w:hAnsi="仿宋" w:eastAsia="仿宋"/>
                <w:spacing w:val="-1"/>
                <w:sz w:val="24"/>
              </w:rPr>
            </w:pPr>
            <w:r>
              <w:rPr>
                <w:rFonts w:ascii="仿宋" w:hAnsi="仿宋" w:eastAsia="仿宋"/>
                <w:spacing w:val="-1"/>
                <w:sz w:val="24"/>
              </w:rPr>
              <w:t xml:space="preserve">主板集成 </w:t>
            </w:r>
            <w:r>
              <w:rPr>
                <w:rFonts w:hint="eastAsia" w:ascii="仿宋" w:hAnsi="仿宋" w:eastAsia="仿宋"/>
                <w:spacing w:val="-1"/>
                <w:sz w:val="24"/>
              </w:rPr>
              <w:t>≥</w:t>
            </w:r>
            <w:r>
              <w:rPr>
                <w:rFonts w:ascii="仿宋" w:hAnsi="仿宋" w:eastAsia="仿宋"/>
                <w:spacing w:val="-1"/>
                <w:sz w:val="24"/>
              </w:rPr>
              <w:t>1 个独立 10/100/1000Mbps RJ45 带外管理网口，与数据网口硬件隔离，带独立管理平面；集成</w:t>
            </w:r>
            <w:r>
              <w:rPr>
                <w:rFonts w:hint="eastAsia" w:ascii="仿宋" w:hAnsi="仿宋" w:eastAsia="仿宋"/>
                <w:spacing w:val="-1"/>
                <w:sz w:val="24"/>
              </w:rPr>
              <w:t>≥</w:t>
            </w:r>
            <w:r>
              <w:rPr>
                <w:rFonts w:ascii="仿宋" w:hAnsi="仿宋" w:eastAsia="仿宋"/>
                <w:spacing w:val="-1"/>
                <w:sz w:val="24"/>
              </w:rPr>
              <w:t xml:space="preserve"> 2 个 10/100/1000Mbps RJ45 数据网口，支持全双工、IPv4/IPv6 双栈</w:t>
            </w:r>
            <w:r>
              <w:rPr>
                <w:rFonts w:hint="eastAsia" w:ascii="仿宋" w:hAnsi="仿宋" w:eastAsia="仿宋"/>
                <w:spacing w:val="-1"/>
                <w:sz w:val="24"/>
              </w:rPr>
              <w:t>。</w:t>
            </w:r>
          </w:p>
        </w:tc>
      </w:tr>
      <w:tr w14:paraId="4AC6B7F8">
        <w:tblPrEx>
          <w:tblCellMar>
            <w:top w:w="0" w:type="dxa"/>
            <w:left w:w="108" w:type="dxa"/>
            <w:bottom w:w="0" w:type="dxa"/>
            <w:right w:w="108" w:type="dxa"/>
          </w:tblCellMar>
        </w:tblPrEx>
        <w:trPr>
          <w:trHeight w:val="745"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5DF6E70">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vAlign w:val="center"/>
          </w:tcPr>
          <w:p w14:paraId="679C8472">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7A91E75F">
            <w:pPr>
              <w:spacing w:line="360" w:lineRule="auto"/>
              <w:jc w:val="center"/>
              <w:rPr>
                <w:rFonts w:hint="eastAsia" w:ascii="仿宋" w:hAnsi="仿宋" w:eastAsia="仿宋"/>
                <w:spacing w:val="-1"/>
                <w:sz w:val="24"/>
              </w:rPr>
            </w:pPr>
            <w:r>
              <w:rPr>
                <w:rFonts w:ascii="仿宋" w:hAnsi="仿宋" w:eastAsia="仿宋"/>
                <w:spacing w:val="-1"/>
                <w:sz w:val="24"/>
              </w:rPr>
              <w:t>电源</w:t>
            </w:r>
          </w:p>
        </w:tc>
        <w:tc>
          <w:tcPr>
            <w:tcW w:w="3260" w:type="pct"/>
            <w:tcBorders>
              <w:top w:val="single" w:color="auto" w:sz="4" w:space="0"/>
              <w:left w:val="single" w:color="auto" w:sz="4" w:space="0"/>
              <w:bottom w:val="single" w:color="auto" w:sz="4" w:space="0"/>
              <w:right w:val="single" w:color="auto" w:sz="4" w:space="0"/>
            </w:tcBorders>
            <w:vAlign w:val="center"/>
          </w:tcPr>
          <w:p w14:paraId="4A661F2C">
            <w:pPr>
              <w:spacing w:line="360" w:lineRule="auto"/>
              <w:rPr>
                <w:rFonts w:hint="eastAsia" w:ascii="仿宋" w:hAnsi="仿宋" w:eastAsia="仿宋"/>
                <w:spacing w:val="-1"/>
                <w:sz w:val="24"/>
              </w:rPr>
            </w:pPr>
            <w:r>
              <w:rPr>
                <w:rFonts w:ascii="仿宋" w:hAnsi="仿宋" w:eastAsia="仿宋"/>
                <w:spacing w:val="-1"/>
                <w:sz w:val="24"/>
              </w:rPr>
              <w:t>满配单电功率不低于</w:t>
            </w:r>
            <w:r>
              <w:rPr>
                <w:rFonts w:hint="eastAsia" w:ascii="仿宋" w:hAnsi="仿宋" w:eastAsia="仿宋"/>
                <w:spacing w:val="-1"/>
                <w:sz w:val="24"/>
              </w:rPr>
              <w:t>1</w:t>
            </w:r>
            <w:r>
              <w:rPr>
                <w:rFonts w:ascii="仿宋" w:hAnsi="仿宋" w:eastAsia="仿宋"/>
                <w:spacing w:val="-1"/>
                <w:sz w:val="24"/>
              </w:rPr>
              <w:t>个2</w:t>
            </w:r>
            <w:r>
              <w:rPr>
                <w:rFonts w:hint="eastAsia" w:ascii="仿宋" w:hAnsi="仿宋" w:eastAsia="仿宋"/>
                <w:spacing w:val="-1"/>
                <w:sz w:val="24"/>
              </w:rPr>
              <w:t>6</w:t>
            </w:r>
            <w:r>
              <w:rPr>
                <w:rFonts w:ascii="仿宋" w:hAnsi="仿宋" w:eastAsia="仿宋"/>
                <w:spacing w:val="-1"/>
                <w:sz w:val="24"/>
              </w:rPr>
              <w:t>00W的</w:t>
            </w:r>
            <w:r>
              <w:rPr>
                <w:rFonts w:hint="eastAsia" w:ascii="仿宋" w:hAnsi="仿宋" w:eastAsia="仿宋"/>
                <w:spacing w:val="-1"/>
                <w:sz w:val="24"/>
              </w:rPr>
              <w:t>80plus认证</w:t>
            </w:r>
            <w:r>
              <w:rPr>
                <w:rFonts w:ascii="仿宋" w:hAnsi="仿宋" w:eastAsia="仿宋"/>
                <w:spacing w:val="-1"/>
                <w:sz w:val="24"/>
              </w:rPr>
              <w:t>电源，</w:t>
            </w:r>
            <w:r>
              <w:rPr>
                <w:rFonts w:hint="eastAsia" w:ascii="仿宋" w:hAnsi="仿宋" w:eastAsia="仿宋"/>
                <w:spacing w:val="-1"/>
                <w:sz w:val="24"/>
              </w:rPr>
              <w:t>服务器</w:t>
            </w:r>
            <w:r>
              <w:rPr>
                <w:rFonts w:ascii="仿宋" w:hAnsi="仿宋" w:eastAsia="仿宋"/>
                <w:spacing w:val="-1"/>
                <w:sz w:val="24"/>
              </w:rPr>
              <w:t>支持</w:t>
            </w:r>
            <w:r>
              <w:rPr>
                <w:rFonts w:hint="eastAsia" w:ascii="仿宋" w:hAnsi="仿宋" w:eastAsia="仿宋"/>
                <w:spacing w:val="-1"/>
                <w:sz w:val="24"/>
              </w:rPr>
              <w:t>2个ATX模组电源或2U标准1+1</w:t>
            </w:r>
            <w:r>
              <w:rPr>
                <w:rFonts w:ascii="仿宋" w:hAnsi="仿宋" w:eastAsia="仿宋"/>
                <w:spacing w:val="-1"/>
                <w:sz w:val="24"/>
              </w:rPr>
              <w:t>冗余</w:t>
            </w:r>
            <w:r>
              <w:rPr>
                <w:rFonts w:hint="eastAsia" w:ascii="仿宋" w:hAnsi="仿宋" w:eastAsia="仿宋"/>
                <w:spacing w:val="-1"/>
                <w:sz w:val="24"/>
              </w:rPr>
              <w:t>电源。</w:t>
            </w:r>
          </w:p>
        </w:tc>
      </w:tr>
      <w:tr w14:paraId="5F4D4A6A">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448C8EE4">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vAlign w:val="center"/>
          </w:tcPr>
          <w:p w14:paraId="5F52ACF3">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01C1C43E">
            <w:pPr>
              <w:spacing w:line="360" w:lineRule="auto"/>
              <w:jc w:val="center"/>
              <w:rPr>
                <w:rFonts w:hint="eastAsia" w:ascii="仿宋" w:hAnsi="仿宋" w:eastAsia="仿宋"/>
                <w:spacing w:val="-1"/>
                <w:sz w:val="24"/>
              </w:rPr>
            </w:pPr>
            <w:r>
              <w:rPr>
                <w:rFonts w:ascii="仿宋" w:hAnsi="仿宋" w:eastAsia="仿宋"/>
                <w:spacing w:val="-1"/>
                <w:sz w:val="24"/>
              </w:rPr>
              <w:t>风扇</w:t>
            </w:r>
          </w:p>
        </w:tc>
        <w:tc>
          <w:tcPr>
            <w:tcW w:w="3260" w:type="pct"/>
            <w:tcBorders>
              <w:top w:val="single" w:color="auto" w:sz="4" w:space="0"/>
              <w:left w:val="single" w:color="auto" w:sz="4" w:space="0"/>
              <w:bottom w:val="single" w:color="auto" w:sz="4" w:space="0"/>
              <w:right w:val="single" w:color="auto" w:sz="4" w:space="0"/>
            </w:tcBorders>
            <w:vAlign w:val="center"/>
          </w:tcPr>
          <w:p w14:paraId="01922976">
            <w:pPr>
              <w:spacing w:line="360" w:lineRule="auto"/>
              <w:rPr>
                <w:rFonts w:hint="eastAsia" w:ascii="仿宋" w:hAnsi="仿宋" w:eastAsia="仿宋"/>
                <w:spacing w:val="-1"/>
                <w:sz w:val="24"/>
              </w:rPr>
            </w:pPr>
            <w:r>
              <w:rPr>
                <w:rFonts w:hint="eastAsia" w:ascii="仿宋" w:hAnsi="仿宋" w:eastAsia="仿宋"/>
                <w:spacing w:val="-1"/>
                <w:sz w:val="24"/>
              </w:rPr>
              <w:t>可支持5套</w:t>
            </w:r>
            <w:r>
              <w:rPr>
                <w:rFonts w:ascii="仿宋" w:hAnsi="仿宋" w:eastAsia="仿宋"/>
                <w:spacing w:val="-1"/>
                <w:sz w:val="24"/>
              </w:rPr>
              <w:t>360水冷</w:t>
            </w:r>
            <w:r>
              <w:rPr>
                <w:rFonts w:hint="eastAsia" w:ascii="仿宋" w:hAnsi="仿宋" w:eastAsia="仿宋"/>
                <w:spacing w:val="-1"/>
                <w:sz w:val="24"/>
              </w:rPr>
              <w:t>散热风扇。</w:t>
            </w:r>
          </w:p>
        </w:tc>
      </w:tr>
      <w:tr w14:paraId="221E3E82">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332CBE56">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vAlign w:val="center"/>
          </w:tcPr>
          <w:p w14:paraId="568EBD50">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3D017842">
            <w:pPr>
              <w:spacing w:line="360" w:lineRule="auto"/>
              <w:jc w:val="center"/>
              <w:rPr>
                <w:rFonts w:hint="eastAsia" w:ascii="仿宋" w:hAnsi="仿宋" w:eastAsia="仿宋"/>
                <w:spacing w:val="-1"/>
                <w:sz w:val="24"/>
              </w:rPr>
            </w:pPr>
            <w:r>
              <w:rPr>
                <w:rFonts w:ascii="仿宋" w:hAnsi="仿宋" w:eastAsia="仿宋"/>
                <w:spacing w:val="-1"/>
                <w:sz w:val="24"/>
              </w:rPr>
              <w:t>系统安全</w:t>
            </w:r>
          </w:p>
        </w:tc>
        <w:tc>
          <w:tcPr>
            <w:tcW w:w="3260" w:type="pct"/>
            <w:tcBorders>
              <w:top w:val="single" w:color="auto" w:sz="4" w:space="0"/>
              <w:left w:val="single" w:color="auto" w:sz="4" w:space="0"/>
              <w:bottom w:val="single" w:color="auto" w:sz="4" w:space="0"/>
              <w:right w:val="single" w:color="auto" w:sz="4" w:space="0"/>
            </w:tcBorders>
            <w:vAlign w:val="center"/>
          </w:tcPr>
          <w:p w14:paraId="7C6F5FC7">
            <w:pPr>
              <w:spacing w:line="360" w:lineRule="auto"/>
              <w:rPr>
                <w:rFonts w:hint="eastAsia" w:ascii="仿宋" w:hAnsi="仿宋" w:eastAsia="仿宋"/>
                <w:spacing w:val="-1"/>
                <w:sz w:val="24"/>
              </w:rPr>
            </w:pPr>
            <w:r>
              <w:rPr>
                <w:rFonts w:ascii="仿宋" w:hAnsi="仿宋" w:eastAsia="仿宋"/>
                <w:spacing w:val="-1"/>
                <w:sz w:val="24"/>
              </w:rPr>
              <w:t>可选TPM模块</w:t>
            </w:r>
          </w:p>
          <w:p w14:paraId="57BA5365">
            <w:pPr>
              <w:spacing w:line="360" w:lineRule="auto"/>
              <w:rPr>
                <w:rFonts w:hint="eastAsia" w:ascii="仿宋" w:hAnsi="仿宋" w:eastAsia="仿宋"/>
                <w:spacing w:val="-1"/>
                <w:sz w:val="24"/>
              </w:rPr>
            </w:pPr>
            <w:r>
              <w:rPr>
                <w:rFonts w:hint="eastAsia" w:ascii="仿宋" w:hAnsi="仿宋" w:eastAsia="仿宋"/>
                <w:spacing w:val="-1"/>
                <w:sz w:val="24"/>
              </w:rPr>
              <w:t>支持硬件级安全隔离与可信执行环境技术</w:t>
            </w:r>
          </w:p>
        </w:tc>
      </w:tr>
      <w:tr w14:paraId="01DF3A20">
        <w:tblPrEx>
          <w:tblCellMar>
            <w:top w:w="0" w:type="dxa"/>
            <w:left w:w="108" w:type="dxa"/>
            <w:bottom w:w="0" w:type="dxa"/>
            <w:right w:w="108" w:type="dxa"/>
          </w:tblCellMar>
        </w:tblPrEx>
        <w:trPr>
          <w:trHeight w:val="599"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7D50BB84">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vAlign w:val="center"/>
          </w:tcPr>
          <w:p w14:paraId="1D36C34C">
            <w:pPr>
              <w:spacing w:line="360" w:lineRule="auto"/>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58EEF653">
            <w:pPr>
              <w:spacing w:line="360" w:lineRule="auto"/>
              <w:jc w:val="center"/>
              <w:rPr>
                <w:rFonts w:hint="eastAsia" w:ascii="仿宋" w:hAnsi="仿宋" w:eastAsia="仿宋"/>
                <w:spacing w:val="-1"/>
                <w:sz w:val="24"/>
              </w:rPr>
            </w:pPr>
            <w:r>
              <w:rPr>
                <w:rFonts w:ascii="仿宋" w:hAnsi="仿宋" w:eastAsia="仿宋"/>
                <w:spacing w:val="-1"/>
                <w:sz w:val="24"/>
              </w:rPr>
              <w:t>工作温度</w:t>
            </w:r>
          </w:p>
        </w:tc>
        <w:tc>
          <w:tcPr>
            <w:tcW w:w="3260" w:type="pct"/>
            <w:tcBorders>
              <w:top w:val="single" w:color="auto" w:sz="4" w:space="0"/>
              <w:left w:val="single" w:color="auto" w:sz="4" w:space="0"/>
              <w:bottom w:val="single" w:color="auto" w:sz="4" w:space="0"/>
              <w:right w:val="single" w:color="auto" w:sz="4" w:space="0"/>
            </w:tcBorders>
            <w:vAlign w:val="center"/>
          </w:tcPr>
          <w:p w14:paraId="626CC570">
            <w:pPr>
              <w:spacing w:line="360" w:lineRule="auto"/>
              <w:rPr>
                <w:rFonts w:hint="eastAsia" w:ascii="仿宋" w:hAnsi="仿宋" w:eastAsia="仿宋"/>
                <w:spacing w:val="-1"/>
                <w:sz w:val="24"/>
              </w:rPr>
            </w:pPr>
            <w:r>
              <w:rPr>
                <w:rFonts w:ascii="仿宋" w:hAnsi="仿宋" w:eastAsia="仿宋"/>
                <w:spacing w:val="-1"/>
                <w:sz w:val="24"/>
              </w:rPr>
              <w:t>支持5℃-35℃环温正常工作</w:t>
            </w:r>
            <w:r>
              <w:rPr>
                <w:rFonts w:hint="eastAsia" w:ascii="仿宋" w:hAnsi="仿宋" w:eastAsia="仿宋"/>
                <w:spacing w:val="-1"/>
                <w:sz w:val="24"/>
              </w:rPr>
              <w:t>。</w:t>
            </w:r>
          </w:p>
        </w:tc>
      </w:tr>
      <w:tr w14:paraId="64644ED0">
        <w:tblPrEx>
          <w:tblCellMar>
            <w:top w:w="0" w:type="dxa"/>
            <w:left w:w="108" w:type="dxa"/>
            <w:bottom w:w="0" w:type="dxa"/>
            <w:right w:w="108" w:type="dxa"/>
          </w:tblCellMar>
        </w:tblPrEx>
        <w:trPr>
          <w:trHeight w:val="699"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6BC58855">
            <w:pPr>
              <w:spacing w:line="360" w:lineRule="auto"/>
              <w:jc w:val="center"/>
              <w:rPr>
                <w:rFonts w:hint="eastAsia" w:ascii="仿宋" w:hAnsi="仿宋" w:eastAsia="仿宋"/>
                <w:spacing w:val="-1"/>
                <w:sz w:val="24"/>
              </w:rPr>
            </w:pPr>
            <w:r>
              <w:rPr>
                <w:rFonts w:ascii="仿宋" w:hAnsi="仿宋" w:eastAsia="仿宋"/>
                <w:spacing w:val="-1"/>
                <w:sz w:val="24"/>
              </w:rPr>
              <w:t>1</w:t>
            </w:r>
            <w:r>
              <w:rPr>
                <w:rFonts w:hint="eastAsia" w:ascii="仿宋" w:hAnsi="仿宋" w:eastAsia="仿宋"/>
                <w:spacing w:val="-1"/>
                <w:sz w:val="24"/>
              </w:rPr>
              <w:t>5</w:t>
            </w:r>
          </w:p>
        </w:tc>
        <w:tc>
          <w:tcPr>
            <w:tcW w:w="535" w:type="pct"/>
            <w:tcBorders>
              <w:top w:val="single" w:color="auto" w:sz="4" w:space="0"/>
              <w:left w:val="single" w:color="auto" w:sz="4" w:space="0"/>
              <w:bottom w:val="single" w:color="auto" w:sz="4" w:space="0"/>
              <w:right w:val="single" w:color="auto" w:sz="4" w:space="0"/>
            </w:tcBorders>
            <w:noWrap/>
            <w:vAlign w:val="center"/>
          </w:tcPr>
          <w:p w14:paraId="140C1341">
            <w:pPr>
              <w:spacing w:line="360" w:lineRule="auto"/>
              <w:jc w:val="center"/>
              <w:rPr>
                <w:rFonts w:hint="eastAsia" w:ascii="仿宋" w:hAnsi="仿宋" w:eastAsia="仿宋"/>
                <w:spacing w:val="-1"/>
                <w:sz w:val="24"/>
              </w:rPr>
            </w:pPr>
          </w:p>
          <w:p w14:paraId="2E4B5E16">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1C6531AF">
            <w:pPr>
              <w:spacing w:line="360" w:lineRule="auto"/>
              <w:jc w:val="center"/>
              <w:rPr>
                <w:rFonts w:hint="eastAsia" w:ascii="仿宋" w:hAnsi="仿宋" w:eastAsia="仿宋"/>
                <w:spacing w:val="-1"/>
                <w:sz w:val="24"/>
              </w:rPr>
            </w:pPr>
            <w:r>
              <w:rPr>
                <w:rFonts w:ascii="仿宋" w:hAnsi="仿宋" w:eastAsia="仿宋"/>
                <w:spacing w:val="-1"/>
                <w:sz w:val="24"/>
              </w:rPr>
              <w:t>管理</w:t>
            </w:r>
          </w:p>
        </w:tc>
        <w:tc>
          <w:tcPr>
            <w:tcW w:w="3260" w:type="pct"/>
            <w:tcBorders>
              <w:top w:val="single" w:color="auto" w:sz="4" w:space="0"/>
              <w:left w:val="single" w:color="auto" w:sz="4" w:space="0"/>
              <w:bottom w:val="single" w:color="auto" w:sz="4" w:space="0"/>
              <w:right w:val="single" w:color="auto" w:sz="4" w:space="0"/>
            </w:tcBorders>
            <w:vAlign w:val="center"/>
          </w:tcPr>
          <w:p w14:paraId="712FC92F">
            <w:pPr>
              <w:spacing w:line="360" w:lineRule="auto"/>
              <w:rPr>
                <w:rFonts w:hint="eastAsia" w:ascii="仿宋" w:hAnsi="仿宋" w:eastAsia="仿宋"/>
                <w:spacing w:val="-1"/>
                <w:sz w:val="24"/>
              </w:rPr>
            </w:pPr>
            <w:r>
              <w:rPr>
                <w:rFonts w:ascii="仿宋" w:hAnsi="仿宋" w:eastAsia="仿宋"/>
                <w:spacing w:val="-1"/>
                <w:sz w:val="24"/>
              </w:rPr>
              <w:t>信息接口：</w:t>
            </w:r>
          </w:p>
          <w:p w14:paraId="5145FC45">
            <w:pPr>
              <w:spacing w:line="360" w:lineRule="auto"/>
              <w:rPr>
                <w:rFonts w:hint="eastAsia" w:ascii="仿宋" w:hAnsi="仿宋" w:eastAsia="仿宋"/>
                <w:spacing w:val="-1"/>
                <w:sz w:val="24"/>
              </w:rPr>
            </w:pPr>
            <w:r>
              <w:rPr>
                <w:rFonts w:ascii="仿宋" w:hAnsi="仿宋" w:eastAsia="仿宋"/>
                <w:spacing w:val="-1"/>
                <w:sz w:val="24"/>
              </w:rPr>
              <w:t>提供与计算机工作站使用相关的数据安全模块，并内置工作站使用中需求的恢复工具等说明</w:t>
            </w:r>
            <w:r>
              <w:rPr>
                <w:rFonts w:hint="eastAsia" w:ascii="仿宋" w:hAnsi="仿宋" w:eastAsia="仿宋"/>
                <w:spacing w:val="-1"/>
                <w:sz w:val="24"/>
              </w:rPr>
              <w:t>；</w:t>
            </w:r>
          </w:p>
          <w:p w14:paraId="04EBC800">
            <w:pPr>
              <w:spacing w:line="360" w:lineRule="auto"/>
              <w:rPr>
                <w:rFonts w:hint="eastAsia" w:ascii="仿宋" w:hAnsi="仿宋" w:eastAsia="仿宋"/>
                <w:spacing w:val="-1"/>
                <w:sz w:val="24"/>
              </w:rPr>
            </w:pPr>
            <w:r>
              <w:rPr>
                <w:rFonts w:ascii="仿宋" w:hAnsi="仿宋" w:eastAsia="仿宋"/>
                <w:spacing w:val="-1"/>
                <w:sz w:val="24"/>
              </w:rPr>
              <w:t>可管理性远程管理卡</w:t>
            </w:r>
            <w:r>
              <w:rPr>
                <w:rFonts w:hint="eastAsia" w:eastAsia="仿宋" w:cs="Calibri"/>
                <w:spacing w:val="-1"/>
                <w:sz w:val="24"/>
              </w:rPr>
              <w:t>，</w:t>
            </w:r>
            <w:r>
              <w:rPr>
                <w:rFonts w:ascii="仿宋" w:hAnsi="仿宋" w:eastAsia="仿宋"/>
                <w:spacing w:val="-1"/>
                <w:sz w:val="24"/>
              </w:rPr>
              <w:t>配置千兆独立的远程管理控制端口；支持远程监控图形界面，</w:t>
            </w:r>
            <w:r>
              <w:rPr>
                <w:rFonts w:hint="eastAsia" w:ascii="仿宋" w:hAnsi="仿宋" w:eastAsia="仿宋"/>
                <w:spacing w:val="-1"/>
                <w:sz w:val="24"/>
              </w:rPr>
              <w:t>支持远程开关机、重启、固件升级、虚拟介质、KVM等功能；</w:t>
            </w:r>
            <w:r>
              <w:rPr>
                <w:rFonts w:ascii="仿宋" w:hAnsi="仿宋" w:eastAsia="仿宋"/>
                <w:spacing w:val="-1"/>
                <w:sz w:val="24"/>
              </w:rPr>
              <w:t>KVM</w:t>
            </w:r>
            <w:r>
              <w:rPr>
                <w:rFonts w:eastAsia="仿宋" w:cs="Calibri"/>
                <w:spacing w:val="-1"/>
                <w:sz w:val="24"/>
              </w:rPr>
              <w:t> </w:t>
            </w:r>
            <w:r>
              <w:rPr>
                <w:rFonts w:ascii="仿宋" w:hAnsi="仿宋" w:eastAsia="仿宋"/>
                <w:spacing w:val="-1"/>
                <w:sz w:val="24"/>
              </w:rPr>
              <w:t>over</w:t>
            </w:r>
            <w:r>
              <w:rPr>
                <w:rFonts w:eastAsia="仿宋" w:cs="Calibri"/>
                <w:spacing w:val="-1"/>
                <w:sz w:val="24"/>
              </w:rPr>
              <w:t> </w:t>
            </w:r>
            <w:r>
              <w:rPr>
                <w:rFonts w:ascii="仿宋" w:hAnsi="仿宋" w:eastAsia="仿宋"/>
                <w:spacing w:val="-1"/>
                <w:sz w:val="24"/>
              </w:rPr>
              <w:t>IP等操作HTML5支持</w:t>
            </w:r>
            <w:r>
              <w:rPr>
                <w:rFonts w:eastAsia="仿宋" w:cs="Calibri"/>
                <w:spacing w:val="-1"/>
                <w:sz w:val="24"/>
              </w:rPr>
              <w:t> </w:t>
            </w:r>
            <w:r>
              <w:rPr>
                <w:rFonts w:ascii="仿宋" w:hAnsi="仿宋" w:eastAsia="仿宋"/>
                <w:spacing w:val="-1"/>
                <w:sz w:val="24"/>
              </w:rPr>
              <w:t>远程管理系统可选择基于HTML5方式，非传统的JAVA等需要安装插件方式，需提供管理界面截图</w:t>
            </w:r>
            <w:r>
              <w:rPr>
                <w:rFonts w:hint="eastAsia" w:ascii="仿宋" w:hAnsi="仿宋" w:eastAsia="仿宋"/>
                <w:spacing w:val="-1"/>
                <w:sz w:val="24"/>
              </w:rPr>
              <w:t>。</w:t>
            </w:r>
          </w:p>
        </w:tc>
      </w:tr>
      <w:tr w14:paraId="3C6D8852">
        <w:tblPrEx>
          <w:tblCellMar>
            <w:top w:w="0" w:type="dxa"/>
            <w:left w:w="108" w:type="dxa"/>
            <w:bottom w:w="0" w:type="dxa"/>
            <w:right w:w="108" w:type="dxa"/>
          </w:tblCellMar>
        </w:tblPrEx>
        <w:trPr>
          <w:trHeight w:val="757"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77305ED8">
            <w:pPr>
              <w:spacing w:line="360" w:lineRule="auto"/>
              <w:jc w:val="center"/>
              <w:rPr>
                <w:rFonts w:hint="eastAsia" w:ascii="仿宋" w:hAnsi="仿宋" w:eastAsia="仿宋"/>
                <w:spacing w:val="-1"/>
                <w:sz w:val="24"/>
              </w:rPr>
            </w:pPr>
            <w:r>
              <w:rPr>
                <w:rFonts w:hint="eastAsia" w:ascii="仿宋" w:hAnsi="仿宋" w:eastAsia="仿宋"/>
                <w:spacing w:val="-1"/>
                <w:sz w:val="24"/>
              </w:rPr>
              <w:t>16</w:t>
            </w:r>
          </w:p>
        </w:tc>
        <w:tc>
          <w:tcPr>
            <w:tcW w:w="535" w:type="pct"/>
            <w:tcBorders>
              <w:top w:val="single" w:color="auto" w:sz="4" w:space="0"/>
              <w:left w:val="single" w:color="auto" w:sz="4" w:space="0"/>
              <w:bottom w:val="single" w:color="auto" w:sz="4" w:space="0"/>
              <w:right w:val="single" w:color="auto" w:sz="4" w:space="0"/>
            </w:tcBorders>
            <w:noWrap/>
            <w:vAlign w:val="center"/>
          </w:tcPr>
          <w:p w14:paraId="15B38A25">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vAlign w:val="center"/>
          </w:tcPr>
          <w:p w14:paraId="23C762B8">
            <w:pPr>
              <w:spacing w:line="360" w:lineRule="auto"/>
              <w:jc w:val="center"/>
              <w:rPr>
                <w:rFonts w:hint="eastAsia" w:ascii="仿宋" w:hAnsi="仿宋" w:eastAsia="仿宋"/>
                <w:spacing w:val="-1"/>
                <w:sz w:val="24"/>
              </w:rPr>
            </w:pPr>
            <w:r>
              <w:rPr>
                <w:rFonts w:hint="eastAsia" w:ascii="仿宋" w:hAnsi="仿宋" w:eastAsia="仿宋"/>
                <w:spacing w:val="-1"/>
                <w:sz w:val="24"/>
              </w:rPr>
              <w:t>大模型平台</w:t>
            </w:r>
          </w:p>
        </w:tc>
        <w:tc>
          <w:tcPr>
            <w:tcW w:w="3260" w:type="pct"/>
            <w:tcBorders>
              <w:top w:val="single" w:color="auto" w:sz="4" w:space="0"/>
              <w:left w:val="single" w:color="auto" w:sz="4" w:space="0"/>
              <w:bottom w:val="single" w:color="auto" w:sz="4" w:space="0"/>
              <w:right w:val="single" w:color="auto" w:sz="4" w:space="0"/>
            </w:tcBorders>
            <w:vAlign w:val="center"/>
          </w:tcPr>
          <w:p w14:paraId="3322E5F1">
            <w:pPr>
              <w:spacing w:line="360" w:lineRule="auto"/>
              <w:rPr>
                <w:rFonts w:hint="eastAsia" w:ascii="仿宋" w:hAnsi="仿宋" w:eastAsia="仿宋"/>
                <w:spacing w:val="-1"/>
                <w:sz w:val="24"/>
              </w:rPr>
            </w:pPr>
            <w:r>
              <w:rPr>
                <w:rFonts w:hint="eastAsia" w:ascii="仿宋" w:hAnsi="仿宋" w:eastAsia="仿宋"/>
                <w:spacing w:val="-1"/>
                <w:sz w:val="24"/>
              </w:rPr>
              <w:t>预装并适配国产开源大语言模型，全面兼容国产一线开源模型生态。</w:t>
            </w:r>
          </w:p>
          <w:p w14:paraId="5CDC11C3">
            <w:pPr>
              <w:spacing w:line="360" w:lineRule="auto"/>
              <w:rPr>
                <w:rFonts w:hint="eastAsia" w:ascii="仿宋" w:hAnsi="仿宋" w:eastAsia="仿宋"/>
                <w:spacing w:val="-1"/>
                <w:sz w:val="24"/>
              </w:rPr>
            </w:pPr>
            <w:r>
              <w:rPr>
                <w:rFonts w:hint="eastAsia" w:ascii="仿宋" w:hAnsi="仿宋" w:eastAsia="仿宋"/>
                <w:spacing w:val="-1"/>
                <w:sz w:val="24"/>
              </w:rPr>
              <w:t>1. 支持在局域网全离线环境下稳定进行推理，保障医疗数据安全；</w:t>
            </w:r>
          </w:p>
          <w:p w14:paraId="01A23D0F">
            <w:pPr>
              <w:spacing w:line="360" w:lineRule="auto"/>
              <w:rPr>
                <w:rFonts w:hint="eastAsia" w:ascii="仿宋" w:hAnsi="仿宋" w:eastAsia="仿宋"/>
                <w:spacing w:val="-1"/>
                <w:sz w:val="24"/>
              </w:rPr>
            </w:pPr>
            <w:r>
              <w:rPr>
                <w:rFonts w:hint="eastAsia" w:ascii="仿宋" w:hAnsi="仿宋" w:eastAsia="仿宋"/>
                <w:spacing w:val="-1"/>
                <w:sz w:val="24"/>
              </w:rPr>
              <w:t>2. 出厂需配置好模型运行所需的底层驱动、推理加速库及可视化交互界面，出厂预配置运行环境；</w:t>
            </w:r>
          </w:p>
          <w:p w14:paraId="480D2C69">
            <w:pPr>
              <w:spacing w:line="360" w:lineRule="auto"/>
              <w:rPr>
                <w:rFonts w:hint="eastAsia" w:ascii="仿宋" w:hAnsi="仿宋" w:eastAsia="仿宋"/>
                <w:spacing w:val="-1"/>
                <w:sz w:val="24"/>
              </w:rPr>
            </w:pPr>
            <w:r>
              <w:rPr>
                <w:rFonts w:hint="eastAsia" w:ascii="仿宋" w:hAnsi="仿宋" w:eastAsia="仿宋"/>
                <w:spacing w:val="-1"/>
                <w:sz w:val="24"/>
              </w:rPr>
              <w:t>3. 提供标准化的模型调用接口（API），支持加载医院私域数据开展二次微调（SFT）。</w:t>
            </w:r>
          </w:p>
        </w:tc>
      </w:tr>
      <w:tr w14:paraId="75E22BE6">
        <w:tblPrEx>
          <w:tblCellMar>
            <w:top w:w="0" w:type="dxa"/>
            <w:left w:w="108" w:type="dxa"/>
            <w:bottom w:w="0" w:type="dxa"/>
            <w:right w:w="108" w:type="dxa"/>
          </w:tblCellMar>
        </w:tblPrEx>
        <w:trPr>
          <w:trHeight w:val="757"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51137E5D">
            <w:pPr>
              <w:spacing w:line="360" w:lineRule="auto"/>
              <w:jc w:val="center"/>
              <w:rPr>
                <w:rFonts w:hint="eastAsia" w:ascii="仿宋" w:hAnsi="仿宋" w:eastAsia="仿宋"/>
                <w:spacing w:val="-1"/>
                <w:sz w:val="24"/>
              </w:rPr>
            </w:pPr>
            <w:r>
              <w:rPr>
                <w:rFonts w:hint="eastAsia" w:ascii="仿宋" w:hAnsi="仿宋" w:eastAsia="仿宋"/>
                <w:spacing w:val="-1"/>
                <w:sz w:val="24"/>
              </w:rPr>
              <w:t>17</w:t>
            </w:r>
          </w:p>
        </w:tc>
        <w:tc>
          <w:tcPr>
            <w:tcW w:w="535" w:type="pct"/>
            <w:tcBorders>
              <w:top w:val="single" w:color="auto" w:sz="4" w:space="0"/>
              <w:left w:val="single" w:color="auto" w:sz="4" w:space="0"/>
              <w:bottom w:val="single" w:color="auto" w:sz="4" w:space="0"/>
              <w:right w:val="single" w:color="auto" w:sz="4" w:space="0"/>
            </w:tcBorders>
            <w:noWrap/>
            <w:vAlign w:val="center"/>
          </w:tcPr>
          <w:p w14:paraId="73E3A80C">
            <w:pPr>
              <w:spacing w:line="360" w:lineRule="auto"/>
              <w:jc w:val="center"/>
              <w:rPr>
                <w:rFonts w:hint="eastAsia" w:ascii="仿宋" w:hAnsi="仿宋" w:eastAsia="仿宋"/>
                <w:sz w:val="24"/>
              </w:rPr>
            </w:pPr>
          </w:p>
        </w:tc>
        <w:tc>
          <w:tcPr>
            <w:tcW w:w="806" w:type="pct"/>
            <w:tcBorders>
              <w:top w:val="single" w:color="auto" w:sz="4" w:space="0"/>
              <w:left w:val="single" w:color="auto" w:sz="4" w:space="0"/>
              <w:bottom w:val="single" w:color="auto" w:sz="4" w:space="0"/>
              <w:right w:val="single" w:color="auto" w:sz="4" w:space="0"/>
            </w:tcBorders>
            <w:noWrap/>
            <w:vAlign w:val="center"/>
          </w:tcPr>
          <w:p w14:paraId="7FB2D4A2">
            <w:pPr>
              <w:spacing w:line="360" w:lineRule="auto"/>
              <w:jc w:val="center"/>
              <w:rPr>
                <w:rFonts w:hint="eastAsia" w:ascii="仿宋" w:hAnsi="仿宋" w:eastAsia="仿宋"/>
                <w:spacing w:val="-1"/>
                <w:sz w:val="24"/>
              </w:rPr>
            </w:pPr>
            <w:r>
              <w:rPr>
                <w:rFonts w:hint="eastAsia" w:ascii="仿宋" w:hAnsi="仿宋" w:eastAsia="仿宋"/>
                <w:spacing w:val="-1"/>
                <w:sz w:val="24"/>
              </w:rPr>
              <w:t>保修</w:t>
            </w:r>
          </w:p>
        </w:tc>
        <w:tc>
          <w:tcPr>
            <w:tcW w:w="3260" w:type="pct"/>
            <w:tcBorders>
              <w:top w:val="single" w:color="auto" w:sz="4" w:space="0"/>
              <w:left w:val="single" w:color="auto" w:sz="4" w:space="0"/>
              <w:bottom w:val="single" w:color="auto" w:sz="4" w:space="0"/>
              <w:right w:val="single" w:color="auto" w:sz="4" w:space="0"/>
            </w:tcBorders>
            <w:vAlign w:val="center"/>
          </w:tcPr>
          <w:p w14:paraId="0A9449DC">
            <w:pPr>
              <w:spacing w:line="360" w:lineRule="auto"/>
              <w:rPr>
                <w:rFonts w:hint="eastAsia" w:ascii="仿宋" w:hAnsi="仿宋" w:eastAsia="仿宋"/>
                <w:spacing w:val="-1"/>
                <w:sz w:val="24"/>
              </w:rPr>
            </w:pPr>
            <w:r>
              <w:rPr>
                <w:rFonts w:ascii="仿宋" w:hAnsi="仿宋" w:eastAsia="仿宋"/>
                <w:spacing w:val="-1"/>
                <w:sz w:val="24"/>
              </w:rPr>
              <w:t>保修：3年整机产品质保，具备远程机器检测能力</w:t>
            </w:r>
            <w:r>
              <w:rPr>
                <w:rFonts w:hint="eastAsia" w:ascii="仿宋" w:hAnsi="仿宋" w:eastAsia="仿宋"/>
                <w:spacing w:val="-1"/>
                <w:sz w:val="24"/>
              </w:rPr>
              <w:t>。</w:t>
            </w:r>
          </w:p>
        </w:tc>
      </w:tr>
      <w:bookmarkEnd w:id="40"/>
    </w:tbl>
    <w:p w14:paraId="00BB127E">
      <w:pPr>
        <w:rPr>
          <w:rFonts w:hint="eastAsia" w:ascii="仿宋" w:hAnsi="仿宋" w:eastAsia="仿宋"/>
          <w:sz w:val="24"/>
        </w:rPr>
      </w:pPr>
    </w:p>
    <w:p w14:paraId="23C109AC">
      <w:pPr>
        <w:widowControl/>
        <w:jc w:val="left"/>
        <w:rPr>
          <w:rFonts w:hint="eastAsia" w:ascii="仿宋_GB2312" w:hAnsi="仿宋_GB2312" w:eastAsia="仿宋_GB2312" w:cs="仿宋_GB2312"/>
          <w:b/>
          <w:sz w:val="24"/>
        </w:rPr>
      </w:pPr>
    </w:p>
    <w:p w14:paraId="3F9CD12B">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应用服务器1台</w:t>
      </w:r>
    </w:p>
    <w:tbl>
      <w:tblPr>
        <w:tblStyle w:val="31"/>
        <w:tblW w:w="4997" w:type="pct"/>
        <w:tblInd w:w="0" w:type="dxa"/>
        <w:tblLayout w:type="autofit"/>
        <w:tblCellMar>
          <w:top w:w="0" w:type="dxa"/>
          <w:left w:w="108" w:type="dxa"/>
          <w:bottom w:w="0" w:type="dxa"/>
          <w:right w:w="108" w:type="dxa"/>
        </w:tblCellMar>
      </w:tblPr>
      <w:tblGrid>
        <w:gridCol w:w="765"/>
        <w:gridCol w:w="1030"/>
        <w:gridCol w:w="1619"/>
        <w:gridCol w:w="6209"/>
      </w:tblGrid>
      <w:tr w14:paraId="13151421">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7E11411C">
            <w:pPr>
              <w:spacing w:line="360" w:lineRule="auto"/>
              <w:jc w:val="center"/>
              <w:rPr>
                <w:rFonts w:hint="eastAsia" w:ascii="仿宋" w:hAnsi="仿宋" w:eastAsia="仿宋"/>
                <w:b/>
                <w:bCs/>
                <w:spacing w:val="-1"/>
                <w:sz w:val="24"/>
              </w:rPr>
            </w:pPr>
            <w:r>
              <w:rPr>
                <w:rFonts w:ascii="仿宋" w:hAnsi="仿宋" w:eastAsia="仿宋"/>
                <w:b/>
                <w:bCs/>
                <w:spacing w:val="-1"/>
                <w:sz w:val="24"/>
              </w:rPr>
              <w:t>序号</w:t>
            </w:r>
          </w:p>
        </w:tc>
        <w:tc>
          <w:tcPr>
            <w:tcW w:w="535" w:type="pct"/>
            <w:tcBorders>
              <w:top w:val="single" w:color="auto" w:sz="4" w:space="0"/>
              <w:left w:val="single" w:color="auto" w:sz="4" w:space="0"/>
              <w:bottom w:val="single" w:color="auto" w:sz="4" w:space="0"/>
              <w:right w:val="single" w:color="auto" w:sz="4" w:space="0"/>
            </w:tcBorders>
            <w:noWrap/>
            <w:vAlign w:val="center"/>
          </w:tcPr>
          <w:p w14:paraId="76FBD9A3">
            <w:pPr>
              <w:spacing w:line="360" w:lineRule="auto"/>
              <w:jc w:val="center"/>
              <w:rPr>
                <w:rFonts w:hint="eastAsia" w:ascii="仿宋" w:hAnsi="仿宋" w:eastAsia="仿宋"/>
                <w:b/>
                <w:bCs/>
                <w:spacing w:val="-1"/>
                <w:sz w:val="24"/>
              </w:rPr>
            </w:pPr>
            <w:r>
              <w:rPr>
                <w:rFonts w:ascii="仿宋" w:hAnsi="仿宋" w:eastAsia="仿宋"/>
                <w:b/>
                <w:bCs/>
                <w:spacing w:val="-1"/>
                <w:sz w:val="24"/>
              </w:rPr>
              <w:t>重要性</w:t>
            </w:r>
          </w:p>
        </w:tc>
        <w:tc>
          <w:tcPr>
            <w:tcW w:w="841" w:type="pct"/>
            <w:tcBorders>
              <w:top w:val="single" w:color="auto" w:sz="4" w:space="0"/>
              <w:left w:val="single" w:color="auto" w:sz="4" w:space="0"/>
              <w:bottom w:val="single" w:color="auto" w:sz="4" w:space="0"/>
              <w:right w:val="single" w:color="auto" w:sz="4" w:space="0"/>
            </w:tcBorders>
            <w:vAlign w:val="center"/>
          </w:tcPr>
          <w:p w14:paraId="36D935D5">
            <w:pPr>
              <w:spacing w:line="360" w:lineRule="auto"/>
              <w:jc w:val="center"/>
              <w:rPr>
                <w:rFonts w:hint="eastAsia" w:ascii="仿宋" w:hAnsi="仿宋" w:eastAsia="仿宋"/>
                <w:b/>
                <w:bCs/>
                <w:spacing w:val="-1"/>
                <w:sz w:val="24"/>
              </w:rPr>
            </w:pPr>
            <w:r>
              <w:rPr>
                <w:rFonts w:ascii="仿宋" w:hAnsi="仿宋" w:eastAsia="仿宋"/>
                <w:b/>
                <w:bCs/>
                <w:spacing w:val="-1"/>
                <w:sz w:val="24"/>
              </w:rPr>
              <w:t>技术指标</w:t>
            </w:r>
          </w:p>
        </w:tc>
        <w:tc>
          <w:tcPr>
            <w:tcW w:w="3226" w:type="pct"/>
            <w:tcBorders>
              <w:top w:val="single" w:color="auto" w:sz="4" w:space="0"/>
              <w:left w:val="single" w:color="auto" w:sz="4" w:space="0"/>
              <w:bottom w:val="single" w:color="auto" w:sz="4" w:space="0"/>
              <w:right w:val="single" w:color="auto" w:sz="4" w:space="0"/>
            </w:tcBorders>
            <w:vAlign w:val="center"/>
          </w:tcPr>
          <w:p w14:paraId="45F2EA58">
            <w:pPr>
              <w:spacing w:line="360" w:lineRule="auto"/>
              <w:jc w:val="center"/>
              <w:rPr>
                <w:rFonts w:hint="eastAsia" w:ascii="仿宋" w:hAnsi="仿宋" w:eastAsia="仿宋"/>
                <w:b/>
                <w:bCs/>
                <w:spacing w:val="-1"/>
                <w:sz w:val="24"/>
              </w:rPr>
            </w:pPr>
            <w:r>
              <w:rPr>
                <w:rFonts w:ascii="仿宋" w:hAnsi="仿宋" w:eastAsia="仿宋"/>
                <w:b/>
                <w:bCs/>
                <w:spacing w:val="-1"/>
                <w:sz w:val="24"/>
              </w:rPr>
              <w:t>重要参数</w:t>
            </w:r>
          </w:p>
        </w:tc>
      </w:tr>
      <w:tr w14:paraId="768CEA41">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noWrap/>
          </w:tcPr>
          <w:p w14:paraId="2AB1E784">
            <w:pPr>
              <w:spacing w:line="360" w:lineRule="auto"/>
              <w:jc w:val="center"/>
              <w:rPr>
                <w:rFonts w:hint="eastAsia" w:ascii="仿宋" w:hAnsi="仿宋" w:eastAsia="仿宋"/>
                <w:spacing w:val="-1"/>
                <w:sz w:val="24"/>
              </w:rPr>
            </w:pP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tcPr>
          <w:p w14:paraId="060B8F45">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0483F527">
            <w:pPr>
              <w:spacing w:line="360" w:lineRule="auto"/>
              <w:jc w:val="center"/>
              <w:rPr>
                <w:rFonts w:hint="eastAsia" w:ascii="仿宋" w:hAnsi="仿宋" w:eastAsia="仿宋"/>
                <w:spacing w:val="-1"/>
                <w:sz w:val="24"/>
              </w:rPr>
            </w:pPr>
            <w:r>
              <w:rPr>
                <w:rFonts w:hint="eastAsia" w:ascii="仿宋" w:hAnsi="仿宋" w:eastAsia="仿宋"/>
                <w:spacing w:val="-1"/>
                <w:sz w:val="24"/>
              </w:rPr>
              <w:t>机箱形态</w:t>
            </w:r>
          </w:p>
        </w:tc>
        <w:tc>
          <w:tcPr>
            <w:tcW w:w="3226" w:type="pct"/>
            <w:tcBorders>
              <w:top w:val="single" w:color="auto" w:sz="4" w:space="0"/>
              <w:left w:val="single" w:color="auto" w:sz="4" w:space="0"/>
              <w:bottom w:val="single" w:color="auto" w:sz="4" w:space="0"/>
              <w:right w:val="single" w:color="auto" w:sz="4" w:space="0"/>
            </w:tcBorders>
          </w:tcPr>
          <w:p w14:paraId="55609DA7">
            <w:pPr>
              <w:spacing w:line="360" w:lineRule="auto"/>
              <w:rPr>
                <w:rFonts w:hint="eastAsia" w:ascii="仿宋" w:hAnsi="仿宋" w:eastAsia="仿宋"/>
                <w:spacing w:val="-1"/>
                <w:sz w:val="24"/>
              </w:rPr>
            </w:pPr>
            <w:r>
              <w:rPr>
                <w:rFonts w:hint="eastAsia" w:ascii="仿宋" w:hAnsi="仿宋" w:eastAsia="仿宋"/>
                <w:spacing w:val="-1"/>
                <w:sz w:val="24"/>
              </w:rPr>
              <w:t>机架式服务器。</w:t>
            </w:r>
          </w:p>
        </w:tc>
      </w:tr>
      <w:tr w14:paraId="74ABD76E">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1703B09C">
            <w:pPr>
              <w:spacing w:line="360" w:lineRule="auto"/>
              <w:jc w:val="center"/>
              <w:rPr>
                <w:rFonts w:hint="eastAsia" w:ascii="仿宋" w:hAnsi="仿宋" w:eastAsia="仿宋"/>
                <w:spacing w:val="-1"/>
                <w:sz w:val="24"/>
              </w:rPr>
            </w:pP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tcPr>
          <w:p w14:paraId="039B00DB">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noWrap/>
          </w:tcPr>
          <w:p w14:paraId="6C7C7D2A">
            <w:pPr>
              <w:spacing w:line="360" w:lineRule="auto"/>
              <w:jc w:val="center"/>
              <w:rPr>
                <w:rFonts w:hint="eastAsia" w:ascii="仿宋" w:hAnsi="仿宋" w:eastAsia="仿宋"/>
                <w:spacing w:val="-1"/>
                <w:sz w:val="24"/>
              </w:rPr>
            </w:pPr>
            <w:r>
              <w:rPr>
                <w:rFonts w:hint="eastAsia" w:ascii="仿宋" w:hAnsi="仿宋" w:eastAsia="仿宋"/>
                <w:spacing w:val="-1"/>
                <w:sz w:val="24"/>
              </w:rPr>
              <w:t>处理器</w:t>
            </w:r>
          </w:p>
        </w:tc>
        <w:tc>
          <w:tcPr>
            <w:tcW w:w="3226" w:type="pct"/>
            <w:tcBorders>
              <w:top w:val="single" w:color="auto" w:sz="4" w:space="0"/>
              <w:left w:val="single" w:color="auto" w:sz="4" w:space="0"/>
              <w:bottom w:val="single" w:color="auto" w:sz="4" w:space="0"/>
              <w:right w:val="single" w:color="auto" w:sz="4" w:space="0"/>
            </w:tcBorders>
          </w:tcPr>
          <w:p w14:paraId="7EDAA984">
            <w:pPr>
              <w:spacing w:line="360" w:lineRule="auto"/>
              <w:rPr>
                <w:rFonts w:hint="eastAsia" w:ascii="仿宋" w:hAnsi="仿宋" w:eastAsia="仿宋"/>
                <w:spacing w:val="-1"/>
                <w:sz w:val="24"/>
              </w:rPr>
            </w:pPr>
            <w:r>
              <w:rPr>
                <w:rFonts w:hint="eastAsia" w:ascii="仿宋" w:hAnsi="仿宋" w:eastAsia="仿宋"/>
                <w:spacing w:val="-1"/>
                <w:sz w:val="24"/>
              </w:rPr>
              <w:t>配置≥2颗企业级通用处理器；</w:t>
            </w:r>
          </w:p>
          <w:p w14:paraId="25A6377F">
            <w:pPr>
              <w:spacing w:line="360" w:lineRule="auto"/>
              <w:rPr>
                <w:rFonts w:hint="eastAsia" w:ascii="仿宋" w:hAnsi="仿宋" w:eastAsia="仿宋"/>
                <w:spacing w:val="-1"/>
                <w:sz w:val="24"/>
              </w:rPr>
            </w:pPr>
            <w:r>
              <w:rPr>
                <w:rFonts w:hint="eastAsia" w:ascii="仿宋" w:hAnsi="仿宋" w:eastAsia="仿宋"/>
                <w:spacing w:val="-1"/>
                <w:sz w:val="24"/>
              </w:rPr>
              <w:t>双处理器总核心数≥12核，总线程数≥12线程，基础主频≥1.9GHz。</w:t>
            </w:r>
          </w:p>
        </w:tc>
      </w:tr>
      <w:tr w14:paraId="43623344">
        <w:tblPrEx>
          <w:tblCellMar>
            <w:top w:w="0" w:type="dxa"/>
            <w:left w:w="108" w:type="dxa"/>
            <w:bottom w:w="0" w:type="dxa"/>
            <w:right w:w="108" w:type="dxa"/>
          </w:tblCellMar>
        </w:tblPrEx>
        <w:trPr>
          <w:trHeight w:val="900" w:hRule="atLeast"/>
        </w:trPr>
        <w:tc>
          <w:tcPr>
            <w:tcW w:w="398" w:type="pct"/>
            <w:tcBorders>
              <w:top w:val="single" w:color="auto" w:sz="4" w:space="0"/>
              <w:left w:val="single" w:color="auto" w:sz="4" w:space="0"/>
              <w:bottom w:val="single" w:color="auto" w:sz="4" w:space="0"/>
              <w:right w:val="single" w:color="auto" w:sz="4" w:space="0"/>
            </w:tcBorders>
            <w:noWrap/>
          </w:tcPr>
          <w:p w14:paraId="7F747E0F">
            <w:pPr>
              <w:spacing w:line="360" w:lineRule="auto"/>
              <w:jc w:val="center"/>
              <w:rPr>
                <w:rFonts w:hint="eastAsia" w:ascii="仿宋" w:hAnsi="仿宋" w:eastAsia="仿宋"/>
                <w:spacing w:val="-1"/>
                <w:sz w:val="24"/>
              </w:rPr>
            </w:pP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tcPr>
          <w:p w14:paraId="33150341">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shd w:val="clear" w:color="000000" w:fill="FFFFFF"/>
            <w:noWrap/>
          </w:tcPr>
          <w:p w14:paraId="482AAD8E">
            <w:pPr>
              <w:spacing w:line="360" w:lineRule="auto"/>
              <w:jc w:val="center"/>
              <w:rPr>
                <w:rFonts w:hint="eastAsia" w:ascii="仿宋" w:hAnsi="仿宋" w:eastAsia="仿宋"/>
                <w:spacing w:val="-1"/>
                <w:sz w:val="24"/>
              </w:rPr>
            </w:pPr>
            <w:r>
              <w:rPr>
                <w:rFonts w:hint="eastAsia" w:ascii="仿宋" w:hAnsi="仿宋" w:eastAsia="仿宋"/>
                <w:spacing w:val="-1"/>
                <w:sz w:val="24"/>
              </w:rPr>
              <w:t>内存</w:t>
            </w:r>
          </w:p>
        </w:tc>
        <w:tc>
          <w:tcPr>
            <w:tcW w:w="3226" w:type="pct"/>
            <w:tcBorders>
              <w:top w:val="single" w:color="auto" w:sz="4" w:space="0"/>
              <w:left w:val="single" w:color="auto" w:sz="4" w:space="0"/>
              <w:bottom w:val="single" w:color="auto" w:sz="4" w:space="0"/>
              <w:right w:val="single" w:color="auto" w:sz="4" w:space="0"/>
            </w:tcBorders>
          </w:tcPr>
          <w:p w14:paraId="2850EB5E">
            <w:pPr>
              <w:spacing w:line="360" w:lineRule="auto"/>
              <w:rPr>
                <w:rFonts w:hint="eastAsia" w:ascii="仿宋" w:hAnsi="仿宋" w:eastAsia="仿宋"/>
                <w:spacing w:val="-1"/>
                <w:sz w:val="24"/>
              </w:rPr>
            </w:pPr>
            <w:r>
              <w:rPr>
                <w:rFonts w:hint="eastAsia" w:ascii="仿宋" w:hAnsi="仿宋" w:eastAsia="仿宋"/>
                <w:spacing w:val="-1"/>
                <w:sz w:val="24"/>
              </w:rPr>
              <w:t>配置≥256GB DDR4DIMM RECC 内存，支持数据校验纠错；内存工作频率支持2933MHz及以上规格。</w:t>
            </w:r>
          </w:p>
        </w:tc>
      </w:tr>
      <w:tr w14:paraId="3A8A2DD8">
        <w:tblPrEx>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noWrap/>
          </w:tcPr>
          <w:p w14:paraId="2955816F">
            <w:pPr>
              <w:spacing w:line="360" w:lineRule="auto"/>
              <w:jc w:val="center"/>
              <w:rPr>
                <w:rFonts w:hint="eastAsia" w:ascii="仿宋" w:hAnsi="仿宋" w:eastAsia="仿宋"/>
                <w:spacing w:val="-1"/>
                <w:sz w:val="24"/>
              </w:rPr>
            </w:pP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tcPr>
          <w:p w14:paraId="50534EF9">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noWrap/>
          </w:tcPr>
          <w:p w14:paraId="27098385">
            <w:pPr>
              <w:spacing w:line="360" w:lineRule="auto"/>
              <w:jc w:val="center"/>
              <w:rPr>
                <w:rFonts w:hint="eastAsia" w:ascii="仿宋" w:hAnsi="仿宋" w:eastAsia="仿宋"/>
                <w:spacing w:val="-1"/>
                <w:sz w:val="24"/>
              </w:rPr>
            </w:pPr>
            <w:r>
              <w:rPr>
                <w:rFonts w:hint="eastAsia" w:ascii="仿宋" w:hAnsi="仿宋" w:eastAsia="仿宋"/>
                <w:spacing w:val="-1"/>
                <w:sz w:val="24"/>
              </w:rPr>
              <w:t>硬盘配置</w:t>
            </w:r>
          </w:p>
        </w:tc>
        <w:tc>
          <w:tcPr>
            <w:tcW w:w="3226" w:type="pct"/>
            <w:tcBorders>
              <w:top w:val="single" w:color="auto" w:sz="4" w:space="0"/>
              <w:left w:val="single" w:color="auto" w:sz="4" w:space="0"/>
              <w:bottom w:val="single" w:color="auto" w:sz="4" w:space="0"/>
              <w:right w:val="single" w:color="auto" w:sz="4" w:space="0"/>
            </w:tcBorders>
          </w:tcPr>
          <w:p w14:paraId="33074FB9">
            <w:pPr>
              <w:spacing w:line="360" w:lineRule="auto"/>
              <w:rPr>
                <w:rFonts w:hint="eastAsia" w:ascii="仿宋" w:hAnsi="仿宋" w:eastAsia="仿宋"/>
                <w:spacing w:val="-1"/>
                <w:sz w:val="24"/>
              </w:rPr>
            </w:pPr>
            <w:r>
              <w:rPr>
                <w:rFonts w:hint="eastAsia" w:ascii="仿宋" w:hAnsi="仿宋" w:eastAsia="仿宋"/>
                <w:spacing w:val="-1"/>
                <w:sz w:val="24"/>
              </w:rPr>
              <w:t>配置≥2块1.92T SSD硬盘。</w:t>
            </w:r>
          </w:p>
        </w:tc>
      </w:tr>
      <w:tr w14:paraId="69F13355">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620D95CD">
            <w:pPr>
              <w:spacing w:line="360" w:lineRule="auto"/>
              <w:jc w:val="center"/>
              <w:rPr>
                <w:rFonts w:hint="eastAsia" w:ascii="仿宋" w:hAnsi="仿宋" w:eastAsia="仿宋"/>
                <w:spacing w:val="-1"/>
                <w:sz w:val="24"/>
              </w:rPr>
            </w:pPr>
            <w:r>
              <w:rPr>
                <w:rFonts w:hint="eastAsia" w:ascii="仿宋" w:hAnsi="仿宋" w:eastAsia="仿宋"/>
                <w:spacing w:val="-1"/>
                <w:sz w:val="24"/>
              </w:rPr>
              <w:t>5</w:t>
            </w:r>
          </w:p>
        </w:tc>
        <w:tc>
          <w:tcPr>
            <w:tcW w:w="535" w:type="pct"/>
            <w:tcBorders>
              <w:top w:val="single" w:color="auto" w:sz="4" w:space="0"/>
              <w:left w:val="single" w:color="auto" w:sz="4" w:space="0"/>
              <w:bottom w:val="single" w:color="auto" w:sz="4" w:space="0"/>
              <w:right w:val="single" w:color="auto" w:sz="4" w:space="0"/>
            </w:tcBorders>
            <w:noWrap/>
          </w:tcPr>
          <w:p w14:paraId="3E38CD9D">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tcPr>
          <w:p w14:paraId="2434C858">
            <w:pPr>
              <w:spacing w:line="360" w:lineRule="auto"/>
              <w:jc w:val="center"/>
              <w:rPr>
                <w:rFonts w:hint="eastAsia" w:ascii="仿宋" w:hAnsi="仿宋" w:eastAsia="仿宋"/>
                <w:spacing w:val="-1"/>
                <w:sz w:val="24"/>
              </w:rPr>
            </w:pPr>
            <w:r>
              <w:rPr>
                <w:rFonts w:hint="eastAsia" w:ascii="仿宋" w:hAnsi="仿宋" w:eastAsia="仿宋"/>
                <w:spacing w:val="-1"/>
                <w:sz w:val="24"/>
              </w:rPr>
              <w:t>存储扩展性</w:t>
            </w:r>
          </w:p>
        </w:tc>
        <w:tc>
          <w:tcPr>
            <w:tcW w:w="3226" w:type="pct"/>
            <w:tcBorders>
              <w:top w:val="single" w:color="auto" w:sz="4" w:space="0"/>
              <w:left w:val="single" w:color="auto" w:sz="4" w:space="0"/>
              <w:bottom w:val="single" w:color="auto" w:sz="4" w:space="0"/>
              <w:right w:val="single" w:color="auto" w:sz="4" w:space="0"/>
            </w:tcBorders>
          </w:tcPr>
          <w:p w14:paraId="17F69650">
            <w:pPr>
              <w:spacing w:line="360" w:lineRule="auto"/>
              <w:rPr>
                <w:rFonts w:hint="eastAsia" w:ascii="仿宋" w:hAnsi="仿宋" w:eastAsia="仿宋"/>
                <w:spacing w:val="-1"/>
                <w:sz w:val="24"/>
              </w:rPr>
            </w:pPr>
            <w:r>
              <w:rPr>
                <w:rFonts w:hint="eastAsia" w:ascii="仿宋" w:hAnsi="仿宋" w:eastAsia="仿宋"/>
                <w:spacing w:val="-1"/>
                <w:sz w:val="24"/>
              </w:rPr>
              <w:t>机箱存储架构需具备高扩展性，最大可选配扩展至4个3.5英寸或10个2.5英寸盘位。</w:t>
            </w:r>
          </w:p>
        </w:tc>
      </w:tr>
      <w:tr w14:paraId="552E1CD9">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654B2D87">
            <w:pPr>
              <w:spacing w:line="360" w:lineRule="auto"/>
              <w:jc w:val="center"/>
              <w:rPr>
                <w:rFonts w:hint="eastAsia" w:ascii="仿宋" w:hAnsi="仿宋" w:eastAsia="仿宋"/>
                <w:spacing w:val="-1"/>
                <w:sz w:val="24"/>
              </w:rPr>
            </w:pPr>
            <w:r>
              <w:rPr>
                <w:rFonts w:hint="eastAsia" w:ascii="仿宋" w:hAnsi="仿宋" w:eastAsia="仿宋"/>
                <w:spacing w:val="-1"/>
                <w:sz w:val="24"/>
              </w:rPr>
              <w:t>6</w:t>
            </w:r>
          </w:p>
        </w:tc>
        <w:tc>
          <w:tcPr>
            <w:tcW w:w="535" w:type="pct"/>
            <w:tcBorders>
              <w:top w:val="single" w:color="auto" w:sz="4" w:space="0"/>
              <w:left w:val="single" w:color="auto" w:sz="4" w:space="0"/>
              <w:bottom w:val="single" w:color="auto" w:sz="4" w:space="0"/>
              <w:right w:val="single" w:color="auto" w:sz="4" w:space="0"/>
            </w:tcBorders>
            <w:noWrap/>
          </w:tcPr>
          <w:p w14:paraId="101E723B">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7B110145">
            <w:pPr>
              <w:spacing w:line="360" w:lineRule="auto"/>
              <w:jc w:val="center"/>
              <w:rPr>
                <w:rFonts w:hint="eastAsia" w:ascii="仿宋" w:hAnsi="仿宋" w:eastAsia="仿宋"/>
                <w:spacing w:val="-1"/>
                <w:sz w:val="24"/>
              </w:rPr>
            </w:pPr>
            <w:r>
              <w:rPr>
                <w:rFonts w:hint="eastAsia" w:ascii="仿宋" w:hAnsi="仿宋" w:eastAsia="仿宋"/>
                <w:spacing w:val="-1"/>
                <w:sz w:val="24"/>
              </w:rPr>
              <w:t>RAID控制器</w:t>
            </w:r>
          </w:p>
        </w:tc>
        <w:tc>
          <w:tcPr>
            <w:tcW w:w="3226" w:type="pct"/>
            <w:tcBorders>
              <w:top w:val="single" w:color="auto" w:sz="4" w:space="0"/>
              <w:left w:val="single" w:color="auto" w:sz="4" w:space="0"/>
              <w:bottom w:val="single" w:color="auto" w:sz="4" w:space="0"/>
              <w:right w:val="single" w:color="auto" w:sz="4" w:space="0"/>
            </w:tcBorders>
          </w:tcPr>
          <w:p w14:paraId="566AAAFA">
            <w:pPr>
              <w:spacing w:line="360" w:lineRule="auto"/>
              <w:rPr>
                <w:rFonts w:hint="eastAsia" w:ascii="仿宋" w:hAnsi="仿宋" w:eastAsia="仿宋"/>
                <w:spacing w:val="-1"/>
                <w:sz w:val="24"/>
              </w:rPr>
            </w:pPr>
            <w:r>
              <w:rPr>
                <w:rFonts w:hint="eastAsia" w:ascii="仿宋" w:hAnsi="仿宋" w:eastAsia="仿宋"/>
                <w:spacing w:val="-1"/>
                <w:sz w:val="24"/>
              </w:rPr>
              <w:t>支持硬件阵列控制，至少支持RAID 0、1、5、10等主流数据保护级别，保障底层医疗数据存储安全。</w:t>
            </w:r>
          </w:p>
        </w:tc>
      </w:tr>
      <w:tr w14:paraId="2D4F3FC2">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65159D7A">
            <w:pPr>
              <w:spacing w:line="360" w:lineRule="auto"/>
              <w:jc w:val="center"/>
              <w:rPr>
                <w:rFonts w:hint="eastAsia" w:ascii="仿宋" w:hAnsi="仿宋" w:eastAsia="仿宋"/>
                <w:spacing w:val="-1"/>
                <w:sz w:val="24"/>
              </w:rPr>
            </w:pPr>
            <w:r>
              <w:rPr>
                <w:rFonts w:hint="eastAsia" w:ascii="仿宋" w:hAnsi="仿宋" w:eastAsia="仿宋"/>
                <w:spacing w:val="-1"/>
                <w:sz w:val="24"/>
              </w:rPr>
              <w:t>7</w:t>
            </w:r>
          </w:p>
        </w:tc>
        <w:tc>
          <w:tcPr>
            <w:tcW w:w="535" w:type="pct"/>
            <w:tcBorders>
              <w:top w:val="single" w:color="auto" w:sz="4" w:space="0"/>
              <w:left w:val="single" w:color="auto" w:sz="4" w:space="0"/>
              <w:bottom w:val="single" w:color="auto" w:sz="4" w:space="0"/>
              <w:right w:val="single" w:color="auto" w:sz="4" w:space="0"/>
            </w:tcBorders>
            <w:noWrap/>
          </w:tcPr>
          <w:p w14:paraId="094739B3">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0C7D3C7B">
            <w:pPr>
              <w:spacing w:line="360" w:lineRule="auto"/>
              <w:jc w:val="center"/>
              <w:rPr>
                <w:rFonts w:hint="eastAsia" w:ascii="仿宋" w:hAnsi="仿宋" w:eastAsia="仿宋"/>
                <w:spacing w:val="-1"/>
                <w:sz w:val="24"/>
              </w:rPr>
            </w:pPr>
            <w:r>
              <w:rPr>
                <w:rFonts w:hint="eastAsia" w:ascii="仿宋" w:hAnsi="仿宋" w:eastAsia="仿宋"/>
                <w:spacing w:val="-1"/>
                <w:sz w:val="24"/>
              </w:rPr>
              <w:t>电源与冗余</w:t>
            </w:r>
          </w:p>
        </w:tc>
        <w:tc>
          <w:tcPr>
            <w:tcW w:w="3226" w:type="pct"/>
            <w:tcBorders>
              <w:top w:val="single" w:color="auto" w:sz="4" w:space="0"/>
              <w:left w:val="single" w:color="auto" w:sz="4" w:space="0"/>
              <w:bottom w:val="single" w:color="auto" w:sz="4" w:space="0"/>
              <w:right w:val="single" w:color="auto" w:sz="4" w:space="0"/>
            </w:tcBorders>
          </w:tcPr>
          <w:p w14:paraId="3B85F3DB">
            <w:pPr>
              <w:spacing w:line="360" w:lineRule="auto"/>
              <w:rPr>
                <w:rFonts w:hint="eastAsia" w:ascii="仿宋" w:hAnsi="仿宋" w:eastAsia="仿宋"/>
                <w:spacing w:val="-1"/>
                <w:sz w:val="24"/>
              </w:rPr>
            </w:pPr>
            <w:r>
              <w:rPr>
                <w:rFonts w:hint="eastAsia" w:ascii="仿宋" w:hAnsi="仿宋" w:eastAsia="仿宋"/>
                <w:spacing w:val="-1"/>
                <w:sz w:val="24"/>
              </w:rPr>
              <w:t>标配≥1100W企业级电源，支持多1+1 冗余电源功能；</w:t>
            </w:r>
          </w:p>
          <w:p w14:paraId="1CE8E2BD">
            <w:pPr>
              <w:spacing w:line="360" w:lineRule="auto"/>
              <w:rPr>
                <w:rFonts w:hint="eastAsia" w:ascii="仿宋" w:hAnsi="仿宋" w:eastAsia="仿宋"/>
                <w:spacing w:val="-1"/>
                <w:sz w:val="24"/>
              </w:rPr>
            </w:pPr>
            <w:r>
              <w:rPr>
                <w:rFonts w:hint="eastAsia" w:ascii="仿宋" w:hAnsi="仿宋" w:eastAsia="仿宋"/>
                <w:spacing w:val="-1"/>
                <w:sz w:val="24"/>
              </w:rPr>
              <w:t>主板及机箱架构需支持后续根据需求选配升级至更大功率电源。</w:t>
            </w:r>
          </w:p>
        </w:tc>
      </w:tr>
    </w:tbl>
    <w:p w14:paraId="544DB9CF">
      <w:pPr>
        <w:rPr>
          <w:sz w:val="24"/>
        </w:rPr>
      </w:pPr>
    </w:p>
    <w:p w14:paraId="44DE2D37">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数据服务器1台</w:t>
      </w:r>
    </w:p>
    <w:tbl>
      <w:tblPr>
        <w:tblStyle w:val="31"/>
        <w:tblW w:w="4997" w:type="pct"/>
        <w:tblInd w:w="0" w:type="dxa"/>
        <w:tblLayout w:type="autofit"/>
        <w:tblCellMar>
          <w:top w:w="0" w:type="dxa"/>
          <w:left w:w="108" w:type="dxa"/>
          <w:bottom w:w="0" w:type="dxa"/>
          <w:right w:w="108" w:type="dxa"/>
        </w:tblCellMar>
      </w:tblPr>
      <w:tblGrid>
        <w:gridCol w:w="765"/>
        <w:gridCol w:w="1030"/>
        <w:gridCol w:w="1619"/>
        <w:gridCol w:w="6209"/>
      </w:tblGrid>
      <w:tr w14:paraId="64AFAAE6">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1A7969DB">
            <w:pPr>
              <w:spacing w:line="360" w:lineRule="auto"/>
              <w:jc w:val="center"/>
              <w:rPr>
                <w:rFonts w:hint="eastAsia" w:ascii="仿宋" w:hAnsi="仿宋" w:eastAsia="仿宋"/>
                <w:b/>
                <w:bCs/>
                <w:spacing w:val="-1"/>
                <w:sz w:val="24"/>
              </w:rPr>
            </w:pPr>
            <w:r>
              <w:rPr>
                <w:rFonts w:ascii="仿宋" w:hAnsi="仿宋" w:eastAsia="仿宋"/>
                <w:b/>
                <w:bCs/>
                <w:spacing w:val="-1"/>
                <w:sz w:val="24"/>
              </w:rPr>
              <w:t>序号</w:t>
            </w:r>
          </w:p>
        </w:tc>
        <w:tc>
          <w:tcPr>
            <w:tcW w:w="535" w:type="pct"/>
            <w:tcBorders>
              <w:top w:val="single" w:color="auto" w:sz="4" w:space="0"/>
              <w:left w:val="single" w:color="auto" w:sz="4" w:space="0"/>
              <w:bottom w:val="single" w:color="auto" w:sz="4" w:space="0"/>
              <w:right w:val="single" w:color="auto" w:sz="4" w:space="0"/>
            </w:tcBorders>
            <w:noWrap/>
            <w:vAlign w:val="center"/>
          </w:tcPr>
          <w:p w14:paraId="3EDEA5FD">
            <w:pPr>
              <w:spacing w:line="360" w:lineRule="auto"/>
              <w:jc w:val="center"/>
              <w:rPr>
                <w:rFonts w:hint="eastAsia" w:ascii="仿宋" w:hAnsi="仿宋" w:eastAsia="仿宋"/>
                <w:b/>
                <w:bCs/>
                <w:spacing w:val="-1"/>
                <w:sz w:val="24"/>
              </w:rPr>
            </w:pPr>
            <w:r>
              <w:rPr>
                <w:rFonts w:ascii="仿宋" w:hAnsi="仿宋" w:eastAsia="仿宋"/>
                <w:b/>
                <w:bCs/>
                <w:spacing w:val="-1"/>
                <w:sz w:val="24"/>
              </w:rPr>
              <w:t>重要性</w:t>
            </w:r>
          </w:p>
        </w:tc>
        <w:tc>
          <w:tcPr>
            <w:tcW w:w="841" w:type="pct"/>
            <w:tcBorders>
              <w:top w:val="single" w:color="auto" w:sz="4" w:space="0"/>
              <w:left w:val="single" w:color="auto" w:sz="4" w:space="0"/>
              <w:bottom w:val="single" w:color="auto" w:sz="4" w:space="0"/>
              <w:right w:val="single" w:color="auto" w:sz="4" w:space="0"/>
            </w:tcBorders>
            <w:vAlign w:val="center"/>
          </w:tcPr>
          <w:p w14:paraId="7E92B3EC">
            <w:pPr>
              <w:spacing w:line="360" w:lineRule="auto"/>
              <w:jc w:val="center"/>
              <w:rPr>
                <w:rFonts w:hint="eastAsia" w:ascii="仿宋" w:hAnsi="仿宋" w:eastAsia="仿宋"/>
                <w:b/>
                <w:bCs/>
                <w:spacing w:val="-1"/>
                <w:sz w:val="24"/>
              </w:rPr>
            </w:pPr>
            <w:r>
              <w:rPr>
                <w:rFonts w:ascii="仿宋" w:hAnsi="仿宋" w:eastAsia="仿宋"/>
                <w:b/>
                <w:bCs/>
                <w:spacing w:val="-1"/>
                <w:sz w:val="24"/>
              </w:rPr>
              <w:t>技术指标</w:t>
            </w:r>
          </w:p>
        </w:tc>
        <w:tc>
          <w:tcPr>
            <w:tcW w:w="3226" w:type="pct"/>
            <w:tcBorders>
              <w:top w:val="single" w:color="auto" w:sz="4" w:space="0"/>
              <w:left w:val="single" w:color="auto" w:sz="4" w:space="0"/>
              <w:bottom w:val="single" w:color="auto" w:sz="4" w:space="0"/>
              <w:right w:val="single" w:color="auto" w:sz="4" w:space="0"/>
            </w:tcBorders>
            <w:vAlign w:val="center"/>
          </w:tcPr>
          <w:p w14:paraId="5D0D5CD8">
            <w:pPr>
              <w:spacing w:line="360" w:lineRule="auto"/>
              <w:jc w:val="center"/>
              <w:rPr>
                <w:rFonts w:hint="eastAsia" w:ascii="仿宋" w:hAnsi="仿宋" w:eastAsia="仿宋"/>
                <w:b/>
                <w:bCs/>
                <w:spacing w:val="-1"/>
                <w:sz w:val="24"/>
              </w:rPr>
            </w:pPr>
            <w:r>
              <w:rPr>
                <w:rFonts w:ascii="仿宋" w:hAnsi="仿宋" w:eastAsia="仿宋"/>
                <w:b/>
                <w:bCs/>
                <w:spacing w:val="-1"/>
                <w:sz w:val="24"/>
              </w:rPr>
              <w:t>重要参数</w:t>
            </w:r>
          </w:p>
        </w:tc>
      </w:tr>
      <w:tr w14:paraId="307A15E9">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noWrap/>
          </w:tcPr>
          <w:p w14:paraId="423C30FE">
            <w:pPr>
              <w:spacing w:line="360" w:lineRule="auto"/>
              <w:jc w:val="center"/>
              <w:rPr>
                <w:rFonts w:hint="eastAsia" w:ascii="仿宋" w:hAnsi="仿宋" w:eastAsia="仿宋"/>
                <w:spacing w:val="-1"/>
                <w:sz w:val="24"/>
              </w:rPr>
            </w:pP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tcPr>
          <w:p w14:paraId="1A304848">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4951BAFC">
            <w:pPr>
              <w:spacing w:line="360" w:lineRule="auto"/>
              <w:jc w:val="center"/>
              <w:rPr>
                <w:rFonts w:hint="eastAsia" w:ascii="仿宋" w:hAnsi="仿宋" w:eastAsia="仿宋"/>
                <w:spacing w:val="-1"/>
                <w:sz w:val="24"/>
              </w:rPr>
            </w:pPr>
            <w:r>
              <w:rPr>
                <w:rFonts w:hint="eastAsia" w:ascii="仿宋" w:hAnsi="仿宋" w:eastAsia="仿宋"/>
                <w:spacing w:val="-1"/>
                <w:sz w:val="24"/>
              </w:rPr>
              <w:t>机箱形态</w:t>
            </w:r>
          </w:p>
        </w:tc>
        <w:tc>
          <w:tcPr>
            <w:tcW w:w="3226" w:type="pct"/>
            <w:tcBorders>
              <w:top w:val="single" w:color="auto" w:sz="4" w:space="0"/>
              <w:left w:val="single" w:color="auto" w:sz="4" w:space="0"/>
              <w:bottom w:val="single" w:color="auto" w:sz="4" w:space="0"/>
              <w:right w:val="single" w:color="auto" w:sz="4" w:space="0"/>
            </w:tcBorders>
          </w:tcPr>
          <w:p w14:paraId="5F7F44AA">
            <w:pPr>
              <w:spacing w:line="360" w:lineRule="auto"/>
              <w:rPr>
                <w:rFonts w:hint="eastAsia" w:ascii="仿宋" w:hAnsi="仿宋" w:eastAsia="仿宋"/>
                <w:spacing w:val="-1"/>
                <w:sz w:val="24"/>
              </w:rPr>
            </w:pPr>
            <w:r>
              <w:rPr>
                <w:rFonts w:hint="eastAsia" w:ascii="仿宋" w:hAnsi="仿宋" w:eastAsia="仿宋"/>
                <w:spacing w:val="-1"/>
                <w:sz w:val="24"/>
              </w:rPr>
              <w:t>机架式服务器。</w:t>
            </w:r>
          </w:p>
        </w:tc>
      </w:tr>
      <w:tr w14:paraId="2F28DD95">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56A7518D">
            <w:pPr>
              <w:spacing w:line="360" w:lineRule="auto"/>
              <w:jc w:val="center"/>
              <w:rPr>
                <w:rFonts w:hint="eastAsia" w:ascii="仿宋" w:hAnsi="仿宋" w:eastAsia="仿宋"/>
                <w:spacing w:val="-1"/>
                <w:sz w:val="24"/>
              </w:rPr>
            </w:pP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tcPr>
          <w:p w14:paraId="6BF07A1E">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noWrap/>
          </w:tcPr>
          <w:p w14:paraId="0389C052">
            <w:pPr>
              <w:spacing w:line="360" w:lineRule="auto"/>
              <w:jc w:val="center"/>
              <w:rPr>
                <w:rFonts w:hint="eastAsia" w:ascii="仿宋" w:hAnsi="仿宋" w:eastAsia="仿宋"/>
                <w:spacing w:val="-1"/>
                <w:sz w:val="24"/>
              </w:rPr>
            </w:pPr>
            <w:r>
              <w:rPr>
                <w:rFonts w:hint="eastAsia" w:ascii="仿宋" w:hAnsi="仿宋" w:eastAsia="仿宋"/>
                <w:spacing w:val="-1"/>
                <w:sz w:val="24"/>
              </w:rPr>
              <w:t>处理器</w:t>
            </w:r>
          </w:p>
        </w:tc>
        <w:tc>
          <w:tcPr>
            <w:tcW w:w="3226" w:type="pct"/>
            <w:tcBorders>
              <w:top w:val="single" w:color="auto" w:sz="4" w:space="0"/>
              <w:left w:val="single" w:color="auto" w:sz="4" w:space="0"/>
              <w:bottom w:val="single" w:color="auto" w:sz="4" w:space="0"/>
              <w:right w:val="single" w:color="auto" w:sz="4" w:space="0"/>
            </w:tcBorders>
          </w:tcPr>
          <w:p w14:paraId="56A3C129">
            <w:pPr>
              <w:spacing w:line="360" w:lineRule="auto"/>
              <w:rPr>
                <w:rFonts w:hint="eastAsia" w:ascii="仿宋" w:hAnsi="仿宋" w:eastAsia="仿宋"/>
                <w:spacing w:val="-1"/>
                <w:sz w:val="24"/>
              </w:rPr>
            </w:pPr>
            <w:r>
              <w:rPr>
                <w:rFonts w:hint="eastAsia" w:ascii="仿宋" w:hAnsi="仿宋" w:eastAsia="仿宋"/>
                <w:spacing w:val="-1"/>
                <w:sz w:val="24"/>
              </w:rPr>
              <w:t>配置≥2颗企业级通用处理器；</w:t>
            </w:r>
          </w:p>
          <w:p w14:paraId="633624A6">
            <w:pPr>
              <w:spacing w:line="360" w:lineRule="auto"/>
              <w:rPr>
                <w:rFonts w:hint="eastAsia" w:ascii="仿宋" w:hAnsi="仿宋" w:eastAsia="仿宋"/>
                <w:spacing w:val="-1"/>
                <w:sz w:val="24"/>
              </w:rPr>
            </w:pPr>
            <w:r>
              <w:rPr>
                <w:rFonts w:hint="eastAsia" w:ascii="仿宋" w:hAnsi="仿宋" w:eastAsia="仿宋"/>
                <w:spacing w:val="-1"/>
                <w:sz w:val="24"/>
              </w:rPr>
              <w:t>双处理器总核心数≥12核，总线程数≥12线程，基础主频≥1.9GHz。</w:t>
            </w:r>
          </w:p>
        </w:tc>
      </w:tr>
      <w:tr w14:paraId="41F5D00F">
        <w:tblPrEx>
          <w:tblCellMar>
            <w:top w:w="0" w:type="dxa"/>
            <w:left w:w="108" w:type="dxa"/>
            <w:bottom w:w="0" w:type="dxa"/>
            <w:right w:w="108" w:type="dxa"/>
          </w:tblCellMar>
        </w:tblPrEx>
        <w:trPr>
          <w:trHeight w:val="900" w:hRule="atLeast"/>
        </w:trPr>
        <w:tc>
          <w:tcPr>
            <w:tcW w:w="398" w:type="pct"/>
            <w:tcBorders>
              <w:top w:val="single" w:color="auto" w:sz="4" w:space="0"/>
              <w:left w:val="single" w:color="auto" w:sz="4" w:space="0"/>
              <w:bottom w:val="single" w:color="auto" w:sz="4" w:space="0"/>
              <w:right w:val="single" w:color="auto" w:sz="4" w:space="0"/>
            </w:tcBorders>
            <w:noWrap/>
          </w:tcPr>
          <w:p w14:paraId="4DC95879">
            <w:pPr>
              <w:spacing w:line="360" w:lineRule="auto"/>
              <w:jc w:val="center"/>
              <w:rPr>
                <w:rFonts w:hint="eastAsia" w:ascii="仿宋" w:hAnsi="仿宋" w:eastAsia="仿宋"/>
                <w:spacing w:val="-1"/>
                <w:sz w:val="24"/>
              </w:rPr>
            </w:pP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tcPr>
          <w:p w14:paraId="4053EE67">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shd w:val="clear" w:color="000000" w:fill="FFFFFF"/>
            <w:noWrap/>
          </w:tcPr>
          <w:p w14:paraId="6EEDB417">
            <w:pPr>
              <w:spacing w:line="360" w:lineRule="auto"/>
              <w:jc w:val="center"/>
              <w:rPr>
                <w:rFonts w:hint="eastAsia" w:ascii="仿宋" w:hAnsi="仿宋" w:eastAsia="仿宋"/>
                <w:spacing w:val="-1"/>
                <w:sz w:val="24"/>
              </w:rPr>
            </w:pPr>
            <w:r>
              <w:rPr>
                <w:rFonts w:hint="eastAsia" w:ascii="仿宋" w:hAnsi="仿宋" w:eastAsia="仿宋"/>
                <w:spacing w:val="-1"/>
                <w:sz w:val="24"/>
              </w:rPr>
              <w:t>内存</w:t>
            </w:r>
          </w:p>
        </w:tc>
        <w:tc>
          <w:tcPr>
            <w:tcW w:w="3226" w:type="pct"/>
            <w:tcBorders>
              <w:top w:val="single" w:color="auto" w:sz="4" w:space="0"/>
              <w:left w:val="single" w:color="auto" w:sz="4" w:space="0"/>
              <w:bottom w:val="single" w:color="auto" w:sz="4" w:space="0"/>
              <w:right w:val="single" w:color="auto" w:sz="4" w:space="0"/>
            </w:tcBorders>
          </w:tcPr>
          <w:p w14:paraId="3022CBEB">
            <w:pPr>
              <w:spacing w:line="360" w:lineRule="auto"/>
              <w:rPr>
                <w:rFonts w:hint="eastAsia" w:ascii="仿宋" w:hAnsi="仿宋" w:eastAsia="仿宋"/>
                <w:spacing w:val="-1"/>
                <w:sz w:val="24"/>
              </w:rPr>
            </w:pPr>
            <w:r>
              <w:rPr>
                <w:rFonts w:hint="eastAsia" w:ascii="仿宋" w:hAnsi="仿宋" w:eastAsia="仿宋"/>
                <w:spacing w:val="-1"/>
                <w:sz w:val="24"/>
              </w:rPr>
              <w:t>配置≥256GB DDR4DIMM RECC 内存，支持数据校验纠错；内存工作频率支持2933MHz及以上规格。</w:t>
            </w:r>
          </w:p>
        </w:tc>
      </w:tr>
      <w:tr w14:paraId="1CBCD930">
        <w:tblPrEx>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noWrap/>
          </w:tcPr>
          <w:p w14:paraId="0E3BB98D">
            <w:pPr>
              <w:spacing w:line="360" w:lineRule="auto"/>
              <w:jc w:val="center"/>
              <w:rPr>
                <w:rFonts w:hint="eastAsia" w:ascii="仿宋" w:hAnsi="仿宋" w:eastAsia="仿宋"/>
                <w:spacing w:val="-1"/>
                <w:sz w:val="24"/>
              </w:rPr>
            </w:pP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tcPr>
          <w:p w14:paraId="244A117E">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488DDC40">
            <w:pPr>
              <w:spacing w:line="360" w:lineRule="auto"/>
              <w:jc w:val="center"/>
              <w:rPr>
                <w:rFonts w:hint="eastAsia" w:ascii="仿宋" w:hAnsi="仿宋" w:eastAsia="仿宋"/>
                <w:spacing w:val="-1"/>
                <w:sz w:val="24"/>
              </w:rPr>
            </w:pPr>
            <w:r>
              <w:rPr>
                <w:rFonts w:hint="eastAsia" w:ascii="仿宋" w:hAnsi="仿宋" w:eastAsia="仿宋"/>
                <w:spacing w:val="-1"/>
                <w:sz w:val="24"/>
              </w:rPr>
              <w:t>硬盘配置</w:t>
            </w:r>
          </w:p>
        </w:tc>
        <w:tc>
          <w:tcPr>
            <w:tcW w:w="3226" w:type="pct"/>
            <w:tcBorders>
              <w:top w:val="single" w:color="auto" w:sz="4" w:space="0"/>
              <w:left w:val="single" w:color="auto" w:sz="4" w:space="0"/>
              <w:bottom w:val="single" w:color="auto" w:sz="4" w:space="0"/>
              <w:right w:val="single" w:color="auto" w:sz="4" w:space="0"/>
            </w:tcBorders>
          </w:tcPr>
          <w:p w14:paraId="0547560D">
            <w:pPr>
              <w:spacing w:line="360" w:lineRule="auto"/>
              <w:rPr>
                <w:rFonts w:hint="eastAsia" w:ascii="仿宋" w:hAnsi="仿宋" w:eastAsia="仿宋"/>
                <w:spacing w:val="-1"/>
                <w:sz w:val="24"/>
              </w:rPr>
            </w:pPr>
            <w:r>
              <w:rPr>
                <w:rFonts w:hint="eastAsia" w:ascii="仿宋" w:hAnsi="仿宋" w:eastAsia="仿宋"/>
                <w:spacing w:val="-1"/>
                <w:sz w:val="24"/>
              </w:rPr>
              <w:t>配置≥2块1.92T SSD硬盘；≥40T大容量机械硬盘。</w:t>
            </w:r>
          </w:p>
        </w:tc>
      </w:tr>
      <w:tr w14:paraId="2AC240F9">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13E4BD37">
            <w:pPr>
              <w:spacing w:line="360" w:lineRule="auto"/>
              <w:jc w:val="center"/>
              <w:rPr>
                <w:rFonts w:hint="eastAsia" w:ascii="仿宋" w:hAnsi="仿宋" w:eastAsia="仿宋"/>
                <w:spacing w:val="-1"/>
                <w:sz w:val="24"/>
              </w:rPr>
            </w:pPr>
            <w:r>
              <w:rPr>
                <w:rFonts w:hint="eastAsia" w:ascii="仿宋" w:hAnsi="仿宋" w:eastAsia="仿宋"/>
                <w:spacing w:val="-1"/>
                <w:sz w:val="24"/>
              </w:rPr>
              <w:t>5</w:t>
            </w:r>
          </w:p>
        </w:tc>
        <w:tc>
          <w:tcPr>
            <w:tcW w:w="535" w:type="pct"/>
            <w:tcBorders>
              <w:top w:val="single" w:color="auto" w:sz="4" w:space="0"/>
              <w:left w:val="single" w:color="auto" w:sz="4" w:space="0"/>
              <w:bottom w:val="single" w:color="auto" w:sz="4" w:space="0"/>
              <w:right w:val="single" w:color="auto" w:sz="4" w:space="0"/>
            </w:tcBorders>
            <w:noWrap/>
          </w:tcPr>
          <w:p w14:paraId="493B91FD">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tcPr>
          <w:p w14:paraId="0D5C7ACB">
            <w:pPr>
              <w:spacing w:line="360" w:lineRule="auto"/>
              <w:jc w:val="center"/>
              <w:rPr>
                <w:rFonts w:hint="eastAsia" w:ascii="仿宋" w:hAnsi="仿宋" w:eastAsia="仿宋"/>
                <w:spacing w:val="-1"/>
                <w:sz w:val="24"/>
              </w:rPr>
            </w:pPr>
            <w:r>
              <w:rPr>
                <w:rFonts w:hint="eastAsia" w:ascii="仿宋" w:hAnsi="仿宋" w:eastAsia="仿宋"/>
                <w:spacing w:val="-1"/>
                <w:sz w:val="24"/>
              </w:rPr>
              <w:t>存储扩展性</w:t>
            </w:r>
          </w:p>
        </w:tc>
        <w:tc>
          <w:tcPr>
            <w:tcW w:w="3226" w:type="pct"/>
            <w:tcBorders>
              <w:top w:val="single" w:color="auto" w:sz="4" w:space="0"/>
              <w:left w:val="single" w:color="auto" w:sz="4" w:space="0"/>
              <w:bottom w:val="single" w:color="auto" w:sz="4" w:space="0"/>
              <w:right w:val="single" w:color="auto" w:sz="4" w:space="0"/>
            </w:tcBorders>
          </w:tcPr>
          <w:p w14:paraId="2FDF7618">
            <w:pPr>
              <w:spacing w:line="360" w:lineRule="auto"/>
              <w:rPr>
                <w:rFonts w:hint="eastAsia" w:ascii="仿宋" w:hAnsi="仿宋" w:eastAsia="仿宋"/>
                <w:spacing w:val="-1"/>
                <w:sz w:val="24"/>
              </w:rPr>
            </w:pPr>
            <w:r>
              <w:rPr>
                <w:rFonts w:hint="eastAsia" w:ascii="仿宋" w:hAnsi="仿宋" w:eastAsia="仿宋"/>
                <w:spacing w:val="-1"/>
                <w:sz w:val="24"/>
              </w:rPr>
              <w:t>机箱存储架构需具备高扩展性，最大可选配扩展至4个3.5英寸或10个2.5英寸盘位。</w:t>
            </w:r>
          </w:p>
        </w:tc>
      </w:tr>
      <w:tr w14:paraId="51CB9ABE">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79436A85">
            <w:pPr>
              <w:spacing w:line="360" w:lineRule="auto"/>
              <w:jc w:val="center"/>
              <w:rPr>
                <w:rFonts w:hint="eastAsia" w:ascii="仿宋" w:hAnsi="仿宋" w:eastAsia="仿宋"/>
                <w:spacing w:val="-1"/>
                <w:sz w:val="24"/>
              </w:rPr>
            </w:pPr>
            <w:r>
              <w:rPr>
                <w:rFonts w:hint="eastAsia" w:ascii="仿宋" w:hAnsi="仿宋" w:eastAsia="仿宋"/>
                <w:spacing w:val="-1"/>
                <w:sz w:val="24"/>
              </w:rPr>
              <w:t>6</w:t>
            </w:r>
          </w:p>
        </w:tc>
        <w:tc>
          <w:tcPr>
            <w:tcW w:w="535" w:type="pct"/>
            <w:tcBorders>
              <w:top w:val="single" w:color="auto" w:sz="4" w:space="0"/>
              <w:left w:val="single" w:color="auto" w:sz="4" w:space="0"/>
              <w:bottom w:val="single" w:color="auto" w:sz="4" w:space="0"/>
              <w:right w:val="single" w:color="auto" w:sz="4" w:space="0"/>
            </w:tcBorders>
            <w:noWrap/>
          </w:tcPr>
          <w:p w14:paraId="2A5A56E5">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41" w:type="pct"/>
            <w:tcBorders>
              <w:top w:val="single" w:color="auto" w:sz="4" w:space="0"/>
              <w:left w:val="single" w:color="auto" w:sz="4" w:space="0"/>
              <w:bottom w:val="single" w:color="auto" w:sz="4" w:space="0"/>
              <w:right w:val="single" w:color="auto" w:sz="4" w:space="0"/>
            </w:tcBorders>
            <w:noWrap/>
          </w:tcPr>
          <w:p w14:paraId="66C45C4A">
            <w:pPr>
              <w:spacing w:line="360" w:lineRule="auto"/>
              <w:jc w:val="center"/>
              <w:rPr>
                <w:rFonts w:hint="eastAsia" w:ascii="仿宋" w:hAnsi="仿宋" w:eastAsia="仿宋"/>
                <w:spacing w:val="-1"/>
                <w:sz w:val="24"/>
              </w:rPr>
            </w:pPr>
            <w:r>
              <w:rPr>
                <w:rFonts w:hint="eastAsia" w:ascii="仿宋" w:hAnsi="仿宋" w:eastAsia="仿宋"/>
                <w:spacing w:val="-1"/>
                <w:sz w:val="24"/>
              </w:rPr>
              <w:t>RAID控制器</w:t>
            </w:r>
          </w:p>
        </w:tc>
        <w:tc>
          <w:tcPr>
            <w:tcW w:w="3226" w:type="pct"/>
            <w:tcBorders>
              <w:top w:val="single" w:color="auto" w:sz="4" w:space="0"/>
              <w:left w:val="single" w:color="auto" w:sz="4" w:space="0"/>
              <w:bottom w:val="single" w:color="auto" w:sz="4" w:space="0"/>
              <w:right w:val="single" w:color="auto" w:sz="4" w:space="0"/>
            </w:tcBorders>
          </w:tcPr>
          <w:p w14:paraId="16157F91">
            <w:pPr>
              <w:spacing w:line="360" w:lineRule="auto"/>
              <w:rPr>
                <w:rFonts w:hint="eastAsia" w:ascii="仿宋" w:hAnsi="仿宋" w:eastAsia="仿宋"/>
                <w:spacing w:val="-1"/>
                <w:sz w:val="24"/>
              </w:rPr>
            </w:pPr>
            <w:r>
              <w:rPr>
                <w:rFonts w:hint="eastAsia" w:ascii="仿宋" w:hAnsi="仿宋" w:eastAsia="仿宋"/>
                <w:spacing w:val="-1"/>
                <w:sz w:val="24"/>
              </w:rPr>
              <w:t>支持硬件阵列控制，至少支持RAID 0、1、5、10等主流数据保护级别，保障底层医疗数据存储安全。</w:t>
            </w:r>
          </w:p>
        </w:tc>
      </w:tr>
      <w:tr w14:paraId="1646F8FA">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0AFC464A">
            <w:pPr>
              <w:spacing w:line="360" w:lineRule="auto"/>
              <w:jc w:val="center"/>
              <w:rPr>
                <w:rFonts w:hint="eastAsia" w:ascii="仿宋" w:hAnsi="仿宋" w:eastAsia="仿宋"/>
                <w:spacing w:val="-1"/>
                <w:sz w:val="24"/>
              </w:rPr>
            </w:pPr>
            <w:r>
              <w:rPr>
                <w:rFonts w:hint="eastAsia" w:ascii="仿宋" w:hAnsi="仿宋" w:eastAsia="仿宋"/>
                <w:spacing w:val="-1"/>
                <w:sz w:val="24"/>
              </w:rPr>
              <w:t>7</w:t>
            </w:r>
          </w:p>
        </w:tc>
        <w:tc>
          <w:tcPr>
            <w:tcW w:w="535" w:type="pct"/>
            <w:tcBorders>
              <w:top w:val="single" w:color="auto" w:sz="4" w:space="0"/>
              <w:left w:val="single" w:color="auto" w:sz="4" w:space="0"/>
              <w:bottom w:val="single" w:color="auto" w:sz="4" w:space="0"/>
              <w:right w:val="single" w:color="auto" w:sz="4" w:space="0"/>
            </w:tcBorders>
            <w:noWrap/>
          </w:tcPr>
          <w:p w14:paraId="0B214181">
            <w:pPr>
              <w:spacing w:line="360" w:lineRule="auto"/>
              <w:jc w:val="center"/>
              <w:rPr>
                <w:rFonts w:hint="eastAsia" w:ascii="仿宋" w:hAnsi="仿宋" w:eastAsia="仿宋"/>
                <w:spacing w:val="-1"/>
                <w:sz w:val="24"/>
              </w:rPr>
            </w:pPr>
          </w:p>
        </w:tc>
        <w:tc>
          <w:tcPr>
            <w:tcW w:w="841" w:type="pct"/>
            <w:tcBorders>
              <w:top w:val="single" w:color="auto" w:sz="4" w:space="0"/>
              <w:left w:val="single" w:color="auto" w:sz="4" w:space="0"/>
              <w:bottom w:val="single" w:color="auto" w:sz="4" w:space="0"/>
              <w:right w:val="single" w:color="auto" w:sz="4" w:space="0"/>
            </w:tcBorders>
            <w:noWrap/>
          </w:tcPr>
          <w:p w14:paraId="15DAA352">
            <w:pPr>
              <w:spacing w:line="360" w:lineRule="auto"/>
              <w:jc w:val="center"/>
              <w:rPr>
                <w:rFonts w:hint="eastAsia" w:ascii="仿宋" w:hAnsi="仿宋" w:eastAsia="仿宋"/>
                <w:spacing w:val="-1"/>
                <w:sz w:val="24"/>
              </w:rPr>
            </w:pPr>
            <w:r>
              <w:rPr>
                <w:rFonts w:hint="eastAsia" w:ascii="仿宋" w:hAnsi="仿宋" w:eastAsia="仿宋"/>
                <w:spacing w:val="-1"/>
                <w:sz w:val="24"/>
              </w:rPr>
              <w:t>电源与冗余</w:t>
            </w:r>
          </w:p>
        </w:tc>
        <w:tc>
          <w:tcPr>
            <w:tcW w:w="3226" w:type="pct"/>
            <w:tcBorders>
              <w:top w:val="single" w:color="auto" w:sz="4" w:space="0"/>
              <w:left w:val="single" w:color="auto" w:sz="4" w:space="0"/>
              <w:bottom w:val="single" w:color="auto" w:sz="4" w:space="0"/>
              <w:right w:val="single" w:color="auto" w:sz="4" w:space="0"/>
            </w:tcBorders>
          </w:tcPr>
          <w:p w14:paraId="7FB82FC4">
            <w:pPr>
              <w:spacing w:line="360" w:lineRule="auto"/>
              <w:rPr>
                <w:rFonts w:hint="eastAsia" w:ascii="仿宋" w:hAnsi="仿宋" w:eastAsia="仿宋"/>
                <w:spacing w:val="-1"/>
                <w:sz w:val="24"/>
              </w:rPr>
            </w:pPr>
            <w:r>
              <w:rPr>
                <w:rFonts w:hint="eastAsia" w:ascii="仿宋" w:hAnsi="仿宋" w:eastAsia="仿宋"/>
                <w:spacing w:val="-1"/>
                <w:sz w:val="24"/>
              </w:rPr>
              <w:t>标配≥1100W企业级电源，支持多1+1 冗余电源功能；</w:t>
            </w:r>
          </w:p>
          <w:p w14:paraId="580D6E22">
            <w:pPr>
              <w:spacing w:line="360" w:lineRule="auto"/>
              <w:rPr>
                <w:rFonts w:hint="eastAsia" w:ascii="仿宋" w:hAnsi="仿宋" w:eastAsia="仿宋"/>
                <w:spacing w:val="-1"/>
                <w:sz w:val="24"/>
              </w:rPr>
            </w:pPr>
            <w:r>
              <w:rPr>
                <w:rFonts w:hint="eastAsia" w:ascii="仿宋" w:hAnsi="仿宋" w:eastAsia="仿宋"/>
                <w:spacing w:val="-1"/>
                <w:sz w:val="24"/>
              </w:rPr>
              <w:t>主板及机箱架构需支持后续根据需求选配升级至更大功率电源。</w:t>
            </w:r>
          </w:p>
        </w:tc>
      </w:tr>
    </w:tbl>
    <w:p w14:paraId="3BCA5481">
      <w:pPr>
        <w:rPr>
          <w:sz w:val="24"/>
        </w:rPr>
      </w:pPr>
    </w:p>
    <w:p w14:paraId="5C18AFDB">
      <w:pPr>
        <w:rPr>
          <w:sz w:val="24"/>
        </w:rPr>
      </w:pPr>
    </w:p>
    <w:p w14:paraId="3A1F39FA">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移动病历书写终端50台</w:t>
      </w:r>
    </w:p>
    <w:tbl>
      <w:tblPr>
        <w:tblStyle w:val="31"/>
        <w:tblW w:w="4997" w:type="pct"/>
        <w:tblInd w:w="0" w:type="dxa"/>
        <w:tblLayout w:type="autofit"/>
        <w:tblCellMar>
          <w:top w:w="0" w:type="dxa"/>
          <w:left w:w="108" w:type="dxa"/>
          <w:bottom w:w="0" w:type="dxa"/>
          <w:right w:w="108" w:type="dxa"/>
        </w:tblCellMar>
      </w:tblPr>
      <w:tblGrid>
        <w:gridCol w:w="764"/>
        <w:gridCol w:w="1026"/>
        <w:gridCol w:w="1552"/>
        <w:gridCol w:w="6281"/>
      </w:tblGrid>
      <w:tr w14:paraId="3DDE35F4">
        <w:tblPrEx>
          <w:tblCellMar>
            <w:top w:w="0" w:type="dxa"/>
            <w:left w:w="108" w:type="dxa"/>
            <w:bottom w:w="0" w:type="dxa"/>
            <w:right w:w="108" w:type="dxa"/>
          </w:tblCellMar>
        </w:tblPrEx>
        <w:trPr>
          <w:trHeight w:val="630" w:hRule="atLeast"/>
        </w:trPr>
        <w:tc>
          <w:tcPr>
            <w:tcW w:w="397" w:type="pct"/>
            <w:tcBorders>
              <w:top w:val="single" w:color="auto" w:sz="4" w:space="0"/>
              <w:left w:val="single" w:color="auto" w:sz="4" w:space="0"/>
              <w:bottom w:val="single" w:color="auto" w:sz="4" w:space="0"/>
              <w:right w:val="single" w:color="auto" w:sz="4" w:space="0"/>
            </w:tcBorders>
            <w:noWrap/>
            <w:vAlign w:val="center"/>
          </w:tcPr>
          <w:p w14:paraId="5B00085B">
            <w:pPr>
              <w:spacing w:line="360" w:lineRule="auto"/>
              <w:jc w:val="center"/>
              <w:rPr>
                <w:rFonts w:hint="eastAsia" w:ascii="仿宋" w:hAnsi="仿宋" w:eastAsia="仿宋"/>
                <w:spacing w:val="-1"/>
                <w:sz w:val="24"/>
              </w:rPr>
            </w:pPr>
            <w:r>
              <w:rPr>
                <w:rFonts w:ascii="仿宋" w:hAnsi="仿宋" w:eastAsia="仿宋"/>
                <w:spacing w:val="-1"/>
                <w:sz w:val="24"/>
              </w:rPr>
              <w:t>序号</w:t>
            </w:r>
          </w:p>
        </w:tc>
        <w:tc>
          <w:tcPr>
            <w:tcW w:w="533" w:type="pct"/>
            <w:tcBorders>
              <w:top w:val="single" w:color="auto" w:sz="4" w:space="0"/>
              <w:left w:val="single" w:color="auto" w:sz="4" w:space="0"/>
              <w:bottom w:val="single" w:color="auto" w:sz="4" w:space="0"/>
              <w:right w:val="single" w:color="auto" w:sz="4" w:space="0"/>
            </w:tcBorders>
            <w:noWrap/>
            <w:vAlign w:val="center"/>
          </w:tcPr>
          <w:p w14:paraId="2B4D716A">
            <w:pPr>
              <w:spacing w:line="360" w:lineRule="auto"/>
              <w:jc w:val="center"/>
              <w:rPr>
                <w:rFonts w:hint="eastAsia" w:ascii="仿宋" w:hAnsi="仿宋" w:eastAsia="仿宋"/>
                <w:spacing w:val="-1"/>
                <w:sz w:val="24"/>
              </w:rPr>
            </w:pPr>
            <w:r>
              <w:rPr>
                <w:rFonts w:ascii="仿宋" w:hAnsi="仿宋" w:eastAsia="仿宋"/>
                <w:spacing w:val="-1"/>
                <w:sz w:val="24"/>
              </w:rPr>
              <w:t>重要性</w:t>
            </w:r>
          </w:p>
        </w:tc>
        <w:tc>
          <w:tcPr>
            <w:tcW w:w="806" w:type="pct"/>
            <w:tcBorders>
              <w:top w:val="single" w:color="auto" w:sz="4" w:space="0"/>
              <w:left w:val="single" w:color="auto" w:sz="4" w:space="0"/>
              <w:bottom w:val="single" w:color="auto" w:sz="4" w:space="0"/>
              <w:right w:val="single" w:color="auto" w:sz="4" w:space="0"/>
            </w:tcBorders>
            <w:vAlign w:val="center"/>
          </w:tcPr>
          <w:p w14:paraId="5504A7A1">
            <w:pPr>
              <w:spacing w:line="360" w:lineRule="auto"/>
              <w:jc w:val="center"/>
              <w:rPr>
                <w:rFonts w:hint="eastAsia" w:ascii="仿宋" w:hAnsi="仿宋" w:eastAsia="仿宋"/>
                <w:spacing w:val="-1"/>
                <w:sz w:val="24"/>
              </w:rPr>
            </w:pPr>
            <w:r>
              <w:rPr>
                <w:rFonts w:ascii="仿宋" w:hAnsi="仿宋" w:eastAsia="仿宋"/>
                <w:spacing w:val="-1"/>
                <w:sz w:val="24"/>
              </w:rPr>
              <w:t>技术指标</w:t>
            </w:r>
          </w:p>
        </w:tc>
        <w:tc>
          <w:tcPr>
            <w:tcW w:w="3263" w:type="pct"/>
            <w:tcBorders>
              <w:top w:val="single" w:color="auto" w:sz="4" w:space="0"/>
              <w:left w:val="single" w:color="auto" w:sz="4" w:space="0"/>
              <w:bottom w:val="single" w:color="auto" w:sz="4" w:space="0"/>
              <w:right w:val="single" w:color="auto" w:sz="4" w:space="0"/>
            </w:tcBorders>
            <w:vAlign w:val="center"/>
          </w:tcPr>
          <w:p w14:paraId="2E9FA734">
            <w:pPr>
              <w:spacing w:line="360" w:lineRule="auto"/>
              <w:jc w:val="center"/>
              <w:rPr>
                <w:rFonts w:hint="eastAsia" w:ascii="仿宋" w:hAnsi="仿宋" w:eastAsia="仿宋"/>
                <w:spacing w:val="-1"/>
                <w:sz w:val="24"/>
              </w:rPr>
            </w:pPr>
            <w:r>
              <w:rPr>
                <w:rFonts w:ascii="仿宋" w:hAnsi="仿宋" w:eastAsia="仿宋"/>
                <w:spacing w:val="-1"/>
                <w:sz w:val="24"/>
              </w:rPr>
              <w:t>重要参数</w:t>
            </w:r>
          </w:p>
        </w:tc>
      </w:tr>
      <w:tr w14:paraId="4969314F">
        <w:tblPrEx>
          <w:tblCellMar>
            <w:top w:w="0" w:type="dxa"/>
            <w:left w:w="108" w:type="dxa"/>
            <w:bottom w:w="0" w:type="dxa"/>
            <w:right w:w="108" w:type="dxa"/>
          </w:tblCellMar>
        </w:tblPrEx>
        <w:trPr>
          <w:trHeight w:val="90" w:hRule="atLeast"/>
        </w:trPr>
        <w:tc>
          <w:tcPr>
            <w:tcW w:w="397" w:type="pct"/>
            <w:tcBorders>
              <w:top w:val="single" w:color="auto" w:sz="4" w:space="0"/>
              <w:left w:val="single" w:color="auto" w:sz="4" w:space="0"/>
              <w:bottom w:val="single" w:color="auto" w:sz="4" w:space="0"/>
              <w:right w:val="single" w:color="auto" w:sz="4" w:space="0"/>
            </w:tcBorders>
            <w:noWrap/>
          </w:tcPr>
          <w:p w14:paraId="10C8B719">
            <w:pPr>
              <w:spacing w:line="360" w:lineRule="auto"/>
              <w:jc w:val="center"/>
              <w:rPr>
                <w:rFonts w:hint="eastAsia" w:ascii="仿宋" w:hAnsi="仿宋" w:eastAsia="仿宋"/>
                <w:spacing w:val="-1"/>
                <w:sz w:val="24"/>
              </w:rPr>
            </w:pPr>
            <w:r>
              <w:rPr>
                <w:rFonts w:hint="eastAsia" w:ascii="仿宋" w:hAnsi="仿宋" w:eastAsia="仿宋"/>
                <w:spacing w:val="-1"/>
                <w:sz w:val="24"/>
              </w:rPr>
              <w:t>1</w:t>
            </w:r>
          </w:p>
        </w:tc>
        <w:tc>
          <w:tcPr>
            <w:tcW w:w="533" w:type="pct"/>
            <w:tcBorders>
              <w:top w:val="single" w:color="auto" w:sz="4" w:space="0"/>
              <w:left w:val="single" w:color="auto" w:sz="4" w:space="0"/>
              <w:bottom w:val="single" w:color="auto" w:sz="4" w:space="0"/>
              <w:right w:val="single" w:color="auto" w:sz="4" w:space="0"/>
            </w:tcBorders>
            <w:noWrap/>
          </w:tcPr>
          <w:p w14:paraId="7F24EB4E">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noWrap/>
          </w:tcPr>
          <w:p w14:paraId="46641C80">
            <w:pPr>
              <w:spacing w:line="360" w:lineRule="auto"/>
              <w:jc w:val="center"/>
              <w:rPr>
                <w:rFonts w:hint="eastAsia" w:ascii="仿宋" w:hAnsi="仿宋" w:eastAsia="仿宋"/>
                <w:spacing w:val="-1"/>
                <w:sz w:val="24"/>
              </w:rPr>
            </w:pPr>
            <w:r>
              <w:rPr>
                <w:rFonts w:hint="eastAsia" w:ascii="仿宋" w:hAnsi="仿宋" w:eastAsia="仿宋"/>
                <w:spacing w:val="-1"/>
                <w:sz w:val="24"/>
              </w:rPr>
              <w:t>形态</w:t>
            </w:r>
          </w:p>
        </w:tc>
        <w:tc>
          <w:tcPr>
            <w:tcW w:w="3263" w:type="pct"/>
            <w:tcBorders>
              <w:top w:val="single" w:color="auto" w:sz="4" w:space="0"/>
              <w:left w:val="single" w:color="auto" w:sz="4" w:space="0"/>
              <w:bottom w:val="single" w:color="auto" w:sz="4" w:space="0"/>
              <w:right w:val="single" w:color="auto" w:sz="4" w:space="0"/>
            </w:tcBorders>
          </w:tcPr>
          <w:p w14:paraId="09A63C6F">
            <w:pPr>
              <w:spacing w:line="360" w:lineRule="auto"/>
              <w:rPr>
                <w:rFonts w:hint="eastAsia" w:ascii="仿宋" w:hAnsi="仿宋" w:eastAsia="仿宋"/>
                <w:spacing w:val="-1"/>
                <w:sz w:val="24"/>
              </w:rPr>
            </w:pPr>
            <w:r>
              <w:rPr>
                <w:rFonts w:hint="eastAsia" w:ascii="仿宋" w:hAnsi="仿宋" w:eastAsia="仿宋"/>
                <w:spacing w:val="-1"/>
                <w:sz w:val="24"/>
              </w:rPr>
              <w:t>便携式智能移动终端/平板电脑，满足医生移动查房及手持办公需求。</w:t>
            </w:r>
          </w:p>
        </w:tc>
      </w:tr>
      <w:tr w14:paraId="221CAF21">
        <w:tblPrEx>
          <w:tblCellMar>
            <w:top w:w="0" w:type="dxa"/>
            <w:left w:w="108" w:type="dxa"/>
            <w:bottom w:w="0" w:type="dxa"/>
            <w:right w:w="108" w:type="dxa"/>
          </w:tblCellMar>
        </w:tblPrEx>
        <w:trPr>
          <w:trHeight w:val="315" w:hRule="atLeast"/>
        </w:trPr>
        <w:tc>
          <w:tcPr>
            <w:tcW w:w="397" w:type="pct"/>
            <w:tcBorders>
              <w:top w:val="single" w:color="auto" w:sz="4" w:space="0"/>
              <w:left w:val="single" w:color="auto" w:sz="4" w:space="0"/>
              <w:bottom w:val="single" w:color="auto" w:sz="4" w:space="0"/>
              <w:right w:val="single" w:color="auto" w:sz="4" w:space="0"/>
            </w:tcBorders>
            <w:noWrap/>
          </w:tcPr>
          <w:p w14:paraId="63958C5F">
            <w:pPr>
              <w:spacing w:line="360" w:lineRule="auto"/>
              <w:jc w:val="center"/>
              <w:rPr>
                <w:rFonts w:hint="eastAsia" w:ascii="仿宋" w:hAnsi="仿宋" w:eastAsia="仿宋"/>
                <w:spacing w:val="-1"/>
                <w:sz w:val="24"/>
              </w:rPr>
            </w:pPr>
            <w:r>
              <w:rPr>
                <w:rFonts w:hint="eastAsia" w:ascii="仿宋" w:hAnsi="仿宋" w:eastAsia="仿宋"/>
                <w:spacing w:val="-1"/>
                <w:sz w:val="24"/>
              </w:rPr>
              <w:t>2</w:t>
            </w:r>
          </w:p>
        </w:tc>
        <w:tc>
          <w:tcPr>
            <w:tcW w:w="533" w:type="pct"/>
            <w:tcBorders>
              <w:top w:val="single" w:color="auto" w:sz="4" w:space="0"/>
              <w:left w:val="single" w:color="auto" w:sz="4" w:space="0"/>
              <w:bottom w:val="single" w:color="auto" w:sz="4" w:space="0"/>
              <w:right w:val="single" w:color="auto" w:sz="4" w:space="0"/>
            </w:tcBorders>
            <w:noWrap/>
          </w:tcPr>
          <w:p w14:paraId="7B370F32">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tcPr>
          <w:p w14:paraId="0A4EE695">
            <w:pPr>
              <w:spacing w:line="360" w:lineRule="auto"/>
              <w:jc w:val="center"/>
              <w:rPr>
                <w:rFonts w:hint="eastAsia" w:ascii="仿宋" w:hAnsi="仿宋" w:eastAsia="仿宋"/>
                <w:spacing w:val="-1"/>
                <w:sz w:val="24"/>
              </w:rPr>
            </w:pPr>
            <w:r>
              <w:rPr>
                <w:rFonts w:hint="eastAsia" w:ascii="仿宋" w:hAnsi="仿宋" w:eastAsia="仿宋"/>
                <w:spacing w:val="-1"/>
                <w:sz w:val="24"/>
              </w:rPr>
              <w:t>显示屏幕</w:t>
            </w:r>
          </w:p>
        </w:tc>
        <w:tc>
          <w:tcPr>
            <w:tcW w:w="3263" w:type="pct"/>
            <w:tcBorders>
              <w:top w:val="single" w:color="auto" w:sz="4" w:space="0"/>
              <w:left w:val="single" w:color="auto" w:sz="4" w:space="0"/>
              <w:bottom w:val="single" w:color="auto" w:sz="4" w:space="0"/>
              <w:right w:val="single" w:color="auto" w:sz="4" w:space="0"/>
            </w:tcBorders>
          </w:tcPr>
          <w:p w14:paraId="0FF08785">
            <w:pPr>
              <w:spacing w:line="360" w:lineRule="auto"/>
              <w:rPr>
                <w:rFonts w:hint="eastAsia" w:ascii="仿宋" w:hAnsi="仿宋" w:eastAsia="仿宋"/>
                <w:spacing w:val="-1"/>
                <w:sz w:val="24"/>
              </w:rPr>
            </w:pPr>
            <w:r>
              <w:rPr>
                <w:rFonts w:hint="eastAsia" w:ascii="仿宋" w:hAnsi="仿宋" w:eastAsia="仿宋"/>
                <w:spacing w:val="-1"/>
                <w:sz w:val="24"/>
              </w:rPr>
              <w:t>屏幕尺寸≥10.9英寸；</w:t>
            </w:r>
          </w:p>
          <w:p w14:paraId="198BC54C">
            <w:pPr>
              <w:spacing w:line="360" w:lineRule="auto"/>
              <w:rPr>
                <w:rFonts w:hint="eastAsia" w:ascii="仿宋" w:hAnsi="仿宋" w:eastAsia="仿宋"/>
                <w:spacing w:val="-1"/>
                <w:sz w:val="24"/>
              </w:rPr>
            </w:pPr>
            <w:r>
              <w:rPr>
                <w:rFonts w:hint="eastAsia" w:ascii="仿宋" w:hAnsi="仿宋" w:eastAsia="仿宋"/>
                <w:spacing w:val="-1"/>
                <w:sz w:val="24"/>
              </w:rPr>
              <w:t>屏幕分辨率≥1920×1080（FHD级别），提供清晰的病历与医学影像阅览体验。</w:t>
            </w:r>
          </w:p>
        </w:tc>
      </w:tr>
      <w:tr w14:paraId="563DE0E9">
        <w:tblPrEx>
          <w:tblCellMar>
            <w:top w:w="0" w:type="dxa"/>
            <w:left w:w="108" w:type="dxa"/>
            <w:bottom w:w="0" w:type="dxa"/>
            <w:right w:w="108" w:type="dxa"/>
          </w:tblCellMar>
        </w:tblPrEx>
        <w:trPr>
          <w:trHeight w:val="900" w:hRule="atLeast"/>
        </w:trPr>
        <w:tc>
          <w:tcPr>
            <w:tcW w:w="397" w:type="pct"/>
            <w:tcBorders>
              <w:top w:val="single" w:color="auto" w:sz="4" w:space="0"/>
              <w:left w:val="single" w:color="auto" w:sz="4" w:space="0"/>
              <w:bottom w:val="single" w:color="auto" w:sz="4" w:space="0"/>
              <w:right w:val="single" w:color="auto" w:sz="4" w:space="0"/>
            </w:tcBorders>
            <w:noWrap/>
          </w:tcPr>
          <w:p w14:paraId="41775982">
            <w:pPr>
              <w:spacing w:line="360" w:lineRule="auto"/>
              <w:jc w:val="center"/>
              <w:rPr>
                <w:rFonts w:hint="eastAsia" w:ascii="仿宋" w:hAnsi="仿宋" w:eastAsia="仿宋"/>
                <w:spacing w:val="-1"/>
                <w:sz w:val="24"/>
              </w:rPr>
            </w:pPr>
            <w:r>
              <w:rPr>
                <w:rFonts w:hint="eastAsia" w:ascii="仿宋" w:hAnsi="仿宋" w:eastAsia="仿宋"/>
                <w:spacing w:val="-1"/>
                <w:sz w:val="24"/>
              </w:rPr>
              <w:t>3</w:t>
            </w:r>
          </w:p>
        </w:tc>
        <w:tc>
          <w:tcPr>
            <w:tcW w:w="533" w:type="pct"/>
            <w:tcBorders>
              <w:top w:val="single" w:color="auto" w:sz="4" w:space="0"/>
              <w:left w:val="single" w:color="auto" w:sz="4" w:space="0"/>
              <w:bottom w:val="single" w:color="auto" w:sz="4" w:space="0"/>
              <w:right w:val="single" w:color="auto" w:sz="4" w:space="0"/>
            </w:tcBorders>
            <w:noWrap/>
          </w:tcPr>
          <w:p w14:paraId="1AB1A5DF">
            <w:pPr>
              <w:spacing w:line="360" w:lineRule="auto"/>
              <w:jc w:val="center"/>
              <w:rPr>
                <w:rFonts w:hint="eastAsia" w:ascii="仿宋" w:hAnsi="仿宋" w:eastAsia="仿宋"/>
                <w:spacing w:val="-1"/>
                <w:sz w:val="24"/>
              </w:rPr>
            </w:pPr>
          </w:p>
        </w:tc>
        <w:tc>
          <w:tcPr>
            <w:tcW w:w="806" w:type="pct"/>
            <w:tcBorders>
              <w:top w:val="single" w:color="auto" w:sz="4" w:space="0"/>
              <w:left w:val="single" w:color="auto" w:sz="4" w:space="0"/>
              <w:bottom w:val="single" w:color="auto" w:sz="4" w:space="0"/>
              <w:right w:val="single" w:color="auto" w:sz="4" w:space="0"/>
            </w:tcBorders>
            <w:shd w:val="clear" w:color="000000" w:fill="FFFFFF"/>
            <w:noWrap/>
          </w:tcPr>
          <w:p w14:paraId="2C352717">
            <w:pPr>
              <w:spacing w:line="360" w:lineRule="auto"/>
              <w:jc w:val="center"/>
              <w:rPr>
                <w:rFonts w:hint="eastAsia" w:ascii="仿宋" w:hAnsi="仿宋" w:eastAsia="仿宋"/>
                <w:spacing w:val="-1"/>
                <w:sz w:val="24"/>
              </w:rPr>
            </w:pPr>
            <w:r>
              <w:rPr>
                <w:rFonts w:hint="eastAsia" w:ascii="仿宋" w:hAnsi="仿宋" w:eastAsia="仿宋"/>
                <w:spacing w:val="-1"/>
                <w:sz w:val="24"/>
              </w:rPr>
              <w:t>处理器架构</w:t>
            </w:r>
          </w:p>
        </w:tc>
        <w:tc>
          <w:tcPr>
            <w:tcW w:w="3263" w:type="pct"/>
            <w:tcBorders>
              <w:top w:val="single" w:color="auto" w:sz="4" w:space="0"/>
              <w:left w:val="single" w:color="auto" w:sz="4" w:space="0"/>
              <w:bottom w:val="single" w:color="auto" w:sz="4" w:space="0"/>
              <w:right w:val="single" w:color="auto" w:sz="4" w:space="0"/>
            </w:tcBorders>
          </w:tcPr>
          <w:p w14:paraId="0E297759">
            <w:pPr>
              <w:spacing w:line="360" w:lineRule="auto"/>
              <w:rPr>
                <w:rFonts w:hint="eastAsia" w:ascii="仿宋" w:hAnsi="仿宋" w:eastAsia="仿宋"/>
                <w:spacing w:val="-1"/>
                <w:sz w:val="24"/>
              </w:rPr>
            </w:pPr>
            <w:r>
              <w:rPr>
                <w:rFonts w:hint="eastAsia" w:ascii="仿宋" w:hAnsi="仿宋" w:eastAsia="仿宋"/>
                <w:spacing w:val="-1"/>
                <w:sz w:val="24"/>
              </w:rPr>
              <w:t>采用高性能8核异构移动端处理器架构；</w:t>
            </w:r>
          </w:p>
          <w:p w14:paraId="67D44A93">
            <w:pPr>
              <w:spacing w:line="360" w:lineRule="auto"/>
              <w:rPr>
                <w:rFonts w:hint="eastAsia" w:ascii="仿宋" w:hAnsi="仿宋" w:eastAsia="仿宋"/>
                <w:spacing w:val="-1"/>
                <w:sz w:val="24"/>
              </w:rPr>
            </w:pPr>
            <w:r>
              <w:rPr>
                <w:rFonts w:hint="eastAsia" w:ascii="仿宋" w:hAnsi="仿宋" w:eastAsia="仿宋"/>
                <w:spacing w:val="-1"/>
                <w:sz w:val="24"/>
              </w:rPr>
              <w:t>CPU需包含≥4个性能大核（基于Cortex-A73或以上级别架构，主频≥2.4GHz）与≥4个能效小核（基于Cortex-A53或以上级别架构，主频≥1.8GHz），兼顾高算力与低功耗。</w:t>
            </w:r>
          </w:p>
        </w:tc>
      </w:tr>
      <w:tr w14:paraId="01CCB69F">
        <w:tblPrEx>
          <w:tblCellMar>
            <w:top w:w="0" w:type="dxa"/>
            <w:left w:w="108" w:type="dxa"/>
            <w:bottom w:w="0" w:type="dxa"/>
            <w:right w:w="108" w:type="dxa"/>
          </w:tblCellMar>
        </w:tblPrEx>
        <w:trPr>
          <w:trHeight w:val="945" w:hRule="atLeast"/>
        </w:trPr>
        <w:tc>
          <w:tcPr>
            <w:tcW w:w="397" w:type="pct"/>
            <w:tcBorders>
              <w:top w:val="single" w:color="auto" w:sz="4" w:space="0"/>
              <w:left w:val="single" w:color="auto" w:sz="4" w:space="0"/>
              <w:bottom w:val="single" w:color="auto" w:sz="4" w:space="0"/>
              <w:right w:val="single" w:color="auto" w:sz="4" w:space="0"/>
            </w:tcBorders>
            <w:noWrap/>
          </w:tcPr>
          <w:p w14:paraId="1EEA3FFC">
            <w:pPr>
              <w:spacing w:line="360" w:lineRule="auto"/>
              <w:jc w:val="center"/>
              <w:rPr>
                <w:rFonts w:hint="eastAsia" w:ascii="仿宋" w:hAnsi="仿宋" w:eastAsia="仿宋"/>
                <w:spacing w:val="-1"/>
                <w:sz w:val="24"/>
              </w:rPr>
            </w:pPr>
            <w:r>
              <w:rPr>
                <w:rFonts w:hint="eastAsia" w:ascii="仿宋" w:hAnsi="仿宋" w:eastAsia="仿宋"/>
                <w:spacing w:val="-1"/>
                <w:sz w:val="24"/>
              </w:rPr>
              <w:t>4</w:t>
            </w:r>
          </w:p>
        </w:tc>
        <w:tc>
          <w:tcPr>
            <w:tcW w:w="533" w:type="pct"/>
            <w:tcBorders>
              <w:top w:val="single" w:color="auto" w:sz="4" w:space="0"/>
              <w:left w:val="single" w:color="auto" w:sz="4" w:space="0"/>
              <w:bottom w:val="single" w:color="auto" w:sz="4" w:space="0"/>
              <w:right w:val="single" w:color="auto" w:sz="4" w:space="0"/>
            </w:tcBorders>
            <w:noWrap/>
          </w:tcPr>
          <w:p w14:paraId="1BA56B42">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noWrap/>
          </w:tcPr>
          <w:p w14:paraId="34108C1C">
            <w:pPr>
              <w:spacing w:line="360" w:lineRule="auto"/>
              <w:jc w:val="center"/>
              <w:rPr>
                <w:rFonts w:hint="eastAsia" w:ascii="仿宋" w:hAnsi="仿宋" w:eastAsia="仿宋"/>
                <w:spacing w:val="-1"/>
                <w:sz w:val="24"/>
              </w:rPr>
            </w:pPr>
            <w:r>
              <w:rPr>
                <w:rFonts w:hint="eastAsia" w:ascii="仿宋" w:hAnsi="仿宋" w:eastAsia="仿宋"/>
                <w:spacing w:val="-1"/>
                <w:sz w:val="24"/>
              </w:rPr>
              <w:t>内存与存储</w:t>
            </w:r>
          </w:p>
        </w:tc>
        <w:tc>
          <w:tcPr>
            <w:tcW w:w="3263" w:type="pct"/>
            <w:tcBorders>
              <w:top w:val="single" w:color="auto" w:sz="4" w:space="0"/>
              <w:left w:val="single" w:color="auto" w:sz="4" w:space="0"/>
              <w:bottom w:val="single" w:color="auto" w:sz="4" w:space="0"/>
              <w:right w:val="single" w:color="auto" w:sz="4" w:space="0"/>
            </w:tcBorders>
          </w:tcPr>
          <w:p w14:paraId="79DBCC6F">
            <w:pPr>
              <w:spacing w:line="360" w:lineRule="auto"/>
              <w:rPr>
                <w:rFonts w:hint="eastAsia" w:ascii="仿宋" w:hAnsi="仿宋" w:eastAsia="仿宋"/>
                <w:spacing w:val="-1"/>
                <w:sz w:val="24"/>
              </w:rPr>
            </w:pPr>
            <w:r>
              <w:rPr>
                <w:rFonts w:hint="eastAsia" w:ascii="仿宋" w:hAnsi="仿宋" w:eastAsia="仿宋"/>
                <w:spacing w:val="-1"/>
                <w:sz w:val="24"/>
              </w:rPr>
              <w:t>运行内存（RAM）容量≥6GB；</w:t>
            </w:r>
          </w:p>
          <w:p w14:paraId="003EBC5C">
            <w:pPr>
              <w:spacing w:line="360" w:lineRule="auto"/>
              <w:rPr>
                <w:rFonts w:hint="eastAsia" w:ascii="仿宋" w:hAnsi="仿宋" w:eastAsia="仿宋"/>
                <w:spacing w:val="-1"/>
                <w:sz w:val="24"/>
              </w:rPr>
            </w:pPr>
            <w:r>
              <w:rPr>
                <w:rFonts w:hint="eastAsia" w:ascii="仿宋" w:hAnsi="仿宋" w:eastAsia="仿宋"/>
                <w:spacing w:val="-1"/>
                <w:sz w:val="24"/>
              </w:rPr>
              <w:t>机身存储容量（ROM）≥128GB，满足医疗APP及病历本地缓存需求。</w:t>
            </w:r>
          </w:p>
        </w:tc>
      </w:tr>
      <w:tr w14:paraId="54801289">
        <w:tblPrEx>
          <w:tblCellMar>
            <w:top w:w="0" w:type="dxa"/>
            <w:left w:w="108" w:type="dxa"/>
            <w:bottom w:w="0" w:type="dxa"/>
            <w:right w:w="108" w:type="dxa"/>
          </w:tblCellMar>
        </w:tblPrEx>
        <w:trPr>
          <w:trHeight w:val="315" w:hRule="atLeast"/>
        </w:trPr>
        <w:tc>
          <w:tcPr>
            <w:tcW w:w="397" w:type="pct"/>
            <w:tcBorders>
              <w:top w:val="single" w:color="auto" w:sz="4" w:space="0"/>
              <w:left w:val="single" w:color="auto" w:sz="4" w:space="0"/>
              <w:bottom w:val="single" w:color="auto" w:sz="4" w:space="0"/>
              <w:right w:val="single" w:color="auto" w:sz="4" w:space="0"/>
            </w:tcBorders>
            <w:noWrap/>
          </w:tcPr>
          <w:p w14:paraId="258690C9">
            <w:pPr>
              <w:spacing w:line="360" w:lineRule="auto"/>
              <w:jc w:val="center"/>
              <w:rPr>
                <w:rFonts w:hint="eastAsia" w:ascii="仿宋" w:hAnsi="仿宋" w:eastAsia="仿宋"/>
                <w:spacing w:val="-1"/>
                <w:sz w:val="24"/>
              </w:rPr>
            </w:pPr>
            <w:r>
              <w:rPr>
                <w:rFonts w:hint="eastAsia" w:ascii="仿宋" w:hAnsi="仿宋" w:eastAsia="仿宋"/>
                <w:spacing w:val="-1"/>
                <w:sz w:val="24"/>
              </w:rPr>
              <w:t>5</w:t>
            </w:r>
          </w:p>
        </w:tc>
        <w:tc>
          <w:tcPr>
            <w:tcW w:w="533" w:type="pct"/>
            <w:tcBorders>
              <w:top w:val="single" w:color="auto" w:sz="4" w:space="0"/>
              <w:left w:val="single" w:color="auto" w:sz="4" w:space="0"/>
              <w:bottom w:val="single" w:color="auto" w:sz="4" w:space="0"/>
              <w:right w:val="single" w:color="auto" w:sz="4" w:space="0"/>
            </w:tcBorders>
            <w:noWrap/>
          </w:tcPr>
          <w:p w14:paraId="366D3883">
            <w:pPr>
              <w:spacing w:line="360" w:lineRule="auto"/>
              <w:jc w:val="center"/>
              <w:rPr>
                <w:rFonts w:hint="eastAsia" w:ascii="仿宋" w:hAnsi="仿宋" w:eastAsia="仿宋"/>
                <w:spacing w:val="-1"/>
                <w:sz w:val="24"/>
              </w:rPr>
            </w:pPr>
            <w:r>
              <w:rPr>
                <w:rFonts w:hint="eastAsia" w:ascii="仿宋" w:hAnsi="仿宋" w:eastAsia="仿宋"/>
                <w:spacing w:val="-1"/>
                <w:sz w:val="24"/>
              </w:rPr>
              <w:t>★</w:t>
            </w:r>
          </w:p>
        </w:tc>
        <w:tc>
          <w:tcPr>
            <w:tcW w:w="806" w:type="pct"/>
            <w:tcBorders>
              <w:top w:val="single" w:color="auto" w:sz="4" w:space="0"/>
              <w:left w:val="single" w:color="auto" w:sz="4" w:space="0"/>
              <w:bottom w:val="single" w:color="auto" w:sz="4" w:space="0"/>
              <w:right w:val="single" w:color="auto" w:sz="4" w:space="0"/>
            </w:tcBorders>
          </w:tcPr>
          <w:p w14:paraId="171DDAD0">
            <w:pPr>
              <w:spacing w:line="360" w:lineRule="auto"/>
              <w:jc w:val="center"/>
              <w:rPr>
                <w:rFonts w:hint="eastAsia" w:ascii="仿宋" w:hAnsi="仿宋" w:eastAsia="仿宋"/>
                <w:spacing w:val="-1"/>
                <w:sz w:val="24"/>
              </w:rPr>
            </w:pPr>
            <w:r>
              <w:rPr>
                <w:rFonts w:hint="eastAsia" w:ascii="仿宋" w:hAnsi="仿宋" w:eastAsia="仿宋"/>
                <w:spacing w:val="-1"/>
                <w:sz w:val="24"/>
              </w:rPr>
              <w:t>电池续航</w:t>
            </w:r>
          </w:p>
        </w:tc>
        <w:tc>
          <w:tcPr>
            <w:tcW w:w="3263" w:type="pct"/>
            <w:tcBorders>
              <w:top w:val="single" w:color="auto" w:sz="4" w:space="0"/>
              <w:left w:val="single" w:color="auto" w:sz="4" w:space="0"/>
              <w:bottom w:val="single" w:color="auto" w:sz="4" w:space="0"/>
              <w:right w:val="single" w:color="auto" w:sz="4" w:space="0"/>
            </w:tcBorders>
          </w:tcPr>
          <w:p w14:paraId="6F6017DB">
            <w:pPr>
              <w:spacing w:line="360" w:lineRule="auto"/>
              <w:rPr>
                <w:rFonts w:hint="eastAsia" w:ascii="仿宋" w:hAnsi="仿宋" w:eastAsia="仿宋"/>
                <w:spacing w:val="-1"/>
                <w:sz w:val="24"/>
              </w:rPr>
            </w:pPr>
            <w:r>
              <w:rPr>
                <w:rFonts w:hint="eastAsia" w:ascii="仿宋" w:hAnsi="仿宋" w:eastAsia="仿宋"/>
                <w:spacing w:val="-1"/>
                <w:sz w:val="24"/>
              </w:rPr>
              <w:t>电池容量≥7600mAh，保障高频移动查房场景下的全天候长效续航。</w:t>
            </w:r>
          </w:p>
        </w:tc>
      </w:tr>
    </w:tbl>
    <w:p w14:paraId="5053F3DA">
      <w:pPr>
        <w:rPr>
          <w:sz w:val="24"/>
        </w:rPr>
      </w:pPr>
    </w:p>
    <w:p w14:paraId="3FBEC31E">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固定式收音设备50台</w:t>
      </w:r>
    </w:p>
    <w:p w14:paraId="14503656">
      <w:pPr>
        <w:rPr>
          <w:sz w:val="24"/>
        </w:rPr>
      </w:pPr>
    </w:p>
    <w:tbl>
      <w:tblPr>
        <w:tblStyle w:val="31"/>
        <w:tblW w:w="4997" w:type="pct"/>
        <w:tblInd w:w="0" w:type="dxa"/>
        <w:tblLayout w:type="autofit"/>
        <w:tblCellMar>
          <w:top w:w="0" w:type="dxa"/>
          <w:left w:w="108" w:type="dxa"/>
          <w:bottom w:w="0" w:type="dxa"/>
          <w:right w:w="108" w:type="dxa"/>
        </w:tblCellMar>
      </w:tblPr>
      <w:tblGrid>
        <w:gridCol w:w="766"/>
        <w:gridCol w:w="1030"/>
        <w:gridCol w:w="1815"/>
        <w:gridCol w:w="6012"/>
      </w:tblGrid>
      <w:tr w14:paraId="6143F2BE">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64412BF3">
            <w:pPr>
              <w:spacing w:line="360" w:lineRule="auto"/>
              <w:jc w:val="center"/>
              <w:rPr>
                <w:rFonts w:hint="eastAsia" w:ascii="仿宋" w:hAnsi="仿宋" w:eastAsia="仿宋"/>
                <w:b/>
                <w:bCs/>
                <w:spacing w:val="-1"/>
                <w:sz w:val="24"/>
              </w:rPr>
            </w:pPr>
            <w:r>
              <w:rPr>
                <w:rFonts w:ascii="仿宋" w:hAnsi="仿宋" w:eastAsia="仿宋"/>
                <w:b/>
                <w:bCs/>
                <w:spacing w:val="-1"/>
                <w:sz w:val="24"/>
              </w:rPr>
              <w:t>序号</w:t>
            </w:r>
          </w:p>
        </w:tc>
        <w:tc>
          <w:tcPr>
            <w:tcW w:w="535" w:type="pct"/>
            <w:tcBorders>
              <w:top w:val="single" w:color="auto" w:sz="4" w:space="0"/>
              <w:left w:val="single" w:color="auto" w:sz="4" w:space="0"/>
              <w:bottom w:val="single" w:color="auto" w:sz="4" w:space="0"/>
              <w:right w:val="single" w:color="auto" w:sz="4" w:space="0"/>
            </w:tcBorders>
            <w:noWrap/>
            <w:vAlign w:val="center"/>
          </w:tcPr>
          <w:p w14:paraId="333FF7A6">
            <w:pPr>
              <w:spacing w:line="360" w:lineRule="auto"/>
              <w:jc w:val="center"/>
              <w:rPr>
                <w:rFonts w:hint="eastAsia" w:ascii="仿宋" w:hAnsi="仿宋" w:eastAsia="仿宋"/>
                <w:b/>
                <w:bCs/>
                <w:spacing w:val="-1"/>
                <w:sz w:val="24"/>
              </w:rPr>
            </w:pPr>
            <w:r>
              <w:rPr>
                <w:rFonts w:ascii="仿宋" w:hAnsi="仿宋" w:eastAsia="仿宋"/>
                <w:b/>
                <w:bCs/>
                <w:spacing w:val="-1"/>
                <w:sz w:val="24"/>
              </w:rPr>
              <w:t>重要性</w:t>
            </w:r>
          </w:p>
        </w:tc>
        <w:tc>
          <w:tcPr>
            <w:tcW w:w="943" w:type="pct"/>
            <w:tcBorders>
              <w:top w:val="single" w:color="auto" w:sz="4" w:space="0"/>
              <w:left w:val="single" w:color="auto" w:sz="4" w:space="0"/>
              <w:bottom w:val="single" w:color="auto" w:sz="4" w:space="0"/>
              <w:right w:val="single" w:color="auto" w:sz="4" w:space="0"/>
            </w:tcBorders>
            <w:vAlign w:val="center"/>
          </w:tcPr>
          <w:p w14:paraId="380C6423">
            <w:pPr>
              <w:spacing w:line="360" w:lineRule="auto"/>
              <w:jc w:val="center"/>
              <w:rPr>
                <w:rFonts w:hint="eastAsia" w:ascii="仿宋" w:hAnsi="仿宋" w:eastAsia="仿宋"/>
                <w:b/>
                <w:bCs/>
                <w:spacing w:val="-1"/>
                <w:sz w:val="24"/>
              </w:rPr>
            </w:pPr>
            <w:r>
              <w:rPr>
                <w:rFonts w:ascii="仿宋" w:hAnsi="仿宋" w:eastAsia="仿宋"/>
                <w:b/>
                <w:bCs/>
                <w:spacing w:val="-1"/>
                <w:sz w:val="24"/>
              </w:rPr>
              <w:t>技术指标</w:t>
            </w:r>
          </w:p>
        </w:tc>
        <w:tc>
          <w:tcPr>
            <w:tcW w:w="3124" w:type="pct"/>
            <w:tcBorders>
              <w:top w:val="single" w:color="auto" w:sz="4" w:space="0"/>
              <w:left w:val="single" w:color="auto" w:sz="4" w:space="0"/>
              <w:bottom w:val="single" w:color="auto" w:sz="4" w:space="0"/>
              <w:right w:val="single" w:color="auto" w:sz="4" w:space="0"/>
            </w:tcBorders>
            <w:vAlign w:val="center"/>
          </w:tcPr>
          <w:p w14:paraId="4E6A5B78">
            <w:pPr>
              <w:spacing w:line="360" w:lineRule="auto"/>
              <w:jc w:val="center"/>
              <w:rPr>
                <w:rFonts w:hint="eastAsia" w:ascii="仿宋" w:hAnsi="仿宋" w:eastAsia="仿宋"/>
                <w:b/>
                <w:bCs/>
                <w:spacing w:val="-1"/>
                <w:sz w:val="24"/>
              </w:rPr>
            </w:pPr>
            <w:r>
              <w:rPr>
                <w:rFonts w:ascii="仿宋" w:hAnsi="仿宋" w:eastAsia="仿宋"/>
                <w:b/>
                <w:bCs/>
                <w:spacing w:val="-1"/>
                <w:sz w:val="24"/>
              </w:rPr>
              <w:t>重要参数</w:t>
            </w:r>
          </w:p>
        </w:tc>
      </w:tr>
      <w:tr w14:paraId="3BB5DEE6">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noWrap/>
          </w:tcPr>
          <w:p w14:paraId="06C44F4C">
            <w:pPr>
              <w:spacing w:line="360" w:lineRule="auto"/>
              <w:rPr>
                <w:rFonts w:hint="eastAsia" w:ascii="仿宋" w:hAnsi="仿宋" w:eastAsia="仿宋"/>
                <w:spacing w:val="-1"/>
                <w:sz w:val="24"/>
              </w:rPr>
            </w:pP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tcPr>
          <w:p w14:paraId="3422DC25">
            <w:pPr>
              <w:spacing w:line="360" w:lineRule="auto"/>
              <w:rPr>
                <w:rFonts w:hint="eastAsia" w:ascii="仿宋" w:hAnsi="仿宋" w:eastAsia="仿宋"/>
                <w:spacing w:val="-1"/>
                <w:sz w:val="24"/>
              </w:rPr>
            </w:pPr>
          </w:p>
        </w:tc>
        <w:tc>
          <w:tcPr>
            <w:tcW w:w="943" w:type="pct"/>
            <w:tcBorders>
              <w:top w:val="single" w:color="auto" w:sz="4" w:space="0"/>
              <w:left w:val="single" w:color="auto" w:sz="4" w:space="0"/>
              <w:bottom w:val="single" w:color="auto" w:sz="4" w:space="0"/>
              <w:right w:val="single" w:color="auto" w:sz="4" w:space="0"/>
            </w:tcBorders>
            <w:noWrap/>
          </w:tcPr>
          <w:p w14:paraId="3864407F">
            <w:pPr>
              <w:spacing w:line="360" w:lineRule="auto"/>
              <w:rPr>
                <w:rFonts w:hint="eastAsia" w:ascii="仿宋" w:hAnsi="仿宋" w:eastAsia="仿宋"/>
                <w:spacing w:val="-1"/>
                <w:sz w:val="24"/>
              </w:rPr>
            </w:pPr>
            <w:r>
              <w:rPr>
                <w:rFonts w:hint="eastAsia" w:ascii="仿宋" w:hAnsi="仿宋" w:eastAsia="仿宋"/>
                <w:spacing w:val="-1"/>
                <w:sz w:val="24"/>
              </w:rPr>
              <w:t>设备形态</w:t>
            </w:r>
          </w:p>
        </w:tc>
        <w:tc>
          <w:tcPr>
            <w:tcW w:w="3124" w:type="pct"/>
            <w:tcBorders>
              <w:top w:val="single" w:color="auto" w:sz="4" w:space="0"/>
              <w:left w:val="single" w:color="auto" w:sz="4" w:space="0"/>
              <w:bottom w:val="single" w:color="auto" w:sz="4" w:space="0"/>
              <w:right w:val="single" w:color="auto" w:sz="4" w:space="0"/>
            </w:tcBorders>
          </w:tcPr>
          <w:p w14:paraId="790B25CB">
            <w:pPr>
              <w:spacing w:line="360" w:lineRule="auto"/>
              <w:rPr>
                <w:rFonts w:hint="eastAsia" w:ascii="仿宋" w:hAnsi="仿宋" w:eastAsia="仿宋"/>
                <w:spacing w:val="-1"/>
                <w:sz w:val="24"/>
              </w:rPr>
            </w:pPr>
            <w:r>
              <w:rPr>
                <w:rFonts w:hint="eastAsia" w:ascii="仿宋" w:hAnsi="仿宋" w:eastAsia="仿宋"/>
                <w:spacing w:val="-1"/>
                <w:sz w:val="24"/>
              </w:rPr>
              <w:t>桌面固定式全向拾音麦克风设备。</w:t>
            </w:r>
          </w:p>
        </w:tc>
      </w:tr>
      <w:tr w14:paraId="742998E7">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4B34E4A9">
            <w:pPr>
              <w:spacing w:line="360" w:lineRule="auto"/>
              <w:rPr>
                <w:rFonts w:hint="eastAsia" w:ascii="仿宋" w:hAnsi="仿宋" w:eastAsia="仿宋"/>
                <w:spacing w:val="-1"/>
                <w:sz w:val="24"/>
              </w:rPr>
            </w:pP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tcPr>
          <w:p w14:paraId="47350FB2">
            <w:pPr>
              <w:spacing w:line="360" w:lineRule="auto"/>
              <w:rPr>
                <w:rFonts w:hint="eastAsia" w:ascii="仿宋" w:hAnsi="仿宋" w:eastAsia="仿宋"/>
                <w:spacing w:val="-1"/>
                <w:sz w:val="24"/>
              </w:rPr>
            </w:pPr>
            <w:r>
              <w:rPr>
                <w:rFonts w:hint="eastAsia" w:ascii="仿宋" w:hAnsi="仿宋" w:eastAsia="仿宋"/>
                <w:spacing w:val="-1"/>
                <w:sz w:val="24"/>
              </w:rPr>
              <w:t>★</w:t>
            </w:r>
          </w:p>
        </w:tc>
        <w:tc>
          <w:tcPr>
            <w:tcW w:w="943" w:type="pct"/>
            <w:tcBorders>
              <w:top w:val="single" w:color="auto" w:sz="4" w:space="0"/>
              <w:left w:val="single" w:color="auto" w:sz="4" w:space="0"/>
              <w:bottom w:val="single" w:color="auto" w:sz="4" w:space="0"/>
              <w:right w:val="single" w:color="auto" w:sz="4" w:space="0"/>
            </w:tcBorders>
            <w:noWrap/>
          </w:tcPr>
          <w:p w14:paraId="59A7F382">
            <w:pPr>
              <w:spacing w:line="360" w:lineRule="auto"/>
              <w:rPr>
                <w:rFonts w:hint="eastAsia" w:ascii="仿宋" w:hAnsi="仿宋" w:eastAsia="仿宋"/>
                <w:spacing w:val="-1"/>
                <w:sz w:val="24"/>
              </w:rPr>
            </w:pPr>
            <w:r>
              <w:rPr>
                <w:rFonts w:hint="eastAsia" w:ascii="仿宋" w:hAnsi="仿宋" w:eastAsia="仿宋"/>
                <w:spacing w:val="-1"/>
                <w:sz w:val="24"/>
              </w:rPr>
              <w:t>连接方式</w:t>
            </w:r>
          </w:p>
        </w:tc>
        <w:tc>
          <w:tcPr>
            <w:tcW w:w="3124" w:type="pct"/>
            <w:tcBorders>
              <w:top w:val="single" w:color="auto" w:sz="4" w:space="0"/>
              <w:left w:val="single" w:color="auto" w:sz="4" w:space="0"/>
              <w:bottom w:val="single" w:color="auto" w:sz="4" w:space="0"/>
              <w:right w:val="single" w:color="auto" w:sz="4" w:space="0"/>
            </w:tcBorders>
          </w:tcPr>
          <w:p w14:paraId="1B35A5E2">
            <w:pPr>
              <w:spacing w:line="360" w:lineRule="auto"/>
              <w:rPr>
                <w:rFonts w:hint="eastAsia" w:ascii="仿宋" w:hAnsi="仿宋" w:eastAsia="仿宋"/>
                <w:spacing w:val="-1"/>
                <w:sz w:val="24"/>
              </w:rPr>
            </w:pPr>
            <w:r>
              <w:rPr>
                <w:rFonts w:hint="eastAsia" w:ascii="仿宋" w:hAnsi="仿宋" w:eastAsia="仿宋"/>
                <w:spacing w:val="-1"/>
                <w:sz w:val="24"/>
              </w:rPr>
              <w:t>支持蓝牙与有线两种连接方式；蓝牙版本要求≥Bluetooth 5.1，确保音频传输的低延迟与高稳定性。</w:t>
            </w:r>
          </w:p>
        </w:tc>
      </w:tr>
      <w:tr w14:paraId="4E56C6AC">
        <w:tblPrEx>
          <w:tblCellMar>
            <w:top w:w="0" w:type="dxa"/>
            <w:left w:w="108" w:type="dxa"/>
            <w:bottom w:w="0" w:type="dxa"/>
            <w:right w:w="108" w:type="dxa"/>
          </w:tblCellMar>
        </w:tblPrEx>
        <w:trPr>
          <w:trHeight w:val="900" w:hRule="atLeast"/>
        </w:trPr>
        <w:tc>
          <w:tcPr>
            <w:tcW w:w="398" w:type="pct"/>
            <w:tcBorders>
              <w:top w:val="single" w:color="auto" w:sz="4" w:space="0"/>
              <w:left w:val="single" w:color="auto" w:sz="4" w:space="0"/>
              <w:bottom w:val="single" w:color="auto" w:sz="4" w:space="0"/>
              <w:right w:val="single" w:color="auto" w:sz="4" w:space="0"/>
            </w:tcBorders>
            <w:noWrap/>
          </w:tcPr>
          <w:p w14:paraId="7ADBD2E5">
            <w:pPr>
              <w:spacing w:line="360" w:lineRule="auto"/>
              <w:rPr>
                <w:rFonts w:hint="eastAsia" w:ascii="仿宋" w:hAnsi="仿宋" w:eastAsia="仿宋"/>
                <w:spacing w:val="-1"/>
                <w:sz w:val="24"/>
              </w:rPr>
            </w:pP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tcPr>
          <w:p w14:paraId="5E369A7E">
            <w:pPr>
              <w:spacing w:line="360" w:lineRule="auto"/>
              <w:rPr>
                <w:rFonts w:hint="eastAsia" w:ascii="仿宋" w:hAnsi="仿宋" w:eastAsia="仿宋"/>
                <w:spacing w:val="-1"/>
                <w:sz w:val="24"/>
              </w:rPr>
            </w:pPr>
            <w:r>
              <w:rPr>
                <w:rFonts w:hint="eastAsia" w:ascii="仿宋" w:hAnsi="仿宋" w:eastAsia="仿宋"/>
                <w:spacing w:val="-1"/>
                <w:sz w:val="24"/>
              </w:rPr>
              <w:t>★</w:t>
            </w:r>
          </w:p>
        </w:tc>
        <w:tc>
          <w:tcPr>
            <w:tcW w:w="943" w:type="pct"/>
            <w:tcBorders>
              <w:top w:val="single" w:color="auto" w:sz="4" w:space="0"/>
              <w:left w:val="single" w:color="auto" w:sz="4" w:space="0"/>
              <w:bottom w:val="single" w:color="auto" w:sz="4" w:space="0"/>
              <w:right w:val="single" w:color="auto" w:sz="4" w:space="0"/>
            </w:tcBorders>
            <w:shd w:val="clear" w:color="000000" w:fill="FFFFFF"/>
            <w:noWrap/>
          </w:tcPr>
          <w:p w14:paraId="6FD1C4FD">
            <w:pPr>
              <w:spacing w:line="360" w:lineRule="auto"/>
              <w:rPr>
                <w:rFonts w:hint="eastAsia" w:ascii="仿宋" w:hAnsi="仿宋" w:eastAsia="仿宋"/>
                <w:spacing w:val="-1"/>
                <w:sz w:val="24"/>
              </w:rPr>
            </w:pPr>
            <w:r>
              <w:rPr>
                <w:rFonts w:hint="eastAsia" w:ascii="仿宋" w:hAnsi="仿宋" w:eastAsia="仿宋"/>
                <w:spacing w:val="-1"/>
                <w:sz w:val="24"/>
              </w:rPr>
              <w:t>拾音与麦克风</w:t>
            </w:r>
          </w:p>
        </w:tc>
        <w:tc>
          <w:tcPr>
            <w:tcW w:w="3124" w:type="pct"/>
            <w:tcBorders>
              <w:top w:val="single" w:color="auto" w:sz="4" w:space="0"/>
              <w:left w:val="single" w:color="auto" w:sz="4" w:space="0"/>
              <w:bottom w:val="single" w:color="auto" w:sz="4" w:space="0"/>
              <w:right w:val="single" w:color="auto" w:sz="4" w:space="0"/>
            </w:tcBorders>
          </w:tcPr>
          <w:p w14:paraId="5D7F095B">
            <w:pPr>
              <w:spacing w:line="360" w:lineRule="auto"/>
              <w:rPr>
                <w:rFonts w:hint="eastAsia" w:ascii="仿宋" w:hAnsi="仿宋" w:eastAsia="仿宋"/>
                <w:spacing w:val="-1"/>
                <w:sz w:val="24"/>
              </w:rPr>
            </w:pPr>
            <w:r>
              <w:rPr>
                <w:rFonts w:hint="eastAsia" w:ascii="仿宋" w:hAnsi="仿宋" w:eastAsia="仿宋"/>
                <w:spacing w:val="-1"/>
                <w:sz w:val="24"/>
              </w:rPr>
              <w:t>内置≥4个全指向/全向型麦克风阵列；</w:t>
            </w:r>
          </w:p>
          <w:p w14:paraId="6D96D42D">
            <w:pPr>
              <w:spacing w:line="360" w:lineRule="auto"/>
              <w:rPr>
                <w:rFonts w:hint="eastAsia" w:ascii="仿宋" w:hAnsi="仿宋" w:eastAsia="仿宋"/>
                <w:spacing w:val="-1"/>
                <w:sz w:val="24"/>
              </w:rPr>
            </w:pPr>
            <w:r>
              <w:rPr>
                <w:rFonts w:hint="eastAsia" w:ascii="仿宋" w:hAnsi="仿宋" w:eastAsia="仿宋"/>
                <w:spacing w:val="-1"/>
                <w:sz w:val="24"/>
              </w:rPr>
              <w:t>有效高质量拾音半径≥3米。</w:t>
            </w:r>
          </w:p>
        </w:tc>
      </w:tr>
      <w:tr w14:paraId="1B2D5FC9">
        <w:tblPrEx>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noWrap/>
          </w:tcPr>
          <w:p w14:paraId="721085EE">
            <w:pPr>
              <w:spacing w:line="360" w:lineRule="auto"/>
              <w:rPr>
                <w:rFonts w:hint="eastAsia" w:ascii="仿宋" w:hAnsi="仿宋" w:eastAsia="仿宋"/>
                <w:spacing w:val="-1"/>
                <w:sz w:val="24"/>
              </w:rPr>
            </w:pP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tcPr>
          <w:p w14:paraId="7EEEE64E">
            <w:pPr>
              <w:spacing w:line="360" w:lineRule="auto"/>
              <w:rPr>
                <w:rFonts w:hint="eastAsia" w:ascii="仿宋" w:hAnsi="仿宋" w:eastAsia="仿宋"/>
                <w:spacing w:val="-1"/>
                <w:sz w:val="24"/>
              </w:rPr>
            </w:pPr>
          </w:p>
        </w:tc>
        <w:tc>
          <w:tcPr>
            <w:tcW w:w="943" w:type="pct"/>
            <w:tcBorders>
              <w:top w:val="single" w:color="auto" w:sz="4" w:space="0"/>
              <w:left w:val="single" w:color="auto" w:sz="4" w:space="0"/>
              <w:bottom w:val="single" w:color="auto" w:sz="4" w:space="0"/>
              <w:right w:val="single" w:color="auto" w:sz="4" w:space="0"/>
            </w:tcBorders>
            <w:noWrap/>
          </w:tcPr>
          <w:p w14:paraId="2E063F70">
            <w:pPr>
              <w:spacing w:line="360" w:lineRule="auto"/>
              <w:rPr>
                <w:rFonts w:hint="eastAsia" w:ascii="仿宋" w:hAnsi="仿宋" w:eastAsia="仿宋"/>
                <w:spacing w:val="-1"/>
                <w:sz w:val="24"/>
              </w:rPr>
            </w:pPr>
            <w:r>
              <w:rPr>
                <w:rFonts w:hint="eastAsia" w:ascii="仿宋" w:hAnsi="仿宋" w:eastAsia="仿宋"/>
                <w:spacing w:val="-1"/>
                <w:sz w:val="24"/>
              </w:rPr>
              <w:t>电池续航</w:t>
            </w:r>
          </w:p>
        </w:tc>
        <w:tc>
          <w:tcPr>
            <w:tcW w:w="3124" w:type="pct"/>
            <w:tcBorders>
              <w:top w:val="single" w:color="auto" w:sz="4" w:space="0"/>
              <w:left w:val="single" w:color="auto" w:sz="4" w:space="0"/>
              <w:bottom w:val="single" w:color="auto" w:sz="4" w:space="0"/>
              <w:right w:val="single" w:color="auto" w:sz="4" w:space="0"/>
            </w:tcBorders>
          </w:tcPr>
          <w:p w14:paraId="40BC8454">
            <w:pPr>
              <w:spacing w:line="360" w:lineRule="auto"/>
              <w:rPr>
                <w:rFonts w:hint="eastAsia" w:ascii="仿宋" w:hAnsi="仿宋" w:eastAsia="仿宋"/>
                <w:spacing w:val="-1"/>
                <w:sz w:val="24"/>
              </w:rPr>
            </w:pPr>
            <w:r>
              <w:rPr>
                <w:rFonts w:hint="eastAsia" w:ascii="仿宋" w:hAnsi="仿宋" w:eastAsia="仿宋"/>
                <w:spacing w:val="-1"/>
                <w:sz w:val="24"/>
              </w:rPr>
              <w:t>内置大容量电池，满电状态下最大可支持连续工作/续航时间≥10小时。</w:t>
            </w:r>
          </w:p>
        </w:tc>
      </w:tr>
    </w:tbl>
    <w:p w14:paraId="36C0709F">
      <w:pPr>
        <w:rPr>
          <w:sz w:val="24"/>
        </w:rPr>
      </w:pPr>
    </w:p>
    <w:p w14:paraId="0FAD4BFF">
      <w:pPr>
        <w:pStyle w:val="4"/>
        <w:numPr>
          <w:ilvl w:val="0"/>
          <w:numId w:val="6"/>
        </w:numPr>
        <w:tabs>
          <w:tab w:val="left" w:pos="900"/>
        </w:tabs>
        <w:spacing w:before="0" w:after="0" w:line="360" w:lineRule="auto"/>
        <w:ind w:firstLine="482" w:firstLineChars="200"/>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移动式收音设备50台</w:t>
      </w:r>
    </w:p>
    <w:tbl>
      <w:tblPr>
        <w:tblStyle w:val="31"/>
        <w:tblW w:w="4997" w:type="pct"/>
        <w:tblInd w:w="0" w:type="dxa"/>
        <w:tblLayout w:type="autofit"/>
        <w:tblCellMar>
          <w:top w:w="0" w:type="dxa"/>
          <w:left w:w="108" w:type="dxa"/>
          <w:bottom w:w="0" w:type="dxa"/>
          <w:right w:w="108" w:type="dxa"/>
        </w:tblCellMar>
      </w:tblPr>
      <w:tblGrid>
        <w:gridCol w:w="766"/>
        <w:gridCol w:w="1030"/>
        <w:gridCol w:w="1815"/>
        <w:gridCol w:w="6012"/>
      </w:tblGrid>
      <w:tr w14:paraId="7465498F">
        <w:tblPrEx>
          <w:tblCellMar>
            <w:top w:w="0" w:type="dxa"/>
            <w:left w:w="108" w:type="dxa"/>
            <w:bottom w:w="0" w:type="dxa"/>
            <w:right w:w="108" w:type="dxa"/>
          </w:tblCellMar>
        </w:tblPrEx>
        <w:trPr>
          <w:trHeight w:val="630" w:hRule="atLeast"/>
        </w:trPr>
        <w:tc>
          <w:tcPr>
            <w:tcW w:w="398" w:type="pct"/>
            <w:tcBorders>
              <w:top w:val="single" w:color="auto" w:sz="4" w:space="0"/>
              <w:left w:val="single" w:color="auto" w:sz="4" w:space="0"/>
              <w:bottom w:val="single" w:color="auto" w:sz="4" w:space="0"/>
              <w:right w:val="single" w:color="auto" w:sz="4" w:space="0"/>
            </w:tcBorders>
            <w:noWrap/>
            <w:vAlign w:val="center"/>
          </w:tcPr>
          <w:p w14:paraId="06492D03">
            <w:pPr>
              <w:spacing w:line="360" w:lineRule="auto"/>
              <w:jc w:val="center"/>
              <w:rPr>
                <w:rFonts w:hint="eastAsia" w:ascii="仿宋" w:hAnsi="仿宋" w:eastAsia="仿宋"/>
                <w:b/>
                <w:bCs/>
                <w:spacing w:val="-1"/>
                <w:sz w:val="24"/>
              </w:rPr>
            </w:pPr>
            <w:r>
              <w:rPr>
                <w:rFonts w:ascii="仿宋" w:hAnsi="仿宋" w:eastAsia="仿宋"/>
                <w:b/>
                <w:bCs/>
                <w:spacing w:val="-1"/>
                <w:sz w:val="24"/>
              </w:rPr>
              <w:t>序号</w:t>
            </w:r>
          </w:p>
        </w:tc>
        <w:tc>
          <w:tcPr>
            <w:tcW w:w="535" w:type="pct"/>
            <w:tcBorders>
              <w:top w:val="single" w:color="auto" w:sz="4" w:space="0"/>
              <w:left w:val="single" w:color="auto" w:sz="4" w:space="0"/>
              <w:bottom w:val="single" w:color="auto" w:sz="4" w:space="0"/>
              <w:right w:val="single" w:color="auto" w:sz="4" w:space="0"/>
            </w:tcBorders>
            <w:noWrap/>
            <w:vAlign w:val="center"/>
          </w:tcPr>
          <w:p w14:paraId="4050887B">
            <w:pPr>
              <w:spacing w:line="360" w:lineRule="auto"/>
              <w:jc w:val="center"/>
              <w:rPr>
                <w:rFonts w:hint="eastAsia" w:ascii="仿宋" w:hAnsi="仿宋" w:eastAsia="仿宋"/>
                <w:b/>
                <w:bCs/>
                <w:spacing w:val="-1"/>
                <w:sz w:val="24"/>
              </w:rPr>
            </w:pPr>
            <w:r>
              <w:rPr>
                <w:rFonts w:ascii="仿宋" w:hAnsi="仿宋" w:eastAsia="仿宋"/>
                <w:b/>
                <w:bCs/>
                <w:spacing w:val="-1"/>
                <w:sz w:val="24"/>
              </w:rPr>
              <w:t>重要性</w:t>
            </w:r>
          </w:p>
        </w:tc>
        <w:tc>
          <w:tcPr>
            <w:tcW w:w="943" w:type="pct"/>
            <w:tcBorders>
              <w:top w:val="single" w:color="auto" w:sz="4" w:space="0"/>
              <w:left w:val="single" w:color="auto" w:sz="4" w:space="0"/>
              <w:bottom w:val="single" w:color="auto" w:sz="4" w:space="0"/>
              <w:right w:val="single" w:color="auto" w:sz="4" w:space="0"/>
            </w:tcBorders>
            <w:vAlign w:val="center"/>
          </w:tcPr>
          <w:p w14:paraId="6C90BFF5">
            <w:pPr>
              <w:spacing w:line="360" w:lineRule="auto"/>
              <w:jc w:val="center"/>
              <w:rPr>
                <w:rFonts w:hint="eastAsia" w:ascii="仿宋" w:hAnsi="仿宋" w:eastAsia="仿宋"/>
                <w:b/>
                <w:bCs/>
                <w:spacing w:val="-1"/>
                <w:sz w:val="24"/>
              </w:rPr>
            </w:pPr>
            <w:r>
              <w:rPr>
                <w:rFonts w:ascii="仿宋" w:hAnsi="仿宋" w:eastAsia="仿宋"/>
                <w:b/>
                <w:bCs/>
                <w:spacing w:val="-1"/>
                <w:sz w:val="24"/>
              </w:rPr>
              <w:t>技术指标</w:t>
            </w:r>
          </w:p>
        </w:tc>
        <w:tc>
          <w:tcPr>
            <w:tcW w:w="3124" w:type="pct"/>
            <w:tcBorders>
              <w:top w:val="single" w:color="auto" w:sz="4" w:space="0"/>
              <w:left w:val="single" w:color="auto" w:sz="4" w:space="0"/>
              <w:bottom w:val="single" w:color="auto" w:sz="4" w:space="0"/>
              <w:right w:val="single" w:color="auto" w:sz="4" w:space="0"/>
            </w:tcBorders>
            <w:vAlign w:val="center"/>
          </w:tcPr>
          <w:p w14:paraId="0820FBB7">
            <w:pPr>
              <w:spacing w:line="360" w:lineRule="auto"/>
              <w:jc w:val="center"/>
              <w:rPr>
                <w:rFonts w:hint="eastAsia" w:ascii="仿宋" w:hAnsi="仿宋" w:eastAsia="仿宋"/>
                <w:b/>
                <w:bCs/>
                <w:spacing w:val="-1"/>
                <w:sz w:val="24"/>
              </w:rPr>
            </w:pPr>
            <w:r>
              <w:rPr>
                <w:rFonts w:ascii="仿宋" w:hAnsi="仿宋" w:eastAsia="仿宋"/>
                <w:b/>
                <w:bCs/>
                <w:spacing w:val="-1"/>
                <w:sz w:val="24"/>
              </w:rPr>
              <w:t>重要参数</w:t>
            </w:r>
          </w:p>
        </w:tc>
      </w:tr>
      <w:tr w14:paraId="7CC432DA">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noWrap/>
          </w:tcPr>
          <w:p w14:paraId="6CC3E7FC">
            <w:pPr>
              <w:spacing w:line="360" w:lineRule="auto"/>
              <w:rPr>
                <w:rFonts w:hint="eastAsia" w:ascii="仿宋" w:hAnsi="仿宋" w:eastAsia="仿宋"/>
                <w:spacing w:val="-1"/>
                <w:sz w:val="24"/>
              </w:rPr>
            </w:pPr>
            <w:r>
              <w:rPr>
                <w:rFonts w:hint="eastAsia" w:ascii="仿宋" w:hAnsi="仿宋" w:eastAsia="仿宋"/>
                <w:spacing w:val="-1"/>
                <w:sz w:val="24"/>
              </w:rPr>
              <w:t>1</w:t>
            </w:r>
          </w:p>
        </w:tc>
        <w:tc>
          <w:tcPr>
            <w:tcW w:w="535" w:type="pct"/>
            <w:tcBorders>
              <w:top w:val="single" w:color="auto" w:sz="4" w:space="0"/>
              <w:left w:val="single" w:color="auto" w:sz="4" w:space="0"/>
              <w:bottom w:val="single" w:color="auto" w:sz="4" w:space="0"/>
              <w:right w:val="single" w:color="auto" w:sz="4" w:space="0"/>
            </w:tcBorders>
            <w:noWrap/>
          </w:tcPr>
          <w:p w14:paraId="32A7A443">
            <w:pPr>
              <w:spacing w:line="360" w:lineRule="auto"/>
              <w:rPr>
                <w:rFonts w:hint="eastAsia" w:ascii="仿宋" w:hAnsi="仿宋" w:eastAsia="仿宋"/>
                <w:spacing w:val="-1"/>
                <w:sz w:val="24"/>
              </w:rPr>
            </w:pPr>
          </w:p>
        </w:tc>
        <w:tc>
          <w:tcPr>
            <w:tcW w:w="943" w:type="pct"/>
            <w:tcBorders>
              <w:top w:val="single" w:color="auto" w:sz="4" w:space="0"/>
              <w:left w:val="single" w:color="auto" w:sz="4" w:space="0"/>
              <w:bottom w:val="single" w:color="auto" w:sz="4" w:space="0"/>
              <w:right w:val="single" w:color="auto" w:sz="4" w:space="0"/>
            </w:tcBorders>
            <w:noWrap/>
          </w:tcPr>
          <w:p w14:paraId="64555F9A">
            <w:pPr>
              <w:spacing w:line="360" w:lineRule="auto"/>
              <w:rPr>
                <w:rFonts w:hint="eastAsia" w:ascii="仿宋" w:hAnsi="仿宋" w:eastAsia="仿宋"/>
                <w:spacing w:val="-1"/>
                <w:sz w:val="24"/>
              </w:rPr>
            </w:pPr>
            <w:r>
              <w:rPr>
                <w:rFonts w:hint="eastAsia" w:ascii="仿宋" w:hAnsi="仿宋" w:eastAsia="仿宋"/>
                <w:spacing w:val="-1"/>
                <w:sz w:val="24"/>
              </w:rPr>
              <w:t>设备形态</w:t>
            </w:r>
          </w:p>
        </w:tc>
        <w:tc>
          <w:tcPr>
            <w:tcW w:w="3124" w:type="pct"/>
            <w:tcBorders>
              <w:top w:val="single" w:color="auto" w:sz="4" w:space="0"/>
              <w:left w:val="single" w:color="auto" w:sz="4" w:space="0"/>
              <w:bottom w:val="single" w:color="auto" w:sz="4" w:space="0"/>
              <w:right w:val="single" w:color="auto" w:sz="4" w:space="0"/>
            </w:tcBorders>
          </w:tcPr>
          <w:p w14:paraId="3A4178CD">
            <w:pPr>
              <w:spacing w:line="360" w:lineRule="auto"/>
              <w:rPr>
                <w:rFonts w:hint="eastAsia" w:ascii="仿宋" w:hAnsi="仿宋" w:eastAsia="仿宋"/>
                <w:spacing w:val="-1"/>
                <w:sz w:val="24"/>
              </w:rPr>
            </w:pPr>
            <w:r>
              <w:rPr>
                <w:rFonts w:hint="eastAsia" w:ascii="仿宋" w:hAnsi="仿宋" w:eastAsia="仿宋"/>
                <w:spacing w:val="-1"/>
                <w:sz w:val="24"/>
              </w:rPr>
              <w:t>便携领夹式/移动无线收音设备（需配备独立的音频发射器与接收器）。</w:t>
            </w:r>
          </w:p>
        </w:tc>
      </w:tr>
      <w:tr w14:paraId="3DF3AC67">
        <w:tblPrEx>
          <w:tblCellMar>
            <w:top w:w="0" w:type="dxa"/>
            <w:left w:w="108" w:type="dxa"/>
            <w:bottom w:w="0" w:type="dxa"/>
            <w:right w:w="108" w:type="dxa"/>
          </w:tblCellMar>
        </w:tblPrEx>
        <w:trPr>
          <w:trHeight w:val="315" w:hRule="atLeast"/>
        </w:trPr>
        <w:tc>
          <w:tcPr>
            <w:tcW w:w="398" w:type="pct"/>
            <w:tcBorders>
              <w:top w:val="single" w:color="auto" w:sz="4" w:space="0"/>
              <w:left w:val="single" w:color="auto" w:sz="4" w:space="0"/>
              <w:bottom w:val="single" w:color="auto" w:sz="4" w:space="0"/>
              <w:right w:val="single" w:color="auto" w:sz="4" w:space="0"/>
            </w:tcBorders>
            <w:noWrap/>
          </w:tcPr>
          <w:p w14:paraId="0DDFC1FF">
            <w:pPr>
              <w:spacing w:line="360" w:lineRule="auto"/>
              <w:rPr>
                <w:rFonts w:hint="eastAsia" w:ascii="仿宋" w:hAnsi="仿宋" w:eastAsia="仿宋"/>
                <w:spacing w:val="-1"/>
                <w:sz w:val="24"/>
              </w:rPr>
            </w:pPr>
            <w:r>
              <w:rPr>
                <w:rFonts w:hint="eastAsia" w:ascii="仿宋" w:hAnsi="仿宋" w:eastAsia="仿宋"/>
                <w:spacing w:val="-1"/>
                <w:sz w:val="24"/>
              </w:rPr>
              <w:t>2</w:t>
            </w:r>
          </w:p>
        </w:tc>
        <w:tc>
          <w:tcPr>
            <w:tcW w:w="535" w:type="pct"/>
            <w:tcBorders>
              <w:top w:val="single" w:color="auto" w:sz="4" w:space="0"/>
              <w:left w:val="single" w:color="auto" w:sz="4" w:space="0"/>
              <w:bottom w:val="single" w:color="auto" w:sz="4" w:space="0"/>
              <w:right w:val="single" w:color="auto" w:sz="4" w:space="0"/>
            </w:tcBorders>
            <w:noWrap/>
          </w:tcPr>
          <w:p w14:paraId="5C21FD38">
            <w:pPr>
              <w:spacing w:line="360" w:lineRule="auto"/>
              <w:rPr>
                <w:rFonts w:hint="eastAsia" w:ascii="仿宋" w:hAnsi="仿宋" w:eastAsia="仿宋"/>
                <w:spacing w:val="-1"/>
                <w:sz w:val="24"/>
              </w:rPr>
            </w:pPr>
            <w:r>
              <w:rPr>
                <w:rFonts w:hint="eastAsia" w:ascii="仿宋" w:hAnsi="仿宋" w:eastAsia="仿宋"/>
                <w:spacing w:val="-1"/>
                <w:sz w:val="24"/>
              </w:rPr>
              <w:t>★</w:t>
            </w:r>
          </w:p>
        </w:tc>
        <w:tc>
          <w:tcPr>
            <w:tcW w:w="943" w:type="pct"/>
            <w:tcBorders>
              <w:top w:val="single" w:color="auto" w:sz="4" w:space="0"/>
              <w:left w:val="single" w:color="auto" w:sz="4" w:space="0"/>
              <w:bottom w:val="single" w:color="auto" w:sz="4" w:space="0"/>
              <w:right w:val="single" w:color="auto" w:sz="4" w:space="0"/>
            </w:tcBorders>
            <w:noWrap/>
          </w:tcPr>
          <w:p w14:paraId="1EFC4648">
            <w:pPr>
              <w:spacing w:line="360" w:lineRule="auto"/>
              <w:rPr>
                <w:rFonts w:hint="eastAsia" w:ascii="仿宋" w:hAnsi="仿宋" w:eastAsia="仿宋"/>
                <w:spacing w:val="-1"/>
                <w:sz w:val="24"/>
              </w:rPr>
            </w:pPr>
            <w:r>
              <w:rPr>
                <w:rFonts w:hint="eastAsia" w:ascii="仿宋" w:hAnsi="仿宋" w:eastAsia="仿宋"/>
                <w:spacing w:val="-1"/>
                <w:sz w:val="24"/>
              </w:rPr>
              <w:t>收音麦克风</w:t>
            </w:r>
          </w:p>
        </w:tc>
        <w:tc>
          <w:tcPr>
            <w:tcW w:w="3124" w:type="pct"/>
            <w:tcBorders>
              <w:top w:val="single" w:color="auto" w:sz="4" w:space="0"/>
              <w:left w:val="single" w:color="auto" w:sz="4" w:space="0"/>
              <w:bottom w:val="single" w:color="auto" w:sz="4" w:space="0"/>
              <w:right w:val="single" w:color="auto" w:sz="4" w:space="0"/>
            </w:tcBorders>
          </w:tcPr>
          <w:p w14:paraId="4F20F213">
            <w:pPr>
              <w:spacing w:line="360" w:lineRule="auto"/>
              <w:rPr>
                <w:rFonts w:hint="eastAsia" w:ascii="仿宋" w:hAnsi="仿宋" w:eastAsia="仿宋"/>
                <w:spacing w:val="-1"/>
                <w:sz w:val="24"/>
              </w:rPr>
            </w:pPr>
            <w:r>
              <w:rPr>
                <w:rFonts w:hint="eastAsia" w:ascii="仿宋" w:hAnsi="仿宋" w:eastAsia="仿宋"/>
                <w:spacing w:val="-1"/>
                <w:sz w:val="24"/>
              </w:rPr>
              <w:t>采用全向型麦克风拾音技术。</w:t>
            </w:r>
          </w:p>
        </w:tc>
      </w:tr>
      <w:tr w14:paraId="7A9E9714">
        <w:tblPrEx>
          <w:tblCellMar>
            <w:top w:w="0" w:type="dxa"/>
            <w:left w:w="108" w:type="dxa"/>
            <w:bottom w:w="0" w:type="dxa"/>
            <w:right w:w="108" w:type="dxa"/>
          </w:tblCellMar>
        </w:tblPrEx>
        <w:trPr>
          <w:trHeight w:val="900" w:hRule="atLeast"/>
        </w:trPr>
        <w:tc>
          <w:tcPr>
            <w:tcW w:w="398" w:type="pct"/>
            <w:tcBorders>
              <w:top w:val="single" w:color="auto" w:sz="4" w:space="0"/>
              <w:left w:val="single" w:color="auto" w:sz="4" w:space="0"/>
              <w:bottom w:val="single" w:color="auto" w:sz="4" w:space="0"/>
              <w:right w:val="single" w:color="auto" w:sz="4" w:space="0"/>
            </w:tcBorders>
            <w:noWrap/>
          </w:tcPr>
          <w:p w14:paraId="4829BBAA">
            <w:pPr>
              <w:spacing w:line="360" w:lineRule="auto"/>
              <w:rPr>
                <w:rFonts w:hint="eastAsia" w:ascii="仿宋" w:hAnsi="仿宋" w:eastAsia="仿宋"/>
                <w:spacing w:val="-1"/>
                <w:sz w:val="24"/>
              </w:rPr>
            </w:pPr>
            <w:r>
              <w:rPr>
                <w:rFonts w:hint="eastAsia" w:ascii="仿宋" w:hAnsi="仿宋" w:eastAsia="仿宋"/>
                <w:spacing w:val="-1"/>
                <w:sz w:val="24"/>
              </w:rPr>
              <w:t>3</w:t>
            </w:r>
          </w:p>
        </w:tc>
        <w:tc>
          <w:tcPr>
            <w:tcW w:w="535" w:type="pct"/>
            <w:tcBorders>
              <w:top w:val="single" w:color="auto" w:sz="4" w:space="0"/>
              <w:left w:val="single" w:color="auto" w:sz="4" w:space="0"/>
              <w:bottom w:val="single" w:color="auto" w:sz="4" w:space="0"/>
              <w:right w:val="single" w:color="auto" w:sz="4" w:space="0"/>
            </w:tcBorders>
            <w:noWrap/>
          </w:tcPr>
          <w:p w14:paraId="04115735">
            <w:pPr>
              <w:spacing w:line="360" w:lineRule="auto"/>
              <w:rPr>
                <w:rFonts w:hint="eastAsia" w:ascii="仿宋" w:hAnsi="仿宋" w:eastAsia="仿宋"/>
                <w:spacing w:val="-1"/>
                <w:sz w:val="24"/>
              </w:rPr>
            </w:pPr>
            <w:r>
              <w:rPr>
                <w:rFonts w:hint="eastAsia" w:ascii="仿宋" w:hAnsi="仿宋" w:eastAsia="仿宋"/>
                <w:spacing w:val="-1"/>
                <w:sz w:val="24"/>
              </w:rPr>
              <w:t>★</w:t>
            </w:r>
          </w:p>
        </w:tc>
        <w:tc>
          <w:tcPr>
            <w:tcW w:w="943" w:type="pct"/>
            <w:tcBorders>
              <w:top w:val="single" w:color="auto" w:sz="4" w:space="0"/>
              <w:left w:val="single" w:color="auto" w:sz="4" w:space="0"/>
              <w:bottom w:val="single" w:color="auto" w:sz="4" w:space="0"/>
              <w:right w:val="single" w:color="auto" w:sz="4" w:space="0"/>
            </w:tcBorders>
            <w:shd w:val="clear" w:color="000000" w:fill="FFFFFF"/>
            <w:noWrap/>
          </w:tcPr>
          <w:p w14:paraId="284B35B1">
            <w:pPr>
              <w:spacing w:line="360" w:lineRule="auto"/>
              <w:rPr>
                <w:rFonts w:hint="eastAsia" w:ascii="仿宋" w:hAnsi="仿宋" w:eastAsia="仿宋"/>
                <w:spacing w:val="-1"/>
                <w:sz w:val="24"/>
              </w:rPr>
            </w:pPr>
            <w:r>
              <w:rPr>
                <w:rFonts w:hint="eastAsia" w:ascii="仿宋" w:hAnsi="仿宋" w:eastAsia="仿宋"/>
                <w:spacing w:val="-1"/>
                <w:sz w:val="24"/>
              </w:rPr>
              <w:t>降噪与防爆音</w:t>
            </w:r>
          </w:p>
        </w:tc>
        <w:tc>
          <w:tcPr>
            <w:tcW w:w="3124" w:type="pct"/>
            <w:tcBorders>
              <w:top w:val="single" w:color="auto" w:sz="4" w:space="0"/>
              <w:left w:val="single" w:color="auto" w:sz="4" w:space="0"/>
              <w:bottom w:val="single" w:color="auto" w:sz="4" w:space="0"/>
              <w:right w:val="single" w:color="auto" w:sz="4" w:space="0"/>
            </w:tcBorders>
          </w:tcPr>
          <w:p w14:paraId="68578BEF">
            <w:pPr>
              <w:spacing w:line="360" w:lineRule="auto"/>
              <w:rPr>
                <w:rFonts w:hint="eastAsia" w:ascii="仿宋" w:hAnsi="仿宋" w:eastAsia="仿宋"/>
                <w:spacing w:val="-1"/>
                <w:sz w:val="24"/>
              </w:rPr>
            </w:pPr>
            <w:r>
              <w:rPr>
                <w:rFonts w:hint="eastAsia" w:ascii="仿宋" w:hAnsi="仿宋" w:eastAsia="仿宋"/>
                <w:spacing w:val="-1"/>
                <w:sz w:val="24"/>
              </w:rPr>
              <w:t>针对病房/诊室嘈杂环境，系统需支持≥2级主动智能降噪处理；</w:t>
            </w:r>
          </w:p>
          <w:p w14:paraId="01A0385A">
            <w:pPr>
              <w:spacing w:line="360" w:lineRule="auto"/>
              <w:rPr>
                <w:rFonts w:hint="eastAsia" w:ascii="仿宋" w:hAnsi="仿宋" w:eastAsia="仿宋"/>
                <w:spacing w:val="-1"/>
                <w:sz w:val="24"/>
              </w:rPr>
            </w:pPr>
            <w:r>
              <w:rPr>
                <w:rFonts w:hint="eastAsia" w:ascii="仿宋" w:hAnsi="仿宋" w:eastAsia="仿宋"/>
                <w:spacing w:val="-1"/>
                <w:sz w:val="24"/>
              </w:rPr>
              <w:t>具备自动增益调节（AGC）功能，支持自动限幅防爆音，保障人声清晰度。</w:t>
            </w:r>
          </w:p>
        </w:tc>
      </w:tr>
      <w:tr w14:paraId="4EBAE7A0">
        <w:tblPrEx>
          <w:tblCellMar>
            <w:top w:w="0" w:type="dxa"/>
            <w:left w:w="108" w:type="dxa"/>
            <w:bottom w:w="0" w:type="dxa"/>
            <w:right w:w="108" w:type="dxa"/>
          </w:tblCellMar>
        </w:tblPrEx>
        <w:trPr>
          <w:trHeight w:val="945" w:hRule="atLeast"/>
        </w:trPr>
        <w:tc>
          <w:tcPr>
            <w:tcW w:w="398" w:type="pct"/>
            <w:tcBorders>
              <w:top w:val="single" w:color="auto" w:sz="4" w:space="0"/>
              <w:left w:val="single" w:color="auto" w:sz="4" w:space="0"/>
              <w:bottom w:val="single" w:color="auto" w:sz="4" w:space="0"/>
              <w:right w:val="single" w:color="auto" w:sz="4" w:space="0"/>
            </w:tcBorders>
            <w:noWrap/>
          </w:tcPr>
          <w:p w14:paraId="3116D7EC">
            <w:pPr>
              <w:spacing w:line="360" w:lineRule="auto"/>
              <w:rPr>
                <w:rFonts w:hint="eastAsia" w:ascii="仿宋" w:hAnsi="仿宋" w:eastAsia="仿宋"/>
                <w:spacing w:val="-1"/>
                <w:sz w:val="24"/>
              </w:rPr>
            </w:pPr>
            <w:r>
              <w:rPr>
                <w:rFonts w:hint="eastAsia" w:ascii="仿宋" w:hAnsi="仿宋" w:eastAsia="仿宋"/>
                <w:spacing w:val="-1"/>
                <w:sz w:val="24"/>
              </w:rPr>
              <w:t>4</w:t>
            </w:r>
          </w:p>
        </w:tc>
        <w:tc>
          <w:tcPr>
            <w:tcW w:w="535" w:type="pct"/>
            <w:tcBorders>
              <w:top w:val="single" w:color="auto" w:sz="4" w:space="0"/>
              <w:left w:val="single" w:color="auto" w:sz="4" w:space="0"/>
              <w:bottom w:val="single" w:color="auto" w:sz="4" w:space="0"/>
              <w:right w:val="single" w:color="auto" w:sz="4" w:space="0"/>
            </w:tcBorders>
            <w:noWrap/>
          </w:tcPr>
          <w:p w14:paraId="54664F47">
            <w:pPr>
              <w:spacing w:line="360" w:lineRule="auto"/>
              <w:rPr>
                <w:rFonts w:hint="eastAsia" w:ascii="仿宋" w:hAnsi="仿宋" w:eastAsia="仿宋"/>
                <w:spacing w:val="-1"/>
                <w:sz w:val="24"/>
              </w:rPr>
            </w:pPr>
            <w:r>
              <w:rPr>
                <w:rFonts w:hint="eastAsia" w:ascii="仿宋" w:hAnsi="仿宋" w:eastAsia="仿宋"/>
                <w:spacing w:val="-1"/>
                <w:sz w:val="24"/>
              </w:rPr>
              <w:t>★</w:t>
            </w:r>
          </w:p>
        </w:tc>
        <w:tc>
          <w:tcPr>
            <w:tcW w:w="943" w:type="pct"/>
            <w:tcBorders>
              <w:top w:val="single" w:color="auto" w:sz="4" w:space="0"/>
              <w:left w:val="single" w:color="auto" w:sz="4" w:space="0"/>
              <w:bottom w:val="single" w:color="auto" w:sz="4" w:space="0"/>
              <w:right w:val="single" w:color="auto" w:sz="4" w:space="0"/>
            </w:tcBorders>
            <w:noWrap/>
          </w:tcPr>
          <w:p w14:paraId="73FC28C3">
            <w:pPr>
              <w:spacing w:line="360" w:lineRule="auto"/>
              <w:rPr>
                <w:rFonts w:hint="eastAsia" w:ascii="仿宋" w:hAnsi="仿宋" w:eastAsia="仿宋"/>
                <w:spacing w:val="-1"/>
                <w:sz w:val="24"/>
              </w:rPr>
            </w:pPr>
            <w:r>
              <w:rPr>
                <w:rFonts w:hint="eastAsia" w:ascii="仿宋" w:hAnsi="仿宋" w:eastAsia="仿宋"/>
                <w:spacing w:val="-1"/>
                <w:sz w:val="24"/>
              </w:rPr>
              <w:t>音频采样率</w:t>
            </w:r>
          </w:p>
        </w:tc>
        <w:tc>
          <w:tcPr>
            <w:tcW w:w="3124" w:type="pct"/>
            <w:tcBorders>
              <w:top w:val="single" w:color="auto" w:sz="4" w:space="0"/>
              <w:left w:val="single" w:color="auto" w:sz="4" w:space="0"/>
              <w:bottom w:val="single" w:color="auto" w:sz="4" w:space="0"/>
              <w:right w:val="single" w:color="auto" w:sz="4" w:space="0"/>
            </w:tcBorders>
          </w:tcPr>
          <w:p w14:paraId="2BB4B61B">
            <w:pPr>
              <w:spacing w:line="360" w:lineRule="auto"/>
              <w:rPr>
                <w:rFonts w:hint="eastAsia" w:ascii="仿宋" w:hAnsi="仿宋" w:eastAsia="仿宋"/>
                <w:spacing w:val="-1"/>
                <w:sz w:val="24"/>
              </w:rPr>
            </w:pPr>
            <w:r>
              <w:rPr>
                <w:rFonts w:hint="eastAsia" w:ascii="仿宋" w:hAnsi="仿宋" w:eastAsia="仿宋"/>
                <w:spacing w:val="-1"/>
                <w:sz w:val="24"/>
              </w:rPr>
              <w:t>支持录制 48kHz / 24-bit 及以上规格的无损高品质音频，满足医疗AI语音转写对底层高保真语料的要求。</w:t>
            </w:r>
          </w:p>
        </w:tc>
      </w:tr>
      <w:tr w14:paraId="60E0E8B7">
        <w:tblPrEx>
          <w:tblCellMar>
            <w:top w:w="0" w:type="dxa"/>
            <w:left w:w="108" w:type="dxa"/>
            <w:bottom w:w="0" w:type="dxa"/>
            <w:right w:w="108" w:type="dxa"/>
          </w:tblCellMar>
        </w:tblPrEx>
        <w:trPr>
          <w:trHeight w:val="783" w:hRule="atLeast"/>
        </w:trPr>
        <w:tc>
          <w:tcPr>
            <w:tcW w:w="398" w:type="pct"/>
            <w:tcBorders>
              <w:top w:val="single" w:color="auto" w:sz="4" w:space="0"/>
              <w:left w:val="single" w:color="auto" w:sz="4" w:space="0"/>
              <w:bottom w:val="single" w:color="auto" w:sz="4" w:space="0"/>
              <w:right w:val="single" w:color="auto" w:sz="4" w:space="0"/>
            </w:tcBorders>
            <w:noWrap/>
          </w:tcPr>
          <w:p w14:paraId="7354B957">
            <w:pPr>
              <w:spacing w:line="360" w:lineRule="auto"/>
              <w:rPr>
                <w:rFonts w:hint="eastAsia" w:ascii="仿宋" w:hAnsi="仿宋" w:eastAsia="仿宋"/>
                <w:spacing w:val="-1"/>
                <w:sz w:val="24"/>
              </w:rPr>
            </w:pPr>
            <w:r>
              <w:rPr>
                <w:rFonts w:hint="eastAsia" w:ascii="仿宋" w:hAnsi="仿宋" w:eastAsia="仿宋"/>
                <w:spacing w:val="-1"/>
                <w:sz w:val="24"/>
              </w:rPr>
              <w:t>5</w:t>
            </w:r>
          </w:p>
        </w:tc>
        <w:tc>
          <w:tcPr>
            <w:tcW w:w="535" w:type="pct"/>
            <w:tcBorders>
              <w:top w:val="single" w:color="auto" w:sz="4" w:space="0"/>
              <w:left w:val="single" w:color="auto" w:sz="4" w:space="0"/>
              <w:bottom w:val="single" w:color="auto" w:sz="4" w:space="0"/>
              <w:right w:val="single" w:color="auto" w:sz="4" w:space="0"/>
            </w:tcBorders>
            <w:noWrap/>
          </w:tcPr>
          <w:p w14:paraId="1457451B">
            <w:pPr>
              <w:spacing w:line="360" w:lineRule="auto"/>
              <w:rPr>
                <w:rFonts w:hint="eastAsia" w:ascii="仿宋" w:hAnsi="仿宋" w:eastAsia="仿宋"/>
                <w:spacing w:val="-1"/>
                <w:sz w:val="24"/>
              </w:rPr>
            </w:pPr>
          </w:p>
        </w:tc>
        <w:tc>
          <w:tcPr>
            <w:tcW w:w="943" w:type="pct"/>
            <w:tcBorders>
              <w:top w:val="single" w:color="auto" w:sz="4" w:space="0"/>
              <w:left w:val="single" w:color="auto" w:sz="4" w:space="0"/>
              <w:bottom w:val="single" w:color="auto" w:sz="4" w:space="0"/>
              <w:right w:val="single" w:color="auto" w:sz="4" w:space="0"/>
            </w:tcBorders>
          </w:tcPr>
          <w:p w14:paraId="7302D214">
            <w:pPr>
              <w:spacing w:line="360" w:lineRule="auto"/>
              <w:rPr>
                <w:rFonts w:hint="eastAsia" w:ascii="仿宋" w:hAnsi="仿宋" w:eastAsia="仿宋"/>
                <w:spacing w:val="-1"/>
                <w:sz w:val="24"/>
              </w:rPr>
            </w:pPr>
            <w:r>
              <w:rPr>
                <w:rFonts w:hint="eastAsia" w:ascii="仿宋" w:hAnsi="仿宋" w:eastAsia="仿宋"/>
                <w:spacing w:val="-1"/>
                <w:sz w:val="24"/>
              </w:rPr>
              <w:t>电池续航</w:t>
            </w:r>
          </w:p>
        </w:tc>
        <w:tc>
          <w:tcPr>
            <w:tcW w:w="3124" w:type="pct"/>
            <w:tcBorders>
              <w:top w:val="single" w:color="auto" w:sz="4" w:space="0"/>
              <w:left w:val="single" w:color="auto" w:sz="4" w:space="0"/>
              <w:bottom w:val="single" w:color="auto" w:sz="4" w:space="0"/>
              <w:right w:val="single" w:color="auto" w:sz="4" w:space="0"/>
            </w:tcBorders>
          </w:tcPr>
          <w:p w14:paraId="4E424F16">
            <w:pPr>
              <w:spacing w:line="360" w:lineRule="auto"/>
              <w:rPr>
                <w:rFonts w:hint="eastAsia" w:ascii="仿宋" w:hAnsi="仿宋" w:eastAsia="仿宋"/>
                <w:spacing w:val="-1"/>
                <w:sz w:val="24"/>
              </w:rPr>
            </w:pPr>
            <w:r>
              <w:rPr>
                <w:rFonts w:hint="eastAsia" w:ascii="仿宋" w:hAnsi="仿宋" w:eastAsia="仿宋"/>
                <w:spacing w:val="-1"/>
                <w:sz w:val="24"/>
              </w:rPr>
              <w:t>内置大容量电池，满电状态下发射器与接收器的最大工作续航时间均≥10小时。</w:t>
            </w:r>
          </w:p>
        </w:tc>
      </w:tr>
    </w:tbl>
    <w:p w14:paraId="77A188BD">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bookmarkEnd w:id="39"/>
    <w:p w14:paraId="01EF9716">
      <w:pPr>
        <w:keepNext/>
        <w:keepLines w:val="0"/>
        <w:pageBreakBefore w:val="0"/>
        <w:tabs>
          <w:tab w:val="left" w:pos="-737"/>
        </w:tabs>
        <w:kinsoku/>
        <w:wordWrap/>
        <w:overflowPunct w:val="0"/>
        <w:topLinePunct/>
        <w:autoSpaceDE/>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bookmarkStart w:id="43" w:name="_Toc175644061"/>
      <w:r>
        <w:rPr>
          <w:rFonts w:hint="eastAsia" w:ascii="仿宋" w:hAnsi="仿宋" w:eastAsia="仿宋" w:cs="仿宋"/>
          <w:b/>
          <w:color w:val="auto"/>
          <w:kern w:val="0"/>
          <w:sz w:val="28"/>
          <w:szCs w:val="28"/>
          <w:highlight w:val="none"/>
          <w:lang w:val="en-US" w:eastAsia="zh-CN"/>
        </w:rPr>
        <w:t>第六部分 合同条款及格式（仅供参考）</w:t>
      </w:r>
    </w:p>
    <w:p w14:paraId="3B65E0FF">
      <w:pPr>
        <w:keepNext/>
        <w:keepLines w:val="0"/>
        <w:pageBreakBefore w:val="0"/>
        <w:tabs>
          <w:tab w:val="left" w:pos="-737"/>
        </w:tabs>
        <w:kinsoku/>
        <w:wordWrap/>
        <w:overflowPunct w:val="0"/>
        <w:topLinePunct/>
        <w:autoSpaceDE/>
        <w:autoSpaceDN w:val="0"/>
        <w:bidi w:val="0"/>
        <w:adjustRightInd/>
        <w:snapToGrid w:val="0"/>
        <w:spacing w:line="560" w:lineRule="exact"/>
        <w:textAlignment w:val="auto"/>
        <w:rPr>
          <w:rFonts w:hint="eastAsia" w:ascii="仿宋" w:hAnsi="仿宋" w:eastAsia="仿宋" w:cs="仿宋"/>
          <w:sz w:val="24"/>
          <w:szCs w:val="24"/>
          <w:highlight w:val="none"/>
          <w:lang w:val="en-US" w:eastAsia="zh-CN"/>
        </w:rPr>
      </w:pPr>
    </w:p>
    <w:p w14:paraId="705CC0F3">
      <w:pPr>
        <w:keepNext/>
        <w:keepLines w:val="0"/>
        <w:pageBreakBefore w:val="0"/>
        <w:tabs>
          <w:tab w:val="left" w:pos="-737"/>
        </w:tabs>
        <w:kinsoku/>
        <w:wordWrap/>
        <w:overflowPunct w:val="0"/>
        <w:topLinePunct/>
        <w:autoSpaceDE/>
        <w:autoSpaceDN w:val="0"/>
        <w:bidi w:val="0"/>
        <w:adjustRightInd/>
        <w:snapToGrid w:val="0"/>
        <w:spacing w:line="5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采购人（甲方）</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p>
    <w:p w14:paraId="5D325DA4">
      <w:pPr>
        <w:keepNext/>
        <w:keepLines w:val="0"/>
        <w:pageBreakBefore w:val="0"/>
        <w:tabs>
          <w:tab w:val="left" w:pos="-737"/>
        </w:tabs>
        <w:kinsoku/>
        <w:wordWrap/>
        <w:overflowPunct w:val="0"/>
        <w:topLinePunct/>
        <w:autoSpaceDE/>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供应商（乙方）： </w:t>
      </w:r>
      <w:r>
        <w:rPr>
          <w:rFonts w:hint="eastAsia" w:ascii="仿宋" w:hAnsi="仿宋" w:eastAsia="仿宋" w:cs="仿宋"/>
          <w:sz w:val="24"/>
          <w:szCs w:val="24"/>
          <w:highlight w:val="none"/>
          <w:u w:val="single"/>
          <w:lang w:val="en-US" w:eastAsia="zh-CN"/>
        </w:rPr>
        <w:t xml:space="preserve">                       </w:t>
      </w:r>
    </w:p>
    <w:p w14:paraId="2F2FE722">
      <w:pPr>
        <w:keepNext/>
        <w:keepLines w:val="0"/>
        <w:pageBreakBefore w:val="0"/>
        <w:tabs>
          <w:tab w:val="left" w:pos="-737"/>
        </w:tabs>
        <w:kinsoku/>
        <w:wordWrap/>
        <w:overflowPunct w:val="0"/>
        <w:topLinePunct/>
        <w:autoSpaceDE/>
        <w:autoSpaceDN w:val="0"/>
        <w:bidi w:val="0"/>
        <w:adjustRightInd/>
        <w:snapToGrid w:val="0"/>
        <w:spacing w:line="560" w:lineRule="exact"/>
        <w:textAlignment w:val="auto"/>
        <w:rPr>
          <w:rFonts w:hint="eastAsia" w:ascii="仿宋" w:hAnsi="仿宋" w:eastAsia="仿宋" w:cs="仿宋"/>
          <w:sz w:val="24"/>
          <w:szCs w:val="24"/>
          <w:highlight w:val="none"/>
        </w:rPr>
      </w:pPr>
    </w:p>
    <w:p w14:paraId="1D0DC711">
      <w:pPr>
        <w:keepNext/>
        <w:keepLines w:val="0"/>
        <w:pageBreakBefore w:val="0"/>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甲方委托乙方实施</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，并支付服务报酬。双方经过平等协商，在真实、充分地表达各自意愿的基础上，根据《中华人民共和国民法典》的规定，达成如下协议，并由双方共同恪守。 </w:t>
      </w:r>
    </w:p>
    <w:p w14:paraId="56F7ACB1">
      <w:pPr>
        <w:keepNext/>
        <w:keepLines w:val="0"/>
        <w:pageBreakBefore w:val="0"/>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第一条：乙方进行项目服务的内容和要求： </w:t>
      </w:r>
    </w:p>
    <w:p w14:paraId="0AA24A13">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内容：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2E1F5568">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要求：</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6351D78E">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 xml:space="preserve">第二条：乙方应当按照下列进度要求进行本合同项目的服务工作： </w:t>
      </w:r>
    </w:p>
    <w:p w14:paraId="7B2D9DFC">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u w:val="non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4993FA1A">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75B21D54">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1F1F0A2E">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第三条：为保证乙方有效进行项目服务工作，甲方应当向乙方提供下列协作事项：</w:t>
      </w:r>
    </w:p>
    <w:p w14:paraId="4A4654B7">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u w:val="non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4CEC137E">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39D55B66">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6A6C7610">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 xml:space="preserve">第四条：甲方向乙方支付项目服务报酬及支付方式为： </w:t>
      </w:r>
    </w:p>
    <w:p w14:paraId="5E0E108F">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napToGrid w:val="0"/>
          <w:kern w:val="2"/>
          <w:sz w:val="24"/>
          <w:szCs w:val="24"/>
          <w:highlight w:val="none"/>
          <w:lang w:val="en-US" w:eastAsia="zh-CN" w:bidi="ar-SA"/>
        </w:rPr>
        <w:t>1、</w:t>
      </w:r>
      <w:r>
        <w:rPr>
          <w:rFonts w:hint="eastAsia" w:ascii="仿宋" w:hAnsi="仿宋" w:eastAsia="仿宋" w:cs="仿宋"/>
          <w:sz w:val="24"/>
          <w:szCs w:val="24"/>
          <w:highlight w:val="none"/>
        </w:rPr>
        <w:t>项目服务报酬总额为：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元整。 </w:t>
      </w:r>
    </w:p>
    <w:p w14:paraId="043CE86E">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napToGrid w:val="0"/>
          <w:kern w:val="2"/>
          <w:sz w:val="24"/>
          <w:szCs w:val="24"/>
          <w:highlight w:val="none"/>
          <w:lang w:val="en-US" w:eastAsia="zh-CN" w:bidi="ar-SA"/>
        </w:rPr>
        <w:t>2、</w:t>
      </w:r>
      <w:r>
        <w:rPr>
          <w:rFonts w:hint="eastAsia" w:ascii="仿宋" w:hAnsi="仿宋" w:eastAsia="仿宋" w:cs="仿宋"/>
          <w:sz w:val="24"/>
          <w:szCs w:val="24"/>
          <w:highlight w:val="none"/>
        </w:rPr>
        <w:t>项目服务报酬由甲方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（一次或分期）支付乙方。具体支付方式和时间如下：</w:t>
      </w:r>
    </w:p>
    <w:p w14:paraId="2E96BFA9">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日前，金额：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元整。 </w:t>
      </w:r>
    </w:p>
    <w:p w14:paraId="48A720BC">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日前，金额：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元整。</w:t>
      </w:r>
    </w:p>
    <w:p w14:paraId="637CCDAC">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 xml:space="preserve">第五条：双方确定因履行本合同应遵守的保密义务如下： </w:t>
      </w:r>
    </w:p>
    <w:p w14:paraId="6D5FCB53">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 </w:t>
      </w:r>
    </w:p>
    <w:p w14:paraId="37DBB694">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保密内容（包括技术信息和经营信息）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132BBE7E">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保密期限：</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08BB03EF">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泄密责任：</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24B79C64">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5DA0FE2C">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保密内容（包括技术信息和经营信息）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262BC01F">
      <w:pPr>
        <w:keepNext/>
        <w:keepLines w:val="0"/>
        <w:pageBreakBefore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保密期限：</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3B158B5D">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泄密责任：</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50C12787">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第六条：本合同的变更必须由双方协商一致，并以书面形式确定。 </w:t>
      </w:r>
    </w:p>
    <w:p w14:paraId="50AC25EE">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第七条：双方确定，按以下标准和方式对乙方提交的项目服务工作成果进行验收： </w:t>
      </w:r>
    </w:p>
    <w:p w14:paraId="7135BB47">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乙方提交项目服务工作成果的形式：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342721A3">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项目服务工作成果的验收方法：</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5BB6E037">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验收的时间和地点：</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10B26F6C">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第八条：双方确定，按以下约定承担各自的违约责任： </w:t>
      </w:r>
    </w:p>
    <w:p w14:paraId="37CB0281">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方违反本合同第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条约定，应当</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4CC8321D">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方违反本合同第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条约定，应当</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6791FEE2">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第九条：双方确定，甲方按照乙方符合本合同约定标准和方式完成的项目服务工作成果做出决策并予以实施所造成的损失，按以下第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种方式处理： </w:t>
      </w:r>
    </w:p>
    <w:p w14:paraId="54455EF8">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 xml:space="preserve">乙方不承担责任。 </w:t>
      </w:r>
    </w:p>
    <w:p w14:paraId="79FEBDEC">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乙方承担部分责任。具体承担方式为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2213A306">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rPr>
        <w:t xml:space="preserve">乙方承担全部责任。 </w:t>
      </w:r>
    </w:p>
    <w:p w14:paraId="6B6FD790">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第十条：双方确定： </w:t>
      </w:r>
    </w:p>
    <w:p w14:paraId="32B04388">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在本合同有效期内，甲方利用乙方提交的项目服务工作成果所完成的新的技术成果， 归</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（甲、双）方所有。 </w:t>
      </w:r>
    </w:p>
    <w:p w14:paraId="33A0C9E4">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在本合同有效期内，乙方利用甲方提供的技术资料和工作条件所完成的新的技术成果， 归</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（乙、双）方所有。 </w:t>
      </w:r>
    </w:p>
    <w:p w14:paraId="78FA3AC5">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第十一条：双方确定，在本合同有效期内，甲方指定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为甲方项目联系人，乙方指定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为乙方项目联系人。 </w:t>
      </w:r>
    </w:p>
    <w:p w14:paraId="30494890">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一方变更项目联系人的，应当及时以书面形式通知另一方。未及时通知并影响本合同履行或造成损失的，应承担相应的责任。 </w:t>
      </w:r>
    </w:p>
    <w:p w14:paraId="44ECC4D1">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第十二条：双方确定，出现下列情形，致使本合同的履行成为不必要或不可能的，可以解除本合同：发生不可抗力； </w:t>
      </w:r>
    </w:p>
    <w:p w14:paraId="7AD5FC50">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第十三条：双方因履行本合同而发生的争议，应协商、调解解决。协商、调解不成的，确 定按以下第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种方式处理： </w:t>
      </w:r>
    </w:p>
    <w:p w14:paraId="404A307A">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提交</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仲裁委员会仲裁；</w:t>
      </w:r>
    </w:p>
    <w:p w14:paraId="026658AB">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依法向民法院起诉。 </w:t>
      </w:r>
    </w:p>
    <w:p w14:paraId="507D6416">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第十四条：双方约定本合同其他相关事项为：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1758ABBA">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第十五条：本合同一式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份，双方各执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份，具有同等法律效力。 </w:t>
      </w:r>
    </w:p>
    <w:p w14:paraId="5ED40635">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第十六条：本合同经双方签字盖章后生效。 </w:t>
      </w:r>
    </w:p>
    <w:p w14:paraId="4DDD5124">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44999F01">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甲方名称（盖章）：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乙方名称（盖章）： </w:t>
      </w:r>
    </w:p>
    <w:p w14:paraId="322C83C3">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法定代表人（签字）： </w:t>
      </w:r>
    </w:p>
    <w:p w14:paraId="0BBF1EF7">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委托代理人（签字）：</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委托代理人（签字）： </w:t>
      </w:r>
    </w:p>
    <w:p w14:paraId="203D310E">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住所： </w:t>
      </w:r>
    </w:p>
    <w:p w14:paraId="6BAD2FDE">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邮政编码： </w:t>
      </w:r>
    </w:p>
    <w:p w14:paraId="1E66E322">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电话：</w:t>
      </w:r>
    </w:p>
    <w:p w14:paraId="289EDE4C">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传真： </w:t>
      </w:r>
    </w:p>
    <w:p w14:paraId="183FFE2C">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开户银行： </w:t>
      </w:r>
    </w:p>
    <w:p w14:paraId="38A8055B">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银行帐号：</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银行帐号： </w:t>
      </w:r>
    </w:p>
    <w:p w14:paraId="07B290AF">
      <w:pPr>
        <w:keepNext/>
        <w:keepLines w:val="0"/>
        <w:pageBreakBefore w:val="0"/>
        <w:widowControl w:val="0"/>
        <w:numPr>
          <w:ilvl w:val="0"/>
          <w:numId w:val="0"/>
        </w:numPr>
        <w:tabs>
          <w:tab w:val="left" w:pos="-737"/>
        </w:tabs>
        <w:kinsoku/>
        <w:wordWrap/>
        <w:overflowPunct w:val="0"/>
        <w:topLinePunct/>
        <w:autoSpaceDE/>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38B4C83F">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bookmarkStart w:id="44" w:name="_Toc10380"/>
      <w:r>
        <w:rPr>
          <w:rFonts w:hint="eastAsia" w:ascii="仿宋" w:hAnsi="仿宋" w:eastAsia="仿宋" w:cs="仿宋"/>
          <w:b/>
          <w:color w:val="auto"/>
          <w:kern w:val="0"/>
          <w:sz w:val="28"/>
          <w:szCs w:val="28"/>
          <w:highlight w:val="none"/>
        </w:rPr>
        <w:t>第七部分</w:t>
      </w:r>
      <w:bookmarkStart w:id="45" w:name="_Toc86202632"/>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投标文件格式</w:t>
      </w:r>
      <w:bookmarkEnd w:id="43"/>
      <w:bookmarkEnd w:id="44"/>
      <w:bookmarkEnd w:id="45"/>
    </w:p>
    <w:p w14:paraId="24862C81">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auto"/>
          <w:kern w:val="0"/>
          <w:sz w:val="24"/>
          <w:szCs w:val="24"/>
          <w:highlight w:val="none"/>
        </w:rPr>
      </w:pPr>
    </w:p>
    <w:p w14:paraId="6258DB70">
      <w:pPr>
        <w:keepNext w:val="0"/>
        <w:keepLines w:val="0"/>
        <w:pageBreakBefore w:val="0"/>
        <w:widowControl/>
        <w:tabs>
          <w:tab w:val="left" w:pos="-737"/>
        </w:tabs>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auto"/>
          <w:kern w:val="0"/>
          <w:sz w:val="24"/>
          <w:szCs w:val="24"/>
          <w:highlight w:val="none"/>
        </w:rPr>
      </w:pPr>
      <w:bookmarkStart w:id="46" w:name="_Toc175644062"/>
      <w:bookmarkStart w:id="47" w:name="_Toc86202633"/>
      <w:r>
        <w:rPr>
          <w:rFonts w:hint="eastAsia" w:ascii="仿宋" w:hAnsi="仿宋" w:eastAsia="仿宋" w:cs="仿宋"/>
          <w:b/>
          <w:color w:val="auto"/>
          <w:kern w:val="0"/>
          <w:sz w:val="24"/>
          <w:szCs w:val="24"/>
          <w:highlight w:val="none"/>
        </w:rPr>
        <w:t>一、</w:t>
      </w:r>
      <w:r>
        <w:rPr>
          <w:rFonts w:hint="eastAsia" w:ascii="仿宋" w:hAnsi="仿宋" w:eastAsia="仿宋" w:cs="仿宋"/>
          <w:b/>
          <w:color w:val="auto"/>
          <w:kern w:val="0"/>
          <w:sz w:val="24"/>
          <w:szCs w:val="24"/>
          <w:highlight w:val="none"/>
          <w:lang w:eastAsia="zh-CN"/>
        </w:rPr>
        <w:t>供应商</w:t>
      </w:r>
      <w:r>
        <w:rPr>
          <w:rFonts w:hint="eastAsia" w:ascii="仿宋" w:hAnsi="仿宋" w:eastAsia="仿宋" w:cs="仿宋"/>
          <w:b/>
          <w:color w:val="auto"/>
          <w:kern w:val="0"/>
          <w:sz w:val="24"/>
          <w:szCs w:val="24"/>
          <w:highlight w:val="none"/>
        </w:rPr>
        <w:t>提交投标文件须知</w:t>
      </w:r>
      <w:bookmarkEnd w:id="46"/>
      <w:bookmarkEnd w:id="47"/>
    </w:p>
    <w:p w14:paraId="439CEA4F">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供应商应严格按照以下顺序填写，并按“政采云系统”中规定的要求，形成独立的PDF格式文件提交下述规定的全部格式文件以及其他有关资料，混乱的编排导致响应文件被误读或查找不到，后果由供应商承担。</w:t>
      </w:r>
    </w:p>
    <w:p w14:paraId="346189AE">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所附表格中要求回答的全部问题和信息都必须正面回答。</w:t>
      </w:r>
    </w:p>
    <w:p w14:paraId="0DAB02C9">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资格声明的签字人应保证全部声明和问题的回答是真实的和准确的。</w:t>
      </w:r>
    </w:p>
    <w:p w14:paraId="6AD2417C">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评标委员会将应用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提交的资料并根据自己的判断，决定</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履行合同的合格性及能力。</w:t>
      </w:r>
    </w:p>
    <w:p w14:paraId="1F6EE537">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提交的材料将被妥善保存，但不退还。</w:t>
      </w:r>
    </w:p>
    <w:p w14:paraId="5016714A">
      <w:pPr>
        <w:keepNext w:val="0"/>
        <w:keepLines w:val="0"/>
        <w:pageBreakBefore w:val="0"/>
        <w:widowControl/>
        <w:tabs>
          <w:tab w:val="left" w:pos="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全部文件应按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须知中规定的语言和份数提交。</w:t>
      </w:r>
    </w:p>
    <w:p w14:paraId="436BC813">
      <w:pPr>
        <w:widowControl/>
        <w:tabs>
          <w:tab w:val="left" w:pos="4000"/>
        </w:tabs>
        <w:snapToGrid w:val="0"/>
        <w:spacing w:line="360" w:lineRule="auto"/>
        <w:jc w:val="left"/>
        <w:outlineLvl w:val="0"/>
        <w:rPr>
          <w:rFonts w:hint="eastAsia" w:ascii="仿宋" w:hAnsi="仿宋" w:eastAsia="仿宋" w:cs="仿宋"/>
          <w:color w:val="auto"/>
          <w:kern w:val="0"/>
          <w:sz w:val="28"/>
          <w:highlight w:val="none"/>
        </w:rPr>
      </w:pPr>
      <w:r>
        <w:rPr>
          <w:rFonts w:hint="eastAsia" w:ascii="仿宋" w:hAnsi="仿宋" w:eastAsia="仿宋" w:cs="仿宋"/>
          <w:color w:val="auto"/>
          <w:kern w:val="0"/>
          <w:sz w:val="24"/>
          <w:szCs w:val="24"/>
          <w:highlight w:val="none"/>
        </w:rPr>
        <w:br w:type="page"/>
      </w:r>
    </w:p>
    <w:p w14:paraId="0CE1ED44">
      <w:pPr>
        <w:spacing w:line="360" w:lineRule="auto"/>
        <w:jc w:val="right"/>
        <w:outlineLvl w:val="0"/>
        <w:rPr>
          <w:rFonts w:hint="eastAsia" w:ascii="仿宋" w:hAnsi="仿宋" w:eastAsia="仿宋" w:cs="仿宋"/>
          <w:color w:val="auto"/>
          <w:highlight w:val="none"/>
        </w:rPr>
      </w:pPr>
      <w:bookmarkStart w:id="48" w:name="_Toc20869_WPSOffice_Level1"/>
      <w:bookmarkStart w:id="49" w:name="_Toc10705"/>
      <w:bookmarkStart w:id="50" w:name="_Toc8973_WPSOffice_Level1"/>
      <w:bookmarkStart w:id="51" w:name="_Toc2777"/>
      <w:bookmarkStart w:id="52" w:name="_Toc14092"/>
      <w:r>
        <w:rPr>
          <w:rFonts w:hint="eastAsia" w:ascii="仿宋" w:hAnsi="仿宋" w:eastAsia="仿宋" w:cs="仿宋"/>
          <w:b/>
          <w:color w:val="auto"/>
          <w:sz w:val="28"/>
          <w:szCs w:val="28"/>
          <w:highlight w:val="none"/>
        </w:rPr>
        <w:t>（正/副）本</w:t>
      </w:r>
      <w:bookmarkEnd w:id="48"/>
      <w:bookmarkEnd w:id="49"/>
      <w:bookmarkEnd w:id="50"/>
      <w:bookmarkEnd w:id="51"/>
      <w:bookmarkEnd w:id="52"/>
    </w:p>
    <w:p w14:paraId="41C036BA">
      <w:pPr>
        <w:spacing w:line="360" w:lineRule="auto"/>
        <w:jc w:val="center"/>
        <w:rPr>
          <w:rFonts w:hint="eastAsia" w:ascii="仿宋" w:hAnsi="仿宋" w:eastAsia="仿宋" w:cs="仿宋"/>
          <w:color w:val="auto"/>
          <w:highlight w:val="none"/>
        </w:rPr>
      </w:pPr>
    </w:p>
    <w:p w14:paraId="68EDCB3B">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（项目名称）</w:t>
      </w:r>
    </w:p>
    <w:p w14:paraId="0CE7FB2A">
      <w:pPr>
        <w:pStyle w:val="13"/>
        <w:tabs>
          <w:tab w:val="left" w:pos="0"/>
        </w:tabs>
        <w:rPr>
          <w:rFonts w:hint="eastAsia" w:ascii="仿宋" w:hAnsi="仿宋" w:eastAsia="仿宋" w:cs="仿宋"/>
          <w:color w:val="auto"/>
          <w:highlight w:val="none"/>
        </w:rPr>
      </w:pPr>
    </w:p>
    <w:p w14:paraId="1EC6D5F6">
      <w:pPr>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项目编号：</w:t>
      </w:r>
    </w:p>
    <w:p w14:paraId="208CDA44">
      <w:pPr>
        <w:spacing w:line="360" w:lineRule="auto"/>
        <w:rPr>
          <w:rFonts w:hint="eastAsia" w:ascii="仿宋" w:hAnsi="仿宋" w:eastAsia="仿宋" w:cs="仿宋"/>
          <w:color w:val="auto"/>
          <w:sz w:val="44"/>
          <w:szCs w:val="44"/>
          <w:highlight w:val="none"/>
        </w:rPr>
      </w:pPr>
    </w:p>
    <w:p w14:paraId="667B361C">
      <w:pPr>
        <w:pStyle w:val="13"/>
        <w:tabs>
          <w:tab w:val="left" w:pos="0"/>
        </w:tabs>
        <w:rPr>
          <w:rFonts w:hint="eastAsia" w:ascii="仿宋" w:hAnsi="仿宋" w:eastAsia="仿宋" w:cs="仿宋"/>
          <w:color w:val="auto"/>
          <w:highlight w:val="none"/>
        </w:rPr>
      </w:pPr>
    </w:p>
    <w:p w14:paraId="3529890B">
      <w:pPr>
        <w:spacing w:line="360" w:lineRule="auto"/>
        <w:jc w:val="center"/>
        <w:rPr>
          <w:rFonts w:hint="eastAsia" w:ascii="仿宋" w:hAnsi="仿宋" w:eastAsia="仿宋" w:cs="仿宋"/>
          <w:b/>
          <w:color w:val="auto"/>
          <w:sz w:val="56"/>
          <w:szCs w:val="56"/>
          <w:highlight w:val="none"/>
          <w:lang w:eastAsia="zh-CN"/>
        </w:rPr>
      </w:pPr>
      <w:r>
        <w:rPr>
          <w:rFonts w:hint="eastAsia" w:ascii="仿宋" w:hAnsi="仿宋" w:eastAsia="仿宋" w:cs="仿宋"/>
          <w:b/>
          <w:color w:val="auto"/>
          <w:sz w:val="56"/>
          <w:szCs w:val="56"/>
          <w:highlight w:val="none"/>
          <w:lang w:val="en-US" w:eastAsia="zh-CN"/>
        </w:rPr>
        <w:t>投</w:t>
      </w:r>
    </w:p>
    <w:p w14:paraId="2A6EAA63">
      <w:pPr>
        <w:pStyle w:val="20"/>
        <w:rPr>
          <w:rFonts w:hint="eastAsia" w:ascii="仿宋" w:hAnsi="仿宋" w:eastAsia="仿宋" w:cs="仿宋"/>
          <w:highlight w:val="none"/>
        </w:rPr>
      </w:pPr>
    </w:p>
    <w:p w14:paraId="62B90A8E">
      <w:pPr>
        <w:pStyle w:val="20"/>
        <w:jc w:val="center"/>
        <w:rPr>
          <w:rFonts w:hint="eastAsia" w:ascii="仿宋" w:hAnsi="仿宋" w:eastAsia="仿宋" w:cs="仿宋"/>
          <w:b/>
          <w:color w:val="auto"/>
          <w:sz w:val="56"/>
          <w:szCs w:val="56"/>
          <w:highlight w:val="none"/>
          <w:lang w:val="en-US" w:eastAsia="zh-CN"/>
        </w:rPr>
      </w:pPr>
      <w:r>
        <w:rPr>
          <w:rFonts w:hint="eastAsia" w:ascii="仿宋" w:hAnsi="仿宋" w:eastAsia="仿宋" w:cs="仿宋"/>
          <w:b/>
          <w:color w:val="auto"/>
          <w:sz w:val="56"/>
          <w:szCs w:val="56"/>
          <w:highlight w:val="none"/>
          <w:lang w:val="en-US" w:eastAsia="zh-CN"/>
        </w:rPr>
        <w:t>标</w:t>
      </w:r>
    </w:p>
    <w:p w14:paraId="33E5271C">
      <w:pPr>
        <w:pStyle w:val="20"/>
        <w:jc w:val="center"/>
        <w:rPr>
          <w:rFonts w:hint="eastAsia" w:ascii="仿宋" w:hAnsi="仿宋" w:eastAsia="仿宋" w:cs="仿宋"/>
          <w:b/>
          <w:color w:val="auto"/>
          <w:sz w:val="56"/>
          <w:szCs w:val="56"/>
          <w:highlight w:val="none"/>
          <w:lang w:val="en-US" w:eastAsia="zh-CN"/>
        </w:rPr>
      </w:pPr>
    </w:p>
    <w:p w14:paraId="3BB396E4">
      <w:pPr>
        <w:spacing w:line="360" w:lineRule="auto"/>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文</w:t>
      </w:r>
    </w:p>
    <w:p w14:paraId="4CB059A9">
      <w:pPr>
        <w:pStyle w:val="20"/>
        <w:rPr>
          <w:rFonts w:hint="eastAsia" w:ascii="仿宋" w:hAnsi="仿宋" w:eastAsia="仿宋" w:cs="仿宋"/>
          <w:highlight w:val="none"/>
        </w:rPr>
      </w:pPr>
    </w:p>
    <w:p w14:paraId="7C55626F">
      <w:pPr>
        <w:spacing w:line="360" w:lineRule="auto"/>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件</w:t>
      </w:r>
    </w:p>
    <w:p w14:paraId="09154261">
      <w:pPr>
        <w:spacing w:line="360" w:lineRule="auto"/>
        <w:rPr>
          <w:rFonts w:hint="eastAsia" w:ascii="仿宋" w:hAnsi="仿宋" w:eastAsia="仿宋" w:cs="仿宋"/>
          <w:color w:val="auto"/>
          <w:sz w:val="44"/>
          <w:szCs w:val="44"/>
          <w:highlight w:val="none"/>
        </w:rPr>
      </w:pPr>
    </w:p>
    <w:p w14:paraId="7D7B0317">
      <w:pPr>
        <w:spacing w:line="360" w:lineRule="auto"/>
        <w:rPr>
          <w:rFonts w:hint="eastAsia" w:ascii="仿宋" w:hAnsi="仿宋" w:eastAsia="仿宋" w:cs="仿宋"/>
          <w:color w:val="auto"/>
          <w:sz w:val="44"/>
          <w:szCs w:val="44"/>
          <w:highlight w:val="none"/>
        </w:rPr>
      </w:pPr>
    </w:p>
    <w:p w14:paraId="1BE88997">
      <w:pPr>
        <w:widowControl/>
        <w:snapToGrid w:val="0"/>
        <w:spacing w:line="480" w:lineRule="auto"/>
        <w:ind w:firstLine="843" w:firstLineChars="300"/>
        <w:jc w:val="left"/>
        <w:rPr>
          <w:rFonts w:hint="eastAsia" w:ascii="仿宋" w:hAnsi="仿宋" w:eastAsia="仿宋" w:cs="仿宋"/>
          <w:b/>
          <w:bCs/>
          <w:color w:val="auto"/>
          <w:kern w:val="0"/>
          <w:sz w:val="28"/>
          <w:szCs w:val="28"/>
          <w:highlight w:val="none"/>
          <w:lang w:val="en-US" w:eastAsia="zh-CN"/>
        </w:rPr>
      </w:pPr>
    </w:p>
    <w:p w14:paraId="136B150E">
      <w:pPr>
        <w:widowControl/>
        <w:snapToGrid w:val="0"/>
        <w:spacing w:line="480" w:lineRule="auto"/>
        <w:ind w:firstLine="1405" w:firstLineChars="500"/>
        <w:jc w:val="left"/>
        <w:rPr>
          <w:rFonts w:hint="eastAsia" w:ascii="仿宋" w:hAnsi="仿宋" w:eastAsia="仿宋" w:cs="仿宋"/>
          <w:b/>
          <w:bCs/>
          <w:color w:val="auto"/>
          <w:kern w:val="0"/>
          <w:sz w:val="28"/>
          <w:szCs w:val="28"/>
          <w:highlight w:val="none"/>
          <w:u w:val="single"/>
        </w:rPr>
      </w:pPr>
      <w:r>
        <w:rPr>
          <w:rFonts w:hint="eastAsia" w:ascii="仿宋" w:hAnsi="仿宋" w:eastAsia="仿宋" w:cs="仿宋"/>
          <w:b/>
          <w:bCs/>
          <w:color w:val="auto"/>
          <w:kern w:val="0"/>
          <w:sz w:val="28"/>
          <w:szCs w:val="28"/>
          <w:highlight w:val="none"/>
          <w:lang w:val="en-US" w:eastAsia="zh-CN"/>
        </w:rPr>
        <w:t>供应商</w:t>
      </w:r>
      <w:r>
        <w:rPr>
          <w:rFonts w:hint="eastAsia" w:ascii="仿宋" w:hAnsi="仿宋" w:eastAsia="仿宋" w:cs="仿宋"/>
          <w:b/>
          <w:bCs/>
          <w:color w:val="auto"/>
          <w:kern w:val="0"/>
          <w:sz w:val="28"/>
          <w:szCs w:val="28"/>
          <w:highlight w:val="none"/>
        </w:rPr>
        <w:t>全称：</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u w:val="single"/>
        </w:rPr>
        <w:t>（加盖单位公章）</w:t>
      </w:r>
    </w:p>
    <w:p w14:paraId="070F17D5">
      <w:pPr>
        <w:widowControl/>
        <w:snapToGrid w:val="0"/>
        <w:spacing w:line="480" w:lineRule="auto"/>
        <w:ind w:firstLine="1405" w:firstLineChars="500"/>
        <w:jc w:val="left"/>
        <w:rPr>
          <w:rFonts w:hint="eastAsia" w:ascii="仿宋" w:hAnsi="仿宋" w:eastAsia="仿宋" w:cs="仿宋"/>
          <w:b/>
          <w:bCs/>
          <w:color w:val="auto"/>
          <w:kern w:val="0"/>
          <w:sz w:val="28"/>
          <w:szCs w:val="28"/>
          <w:highlight w:val="none"/>
          <w:u w:val="single"/>
        </w:rPr>
      </w:pPr>
      <w:r>
        <w:rPr>
          <w:rFonts w:hint="eastAsia" w:ascii="仿宋" w:hAnsi="仿宋" w:eastAsia="仿宋" w:cs="仿宋"/>
          <w:b/>
          <w:bCs/>
          <w:color w:val="auto"/>
          <w:kern w:val="0"/>
          <w:sz w:val="28"/>
          <w:szCs w:val="28"/>
          <w:highlight w:val="none"/>
        </w:rPr>
        <w:t>法定代表人</w:t>
      </w:r>
      <w:r>
        <w:rPr>
          <w:rFonts w:hint="eastAsia" w:ascii="仿宋" w:hAnsi="仿宋" w:eastAsia="仿宋" w:cs="仿宋"/>
          <w:b/>
          <w:bCs/>
          <w:color w:val="auto"/>
          <w:kern w:val="0"/>
          <w:sz w:val="28"/>
          <w:szCs w:val="28"/>
          <w:highlight w:val="none"/>
          <w:lang w:eastAsia="zh-CN"/>
        </w:rPr>
        <w:t>或授权人代表</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u w:val="single"/>
        </w:rPr>
        <w:t>（签字或</w:t>
      </w:r>
      <w:r>
        <w:rPr>
          <w:rFonts w:hint="eastAsia" w:ascii="仿宋" w:hAnsi="仿宋" w:eastAsia="仿宋" w:cs="仿宋"/>
          <w:b/>
          <w:bCs/>
          <w:color w:val="auto"/>
          <w:kern w:val="0"/>
          <w:sz w:val="28"/>
          <w:szCs w:val="28"/>
          <w:highlight w:val="none"/>
          <w:u w:val="single"/>
          <w:lang w:val="en-US" w:eastAsia="zh-CN"/>
        </w:rPr>
        <w:t>盖</w:t>
      </w:r>
      <w:r>
        <w:rPr>
          <w:rFonts w:hint="eastAsia" w:ascii="仿宋" w:hAnsi="仿宋" w:eastAsia="仿宋" w:cs="仿宋"/>
          <w:b/>
          <w:bCs/>
          <w:color w:val="auto"/>
          <w:kern w:val="0"/>
          <w:sz w:val="28"/>
          <w:szCs w:val="28"/>
          <w:highlight w:val="none"/>
          <w:u w:val="single"/>
        </w:rPr>
        <w:t>章）</w:t>
      </w:r>
    </w:p>
    <w:p w14:paraId="1994D833">
      <w:pPr>
        <w:spacing w:line="360" w:lineRule="auto"/>
        <w:ind w:firstLine="3935" w:firstLineChars="1400"/>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color w:val="auto"/>
          <w:kern w:val="0"/>
          <w:sz w:val="28"/>
          <w:szCs w:val="28"/>
          <w:highlight w:val="none"/>
          <w:lang w:val="en-US" w:eastAsia="zh-CN"/>
        </w:rPr>
        <w:t>日期：</w:t>
      </w:r>
    </w:p>
    <w:p w14:paraId="2B1AA223">
      <w:pPr>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br w:type="page"/>
      </w:r>
    </w:p>
    <w:p w14:paraId="6A6B4CD7">
      <w:pPr>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资格证明文件</w:t>
      </w:r>
      <w:r>
        <w:rPr>
          <w:rFonts w:hint="eastAsia" w:ascii="仿宋" w:hAnsi="仿宋" w:eastAsia="仿宋" w:cs="仿宋"/>
          <w:bCs/>
          <w:color w:val="000000"/>
          <w:sz w:val="24"/>
          <w:highlight w:val="none"/>
          <w:lang w:val="en-US" w:eastAsia="zh-CN"/>
        </w:rPr>
        <w:t>及商务、技术文件</w:t>
      </w:r>
      <w:r>
        <w:rPr>
          <w:rFonts w:hint="eastAsia" w:ascii="仿宋" w:hAnsi="仿宋" w:eastAsia="仿宋" w:cs="仿宋"/>
          <w:bCs/>
          <w:color w:val="000000"/>
          <w:sz w:val="24"/>
          <w:highlight w:val="none"/>
        </w:rPr>
        <w:t>目录格式</w:t>
      </w:r>
    </w:p>
    <w:p w14:paraId="31467E53">
      <w:pPr>
        <w:keepNext w:val="0"/>
        <w:keepLines w:val="0"/>
        <w:pageBreakBefore w:val="0"/>
        <w:widowControl w:val="0"/>
        <w:kinsoku/>
        <w:wordWrap/>
        <w:overflowPunct/>
        <w:topLinePunct w:val="0"/>
        <w:autoSpaceDE/>
        <w:autoSpaceDN/>
        <w:bidi w:val="0"/>
        <w:adjustRightInd/>
        <w:spacing w:line="800" w:lineRule="exact"/>
        <w:jc w:val="center"/>
        <w:textAlignment w:val="auto"/>
        <w:outlineLvl w:val="0"/>
        <w:rPr>
          <w:rFonts w:hint="eastAsia" w:ascii="仿宋" w:hAnsi="仿宋" w:eastAsia="仿宋" w:cs="仿宋"/>
          <w:b/>
          <w:bCs/>
          <w:color w:val="000000"/>
          <w:sz w:val="36"/>
          <w:szCs w:val="36"/>
          <w:highlight w:val="none"/>
        </w:rPr>
      </w:pPr>
      <w:bookmarkStart w:id="53" w:name="_Toc24073"/>
      <w:r>
        <w:rPr>
          <w:rFonts w:hint="eastAsia" w:ascii="仿宋" w:hAnsi="仿宋" w:eastAsia="仿宋" w:cs="仿宋"/>
          <w:b/>
          <w:bCs/>
          <w:color w:val="000000"/>
          <w:sz w:val="32"/>
          <w:szCs w:val="32"/>
          <w:highlight w:val="none"/>
        </w:rPr>
        <w:t>目</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b/>
          <w:bCs/>
          <w:color w:val="000000"/>
          <w:sz w:val="32"/>
          <w:szCs w:val="32"/>
          <w:highlight w:val="none"/>
        </w:rPr>
        <w:t>录</w:t>
      </w:r>
      <w:bookmarkEnd w:id="53"/>
    </w:p>
    <w:p w14:paraId="7C3DAF7C">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8"/>
          <w:szCs w:val="28"/>
          <w:highlight w:val="none"/>
        </w:rPr>
        <w:t>资格证明文件</w:t>
      </w:r>
    </w:p>
    <w:p w14:paraId="17E19D9A">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具有独立承担民事责任的能力</w:t>
      </w:r>
      <w:r>
        <w:rPr>
          <w:rFonts w:hint="eastAsia" w:ascii="仿宋" w:hAnsi="仿宋" w:eastAsia="仿宋" w:cs="仿宋"/>
          <w:b w:val="0"/>
          <w:bCs/>
          <w:kern w:val="0"/>
          <w:sz w:val="24"/>
          <w:szCs w:val="24"/>
          <w:highlight w:val="none"/>
          <w:lang w:val="en-US" w:eastAsia="zh-CN" w:bidi="ar-SA"/>
        </w:rPr>
        <w:t>的承诺函</w:t>
      </w:r>
    </w:p>
    <w:p w14:paraId="2FF51EF9">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具有良好的商业信誉和健全的财务会计制度</w:t>
      </w:r>
      <w:r>
        <w:rPr>
          <w:rFonts w:hint="eastAsia" w:ascii="仿宋" w:hAnsi="仿宋" w:eastAsia="仿宋" w:cs="仿宋"/>
          <w:b w:val="0"/>
          <w:bCs/>
          <w:kern w:val="0"/>
          <w:sz w:val="24"/>
          <w:szCs w:val="24"/>
          <w:highlight w:val="none"/>
          <w:lang w:val="en-US" w:eastAsia="zh-CN" w:bidi="ar-SA"/>
        </w:rPr>
        <w:t>的承诺函</w:t>
      </w:r>
    </w:p>
    <w:p w14:paraId="27916A8E">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具有履行合同所必需的设备和专业技术能力</w:t>
      </w:r>
      <w:r>
        <w:rPr>
          <w:rFonts w:hint="eastAsia" w:ascii="仿宋" w:hAnsi="仿宋" w:eastAsia="仿宋" w:cs="仿宋"/>
          <w:b w:val="0"/>
          <w:bCs/>
          <w:kern w:val="0"/>
          <w:sz w:val="24"/>
          <w:szCs w:val="24"/>
          <w:highlight w:val="none"/>
          <w:lang w:val="en-US" w:eastAsia="zh-CN" w:bidi="ar-SA"/>
        </w:rPr>
        <w:t>的承诺函</w:t>
      </w:r>
    </w:p>
    <w:p w14:paraId="2D5C96CD">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具有依法缴纳税收和社会保障资金</w:t>
      </w:r>
      <w:r>
        <w:rPr>
          <w:rFonts w:hint="eastAsia" w:ascii="仿宋" w:hAnsi="仿宋" w:eastAsia="仿宋" w:cs="仿宋"/>
          <w:color w:val="000000"/>
          <w:sz w:val="24"/>
          <w:szCs w:val="24"/>
          <w:highlight w:val="none"/>
          <w:lang w:val="en-US" w:eastAsia="zh-CN"/>
        </w:rPr>
        <w:t>良好记录</w:t>
      </w:r>
      <w:r>
        <w:rPr>
          <w:rFonts w:hint="eastAsia" w:ascii="仿宋" w:hAnsi="仿宋" w:eastAsia="仿宋" w:cs="仿宋"/>
          <w:b w:val="0"/>
          <w:bCs/>
          <w:kern w:val="0"/>
          <w:sz w:val="24"/>
          <w:szCs w:val="24"/>
          <w:highlight w:val="none"/>
          <w:lang w:val="en-US" w:eastAsia="zh-CN" w:bidi="ar-SA"/>
        </w:rPr>
        <w:t>的承诺函</w:t>
      </w:r>
    </w:p>
    <w:p w14:paraId="1B9ADCBD">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参加政府采购活动前三年内，在经营活动中没有重大违法记录</w:t>
      </w:r>
      <w:r>
        <w:rPr>
          <w:rFonts w:hint="eastAsia" w:ascii="仿宋" w:hAnsi="仿宋" w:eastAsia="仿宋" w:cs="仿宋"/>
          <w:b w:val="0"/>
          <w:bCs/>
          <w:kern w:val="0"/>
          <w:sz w:val="24"/>
          <w:szCs w:val="24"/>
          <w:highlight w:val="none"/>
          <w:lang w:val="en-US" w:eastAsia="zh-CN" w:bidi="ar-SA"/>
        </w:rPr>
        <w:t>的承诺函</w:t>
      </w:r>
    </w:p>
    <w:p w14:paraId="2FB18C12">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kern w:val="0"/>
          <w:sz w:val="24"/>
          <w:szCs w:val="24"/>
          <w:highlight w:val="none"/>
          <w:lang w:val="en-US" w:eastAsia="zh-CN" w:bidi="ar-SA"/>
        </w:rPr>
        <w:t>单位负责人为同一人或者存在直接控股、管理关系的不同供应商，不得参加同一合同项下的采购活动的承诺函</w:t>
      </w:r>
    </w:p>
    <w:p w14:paraId="461A99F2">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投标保证金缴纳凭证</w:t>
      </w:r>
    </w:p>
    <w:p w14:paraId="58217191">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供应商廉洁自律承诺书</w:t>
      </w:r>
    </w:p>
    <w:p w14:paraId="7BA70312">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Cs w:val="21"/>
          <w:highlight w:val="none"/>
        </w:rPr>
        <w:br w:type="page"/>
      </w:r>
      <w:r>
        <w:rPr>
          <w:rFonts w:hint="eastAsia" w:ascii="仿宋" w:hAnsi="仿宋" w:eastAsia="仿宋" w:cs="仿宋"/>
          <w:b/>
          <w:bCs/>
          <w:color w:val="000000"/>
          <w:sz w:val="28"/>
          <w:szCs w:val="28"/>
          <w:highlight w:val="none"/>
        </w:rPr>
        <w:t>商务、技术文件</w:t>
      </w:r>
    </w:p>
    <w:p w14:paraId="2674BEAF">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法定代表人（代表人）身份证明</w:t>
      </w:r>
      <w:r>
        <w:rPr>
          <w:rFonts w:hint="eastAsia" w:ascii="仿宋" w:hAnsi="仿宋" w:eastAsia="仿宋" w:cs="仿宋"/>
          <w:color w:val="000000"/>
          <w:sz w:val="24"/>
          <w:szCs w:val="24"/>
          <w:highlight w:val="none"/>
          <w:lang w:val="en-US" w:eastAsia="zh-CN"/>
        </w:rPr>
        <w:t>书</w:t>
      </w:r>
    </w:p>
    <w:p w14:paraId="596551A3">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法定代表人（代表人）授权委托</w:t>
      </w:r>
      <w:r>
        <w:rPr>
          <w:rFonts w:hint="eastAsia" w:ascii="仿宋" w:hAnsi="仿宋" w:eastAsia="仿宋" w:cs="仿宋"/>
          <w:color w:val="000000"/>
          <w:sz w:val="24"/>
          <w:szCs w:val="24"/>
          <w:highlight w:val="none"/>
          <w:lang w:val="en-US" w:eastAsia="zh-CN"/>
        </w:rPr>
        <w:t>书</w:t>
      </w:r>
    </w:p>
    <w:p w14:paraId="4B50C603">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函</w:t>
      </w:r>
    </w:p>
    <w:p w14:paraId="4E061148">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开标</w:t>
      </w:r>
      <w:r>
        <w:rPr>
          <w:rFonts w:hint="eastAsia" w:ascii="仿宋" w:hAnsi="仿宋" w:eastAsia="仿宋" w:cs="仿宋"/>
          <w:color w:val="000000"/>
          <w:sz w:val="24"/>
          <w:szCs w:val="24"/>
          <w:highlight w:val="none"/>
        </w:rPr>
        <w:t>一览表</w:t>
      </w:r>
    </w:p>
    <w:p w14:paraId="77BA7230">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商务条款响应表</w:t>
      </w:r>
    </w:p>
    <w:p w14:paraId="203CDCFA">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技术规范响应及偏离表</w:t>
      </w:r>
    </w:p>
    <w:p w14:paraId="78349F48">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服务方案</w:t>
      </w:r>
    </w:p>
    <w:p w14:paraId="412280AF">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、供应商企业简况</w:t>
      </w:r>
    </w:p>
    <w:p w14:paraId="6B33E0C5">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9、投标</w:t>
      </w:r>
      <w:r>
        <w:rPr>
          <w:rFonts w:hint="eastAsia" w:ascii="仿宋" w:hAnsi="仿宋" w:eastAsia="仿宋" w:cs="仿宋"/>
          <w:color w:val="000000"/>
          <w:sz w:val="24"/>
          <w:szCs w:val="24"/>
          <w:highlight w:val="none"/>
        </w:rPr>
        <w:t>文件提交截止时间前三年内同类项目合同案例及相关证明资料</w:t>
      </w:r>
    </w:p>
    <w:p w14:paraId="33C8869A">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10、拟投入本项目的人员一览表</w:t>
      </w:r>
    </w:p>
    <w:p w14:paraId="5A0DA1CA">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供应商认为需要提供的其他商务、技术材料</w:t>
      </w:r>
    </w:p>
    <w:p w14:paraId="5E00ED9A">
      <w:pPr>
        <w:pStyle w:val="17"/>
        <w:keepNext w:val="0"/>
        <w:keepLines w:val="0"/>
        <w:pageBreakBefore w:val="0"/>
        <w:widowControl w:val="0"/>
        <w:kinsoku/>
        <w:wordWrap/>
        <w:overflowPunct/>
        <w:topLinePunct w:val="0"/>
        <w:autoSpaceDE/>
        <w:autoSpaceDN/>
        <w:bidi w:val="0"/>
        <w:adjustRightInd/>
        <w:snapToGrid w:val="0"/>
        <w:spacing w:line="8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val="0"/>
          <w:bCs/>
          <w:kern w:val="0"/>
          <w:sz w:val="24"/>
          <w:szCs w:val="24"/>
          <w:highlight w:val="none"/>
          <w:lang w:val="en-US" w:eastAsia="zh-CN" w:bidi="ar-SA"/>
        </w:rPr>
        <w:t>12、政策性要求</w:t>
      </w:r>
    </w:p>
    <w:p w14:paraId="4AD91686">
      <w:pPr>
        <w:pStyle w:val="17"/>
        <w:snapToGrid w:val="0"/>
        <w:spacing w:line="360" w:lineRule="auto"/>
        <w:jc w:val="center"/>
        <w:rPr>
          <w:rFonts w:hint="eastAsia" w:ascii="仿宋" w:hAnsi="仿宋" w:eastAsia="仿宋" w:cs="仿宋"/>
          <w:color w:val="000000"/>
          <w:sz w:val="21"/>
          <w:highlight w:val="none"/>
        </w:rPr>
      </w:pPr>
      <w:r>
        <w:rPr>
          <w:rFonts w:hint="eastAsia" w:ascii="仿宋" w:hAnsi="仿宋" w:eastAsia="仿宋" w:cs="仿宋"/>
          <w:color w:val="000000"/>
          <w:sz w:val="21"/>
          <w:highlight w:val="none"/>
        </w:rPr>
        <w:br w:type="page"/>
      </w:r>
      <w:bookmarkStart w:id="54" w:name="_Toc21585"/>
    </w:p>
    <w:p w14:paraId="4934E42D">
      <w:pPr>
        <w:pStyle w:val="17"/>
        <w:snapToGrid w:val="0"/>
        <w:spacing w:line="360" w:lineRule="auto"/>
        <w:jc w:val="center"/>
        <w:rPr>
          <w:rFonts w:hint="eastAsia" w:ascii="仿宋" w:hAnsi="仿宋" w:eastAsia="仿宋" w:cs="仿宋"/>
          <w:color w:val="000000"/>
          <w:sz w:val="21"/>
          <w:highlight w:val="none"/>
        </w:rPr>
      </w:pPr>
    </w:p>
    <w:p w14:paraId="7262A34C">
      <w:pPr>
        <w:pStyle w:val="17"/>
        <w:snapToGrid w:val="0"/>
        <w:spacing w:line="360" w:lineRule="auto"/>
        <w:jc w:val="center"/>
        <w:rPr>
          <w:rFonts w:hint="eastAsia" w:ascii="仿宋" w:hAnsi="仿宋" w:eastAsia="仿宋" w:cs="仿宋"/>
          <w:color w:val="000000"/>
          <w:sz w:val="21"/>
          <w:highlight w:val="none"/>
        </w:rPr>
      </w:pPr>
    </w:p>
    <w:p w14:paraId="7E415A48">
      <w:pPr>
        <w:pStyle w:val="17"/>
        <w:snapToGrid w:val="0"/>
        <w:spacing w:line="360" w:lineRule="auto"/>
        <w:jc w:val="center"/>
        <w:rPr>
          <w:rFonts w:hint="eastAsia" w:ascii="仿宋" w:hAnsi="仿宋" w:eastAsia="仿宋" w:cs="仿宋"/>
          <w:color w:val="000000"/>
          <w:sz w:val="21"/>
          <w:highlight w:val="none"/>
        </w:rPr>
      </w:pPr>
    </w:p>
    <w:p w14:paraId="1DC6C6F5">
      <w:pPr>
        <w:pStyle w:val="17"/>
        <w:snapToGrid w:val="0"/>
        <w:spacing w:line="360" w:lineRule="auto"/>
        <w:jc w:val="center"/>
        <w:rPr>
          <w:rFonts w:hint="eastAsia" w:ascii="仿宋" w:hAnsi="仿宋" w:eastAsia="仿宋" w:cs="仿宋"/>
          <w:color w:val="000000"/>
          <w:sz w:val="21"/>
          <w:highlight w:val="none"/>
        </w:rPr>
      </w:pPr>
    </w:p>
    <w:p w14:paraId="022F387A">
      <w:pPr>
        <w:pStyle w:val="17"/>
        <w:snapToGrid w:val="0"/>
        <w:spacing w:line="360" w:lineRule="auto"/>
        <w:jc w:val="center"/>
        <w:rPr>
          <w:rFonts w:hint="eastAsia" w:ascii="仿宋" w:hAnsi="仿宋" w:eastAsia="仿宋" w:cs="仿宋"/>
          <w:color w:val="000000"/>
          <w:sz w:val="21"/>
          <w:highlight w:val="none"/>
        </w:rPr>
      </w:pPr>
    </w:p>
    <w:p w14:paraId="0715957C">
      <w:pPr>
        <w:pStyle w:val="17"/>
        <w:snapToGrid w:val="0"/>
        <w:spacing w:line="360" w:lineRule="auto"/>
        <w:jc w:val="center"/>
        <w:rPr>
          <w:rFonts w:hint="eastAsia" w:ascii="仿宋" w:hAnsi="仿宋" w:eastAsia="仿宋" w:cs="仿宋"/>
          <w:color w:val="000000"/>
          <w:sz w:val="21"/>
          <w:highlight w:val="none"/>
        </w:rPr>
      </w:pPr>
    </w:p>
    <w:p w14:paraId="18B2EC9B">
      <w:pPr>
        <w:pStyle w:val="17"/>
        <w:snapToGrid w:val="0"/>
        <w:spacing w:line="360" w:lineRule="auto"/>
        <w:jc w:val="center"/>
        <w:rPr>
          <w:rFonts w:hint="eastAsia" w:ascii="仿宋" w:hAnsi="仿宋" w:eastAsia="仿宋" w:cs="仿宋"/>
          <w:color w:val="000000"/>
          <w:sz w:val="21"/>
          <w:highlight w:val="none"/>
        </w:rPr>
      </w:pPr>
    </w:p>
    <w:p w14:paraId="2C21BB29">
      <w:pPr>
        <w:pStyle w:val="17"/>
        <w:snapToGrid w:val="0"/>
        <w:spacing w:line="360" w:lineRule="auto"/>
        <w:jc w:val="center"/>
        <w:rPr>
          <w:rFonts w:hint="eastAsia" w:ascii="仿宋" w:hAnsi="仿宋" w:eastAsia="仿宋" w:cs="仿宋"/>
          <w:color w:val="000000"/>
          <w:sz w:val="21"/>
          <w:highlight w:val="none"/>
        </w:rPr>
      </w:pPr>
    </w:p>
    <w:p w14:paraId="068FA4AF">
      <w:pPr>
        <w:pStyle w:val="17"/>
        <w:snapToGrid w:val="0"/>
        <w:spacing w:line="360" w:lineRule="auto"/>
        <w:jc w:val="center"/>
        <w:rPr>
          <w:rFonts w:hint="eastAsia" w:ascii="仿宋" w:hAnsi="仿宋" w:eastAsia="仿宋" w:cs="仿宋"/>
          <w:color w:val="000000"/>
          <w:sz w:val="21"/>
          <w:highlight w:val="none"/>
        </w:rPr>
      </w:pPr>
    </w:p>
    <w:p w14:paraId="2E4B4E3F">
      <w:pPr>
        <w:pStyle w:val="17"/>
        <w:snapToGrid w:val="0"/>
        <w:spacing w:line="360" w:lineRule="auto"/>
        <w:jc w:val="center"/>
        <w:rPr>
          <w:rFonts w:hint="eastAsia" w:ascii="仿宋" w:hAnsi="仿宋" w:eastAsia="仿宋" w:cs="仿宋"/>
          <w:color w:val="000000"/>
          <w:sz w:val="21"/>
          <w:highlight w:val="none"/>
        </w:rPr>
      </w:pPr>
    </w:p>
    <w:p w14:paraId="08533ED6">
      <w:pPr>
        <w:pStyle w:val="17"/>
        <w:snapToGrid w:val="0"/>
        <w:spacing w:line="360" w:lineRule="auto"/>
        <w:jc w:val="center"/>
        <w:rPr>
          <w:rFonts w:hint="eastAsia" w:ascii="仿宋" w:hAnsi="仿宋" w:eastAsia="仿宋" w:cs="仿宋"/>
          <w:color w:val="000000"/>
          <w:sz w:val="21"/>
          <w:highlight w:val="none"/>
        </w:rPr>
      </w:pPr>
    </w:p>
    <w:p w14:paraId="25F92D9A">
      <w:pPr>
        <w:pStyle w:val="17"/>
        <w:snapToGrid w:val="0"/>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2"/>
          <w:szCs w:val="32"/>
          <w:highlight w:val="none"/>
        </w:rPr>
        <w:t>资格证明文件</w:t>
      </w:r>
      <w:bookmarkEnd w:id="54"/>
    </w:p>
    <w:p w14:paraId="695C581E">
      <w:pP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kern w:val="0"/>
          <w:sz w:val="21"/>
          <w:szCs w:val="21"/>
          <w:highlight w:val="none"/>
        </w:rPr>
        <w:br w:type="page"/>
      </w:r>
    </w:p>
    <w:p w14:paraId="7086B53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1、具有独立承担民事责任的能力的承诺函</w:t>
      </w:r>
    </w:p>
    <w:p w14:paraId="3D77F31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kern w:val="0"/>
          <w:sz w:val="24"/>
          <w:szCs w:val="24"/>
          <w:highlight w:val="none"/>
        </w:rPr>
      </w:pPr>
    </w:p>
    <w:p w14:paraId="37BE33E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u w:val="single"/>
        </w:rPr>
      </w:pPr>
      <w:r>
        <w:rPr>
          <w:rFonts w:hint="eastAsia" w:ascii="仿宋" w:hAnsi="仿宋" w:eastAsia="仿宋" w:cs="仿宋"/>
          <w:b/>
          <w:kern w:val="0"/>
          <w:sz w:val="24"/>
          <w:szCs w:val="24"/>
          <w:highlight w:val="none"/>
        </w:rPr>
        <w:t>供应商具有</w:t>
      </w:r>
      <w:r>
        <w:rPr>
          <w:rFonts w:hint="eastAsia" w:ascii="仿宋" w:hAnsi="仿宋" w:eastAsia="仿宋" w:cs="仿宋"/>
          <w:b/>
          <w:sz w:val="24"/>
          <w:szCs w:val="24"/>
          <w:highlight w:val="none"/>
        </w:rPr>
        <w:t>独立承担民事责任的能力的承诺函</w:t>
      </w:r>
    </w:p>
    <w:p w14:paraId="542FA95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u w:val="single"/>
        </w:rPr>
      </w:pPr>
    </w:p>
    <w:p w14:paraId="2D1E48B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2C6749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29BEC8E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）的采购活动。依据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相关规定，现郑重承诺：我方具有有效的营业执照或事业单位法人证书或自然人身份证明或其他非企业组织证明文件及有效的开户许可证，能独立承担民事责任的能力。</w:t>
      </w:r>
    </w:p>
    <w:p w14:paraId="310724A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基本信息如下：</w:t>
      </w:r>
    </w:p>
    <w:p w14:paraId="6D1E8E9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，统一社会信用代码为：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；法定代表人（负责人）为：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；营业期限为: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；基本开户银行为：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；账号为：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9F49ED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以上承诺信息如有虚假或隐瞒，我方愿意承担一切后果，并不再寻求任何旨在减轻或免除法律责任的辩解。 </w:t>
      </w:r>
    </w:p>
    <w:p w14:paraId="1F6A63A1">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特此承诺。</w:t>
      </w:r>
    </w:p>
    <w:p w14:paraId="7F8392D8">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218CF594">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0D784BC0">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2E8941B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51027C2A">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w:t>
      </w:r>
      <w:r>
        <w:rPr>
          <w:rFonts w:hint="eastAsia" w:ascii="仿宋" w:hAnsi="仿宋" w:eastAsia="仿宋" w:cs="仿宋"/>
          <w:sz w:val="24"/>
          <w:szCs w:val="24"/>
          <w:highlight w:val="none"/>
          <w:lang w:val="en-US" w:eastAsia="zh-CN"/>
        </w:rPr>
        <w:t>盖</w:t>
      </w:r>
      <w:r>
        <w:rPr>
          <w:rFonts w:hint="eastAsia" w:ascii="仿宋" w:hAnsi="仿宋" w:eastAsia="仿宋" w:cs="仿宋"/>
          <w:sz w:val="24"/>
          <w:szCs w:val="24"/>
          <w:highlight w:val="none"/>
        </w:rPr>
        <w:t>章）</w:t>
      </w:r>
    </w:p>
    <w:p w14:paraId="15D2A411">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b/>
          <w:kern w:val="0"/>
          <w:sz w:val="24"/>
          <w:szCs w:val="24"/>
          <w:highlight w:val="none"/>
        </w:rPr>
      </w:pPr>
      <w:r>
        <w:rPr>
          <w:rFonts w:hint="eastAsia" w:ascii="仿宋" w:hAnsi="仿宋" w:eastAsia="仿宋" w:cs="仿宋"/>
          <w:b w:val="0"/>
          <w:bCs w:val="0"/>
          <w:sz w:val="24"/>
          <w:szCs w:val="24"/>
          <w:highlight w:val="none"/>
          <w:lang w:val="en-US" w:eastAsia="zh-CN" w:bidi="ar-SA"/>
        </w:rPr>
        <w:t>日期：</w:t>
      </w:r>
      <w:r>
        <w:rPr>
          <w:rFonts w:hint="eastAsia" w:ascii="仿宋" w:hAnsi="仿宋" w:eastAsia="仿宋" w:cs="仿宋"/>
          <w:b/>
          <w:bCs/>
          <w:kern w:val="0"/>
          <w:sz w:val="24"/>
          <w:szCs w:val="24"/>
          <w:highlight w:val="none"/>
          <w:lang w:val="en-US" w:eastAsia="zh-CN" w:bidi="ar-SA"/>
        </w:rPr>
        <w:br w:type="page"/>
      </w:r>
      <w:r>
        <w:rPr>
          <w:rFonts w:hint="eastAsia" w:ascii="仿宋" w:hAnsi="仿宋" w:eastAsia="仿宋" w:cs="仿宋"/>
          <w:b/>
          <w:bCs/>
          <w:kern w:val="0"/>
          <w:sz w:val="24"/>
          <w:szCs w:val="24"/>
          <w:highlight w:val="none"/>
          <w:lang w:val="en-US" w:eastAsia="zh-CN" w:bidi="ar-SA"/>
        </w:rPr>
        <w:t>2、具有良好的商业信誉和健全的财务会计制度的承诺函</w:t>
      </w:r>
    </w:p>
    <w:p w14:paraId="33EFD0C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kern w:val="0"/>
          <w:sz w:val="24"/>
          <w:szCs w:val="24"/>
          <w:highlight w:val="none"/>
        </w:rPr>
      </w:pPr>
    </w:p>
    <w:p w14:paraId="45D3E10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24"/>
          <w:szCs w:val="24"/>
          <w:highlight w:val="none"/>
          <w:u w:val="single"/>
        </w:rPr>
      </w:pPr>
      <w:r>
        <w:rPr>
          <w:rFonts w:hint="eastAsia" w:ascii="仿宋" w:hAnsi="仿宋" w:eastAsia="仿宋" w:cs="仿宋"/>
          <w:b/>
          <w:kern w:val="0"/>
          <w:sz w:val="24"/>
          <w:szCs w:val="24"/>
          <w:highlight w:val="none"/>
        </w:rPr>
        <w:t>供应商具有良好的商业信誉和</w:t>
      </w:r>
      <w:r>
        <w:rPr>
          <w:rFonts w:hint="eastAsia" w:ascii="仿宋" w:hAnsi="仿宋" w:eastAsia="仿宋" w:cs="仿宋"/>
          <w:b/>
          <w:sz w:val="24"/>
          <w:szCs w:val="24"/>
          <w:highlight w:val="none"/>
        </w:rPr>
        <w:t>健全的财务会计制度的承诺函</w:t>
      </w:r>
    </w:p>
    <w:p w14:paraId="31D597C8">
      <w:pPr>
        <w:pStyle w:val="30"/>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eastAsia" w:ascii="仿宋" w:hAnsi="仿宋" w:eastAsia="仿宋" w:cs="仿宋"/>
          <w:sz w:val="24"/>
          <w:szCs w:val="24"/>
          <w:highlight w:val="none"/>
        </w:rPr>
      </w:pPr>
    </w:p>
    <w:p w14:paraId="798D847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6181525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771EDC1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）的采购活动。依据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相关规定，现郑重承诺：我方具有通过具备审计资格的第三方出具的202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年度合格且有效的财务审计报告或在基本户开户银行出具的无不良记录资信证明等文件。商业信誉良好，财务制度健全。</w:t>
      </w:r>
    </w:p>
    <w:p w14:paraId="337F761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以上承诺信息如有虚假或隐瞒，我方愿意承担一切后果，并不再寻求任何旨在减轻或免除法律责任的辩解。 </w:t>
      </w:r>
    </w:p>
    <w:p w14:paraId="57DDA07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365B72D0">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特此承诺。</w:t>
      </w:r>
    </w:p>
    <w:p w14:paraId="7251B9CB">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1716F9DA">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050ABA26">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72F9338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5CE4F1A8">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p>
    <w:p w14:paraId="7E461DF7">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日期：</w:t>
      </w:r>
    </w:p>
    <w:p w14:paraId="2E730A48">
      <w:pP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br w:type="page"/>
      </w:r>
    </w:p>
    <w:p w14:paraId="23A06DD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spacing w:val="20"/>
          <w:sz w:val="24"/>
          <w:szCs w:val="24"/>
          <w:highlight w:val="none"/>
        </w:rPr>
      </w:pPr>
      <w:r>
        <w:rPr>
          <w:rFonts w:hint="eastAsia" w:ascii="仿宋" w:hAnsi="仿宋" w:eastAsia="仿宋" w:cs="仿宋"/>
          <w:b/>
          <w:bCs/>
          <w:kern w:val="0"/>
          <w:sz w:val="24"/>
          <w:szCs w:val="24"/>
          <w:highlight w:val="none"/>
          <w:lang w:val="en-US" w:eastAsia="zh-CN" w:bidi="ar-SA"/>
        </w:rPr>
        <w:t>3、具有履行合同所必需的设备和专业技术能力的承诺函</w:t>
      </w:r>
    </w:p>
    <w:p w14:paraId="1804AB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spacing w:val="20"/>
          <w:sz w:val="24"/>
          <w:szCs w:val="24"/>
          <w:highlight w:val="none"/>
        </w:rPr>
      </w:pPr>
    </w:p>
    <w:p w14:paraId="72AF893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b/>
          <w:spacing w:val="20"/>
          <w:sz w:val="24"/>
          <w:szCs w:val="24"/>
          <w:highlight w:val="none"/>
        </w:rPr>
        <w:t>供应商</w:t>
      </w:r>
      <w:r>
        <w:rPr>
          <w:rFonts w:hint="eastAsia" w:ascii="仿宋" w:hAnsi="仿宋" w:eastAsia="仿宋" w:cs="仿宋"/>
          <w:b/>
          <w:kern w:val="0"/>
          <w:sz w:val="24"/>
          <w:szCs w:val="24"/>
          <w:highlight w:val="none"/>
        </w:rPr>
        <w:t>具有履行合同所必需的设备和专业技术能力承诺函</w:t>
      </w:r>
    </w:p>
    <w:p w14:paraId="4146A43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u w:val="single"/>
        </w:rPr>
      </w:pPr>
    </w:p>
    <w:p w14:paraId="10A0CE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623752A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 w:hAnsi="仿宋" w:eastAsia="仿宋" w:cs="仿宋"/>
          <w:kern w:val="0"/>
          <w:sz w:val="24"/>
          <w:szCs w:val="24"/>
          <w:highlight w:val="none"/>
        </w:rPr>
      </w:pPr>
    </w:p>
    <w:p w14:paraId="7FECCAB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）的采购活动。依据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相关规定，现郑重承诺：我方具备履行合同所必需的设备和专业技术能力。</w:t>
      </w:r>
    </w:p>
    <w:p w14:paraId="3396D2E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以上承诺信息如有虚假或隐瞒，我方愿意承担一切后果，并不再寻求任何旨在减轻或免除法律责任的辩解。</w:t>
      </w:r>
    </w:p>
    <w:p w14:paraId="735D31BC">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特此承诺</w:t>
      </w:r>
      <w:r>
        <w:rPr>
          <w:rFonts w:hint="eastAsia" w:ascii="仿宋" w:hAnsi="仿宋" w:eastAsia="仿宋" w:cs="仿宋"/>
          <w:sz w:val="24"/>
          <w:szCs w:val="24"/>
          <w:highlight w:val="none"/>
          <w:lang w:eastAsia="zh-CN"/>
        </w:rPr>
        <w:t>。</w:t>
      </w:r>
    </w:p>
    <w:p w14:paraId="25CDC868">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eastAsia="zh-CN"/>
        </w:rPr>
      </w:pPr>
    </w:p>
    <w:p w14:paraId="4D1757BF">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eastAsia="zh-CN"/>
        </w:rPr>
      </w:pPr>
    </w:p>
    <w:p w14:paraId="2A737DDD">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val="en-US" w:eastAsia="zh-CN"/>
        </w:rPr>
      </w:pPr>
    </w:p>
    <w:p w14:paraId="03D96001">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48D30A6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68F05CF6">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p>
    <w:p w14:paraId="72983745">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日期：</w:t>
      </w:r>
      <w:r>
        <w:rPr>
          <w:rFonts w:hint="eastAsia" w:ascii="仿宋" w:hAnsi="仿宋" w:eastAsia="仿宋" w:cs="仿宋"/>
          <w:b/>
          <w:bCs/>
          <w:kern w:val="0"/>
          <w:sz w:val="24"/>
          <w:szCs w:val="24"/>
          <w:highlight w:val="none"/>
          <w:lang w:val="en-US" w:eastAsia="zh-CN" w:bidi="ar-SA"/>
        </w:rPr>
        <w:br w:type="page"/>
      </w:r>
      <w:r>
        <w:rPr>
          <w:rFonts w:hint="eastAsia" w:ascii="仿宋" w:hAnsi="仿宋" w:eastAsia="仿宋" w:cs="仿宋"/>
          <w:b/>
          <w:bCs/>
          <w:kern w:val="0"/>
          <w:sz w:val="24"/>
          <w:szCs w:val="24"/>
          <w:highlight w:val="none"/>
          <w:lang w:val="en-US" w:eastAsia="zh-CN" w:bidi="ar-SA"/>
        </w:rPr>
        <w:t>4、具有依法缴纳税收和社会保障资金良好记录的承诺函</w:t>
      </w:r>
    </w:p>
    <w:p w14:paraId="236CF07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kern w:val="0"/>
          <w:sz w:val="24"/>
          <w:szCs w:val="24"/>
          <w:highlight w:val="none"/>
        </w:rPr>
      </w:pPr>
    </w:p>
    <w:p w14:paraId="2C72A58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供应商具有依法缴纳税收和社会保障资金良好记录的承诺函</w:t>
      </w:r>
    </w:p>
    <w:p w14:paraId="4211A2B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u w:val="single"/>
        </w:rPr>
      </w:pPr>
    </w:p>
    <w:p w14:paraId="098FF20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31148D8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03B9DE5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）的采购活动。依据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相关规定，现郑重承诺：我方在参加本次采购活动前严格依法缴纳税收或依法享受国家免税优惠政策，并依法给单位职工缴纳社会保障金或依法不需要缴纳社会保障资金的证明文件。</w:t>
      </w:r>
    </w:p>
    <w:p w14:paraId="2D07A9E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以上承诺信息如有虚假或隐瞒，我方愿意承担一切后果，并不再寻求任何旨在减轻或免除法律责任的辩解。</w:t>
      </w:r>
    </w:p>
    <w:p w14:paraId="2CAFE71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4F17BC57">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EC8E67F">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rPr>
      </w:pPr>
    </w:p>
    <w:p w14:paraId="064D2F79">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rPr>
      </w:pPr>
    </w:p>
    <w:p w14:paraId="5BC9A8F0">
      <w:pPr>
        <w:pStyle w:val="49"/>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 w:hAnsi="仿宋" w:eastAsia="仿宋" w:cs="仿宋"/>
          <w:sz w:val="24"/>
          <w:szCs w:val="24"/>
          <w:highlight w:val="none"/>
          <w:lang w:val="en-US" w:eastAsia="zh-CN"/>
        </w:rPr>
      </w:pPr>
    </w:p>
    <w:p w14:paraId="12304629">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全称并盖章</w:t>
      </w:r>
      <w:r>
        <w:rPr>
          <w:rFonts w:hint="eastAsia" w:ascii="仿宋" w:hAnsi="仿宋" w:eastAsia="仿宋" w:cs="仿宋"/>
          <w:sz w:val="24"/>
          <w:szCs w:val="24"/>
          <w:highlight w:val="none"/>
        </w:rPr>
        <w:t>）</w:t>
      </w:r>
    </w:p>
    <w:p w14:paraId="713D5D4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1AB6233F">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p>
    <w:p w14:paraId="41EC410B">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日期：</w:t>
      </w:r>
      <w:r>
        <w:rPr>
          <w:rFonts w:hint="eastAsia" w:ascii="仿宋" w:hAnsi="仿宋" w:eastAsia="仿宋" w:cs="仿宋"/>
          <w:b/>
          <w:color w:val="auto"/>
          <w:kern w:val="0"/>
          <w:sz w:val="24"/>
          <w:szCs w:val="24"/>
          <w:highlight w:val="none"/>
          <w:lang w:val="en-US" w:eastAsia="zh-CN" w:bidi="ar-SA"/>
        </w:rPr>
        <w:br w:type="page"/>
      </w:r>
      <w:r>
        <w:rPr>
          <w:rFonts w:hint="eastAsia" w:ascii="仿宋" w:hAnsi="仿宋" w:eastAsia="仿宋" w:cs="仿宋"/>
          <w:b/>
          <w:bCs/>
          <w:kern w:val="0"/>
          <w:sz w:val="24"/>
          <w:szCs w:val="24"/>
          <w:highlight w:val="none"/>
          <w:lang w:val="en-US" w:eastAsia="zh-CN" w:bidi="ar-SA"/>
        </w:rPr>
        <w:t>5、参加政府采购活动前三年内，在经营活动中没有重大违法记录的承诺函</w:t>
      </w:r>
    </w:p>
    <w:p w14:paraId="7BA4FAE9">
      <w:pPr>
        <w:keepNext w:val="0"/>
        <w:keepLines w:val="0"/>
        <w:pageBreakBefore w:val="0"/>
        <w:widowControl w:val="0"/>
        <w:kinsoku/>
        <w:wordWrap/>
        <w:overflowPunct/>
        <w:bidi w:val="0"/>
        <w:adjustRightInd/>
        <w:spacing w:line="560" w:lineRule="exact"/>
        <w:jc w:val="both"/>
        <w:textAlignment w:val="auto"/>
        <w:rPr>
          <w:rFonts w:hint="eastAsia" w:ascii="仿宋" w:hAnsi="仿宋" w:eastAsia="仿宋" w:cs="仿宋"/>
          <w:b/>
          <w:sz w:val="24"/>
          <w:szCs w:val="24"/>
          <w:highlight w:val="none"/>
        </w:rPr>
      </w:pPr>
    </w:p>
    <w:p w14:paraId="42A75569">
      <w:pPr>
        <w:keepNext w:val="0"/>
        <w:keepLines w:val="0"/>
        <w:pageBreakBefore w:val="0"/>
        <w:widowControl w:val="0"/>
        <w:kinsoku/>
        <w:wordWrap/>
        <w:overflowPunct/>
        <w:bidi w:val="0"/>
        <w:adjustRightInd/>
        <w:spacing w:line="560" w:lineRule="exact"/>
        <w:jc w:val="center"/>
        <w:textAlignment w:val="auto"/>
        <w:rPr>
          <w:rFonts w:hint="eastAsia" w:ascii="仿宋" w:hAnsi="仿宋" w:eastAsia="仿宋" w:cs="仿宋"/>
          <w:b/>
          <w:spacing w:val="20"/>
          <w:sz w:val="24"/>
          <w:szCs w:val="24"/>
          <w:highlight w:val="none"/>
        </w:rPr>
      </w:pPr>
      <w:r>
        <w:rPr>
          <w:rFonts w:hint="eastAsia" w:ascii="仿宋" w:hAnsi="仿宋" w:eastAsia="仿宋" w:cs="仿宋"/>
          <w:b/>
          <w:sz w:val="24"/>
          <w:szCs w:val="24"/>
          <w:highlight w:val="none"/>
        </w:rPr>
        <w:t>供应商</w:t>
      </w:r>
      <w:r>
        <w:rPr>
          <w:rFonts w:hint="eastAsia" w:ascii="仿宋" w:hAnsi="仿宋" w:eastAsia="仿宋" w:cs="仿宋"/>
          <w:b/>
          <w:bCs/>
          <w:sz w:val="24"/>
          <w:szCs w:val="24"/>
          <w:highlight w:val="none"/>
        </w:rPr>
        <w:t>参加本次</w:t>
      </w:r>
      <w:r>
        <w:rPr>
          <w:rFonts w:hint="eastAsia" w:ascii="仿宋" w:hAnsi="仿宋" w:eastAsia="仿宋" w:cs="仿宋"/>
          <w:b/>
          <w:bCs/>
          <w:sz w:val="24"/>
          <w:szCs w:val="24"/>
          <w:highlight w:val="none"/>
          <w:lang w:val="en-US" w:eastAsia="zh-CN"/>
        </w:rPr>
        <w:t>政府</w:t>
      </w:r>
      <w:r>
        <w:rPr>
          <w:rFonts w:hint="eastAsia" w:ascii="仿宋" w:hAnsi="仿宋" w:eastAsia="仿宋" w:cs="仿宋"/>
          <w:b/>
          <w:bCs/>
          <w:sz w:val="24"/>
          <w:szCs w:val="24"/>
          <w:highlight w:val="none"/>
        </w:rPr>
        <w:t>采购活动前三年内，在经营活动中没有重大违法记录承诺函</w:t>
      </w:r>
    </w:p>
    <w:p w14:paraId="4CE4B332">
      <w:pPr>
        <w:keepNext w:val="0"/>
        <w:keepLines w:val="0"/>
        <w:pageBreakBefore w:val="0"/>
        <w:widowControl w:val="0"/>
        <w:kinsoku/>
        <w:wordWrap/>
        <w:overflowPunct/>
        <w:bidi w:val="0"/>
        <w:adjustRightInd/>
        <w:spacing w:line="560" w:lineRule="exact"/>
        <w:textAlignment w:val="auto"/>
        <w:rPr>
          <w:rFonts w:hint="eastAsia" w:ascii="仿宋" w:hAnsi="仿宋" w:eastAsia="仿宋" w:cs="仿宋"/>
          <w:sz w:val="24"/>
          <w:szCs w:val="24"/>
          <w:highlight w:val="none"/>
          <w:u w:val="single"/>
        </w:rPr>
      </w:pPr>
    </w:p>
    <w:p w14:paraId="5334178E">
      <w:pPr>
        <w:keepNext w:val="0"/>
        <w:keepLines w:val="0"/>
        <w:pageBreakBefore w:val="0"/>
        <w:widowControl w:val="0"/>
        <w:kinsoku/>
        <w:wordWrap/>
        <w:overflowPunct/>
        <w:bidi w:val="0"/>
        <w:adjustRightInd/>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4C484B14">
      <w:pPr>
        <w:keepNext w:val="0"/>
        <w:keepLines w:val="0"/>
        <w:pageBreakBefore w:val="0"/>
        <w:widowControl w:val="0"/>
        <w:kinsoku/>
        <w:wordWrap/>
        <w:overflowPunct/>
        <w:topLinePunct/>
        <w:autoSpaceDE w:val="0"/>
        <w:autoSpaceDN w:val="0"/>
        <w:bidi w:val="0"/>
        <w:adjustRightInd/>
        <w:spacing w:line="560" w:lineRule="exact"/>
        <w:ind w:firstLine="480" w:firstLineChars="200"/>
        <w:jc w:val="left"/>
        <w:textAlignment w:val="auto"/>
        <w:rPr>
          <w:rFonts w:hint="eastAsia" w:ascii="仿宋" w:hAnsi="仿宋" w:eastAsia="仿宋" w:cs="仿宋"/>
          <w:sz w:val="24"/>
          <w:szCs w:val="24"/>
          <w:highlight w:val="none"/>
        </w:rPr>
      </w:pPr>
    </w:p>
    <w:p w14:paraId="2AEC591F">
      <w:pPr>
        <w:keepNext w:val="0"/>
        <w:keepLines w:val="0"/>
        <w:pageBreakBefore w:val="0"/>
        <w:widowControl w:val="0"/>
        <w:kinsoku/>
        <w:wordWrap/>
        <w:overflowPunct/>
        <w:topLinePunct/>
        <w:autoSpaceDE w:val="0"/>
        <w:autoSpaceDN w:val="0"/>
        <w:bidi w:val="0"/>
        <w:adjustRightInd/>
        <w:spacing w:line="560" w:lineRule="exact"/>
        <w:ind w:firstLine="480" w:firstLineChars="200"/>
        <w:jc w:val="left"/>
        <w:textAlignment w:val="auto"/>
        <w:rPr>
          <w:rFonts w:hint="eastAsia" w:ascii="仿宋" w:hAnsi="仿宋" w:eastAsia="仿宋" w:cs="仿宋"/>
          <w:b/>
          <w:bCs/>
          <w:sz w:val="24"/>
          <w:szCs w:val="24"/>
          <w:highlight w:val="none"/>
          <w:lang w:val="en-US"/>
        </w:rPr>
      </w:pPr>
      <w:r>
        <w:rPr>
          <w:rFonts w:hint="eastAsia" w:ascii="仿宋" w:hAnsi="仿宋" w:eastAsia="仿宋" w:cs="仿宋"/>
          <w:sz w:val="24"/>
          <w:szCs w:val="24"/>
          <w:highlight w:val="none"/>
        </w:rPr>
        <w:t>本供应商现参与贵公司组织的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sz w:val="24"/>
          <w:szCs w:val="24"/>
          <w:highlight w:val="none"/>
        </w:rPr>
        <w:t>）的采购活动。依据</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相关规定，现郑重承诺：我方在参加本次</w:t>
      </w:r>
      <w:r>
        <w:rPr>
          <w:rFonts w:hint="eastAsia" w:ascii="仿宋" w:hAnsi="仿宋" w:eastAsia="仿宋" w:cs="仿宋"/>
          <w:sz w:val="24"/>
          <w:szCs w:val="24"/>
          <w:highlight w:val="none"/>
          <w:lang w:val="en-US" w:eastAsia="zh-CN"/>
        </w:rPr>
        <w:t>政府</w:t>
      </w:r>
      <w:r>
        <w:rPr>
          <w:rFonts w:hint="eastAsia" w:ascii="仿宋" w:hAnsi="仿宋" w:eastAsia="仿宋" w:cs="仿宋"/>
          <w:sz w:val="24"/>
          <w:szCs w:val="24"/>
          <w:highlight w:val="none"/>
        </w:rPr>
        <w:t>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w:t>
      </w:r>
      <w:r>
        <w:rPr>
          <w:rFonts w:hint="eastAsia" w:ascii="仿宋" w:hAnsi="仿宋" w:eastAsia="仿宋" w:cs="仿宋"/>
          <w:sz w:val="24"/>
          <w:szCs w:val="24"/>
          <w:highlight w:val="none"/>
          <w:lang w:val="en-US" w:eastAsia="zh-CN"/>
        </w:rPr>
        <w:t>失信主体</w:t>
      </w:r>
      <w:r>
        <w:rPr>
          <w:rFonts w:hint="eastAsia" w:ascii="仿宋" w:hAnsi="仿宋" w:eastAsia="仿宋" w:cs="仿宋"/>
          <w:sz w:val="24"/>
          <w:szCs w:val="24"/>
          <w:highlight w:val="none"/>
        </w:rPr>
        <w:t>均为0记录；在中国政府采购网（http://www.ccgp.gov.cn）中的政府采购严重违法失信行为信息记录为0记录</w:t>
      </w:r>
      <w:r>
        <w:rPr>
          <w:rFonts w:hint="eastAsia" w:ascii="仿宋" w:hAnsi="仿宋" w:eastAsia="仿宋" w:cs="仿宋"/>
          <w:color w:val="auto"/>
          <w:kern w:val="0"/>
          <w:sz w:val="24"/>
          <w:szCs w:val="24"/>
          <w:highlight w:val="none"/>
          <w:lang w:val="en-US" w:eastAsia="zh-CN"/>
        </w:rPr>
        <w:t>。</w:t>
      </w:r>
    </w:p>
    <w:p w14:paraId="353DEED0">
      <w:pPr>
        <w:keepNext w:val="0"/>
        <w:keepLines w:val="0"/>
        <w:pageBreakBefore w:val="0"/>
        <w:widowControl w:val="0"/>
        <w:kinsoku/>
        <w:wordWrap/>
        <w:overflowPunct/>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以上承诺信息如有虚假或隐瞒，我方愿意承担一切后果，并不再寻求任何旨在减轻或免除法律责任的辩解。 </w:t>
      </w:r>
    </w:p>
    <w:p w14:paraId="7E4BEBE8">
      <w:pPr>
        <w:keepNext w:val="0"/>
        <w:keepLines w:val="0"/>
        <w:pageBreakBefore w:val="0"/>
        <w:widowControl w:val="0"/>
        <w:kinsoku/>
        <w:wordWrap/>
        <w:overflowPunct/>
        <w:bidi w:val="0"/>
        <w:adjustRightInd/>
        <w:spacing w:line="560" w:lineRule="exact"/>
        <w:ind w:firstLine="480"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sz w:val="24"/>
          <w:szCs w:val="24"/>
          <w:highlight w:val="none"/>
        </w:rPr>
        <w:t>特此承诺</w:t>
      </w:r>
      <w:r>
        <w:rPr>
          <w:rFonts w:hint="eastAsia" w:ascii="仿宋" w:hAnsi="仿宋" w:eastAsia="仿宋" w:cs="仿宋"/>
          <w:sz w:val="24"/>
          <w:szCs w:val="24"/>
          <w:highlight w:val="none"/>
          <w:lang w:eastAsia="zh-CN"/>
        </w:rPr>
        <w:t>。</w:t>
      </w:r>
    </w:p>
    <w:p w14:paraId="20CFFB61">
      <w:pPr>
        <w:keepNext w:val="0"/>
        <w:keepLines w:val="0"/>
        <w:pageBreakBefore w:val="0"/>
        <w:widowControl w:val="0"/>
        <w:kinsoku/>
        <w:wordWrap/>
        <w:overflowPunct/>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5F13E345">
      <w:pPr>
        <w:keepNext w:val="0"/>
        <w:keepLines w:val="0"/>
        <w:pageBreakBefore w:val="0"/>
        <w:widowControl w:val="0"/>
        <w:kinsoku/>
        <w:wordWrap/>
        <w:overflowPunct/>
        <w:bidi w:val="0"/>
        <w:adjustRightInd/>
        <w:snapToGrid w:val="0"/>
        <w:spacing w:line="560" w:lineRule="exact"/>
        <w:ind w:firstLine="4560" w:firstLineChars="1900"/>
        <w:textAlignment w:val="auto"/>
        <w:rPr>
          <w:rFonts w:hint="eastAsia" w:ascii="仿宋" w:hAnsi="仿宋" w:eastAsia="仿宋" w:cs="仿宋"/>
          <w:sz w:val="24"/>
          <w:szCs w:val="24"/>
          <w:highlight w:val="none"/>
          <w:lang w:eastAsia="zh-CN"/>
        </w:rPr>
      </w:pPr>
    </w:p>
    <w:p w14:paraId="57B1BE60">
      <w:pPr>
        <w:keepNext w:val="0"/>
        <w:keepLines w:val="0"/>
        <w:pageBreakBefore w:val="0"/>
        <w:widowControl w:val="0"/>
        <w:kinsoku/>
        <w:wordWrap/>
        <w:overflowPunct/>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6693BBD8">
      <w:pPr>
        <w:keepNext w:val="0"/>
        <w:keepLines w:val="0"/>
        <w:pageBreakBefore w:val="0"/>
        <w:widowControl w:val="0"/>
        <w:kinsoku/>
        <w:wordWrap/>
        <w:overflowPunct/>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6A8722F7">
      <w:pPr>
        <w:keepNext w:val="0"/>
        <w:keepLines w:val="0"/>
        <w:pageBreakBefore w:val="0"/>
        <w:widowControl w:val="0"/>
        <w:kinsoku/>
        <w:wordWrap/>
        <w:overflowPunct/>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4EB688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r>
        <w:rPr>
          <w:rFonts w:hint="eastAsia" w:ascii="仿宋" w:hAnsi="仿宋" w:eastAsia="仿宋" w:cs="仿宋"/>
          <w:b/>
          <w:color w:val="auto"/>
          <w:kern w:val="0"/>
          <w:sz w:val="24"/>
          <w:szCs w:val="24"/>
          <w:highlight w:val="none"/>
          <w:lang w:val="en-US" w:eastAsia="zh-CN"/>
        </w:rPr>
        <w:br w:type="page"/>
      </w:r>
      <w:r>
        <w:rPr>
          <w:rFonts w:hint="eastAsia" w:ascii="仿宋" w:hAnsi="仿宋" w:eastAsia="仿宋" w:cs="仿宋"/>
          <w:b/>
          <w:bCs/>
          <w:kern w:val="0"/>
          <w:sz w:val="24"/>
          <w:szCs w:val="24"/>
          <w:highlight w:val="none"/>
          <w:lang w:val="en-US" w:eastAsia="zh-CN" w:bidi="ar-SA"/>
        </w:rPr>
        <w:t>6、单位负责人为同一人或者存在直接控股、管理关系的不同供应商，不得参加同一合同项下的采购活动的承诺函</w:t>
      </w:r>
    </w:p>
    <w:p w14:paraId="6AB33DD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p w14:paraId="16196670">
      <w:pPr>
        <w:pStyle w:val="30"/>
        <w:keepNext w:val="0"/>
        <w:keepLines w:val="0"/>
        <w:pageBreakBefore w:val="0"/>
        <w:widowControl w:val="0"/>
        <w:kinsoku/>
        <w:wordWrap/>
        <w:overflowPunct/>
        <w:topLinePunct w:val="0"/>
        <w:autoSpaceDE/>
        <w:autoSpaceDN/>
        <w:bidi w:val="0"/>
        <w:adjustRightInd/>
        <w:spacing w:line="560" w:lineRule="exact"/>
        <w:ind w:left="199"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单位负责人为同一人或者存在直接控股、管理关系的不同供应商，不得参加</w:t>
      </w:r>
    </w:p>
    <w:p w14:paraId="50383610">
      <w:pPr>
        <w:pStyle w:val="30"/>
        <w:keepNext w:val="0"/>
        <w:keepLines w:val="0"/>
        <w:pageBreakBefore w:val="0"/>
        <w:widowControl w:val="0"/>
        <w:kinsoku/>
        <w:wordWrap/>
        <w:overflowPunct/>
        <w:topLinePunct w:val="0"/>
        <w:autoSpaceDE/>
        <w:autoSpaceDN/>
        <w:bidi w:val="0"/>
        <w:adjustRightInd/>
        <w:spacing w:line="560" w:lineRule="exact"/>
        <w:ind w:left="199"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同一合同项下的采购活动的承诺函</w:t>
      </w:r>
    </w:p>
    <w:p w14:paraId="3A204A9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 w:hAnsi="仿宋" w:eastAsia="仿宋" w:cs="仿宋"/>
          <w:b/>
          <w:kern w:val="0"/>
          <w:sz w:val="24"/>
          <w:szCs w:val="24"/>
          <w:highlight w:val="none"/>
        </w:rPr>
      </w:pPr>
    </w:p>
    <w:p w14:paraId="579B20F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7577B67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p>
    <w:p w14:paraId="3012A89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）的采购活动，现承诺本供应商不存在单位负责人为同一人或者存在直接控股、管理关系的不同供应商参加同一合同项下的采购活动的情形。</w:t>
      </w:r>
    </w:p>
    <w:p w14:paraId="24B2201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如上述承诺不真实，愿意按照合同约定承担相应的违约责任。</w:t>
      </w:r>
    </w:p>
    <w:p w14:paraId="57FD011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特此声明</w:t>
      </w:r>
      <w:r>
        <w:rPr>
          <w:rFonts w:hint="eastAsia" w:ascii="仿宋" w:hAnsi="仿宋" w:eastAsia="仿宋" w:cs="仿宋"/>
          <w:sz w:val="24"/>
          <w:szCs w:val="24"/>
          <w:highlight w:val="none"/>
          <w:lang w:eastAsia="zh-CN"/>
        </w:rPr>
        <w:t>。</w:t>
      </w:r>
    </w:p>
    <w:p w14:paraId="7A2532B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lang w:eastAsia="zh-CN"/>
        </w:rPr>
      </w:pPr>
    </w:p>
    <w:p w14:paraId="58E5FC4B">
      <w:pPr>
        <w:pStyle w:val="30"/>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lang w:eastAsia="zh-CN"/>
        </w:rPr>
      </w:pPr>
    </w:p>
    <w:p w14:paraId="37E45C9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szCs w:val="24"/>
          <w:highlight w:val="none"/>
          <w:lang w:eastAsia="zh-CN"/>
        </w:rPr>
      </w:pPr>
    </w:p>
    <w:p w14:paraId="6C0816C9">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1F6ABA0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20FBBC99">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DE650D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sz w:val="24"/>
          <w:szCs w:val="24"/>
          <w:highlight w:val="none"/>
        </w:rPr>
        <w:t xml:space="preserve">                                  </w:t>
      </w:r>
      <w:r>
        <w:rPr>
          <w:rFonts w:hint="eastAsia" w:ascii="仿宋" w:hAnsi="仿宋" w:eastAsia="仿宋" w:cs="仿宋"/>
          <w:b w:val="0"/>
          <w:bCs w:val="0"/>
          <w:sz w:val="24"/>
          <w:szCs w:val="24"/>
          <w:highlight w:val="none"/>
          <w:lang w:val="en-US" w:eastAsia="zh-CN" w:bidi="ar-SA"/>
        </w:rPr>
        <w:t>日期：</w:t>
      </w:r>
      <w:r>
        <w:rPr>
          <w:rFonts w:hint="eastAsia" w:ascii="仿宋" w:hAnsi="仿宋" w:eastAsia="仿宋" w:cs="仿宋"/>
          <w:b/>
          <w:color w:val="auto"/>
          <w:kern w:val="0"/>
          <w:sz w:val="24"/>
          <w:szCs w:val="24"/>
          <w:highlight w:val="none"/>
          <w:lang w:val="en-US" w:eastAsia="zh-CN"/>
        </w:rPr>
        <w:br w:type="page"/>
      </w:r>
      <w:r>
        <w:rPr>
          <w:rFonts w:hint="eastAsia" w:ascii="仿宋" w:hAnsi="仿宋" w:eastAsia="仿宋" w:cs="仿宋"/>
          <w:b/>
          <w:bCs/>
          <w:kern w:val="0"/>
          <w:sz w:val="24"/>
          <w:szCs w:val="24"/>
          <w:highlight w:val="none"/>
          <w:lang w:val="en-US" w:eastAsia="zh-CN" w:bidi="ar-SA"/>
        </w:rPr>
        <w:t>7、投标保证金缴纳凭证</w:t>
      </w:r>
    </w:p>
    <w:p w14:paraId="4E4C21E2">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r>
        <w:rPr>
          <w:rFonts w:hint="eastAsia" w:ascii="仿宋" w:hAnsi="仿宋" w:eastAsia="仿宋" w:cs="仿宋"/>
          <w:b/>
          <w:color w:val="auto"/>
          <w:kern w:val="0"/>
          <w:sz w:val="24"/>
          <w:highlight w:val="none"/>
        </w:rPr>
        <w:br w:type="page"/>
      </w:r>
      <w:r>
        <w:rPr>
          <w:rFonts w:hint="eastAsia" w:ascii="仿宋" w:hAnsi="仿宋" w:eastAsia="仿宋" w:cs="仿宋"/>
          <w:b/>
          <w:bCs/>
          <w:kern w:val="0"/>
          <w:sz w:val="24"/>
          <w:szCs w:val="24"/>
          <w:highlight w:val="none"/>
          <w:lang w:val="en-US" w:eastAsia="zh-CN" w:bidi="ar-SA"/>
        </w:rPr>
        <w:t>8、供应商廉洁自律承诺书</w:t>
      </w:r>
    </w:p>
    <w:p w14:paraId="74BC7AA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bCs/>
          <w:kern w:val="0"/>
          <w:sz w:val="24"/>
          <w:szCs w:val="24"/>
          <w:highlight w:val="none"/>
          <w:lang w:val="en-US" w:eastAsia="zh-CN" w:bidi="ar-SA"/>
        </w:rPr>
      </w:pPr>
    </w:p>
    <w:p w14:paraId="0A6F55A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供应商廉洁自律承诺书</w:t>
      </w:r>
    </w:p>
    <w:p w14:paraId="67C8494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w:t>
      </w:r>
      <w:r>
        <w:rPr>
          <w:rFonts w:hint="eastAsia" w:ascii="仿宋" w:hAnsi="仿宋" w:eastAsia="仿宋" w:cs="仿宋"/>
          <w:sz w:val="24"/>
          <w:szCs w:val="24"/>
          <w:highlight w:val="none"/>
          <w:u w:val="single"/>
          <w:lang w:val="en-US" w:eastAsia="zh-CN"/>
        </w:rPr>
        <w:t>人</w:t>
      </w:r>
      <w:r>
        <w:rPr>
          <w:rFonts w:hint="eastAsia" w:ascii="仿宋" w:hAnsi="仿宋" w:eastAsia="仿宋" w:cs="仿宋"/>
          <w:sz w:val="24"/>
          <w:szCs w:val="24"/>
          <w:highlight w:val="none"/>
          <w:u w:val="single"/>
        </w:rPr>
        <w:t>名称</w:t>
      </w:r>
      <w:r>
        <w:rPr>
          <w:rFonts w:hint="eastAsia" w:ascii="仿宋" w:hAnsi="仿宋" w:eastAsia="仿宋" w:cs="仿宋"/>
          <w:sz w:val="24"/>
          <w:szCs w:val="24"/>
          <w:highlight w:val="none"/>
          <w:u w:val="single"/>
          <w:lang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none"/>
        </w:rPr>
        <w:t>：</w:t>
      </w:r>
    </w:p>
    <w:p w14:paraId="72733407">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为维护本次</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工作的正常秩序，本公司特郑重承诺如下： </w:t>
      </w:r>
    </w:p>
    <w:p w14:paraId="05B475E4">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一、严格按照《中华人民共和国政府采购法》、《中华人民共和国政府采购法实施条例》等有关法律法规、政策及《</w:t>
      </w:r>
      <w:r>
        <w:rPr>
          <w:rFonts w:hint="eastAsia" w:ascii="仿宋" w:hAnsi="仿宋" w:eastAsia="仿宋" w:cs="仿宋"/>
          <w:sz w:val="24"/>
          <w:szCs w:val="24"/>
          <w:highlight w:val="none"/>
          <w:lang w:val="en-US" w:eastAsia="zh-CN"/>
        </w:rPr>
        <w:t>招标文件</w:t>
      </w:r>
      <w:r>
        <w:rPr>
          <w:rFonts w:hint="eastAsia" w:ascii="仿宋" w:hAnsi="仿宋" w:eastAsia="仿宋" w:cs="仿宋"/>
          <w:sz w:val="24"/>
          <w:szCs w:val="24"/>
          <w:highlight w:val="none"/>
        </w:rPr>
        <w:t>》的规定，规范本公司的投标行为，保证做到合法投标、正当竞争、廉洁经营。</w:t>
      </w:r>
    </w:p>
    <w:p w14:paraId="55190F38">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二、本公司保证在本次投标工作中做到： </w:t>
      </w:r>
    </w:p>
    <w:p w14:paraId="6B27121B">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不与其他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相互串通投标、陪标，损害贵单位的合法权益； </w:t>
      </w:r>
    </w:p>
    <w:p w14:paraId="6C18D646">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不与用户串通投标，损害</w:t>
      </w: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rPr>
        <w:t>利益或他人的合法权益；</w:t>
      </w:r>
    </w:p>
    <w:p w14:paraId="105CA70F">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不以向用户、招标人或者评标委员会成员行贿的手段谋取中标；（包括送礼金礼品、有价证券、购物券、回扣、佣金、咨询费、劳务费、赞助费、宣传费、支付旅游费用、报销各种消费凭证、宴请、娱乐等）；</w:t>
      </w:r>
    </w:p>
    <w:p w14:paraId="135928A6">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不利用他人名义投标或者以其他方式弄虚作假，谋取中标；</w:t>
      </w:r>
    </w:p>
    <w:p w14:paraId="6ED3B4FA">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保证不以其他任何方式扰乱本次招标工作；</w:t>
      </w:r>
    </w:p>
    <w:p w14:paraId="460A260A">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保证严格遵守招标会议纪律。</w:t>
      </w:r>
    </w:p>
    <w:p w14:paraId="209F9ECF">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三、我公司承诺在本次招投标活动中，如有违反以上第二条中的行为，同意贵方按《中华人民共和国政府采购法》、《中华人民共和国政府采购法实施条例》等有关法律法规和</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之规定上报省级主管部门给予进入不良信誉记录、扣除保证金等惩罚，我公司及项目参与人员完全接受。</w:t>
      </w:r>
    </w:p>
    <w:p w14:paraId="48768AA0">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583474A0">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6BD4C965">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3F31A98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p>
    <w:p w14:paraId="282BF50D">
      <w:pP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3D4E5192">
      <w:pPr>
        <w:snapToGrid w:val="0"/>
        <w:spacing w:line="360" w:lineRule="auto"/>
        <w:jc w:val="center"/>
        <w:outlineLvl w:val="0"/>
        <w:rPr>
          <w:rFonts w:hint="eastAsia" w:ascii="仿宋" w:hAnsi="仿宋" w:eastAsia="仿宋" w:cs="仿宋"/>
          <w:b/>
          <w:kern w:val="0"/>
          <w:sz w:val="36"/>
          <w:szCs w:val="36"/>
          <w:highlight w:val="none"/>
        </w:rPr>
      </w:pPr>
    </w:p>
    <w:p w14:paraId="71715905">
      <w:pPr>
        <w:snapToGrid w:val="0"/>
        <w:spacing w:line="360" w:lineRule="auto"/>
        <w:jc w:val="center"/>
        <w:outlineLvl w:val="0"/>
        <w:rPr>
          <w:rFonts w:hint="eastAsia" w:ascii="仿宋" w:hAnsi="仿宋" w:eastAsia="仿宋" w:cs="仿宋"/>
          <w:b/>
          <w:kern w:val="0"/>
          <w:sz w:val="36"/>
          <w:szCs w:val="36"/>
          <w:highlight w:val="none"/>
        </w:rPr>
      </w:pPr>
    </w:p>
    <w:p w14:paraId="5E011CA0">
      <w:pPr>
        <w:snapToGrid w:val="0"/>
        <w:spacing w:line="360" w:lineRule="auto"/>
        <w:jc w:val="both"/>
        <w:outlineLvl w:val="0"/>
        <w:rPr>
          <w:rFonts w:hint="eastAsia" w:ascii="仿宋" w:hAnsi="仿宋" w:eastAsia="仿宋" w:cs="仿宋"/>
          <w:b/>
          <w:kern w:val="0"/>
          <w:sz w:val="36"/>
          <w:szCs w:val="36"/>
          <w:highlight w:val="none"/>
        </w:rPr>
      </w:pPr>
    </w:p>
    <w:p w14:paraId="1BBFCA14">
      <w:pPr>
        <w:snapToGrid w:val="0"/>
        <w:spacing w:line="360" w:lineRule="auto"/>
        <w:jc w:val="center"/>
        <w:outlineLvl w:val="0"/>
        <w:rPr>
          <w:rFonts w:hint="eastAsia" w:ascii="仿宋" w:hAnsi="仿宋" w:eastAsia="仿宋" w:cs="仿宋"/>
          <w:b/>
          <w:kern w:val="0"/>
          <w:sz w:val="36"/>
          <w:szCs w:val="36"/>
          <w:highlight w:val="none"/>
        </w:rPr>
      </w:pPr>
    </w:p>
    <w:p w14:paraId="081C9F08">
      <w:pPr>
        <w:snapToGrid w:val="0"/>
        <w:spacing w:line="360" w:lineRule="auto"/>
        <w:jc w:val="center"/>
        <w:outlineLvl w:val="0"/>
        <w:rPr>
          <w:rFonts w:hint="eastAsia" w:ascii="仿宋" w:hAnsi="仿宋" w:eastAsia="仿宋" w:cs="仿宋"/>
          <w:b/>
          <w:kern w:val="0"/>
          <w:sz w:val="36"/>
          <w:szCs w:val="36"/>
          <w:highlight w:val="none"/>
        </w:rPr>
      </w:pPr>
    </w:p>
    <w:p w14:paraId="031D9164">
      <w:pPr>
        <w:snapToGrid w:val="0"/>
        <w:spacing w:line="360" w:lineRule="auto"/>
        <w:jc w:val="center"/>
        <w:outlineLvl w:val="0"/>
        <w:rPr>
          <w:rFonts w:hint="eastAsia" w:ascii="仿宋" w:hAnsi="仿宋" w:eastAsia="仿宋" w:cs="仿宋"/>
          <w:b/>
          <w:kern w:val="0"/>
          <w:sz w:val="36"/>
          <w:szCs w:val="36"/>
          <w:highlight w:val="none"/>
        </w:rPr>
      </w:pPr>
    </w:p>
    <w:p w14:paraId="3540C8DE">
      <w:pPr>
        <w:snapToGrid w:val="0"/>
        <w:spacing w:line="360" w:lineRule="auto"/>
        <w:jc w:val="center"/>
        <w:outlineLvl w:val="0"/>
        <w:rPr>
          <w:rFonts w:hint="eastAsia" w:ascii="仿宋" w:hAnsi="仿宋" w:eastAsia="仿宋" w:cs="仿宋"/>
          <w:b/>
          <w:kern w:val="0"/>
          <w:sz w:val="36"/>
          <w:szCs w:val="36"/>
          <w:highlight w:val="none"/>
        </w:rPr>
      </w:pPr>
    </w:p>
    <w:p w14:paraId="16AF132B">
      <w:pPr>
        <w:snapToGrid w:val="0"/>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2"/>
          <w:szCs w:val="32"/>
          <w:highlight w:val="none"/>
        </w:rPr>
        <w:t>商务、技术文件</w:t>
      </w:r>
    </w:p>
    <w:p w14:paraId="26064CCA">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b/>
          <w:color w:val="auto"/>
          <w:kern w:val="0"/>
          <w:sz w:val="24"/>
          <w:szCs w:val="24"/>
          <w:highlight w:val="none"/>
          <w:lang w:eastAsia="zh-CN"/>
        </w:rPr>
      </w:pPr>
      <w:bookmarkStart w:id="55" w:name="_Toc27446"/>
      <w:r>
        <w:rPr>
          <w:rFonts w:hint="eastAsia" w:ascii="仿宋" w:hAnsi="仿宋" w:eastAsia="仿宋" w:cs="仿宋"/>
          <w:b/>
          <w:kern w:val="0"/>
          <w:szCs w:val="21"/>
          <w:highlight w:val="none"/>
        </w:rPr>
        <w:br w:type="page"/>
      </w:r>
      <w:bookmarkEnd w:id="55"/>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法定代表人（负责人）身份证明书</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格式</w:t>
      </w:r>
      <w:r>
        <w:rPr>
          <w:rFonts w:hint="eastAsia" w:ascii="仿宋" w:hAnsi="仿宋" w:eastAsia="仿宋" w:cs="仿宋"/>
          <w:b/>
          <w:color w:val="auto"/>
          <w:kern w:val="0"/>
          <w:sz w:val="24"/>
          <w:szCs w:val="24"/>
          <w:highlight w:val="none"/>
          <w:lang w:eastAsia="zh-CN"/>
        </w:rPr>
        <w:t>）</w:t>
      </w:r>
    </w:p>
    <w:p w14:paraId="51F3E475">
      <w:pPr>
        <w:pStyle w:val="6"/>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p w14:paraId="7C96E279">
      <w:pPr>
        <w:keepNext w:val="0"/>
        <w:keepLines w:val="0"/>
        <w:pageBreakBefore w:val="0"/>
        <w:widowControl/>
        <w:tabs>
          <w:tab w:val="left" w:pos="567"/>
        </w:tabs>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法定代表人（负责人）身份证明书</w:t>
      </w:r>
    </w:p>
    <w:p w14:paraId="7FDAB20B">
      <w:pPr>
        <w:keepNext w:val="0"/>
        <w:keepLines w:val="0"/>
        <w:pageBreakBefore w:val="0"/>
        <w:widowControl/>
        <w:kinsoku/>
        <w:wordWrap/>
        <w:overflowPunct/>
        <w:topLinePunct w:val="0"/>
        <w:autoSpaceDE/>
        <w:autoSpaceDN/>
        <w:bidi w:val="0"/>
        <w:adjustRightInd/>
        <w:snapToGrid w:val="0"/>
        <w:spacing w:line="560" w:lineRule="exact"/>
        <w:ind w:firstLine="482" w:firstLineChars="200"/>
        <w:jc w:val="left"/>
        <w:textAlignment w:val="auto"/>
        <w:outlineLvl w:val="9"/>
        <w:rPr>
          <w:rFonts w:hint="eastAsia" w:ascii="仿宋" w:hAnsi="仿宋" w:eastAsia="仿宋" w:cs="仿宋"/>
          <w:b/>
          <w:color w:val="auto"/>
          <w:kern w:val="0"/>
          <w:sz w:val="24"/>
          <w:szCs w:val="24"/>
          <w:highlight w:val="none"/>
        </w:rPr>
      </w:pPr>
    </w:p>
    <w:p w14:paraId="085E6FB2">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u w:val="single"/>
          <w:lang w:val="en-US" w:eastAsia="zh-CN"/>
        </w:rPr>
        <w:t xml:space="preserve">                                </w:t>
      </w:r>
    </w:p>
    <w:p w14:paraId="792A1454">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单位性质：</w:t>
      </w:r>
      <w:r>
        <w:rPr>
          <w:rFonts w:hint="eastAsia" w:ascii="仿宋" w:hAnsi="仿宋" w:eastAsia="仿宋" w:cs="仿宋"/>
          <w:color w:val="auto"/>
          <w:kern w:val="0"/>
          <w:sz w:val="24"/>
          <w:szCs w:val="24"/>
          <w:highlight w:val="none"/>
          <w:u w:val="single"/>
          <w:lang w:val="en-US" w:eastAsia="zh-CN"/>
        </w:rPr>
        <w:t xml:space="preserve">                                </w:t>
      </w:r>
    </w:p>
    <w:p w14:paraId="6F4DA90A">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地    址：</w:t>
      </w:r>
      <w:r>
        <w:rPr>
          <w:rFonts w:hint="eastAsia" w:ascii="仿宋" w:hAnsi="仿宋" w:eastAsia="仿宋" w:cs="仿宋"/>
          <w:color w:val="auto"/>
          <w:kern w:val="0"/>
          <w:sz w:val="24"/>
          <w:szCs w:val="24"/>
          <w:highlight w:val="none"/>
          <w:u w:val="single"/>
          <w:lang w:val="en-US" w:eastAsia="zh-CN"/>
        </w:rPr>
        <w:t xml:space="preserve">                                </w:t>
      </w:r>
    </w:p>
    <w:p w14:paraId="3A9D9E2C">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成立时间：</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日</w:t>
      </w:r>
    </w:p>
    <w:p w14:paraId="2D47D164">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经营期限：</w:t>
      </w:r>
      <w:r>
        <w:rPr>
          <w:rFonts w:hint="eastAsia" w:ascii="仿宋" w:hAnsi="仿宋" w:eastAsia="仿宋" w:cs="仿宋"/>
          <w:color w:val="auto"/>
          <w:kern w:val="0"/>
          <w:sz w:val="24"/>
          <w:szCs w:val="24"/>
          <w:highlight w:val="none"/>
          <w:u w:val="single"/>
          <w:lang w:val="en-US" w:eastAsia="zh-CN"/>
        </w:rPr>
        <w:t xml:space="preserve">                                </w:t>
      </w:r>
    </w:p>
    <w:p w14:paraId="32314719">
      <w:pPr>
        <w:keepNext w:val="0"/>
        <w:keepLines w:val="0"/>
        <w:pageBreakBefore w:val="0"/>
        <w:widowControl/>
        <w:kinsoku/>
        <w:wordWrap/>
        <w:overflowPunct/>
        <w:topLinePunct w:val="0"/>
        <w:autoSpaceDE/>
        <w:autoSpaceDN/>
        <w:bidi w:val="0"/>
        <w:adjustRightInd/>
        <w:snapToGrid w:val="0"/>
        <w:spacing w:line="560" w:lineRule="exact"/>
        <w:ind w:firstLine="48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性  别：</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0A4C467E">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年    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职  务：</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78C638D8">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供应商</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的法定代表人。</w:t>
      </w:r>
    </w:p>
    <w:p w14:paraId="1C5E032D">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p>
    <w:p w14:paraId="107984D8">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特此证明。</w:t>
      </w:r>
    </w:p>
    <w:p w14:paraId="4BB1D792">
      <w:pPr>
        <w:keepNext w:val="0"/>
        <w:keepLines w:val="0"/>
        <w:pageBreakBefore w:val="0"/>
        <w:widowControl/>
        <w:tabs>
          <w:tab w:val="left" w:pos="4000"/>
        </w:tabs>
        <w:kinsoku/>
        <w:wordWrap/>
        <w:overflowPunct/>
        <w:topLinePunct w:val="0"/>
        <w:autoSpaceDE/>
        <w:autoSpaceDN/>
        <w:bidi w:val="0"/>
        <w:adjustRightInd/>
        <w:snapToGrid w:val="0"/>
        <w:spacing w:line="560" w:lineRule="exact"/>
        <w:ind w:firstLine="3393" w:firstLineChars="1414"/>
        <w:jc w:val="left"/>
        <w:textAlignment w:val="auto"/>
        <w:outlineLvl w:val="9"/>
        <w:rPr>
          <w:rFonts w:hint="eastAsia" w:ascii="仿宋" w:hAnsi="仿宋" w:eastAsia="仿宋" w:cs="仿宋"/>
          <w:color w:val="auto"/>
          <w:kern w:val="0"/>
          <w:sz w:val="24"/>
          <w:szCs w:val="24"/>
          <w:highlight w:val="none"/>
          <w:lang w:eastAsia="zh-CN"/>
        </w:rPr>
      </w:pPr>
    </w:p>
    <w:p w14:paraId="71929DB1">
      <w:pPr>
        <w:keepNext w:val="0"/>
        <w:keepLines w:val="0"/>
        <w:pageBreakBefore w:val="0"/>
        <w:widowControl/>
        <w:tabs>
          <w:tab w:val="left" w:pos="4000"/>
        </w:tabs>
        <w:kinsoku/>
        <w:wordWrap/>
        <w:overflowPunct/>
        <w:topLinePunct w:val="0"/>
        <w:autoSpaceDE/>
        <w:autoSpaceDN/>
        <w:bidi w:val="0"/>
        <w:adjustRightInd/>
        <w:snapToGrid w:val="0"/>
        <w:spacing w:line="560" w:lineRule="exact"/>
        <w:ind w:firstLine="3393" w:firstLineChars="1414"/>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加盖公章</w:t>
      </w:r>
      <w:r>
        <w:rPr>
          <w:rFonts w:hint="eastAsia" w:ascii="仿宋" w:hAnsi="仿宋" w:eastAsia="仿宋" w:cs="仿宋"/>
          <w:color w:val="auto"/>
          <w:kern w:val="0"/>
          <w:sz w:val="24"/>
          <w:szCs w:val="24"/>
          <w:highlight w:val="none"/>
        </w:rPr>
        <w:t>）</w:t>
      </w:r>
    </w:p>
    <w:p w14:paraId="6F8036CA">
      <w:pPr>
        <w:keepNext w:val="0"/>
        <w:keepLines w:val="0"/>
        <w:pageBreakBefore w:val="0"/>
        <w:widowControl/>
        <w:tabs>
          <w:tab w:val="left" w:pos="4000"/>
        </w:tabs>
        <w:kinsoku/>
        <w:wordWrap/>
        <w:overflowPunct/>
        <w:topLinePunct w:val="0"/>
        <w:autoSpaceDE/>
        <w:autoSpaceDN/>
        <w:bidi w:val="0"/>
        <w:adjustRightInd/>
        <w:snapToGrid w:val="0"/>
        <w:spacing w:line="560" w:lineRule="exact"/>
        <w:ind w:firstLine="3393" w:firstLineChars="1414"/>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(签字或盖章)</w:t>
      </w:r>
    </w:p>
    <w:p w14:paraId="2F8DD7A3">
      <w:pPr>
        <w:keepNext w:val="0"/>
        <w:keepLines w:val="0"/>
        <w:pageBreakBefore w:val="0"/>
        <w:widowControl/>
        <w:tabs>
          <w:tab w:val="left" w:pos="4000"/>
        </w:tabs>
        <w:kinsoku/>
        <w:wordWrap/>
        <w:overflowPunct/>
        <w:topLinePunct w:val="0"/>
        <w:autoSpaceDE/>
        <w:autoSpaceDN/>
        <w:bidi w:val="0"/>
        <w:adjustRightInd/>
        <w:snapToGrid w:val="0"/>
        <w:spacing w:line="560" w:lineRule="exact"/>
        <w:ind w:firstLine="3393" w:firstLineChars="1414"/>
        <w:jc w:val="left"/>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日期：</w:t>
      </w:r>
    </w:p>
    <w:p w14:paraId="78E721E9">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color w:val="auto"/>
          <w:kern w:val="0"/>
          <w:sz w:val="24"/>
          <w:szCs w:val="24"/>
          <w:highlight w:val="none"/>
        </w:rPr>
      </w:pPr>
    </w:p>
    <w:p w14:paraId="3A4CC724">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color w:val="auto"/>
          <w:kern w:val="0"/>
          <w:sz w:val="24"/>
          <w:szCs w:val="24"/>
          <w:highlight w:val="none"/>
        </w:rPr>
      </w:pPr>
    </w:p>
    <w:p w14:paraId="1BA4AB28">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附法定代表人（负责人）身份证</w:t>
      </w:r>
      <w:r>
        <w:rPr>
          <w:rFonts w:hint="eastAsia" w:ascii="仿宋" w:hAnsi="仿宋" w:eastAsia="仿宋" w:cs="仿宋"/>
          <w:b/>
          <w:bCs/>
          <w:color w:val="auto"/>
          <w:kern w:val="0"/>
          <w:sz w:val="24"/>
          <w:szCs w:val="24"/>
          <w:highlight w:val="none"/>
          <w:lang w:val="en-US" w:eastAsia="zh-CN"/>
        </w:rPr>
        <w:t>正反面</w:t>
      </w:r>
      <w:r>
        <w:rPr>
          <w:rFonts w:hint="eastAsia" w:ascii="仿宋" w:hAnsi="仿宋" w:eastAsia="仿宋" w:cs="仿宋"/>
          <w:b/>
          <w:bCs/>
          <w:color w:val="auto"/>
          <w:kern w:val="0"/>
          <w:sz w:val="24"/>
          <w:szCs w:val="24"/>
          <w:highlight w:val="none"/>
        </w:rPr>
        <w:t>复印件</w:t>
      </w:r>
      <w:r>
        <w:rPr>
          <w:rFonts w:hint="eastAsia" w:ascii="仿宋" w:hAnsi="仿宋" w:eastAsia="仿宋" w:cs="仿宋"/>
          <w:b/>
          <w:bCs/>
          <w:color w:val="auto"/>
          <w:kern w:val="0"/>
          <w:sz w:val="24"/>
          <w:szCs w:val="24"/>
          <w:highlight w:val="none"/>
          <w:lang w:eastAsia="zh-CN"/>
        </w:rPr>
        <w:t>）</w:t>
      </w:r>
    </w:p>
    <w:p w14:paraId="51D51032">
      <w:pPr>
        <w:keepNext w:val="0"/>
        <w:keepLines w:val="0"/>
        <w:pageBreakBefore w:val="0"/>
        <w:widowControl/>
        <w:numPr>
          <w:ilvl w:val="0"/>
          <w:numId w:val="0"/>
        </w:numPr>
        <w:tabs>
          <w:tab w:val="left" w:pos="567"/>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br w:type="page"/>
      </w:r>
      <w:r>
        <w:rPr>
          <w:rFonts w:hint="eastAsia" w:ascii="仿宋" w:hAnsi="仿宋" w:eastAsia="仿宋" w:cs="仿宋"/>
          <w:b/>
          <w:color w:val="auto"/>
          <w:kern w:val="0"/>
          <w:sz w:val="24"/>
          <w:szCs w:val="24"/>
          <w:highlight w:val="none"/>
          <w:lang w:val="en-US" w:eastAsia="zh-CN"/>
        </w:rPr>
        <w:t>2、</w:t>
      </w:r>
      <w:r>
        <w:rPr>
          <w:rFonts w:hint="eastAsia" w:ascii="仿宋" w:hAnsi="仿宋" w:eastAsia="仿宋" w:cs="仿宋"/>
          <w:b/>
          <w:color w:val="auto"/>
          <w:kern w:val="0"/>
          <w:sz w:val="24"/>
          <w:szCs w:val="24"/>
          <w:highlight w:val="none"/>
        </w:rPr>
        <w:t>法定代表人（负责人）授权委托书</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eastAsia="zh-CN"/>
        </w:rPr>
        <w:t>）</w:t>
      </w:r>
    </w:p>
    <w:p w14:paraId="39269F31">
      <w:pPr>
        <w:pStyle w:val="6"/>
        <w:keepNext w:val="0"/>
        <w:keepLines w:val="0"/>
        <w:pageBreakBefore w:val="0"/>
        <w:numPr>
          <w:ilvl w:val="0"/>
          <w:numId w:val="0"/>
        </w:numPr>
        <w:kinsoku/>
        <w:wordWrap/>
        <w:overflowPunct/>
        <w:topLinePunct w:val="0"/>
        <w:autoSpaceDE/>
        <w:autoSpaceDN/>
        <w:bidi w:val="0"/>
        <w:spacing w:line="560" w:lineRule="exact"/>
        <w:rPr>
          <w:rFonts w:hint="eastAsia" w:ascii="仿宋" w:hAnsi="仿宋" w:eastAsia="仿宋" w:cs="仿宋"/>
          <w:sz w:val="24"/>
          <w:szCs w:val="24"/>
          <w:highlight w:val="none"/>
        </w:rPr>
      </w:pPr>
    </w:p>
    <w:p w14:paraId="1F723B11">
      <w:pPr>
        <w:keepNext w:val="0"/>
        <w:keepLines w:val="0"/>
        <w:pageBreakBefore w:val="0"/>
        <w:widowControl/>
        <w:tabs>
          <w:tab w:val="left" w:pos="567"/>
        </w:tabs>
        <w:kinsoku/>
        <w:wordWrap/>
        <w:overflowPunct/>
        <w:topLinePunct w:val="0"/>
        <w:autoSpaceDE/>
        <w:autoSpaceDN/>
        <w:bidi w:val="0"/>
        <w:snapToGrid w:val="0"/>
        <w:spacing w:line="560" w:lineRule="exact"/>
        <w:jc w:val="center"/>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法定代表人（负责人）授权委托书</w:t>
      </w:r>
    </w:p>
    <w:p w14:paraId="200911A9">
      <w:pPr>
        <w:keepNext w:val="0"/>
        <w:keepLines w:val="0"/>
        <w:pageBreakBefore w:val="0"/>
        <w:widowControl/>
        <w:kinsoku/>
        <w:wordWrap/>
        <w:overflowPunct/>
        <w:topLinePunct w:val="0"/>
        <w:autoSpaceDE/>
        <w:autoSpaceDN/>
        <w:bidi w:val="0"/>
        <w:snapToGrid w:val="0"/>
        <w:spacing w:line="560" w:lineRule="exact"/>
        <w:jc w:val="left"/>
        <w:outlineLvl w:val="9"/>
        <w:rPr>
          <w:rFonts w:hint="eastAsia" w:ascii="仿宋" w:hAnsi="仿宋" w:eastAsia="仿宋" w:cs="仿宋"/>
          <w:color w:val="auto"/>
          <w:kern w:val="0"/>
          <w:sz w:val="24"/>
          <w:szCs w:val="24"/>
          <w:highlight w:val="none"/>
        </w:rPr>
      </w:pPr>
    </w:p>
    <w:p w14:paraId="13EEA4A8">
      <w:pPr>
        <w:keepNext w:val="0"/>
        <w:keepLines w:val="0"/>
        <w:pageBreakBefore w:val="0"/>
        <w:kinsoku/>
        <w:wordWrap/>
        <w:overflowPunct/>
        <w:topLinePunct w:val="0"/>
        <w:autoSpaceDE/>
        <w:autoSpaceDN/>
        <w:bidi w:val="0"/>
        <w:snapToGrid w:val="0"/>
        <w:spacing w:line="560" w:lineRule="exact"/>
        <w:rPr>
          <w:rFonts w:hint="eastAsia" w:ascii="仿宋" w:hAnsi="仿宋" w:eastAsia="仿宋" w:cs="仿宋"/>
          <w:spacing w:val="20"/>
          <w:sz w:val="24"/>
          <w:szCs w:val="24"/>
          <w:highlight w:val="none"/>
          <w:lang w:val="en-US" w:eastAsia="zh-CN"/>
        </w:rPr>
      </w:pPr>
      <w:r>
        <w:rPr>
          <w:rFonts w:hint="eastAsia" w:ascii="仿宋" w:hAnsi="仿宋" w:eastAsia="仿宋" w:cs="仿宋"/>
          <w:spacing w:val="20"/>
          <w:sz w:val="24"/>
          <w:szCs w:val="24"/>
          <w:highlight w:val="none"/>
        </w:rPr>
        <w:t>致</w:t>
      </w:r>
      <w:r>
        <w:rPr>
          <w:rFonts w:hint="eastAsia" w:ascii="仿宋" w:hAnsi="仿宋" w:eastAsia="仿宋" w:cs="仿宋"/>
          <w:spacing w:val="20"/>
          <w:sz w:val="24"/>
          <w:szCs w:val="24"/>
          <w:highlight w:val="none"/>
          <w:lang w:eastAsia="zh-CN"/>
        </w:rPr>
        <w:t>：</w:t>
      </w:r>
      <w:r>
        <w:rPr>
          <w:rFonts w:hint="eastAsia" w:ascii="仿宋" w:hAnsi="仿宋" w:eastAsia="仿宋" w:cs="仿宋"/>
          <w:spacing w:val="20"/>
          <w:sz w:val="24"/>
          <w:szCs w:val="24"/>
          <w:highlight w:val="none"/>
          <w:u w:val="single"/>
          <w:lang w:val="en-US" w:eastAsia="zh-CN"/>
        </w:rPr>
        <w:t xml:space="preserve">   </w:t>
      </w:r>
      <w:r>
        <w:rPr>
          <w:rFonts w:hint="eastAsia" w:ascii="仿宋" w:hAnsi="仿宋" w:eastAsia="仿宋" w:cs="仿宋"/>
          <w:sz w:val="24"/>
          <w:szCs w:val="24"/>
          <w:highlight w:val="none"/>
          <w:u w:val="single"/>
        </w:rPr>
        <w:t>(采购人</w:t>
      </w:r>
      <w:r>
        <w:rPr>
          <w:rFonts w:hint="eastAsia" w:ascii="仿宋" w:hAnsi="仿宋" w:eastAsia="仿宋" w:cs="仿宋"/>
          <w:sz w:val="24"/>
          <w:szCs w:val="24"/>
          <w:highlight w:val="none"/>
          <w:u w:val="single"/>
          <w:lang w:val="en-US" w:eastAsia="zh-CN"/>
        </w:rPr>
        <w:t>名称</w:t>
      </w:r>
      <w:r>
        <w:rPr>
          <w:rFonts w:hint="eastAsia" w:ascii="仿宋" w:hAnsi="仿宋" w:eastAsia="仿宋" w:cs="仿宋"/>
          <w:sz w:val="24"/>
          <w:szCs w:val="24"/>
          <w:highlight w:val="none"/>
          <w:u w:val="single"/>
        </w:rPr>
        <w:t>)</w:t>
      </w:r>
      <w:r>
        <w:rPr>
          <w:rFonts w:hint="eastAsia" w:ascii="仿宋" w:hAnsi="仿宋" w:eastAsia="仿宋" w:cs="仿宋"/>
          <w:spacing w:val="20"/>
          <w:sz w:val="24"/>
          <w:szCs w:val="24"/>
          <w:highlight w:val="none"/>
          <w:u w:val="single"/>
          <w:lang w:val="en-US" w:eastAsia="zh-CN"/>
        </w:rPr>
        <w:t xml:space="preserve">   </w:t>
      </w:r>
    </w:p>
    <w:p w14:paraId="640D2BBC">
      <w:pPr>
        <w:keepNext w:val="0"/>
        <w:keepLines w:val="0"/>
        <w:pageBreakBefore w:val="0"/>
        <w:kinsoku/>
        <w:wordWrap/>
        <w:overflowPunct/>
        <w:topLinePunct w:val="0"/>
        <w:autoSpaceDE/>
        <w:autoSpaceDN/>
        <w:bidi w:val="0"/>
        <w:snapToGrid w:val="0"/>
        <w:spacing w:line="560" w:lineRule="exact"/>
        <w:rPr>
          <w:rFonts w:hint="eastAsia" w:ascii="仿宋" w:hAnsi="仿宋" w:eastAsia="仿宋" w:cs="仿宋"/>
          <w:b/>
          <w:spacing w:val="20"/>
          <w:sz w:val="24"/>
          <w:szCs w:val="24"/>
          <w:highlight w:val="none"/>
        </w:rPr>
      </w:pPr>
    </w:p>
    <w:p w14:paraId="4E068B25">
      <w:pPr>
        <w:keepNext w:val="0"/>
        <w:keepLines w:val="0"/>
        <w:pageBreakBefore w:val="0"/>
        <w:kinsoku/>
        <w:wordWrap/>
        <w:overflowPunct/>
        <w:topLinePunct w:val="0"/>
        <w:autoSpaceDE/>
        <w:autoSpaceDN/>
        <w:bidi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本授权书声明：注册于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住址）的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姓名、职务）代表本公司授权在下面签字的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代表姓名、职务）为本公司的合法代理人，就贵方组织的</w:t>
      </w:r>
      <w:r>
        <w:rPr>
          <w:rFonts w:hint="eastAsia" w:ascii="仿宋" w:hAnsi="仿宋" w:eastAsia="仿宋" w:cs="仿宋"/>
          <w:b/>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w:t>
      </w:r>
      <w:r>
        <w:rPr>
          <w:rFonts w:hint="eastAsia" w:ascii="仿宋" w:hAnsi="仿宋" w:eastAsia="仿宋" w:cs="仿宋"/>
          <w:b/>
          <w:sz w:val="24"/>
          <w:szCs w:val="24"/>
          <w:highlight w:val="none"/>
          <w:u w:val="single"/>
        </w:rPr>
        <w:t xml:space="preserve">     </w:t>
      </w:r>
      <w:r>
        <w:rPr>
          <w:rFonts w:hint="eastAsia" w:ascii="仿宋" w:hAnsi="仿宋" w:eastAsia="仿宋" w:cs="仿宋"/>
          <w:b/>
          <w:sz w:val="24"/>
          <w:szCs w:val="24"/>
          <w:highlight w:val="none"/>
          <w:u w:val="single"/>
          <w:lang w:val="en-US" w:eastAsia="zh-CN"/>
        </w:rPr>
        <w:t xml:space="preserve">  </w:t>
      </w:r>
      <w:r>
        <w:rPr>
          <w:rFonts w:hint="eastAsia" w:ascii="仿宋" w:hAnsi="仿宋" w:eastAsia="仿宋" w:cs="仿宋"/>
          <w:b/>
          <w:sz w:val="24"/>
          <w:szCs w:val="24"/>
          <w:highlight w:val="none"/>
          <w:u w:val="single"/>
        </w:rPr>
        <w:t xml:space="preserve">   </w:t>
      </w:r>
      <w:r>
        <w:rPr>
          <w:rFonts w:hint="eastAsia" w:ascii="仿宋" w:hAnsi="仿宋" w:eastAsia="仿宋" w:cs="仿宋"/>
          <w:sz w:val="24"/>
          <w:szCs w:val="24"/>
          <w:highlight w:val="none"/>
        </w:rPr>
        <w:t>，以本公司名义处理一切与之有关的事务。</w:t>
      </w:r>
    </w:p>
    <w:p w14:paraId="519D16C8">
      <w:pPr>
        <w:keepNext w:val="0"/>
        <w:keepLines w:val="0"/>
        <w:pageBreakBefore w:val="0"/>
        <w:kinsoku/>
        <w:wordWrap/>
        <w:overflowPunct/>
        <w:topLinePunct w:val="0"/>
        <w:autoSpaceDE/>
        <w:autoSpaceDN/>
        <w:bidi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B5122EC">
      <w:pPr>
        <w:pStyle w:val="13"/>
        <w:rPr>
          <w:rFonts w:hint="eastAsia" w:ascii="仿宋" w:hAnsi="仿宋" w:eastAsia="仿宋" w:cs="仿宋"/>
          <w:highlight w:val="none"/>
        </w:rPr>
      </w:pPr>
    </w:p>
    <w:p w14:paraId="62202953">
      <w:pPr>
        <w:pStyle w:val="13"/>
        <w:rPr>
          <w:rFonts w:hint="eastAsia" w:ascii="仿宋" w:hAnsi="仿宋" w:eastAsia="仿宋" w:cs="仿宋"/>
          <w:highlight w:val="none"/>
        </w:rPr>
      </w:pPr>
    </w:p>
    <w:p w14:paraId="15C3A14B">
      <w:pPr>
        <w:keepNext w:val="0"/>
        <w:keepLines w:val="0"/>
        <w:pageBreakBefore w:val="0"/>
        <w:kinsoku/>
        <w:wordWrap/>
        <w:overflowPunct/>
        <w:topLinePunct w:val="0"/>
        <w:autoSpaceDE/>
        <w:autoSpaceDN/>
        <w:bidi w:val="0"/>
        <w:snapToGrid w:val="0"/>
        <w:spacing w:line="560" w:lineRule="exact"/>
        <w:ind w:firstLine="4080" w:firstLineChars="17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43E3BC3C">
      <w:pPr>
        <w:keepNext w:val="0"/>
        <w:keepLines w:val="0"/>
        <w:pageBreakBefore w:val="0"/>
        <w:kinsoku/>
        <w:wordWrap/>
        <w:overflowPunct/>
        <w:topLinePunct w:val="0"/>
        <w:autoSpaceDE/>
        <w:autoSpaceDN/>
        <w:bidi w:val="0"/>
        <w:snapToGrid w:val="0"/>
        <w:spacing w:line="5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法定代表人（负责人）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p>
    <w:p w14:paraId="0E6CD9B0">
      <w:pPr>
        <w:keepNext w:val="0"/>
        <w:keepLines w:val="0"/>
        <w:pageBreakBefore w:val="0"/>
        <w:kinsoku/>
        <w:wordWrap/>
        <w:overflowPunct/>
        <w:topLinePunct w:val="0"/>
        <w:autoSpaceDE/>
        <w:autoSpaceDN/>
        <w:bidi w:val="0"/>
        <w:snapToGrid w:val="0"/>
        <w:spacing w:line="560" w:lineRule="exact"/>
        <w:ind w:firstLine="4080" w:firstLineChars="17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5EC662CF">
      <w:pPr>
        <w:keepNext w:val="0"/>
        <w:keepLines w:val="0"/>
        <w:pageBreakBefore w:val="0"/>
        <w:kinsoku/>
        <w:wordWrap/>
        <w:overflowPunct/>
        <w:topLinePunct w:val="0"/>
        <w:autoSpaceDE/>
        <w:autoSpaceDN/>
        <w:bidi w:val="0"/>
        <w:snapToGrid w:val="0"/>
        <w:spacing w:line="560" w:lineRule="exact"/>
        <w:ind w:firstLine="4080" w:firstLineChars="170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bidi="ar-SA"/>
        </w:rPr>
        <w:t>日期：</w:t>
      </w:r>
    </w:p>
    <w:p w14:paraId="6EB913DF">
      <w:pPr>
        <w:keepNext w:val="0"/>
        <w:keepLines w:val="0"/>
        <w:pageBreakBefore w:val="0"/>
        <w:kinsoku/>
        <w:wordWrap/>
        <w:overflowPunct/>
        <w:topLinePunct w:val="0"/>
        <w:autoSpaceDE/>
        <w:autoSpaceDN/>
        <w:bidi w:val="0"/>
        <w:snapToGrid w:val="0"/>
        <w:spacing w:line="560" w:lineRule="exact"/>
        <w:ind w:firstLine="465"/>
        <w:rPr>
          <w:rFonts w:hint="eastAsia" w:ascii="仿宋" w:hAnsi="仿宋" w:eastAsia="仿宋" w:cs="仿宋"/>
          <w:sz w:val="24"/>
          <w:szCs w:val="24"/>
          <w:highlight w:val="none"/>
        </w:rPr>
      </w:pPr>
    </w:p>
    <w:p w14:paraId="0A3D676D">
      <w:pPr>
        <w:keepNext w:val="0"/>
        <w:keepLines w:val="0"/>
        <w:pageBreakBefore w:val="0"/>
        <w:kinsoku/>
        <w:wordWrap/>
        <w:overflowPunct/>
        <w:topLinePunct w:val="0"/>
        <w:autoSpaceDE/>
        <w:autoSpaceDN/>
        <w:bidi w:val="0"/>
        <w:snapToGrid w:val="0"/>
        <w:spacing w:line="560" w:lineRule="exact"/>
        <w:ind w:firstLine="465"/>
        <w:rPr>
          <w:rFonts w:hint="eastAsia" w:ascii="仿宋" w:hAnsi="仿宋" w:eastAsia="仿宋" w:cs="仿宋"/>
          <w:sz w:val="24"/>
          <w:szCs w:val="24"/>
          <w:highlight w:val="none"/>
        </w:rPr>
      </w:pPr>
    </w:p>
    <w:p w14:paraId="567AE12B">
      <w:pPr>
        <w:pStyle w:val="13"/>
        <w:rPr>
          <w:rFonts w:hint="eastAsia" w:ascii="仿宋" w:hAnsi="仿宋" w:eastAsia="仿宋" w:cs="仿宋"/>
          <w:highlight w:val="none"/>
        </w:rPr>
      </w:pPr>
    </w:p>
    <w:p w14:paraId="2C5C1C4F">
      <w:pPr>
        <w:keepNext w:val="0"/>
        <w:keepLines w:val="0"/>
        <w:pageBreakBefore w:val="0"/>
        <w:kinsoku/>
        <w:wordWrap/>
        <w:overflowPunct/>
        <w:topLinePunct w:val="0"/>
        <w:autoSpaceDE/>
        <w:autoSpaceDN/>
        <w:bidi w:val="0"/>
        <w:snapToGrid w:val="0"/>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附</w:t>
      </w:r>
      <w:r>
        <w:rPr>
          <w:rFonts w:hint="eastAsia" w:ascii="仿宋" w:hAnsi="仿宋" w:eastAsia="仿宋" w:cs="仿宋"/>
          <w:b/>
          <w:bCs/>
          <w:sz w:val="24"/>
          <w:szCs w:val="24"/>
          <w:highlight w:val="none"/>
          <w:lang w:val="en-US" w:eastAsia="zh-CN"/>
        </w:rPr>
        <w:t>被授权</w:t>
      </w:r>
      <w:r>
        <w:rPr>
          <w:rFonts w:hint="eastAsia" w:ascii="仿宋" w:hAnsi="仿宋" w:eastAsia="仿宋" w:cs="仿宋"/>
          <w:b/>
          <w:bCs/>
          <w:sz w:val="24"/>
          <w:szCs w:val="24"/>
          <w:highlight w:val="none"/>
        </w:rPr>
        <w:t>人身份证</w:t>
      </w:r>
      <w:r>
        <w:rPr>
          <w:rFonts w:hint="eastAsia" w:ascii="仿宋" w:hAnsi="仿宋" w:eastAsia="仿宋" w:cs="仿宋"/>
          <w:b/>
          <w:bCs/>
          <w:sz w:val="24"/>
          <w:szCs w:val="24"/>
          <w:highlight w:val="none"/>
          <w:lang w:val="en-US" w:eastAsia="zh-CN"/>
        </w:rPr>
        <w:t>正反面复印件</w:t>
      </w:r>
      <w:r>
        <w:rPr>
          <w:rFonts w:hint="eastAsia" w:ascii="仿宋" w:hAnsi="仿宋" w:eastAsia="仿宋" w:cs="仿宋"/>
          <w:b/>
          <w:bCs/>
          <w:sz w:val="24"/>
          <w:szCs w:val="24"/>
          <w:highlight w:val="none"/>
          <w:lang w:eastAsia="zh-CN"/>
        </w:rPr>
        <w:t>）</w:t>
      </w:r>
    </w:p>
    <w:p w14:paraId="1B69B4DA">
      <w:pPr>
        <w:keepNext w:val="0"/>
        <w:keepLines w:val="0"/>
        <w:pageBreakBefore w:val="0"/>
        <w:widowControl/>
        <w:kinsoku/>
        <w:wordWrap/>
        <w:overflowPunct/>
        <w:topLinePunct w:val="0"/>
        <w:autoSpaceDE/>
        <w:autoSpaceDN/>
        <w:bidi w:val="0"/>
        <w:snapToGrid w:val="0"/>
        <w:spacing w:line="560" w:lineRule="exact"/>
        <w:jc w:val="left"/>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416F5AEF">
      <w:pPr>
        <w:keepNext w:val="0"/>
        <w:keepLines w:val="0"/>
        <w:pageBreakBefore w:val="0"/>
        <w:widowControl/>
        <w:kinsoku/>
        <w:wordWrap/>
        <w:overflowPunct/>
        <w:topLinePunct w:val="0"/>
        <w:autoSpaceDE/>
        <w:autoSpaceDN/>
        <w:bidi w:val="0"/>
        <w:snapToGrid w:val="0"/>
        <w:spacing w:line="560" w:lineRule="exact"/>
        <w:ind w:firstLine="482" w:firstLineChars="200"/>
        <w:jc w:val="left"/>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 xml:space="preserve">除可填报项目外，对本法定代表人授权委托书的任何修改将被视为未实质性响应投标，从而导致该投标被拒绝； </w:t>
      </w:r>
    </w:p>
    <w:p w14:paraId="6A809976">
      <w:pPr>
        <w:keepNext w:val="0"/>
        <w:keepLines w:val="0"/>
        <w:pageBreakBefore w:val="0"/>
        <w:widowControl/>
        <w:tabs>
          <w:tab w:val="left" w:pos="567"/>
        </w:tabs>
        <w:kinsoku/>
        <w:wordWrap/>
        <w:overflowPunct/>
        <w:topLinePunct w:val="0"/>
        <w:autoSpaceDE/>
        <w:autoSpaceDN/>
        <w:bidi w:val="0"/>
        <w:snapToGrid w:val="0"/>
        <w:spacing w:line="560" w:lineRule="exact"/>
        <w:ind w:firstLine="482" w:firstLineChars="200"/>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若</w:t>
      </w:r>
      <w:r>
        <w:rPr>
          <w:rFonts w:hint="eastAsia" w:ascii="仿宋" w:hAnsi="仿宋" w:eastAsia="仿宋" w:cs="仿宋"/>
          <w:b/>
          <w:color w:val="auto"/>
          <w:kern w:val="0"/>
          <w:sz w:val="24"/>
          <w:szCs w:val="24"/>
          <w:highlight w:val="none"/>
          <w:lang w:eastAsia="zh-CN"/>
        </w:rPr>
        <w:t>供应商</w:t>
      </w:r>
      <w:r>
        <w:rPr>
          <w:rFonts w:hint="eastAsia" w:ascii="仿宋" w:hAnsi="仿宋" w:eastAsia="仿宋" w:cs="仿宋"/>
          <w:b/>
          <w:color w:val="auto"/>
          <w:kern w:val="0"/>
          <w:sz w:val="24"/>
          <w:szCs w:val="24"/>
          <w:highlight w:val="none"/>
        </w:rPr>
        <w:t>代表为法定代表人（负责人）的可不提供。</w:t>
      </w:r>
    </w:p>
    <w:p w14:paraId="4D117FC0">
      <w:pPr>
        <w:keepNext w:val="0"/>
        <w:keepLines w:val="0"/>
        <w:pageBreakBefore w:val="0"/>
        <w:widowControl/>
        <w:tabs>
          <w:tab w:val="left" w:pos="567"/>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投标函</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eastAsia="zh-CN"/>
        </w:rPr>
        <w:t>）</w:t>
      </w:r>
    </w:p>
    <w:p w14:paraId="7BB26CF2">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标</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函</w:t>
      </w:r>
    </w:p>
    <w:p w14:paraId="47B0816C">
      <w:pPr>
        <w:keepNext w:val="0"/>
        <w:keepLines w:val="0"/>
        <w:pageBreakBefore w:val="0"/>
        <w:widowControl/>
        <w:tabs>
          <w:tab w:val="left" w:pos="4860"/>
        </w:tabs>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color w:val="auto"/>
          <w:kern w:val="0"/>
          <w:sz w:val="24"/>
          <w:szCs w:val="24"/>
          <w:highlight w:val="none"/>
          <w:u w:val="single"/>
        </w:rPr>
      </w:pPr>
    </w:p>
    <w:p w14:paraId="6AC9FD85">
      <w:pPr>
        <w:keepNext w:val="0"/>
        <w:keepLines w:val="0"/>
        <w:pageBreakBefore w:val="0"/>
        <w:kinsoku/>
        <w:wordWrap/>
        <w:overflowPunct/>
        <w:topLinePunct w:val="0"/>
        <w:autoSpaceDE/>
        <w:autoSpaceDN/>
        <w:bidi w:val="0"/>
        <w:adjustRightInd/>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spacing w:val="20"/>
          <w:sz w:val="24"/>
          <w:szCs w:val="24"/>
          <w:highlight w:val="none"/>
          <w:u w:val="single"/>
          <w:lang w:val="en-US" w:eastAsia="zh-CN"/>
        </w:rPr>
        <w:t xml:space="preserve">   </w:t>
      </w:r>
      <w:r>
        <w:rPr>
          <w:rFonts w:hint="eastAsia" w:ascii="仿宋" w:hAnsi="仿宋" w:eastAsia="仿宋" w:cs="仿宋"/>
          <w:sz w:val="24"/>
          <w:szCs w:val="24"/>
          <w:highlight w:val="none"/>
          <w:u w:val="single"/>
        </w:rPr>
        <w:t>(采购人</w:t>
      </w:r>
      <w:r>
        <w:rPr>
          <w:rFonts w:hint="eastAsia" w:ascii="仿宋" w:hAnsi="仿宋" w:eastAsia="仿宋" w:cs="仿宋"/>
          <w:sz w:val="24"/>
          <w:szCs w:val="24"/>
          <w:highlight w:val="none"/>
          <w:u w:val="single"/>
          <w:lang w:val="en-US" w:eastAsia="zh-CN"/>
        </w:rPr>
        <w:t>名称</w:t>
      </w:r>
      <w:r>
        <w:rPr>
          <w:rFonts w:hint="eastAsia" w:ascii="仿宋" w:hAnsi="仿宋" w:eastAsia="仿宋" w:cs="仿宋"/>
          <w:sz w:val="24"/>
          <w:szCs w:val="24"/>
          <w:highlight w:val="none"/>
          <w:u w:val="single"/>
        </w:rPr>
        <w:t>)</w:t>
      </w:r>
      <w:r>
        <w:rPr>
          <w:rFonts w:hint="eastAsia" w:ascii="仿宋" w:hAnsi="仿宋" w:eastAsia="仿宋" w:cs="仿宋"/>
          <w:spacing w:val="20"/>
          <w:sz w:val="24"/>
          <w:szCs w:val="24"/>
          <w:highlight w:val="none"/>
          <w:u w:val="single"/>
          <w:lang w:val="en-US" w:eastAsia="zh-CN"/>
        </w:rPr>
        <w:t xml:space="preserve">   </w:t>
      </w:r>
      <w:r>
        <w:rPr>
          <w:rFonts w:hint="eastAsia" w:ascii="仿宋" w:hAnsi="仿宋" w:eastAsia="仿宋" w:cs="仿宋"/>
          <w:spacing w:val="20"/>
          <w:sz w:val="24"/>
          <w:szCs w:val="24"/>
          <w:highlight w:val="none"/>
          <w:u w:val="none"/>
          <w:lang w:val="en-US" w:eastAsia="zh-CN"/>
        </w:rPr>
        <w:t>：</w:t>
      </w:r>
    </w:p>
    <w:p w14:paraId="0712352B">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u w:val="none"/>
          <w:lang w:eastAsia="zh-CN"/>
        </w:rPr>
        <w:t>供应商</w:t>
      </w:r>
      <w:r>
        <w:rPr>
          <w:rFonts w:hint="eastAsia" w:ascii="仿宋" w:hAnsi="仿宋" w:eastAsia="仿宋" w:cs="仿宋"/>
          <w:color w:val="auto"/>
          <w:kern w:val="0"/>
          <w:sz w:val="24"/>
          <w:szCs w:val="24"/>
          <w:highlight w:val="none"/>
          <w:u w:val="none"/>
        </w:rPr>
        <w:t>全称）</w:t>
      </w:r>
      <w:r>
        <w:rPr>
          <w:rFonts w:hint="eastAsia" w:ascii="仿宋" w:hAnsi="仿宋" w:eastAsia="仿宋" w:cs="仿宋"/>
          <w:color w:val="auto"/>
          <w:kern w:val="0"/>
          <w:sz w:val="24"/>
          <w:szCs w:val="24"/>
          <w:highlight w:val="none"/>
        </w:rPr>
        <w:t>授权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u w:val="none"/>
          <w:lang w:eastAsia="zh-CN"/>
        </w:rPr>
        <w:t>供应商</w:t>
      </w:r>
      <w:r>
        <w:rPr>
          <w:rFonts w:hint="eastAsia" w:ascii="仿宋" w:hAnsi="仿宋" w:eastAsia="仿宋" w:cs="仿宋"/>
          <w:color w:val="auto"/>
          <w:kern w:val="0"/>
          <w:sz w:val="24"/>
          <w:szCs w:val="24"/>
          <w:highlight w:val="none"/>
          <w:u w:val="none"/>
        </w:rPr>
        <w:t>代表姓名</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w:t>
      </w:r>
      <w:r>
        <w:rPr>
          <w:rFonts w:hint="eastAsia" w:ascii="仿宋" w:hAnsi="仿宋" w:eastAsia="仿宋" w:cs="仿宋"/>
          <w:color w:val="auto"/>
          <w:kern w:val="0"/>
          <w:sz w:val="24"/>
          <w:szCs w:val="24"/>
          <w:highlight w:val="none"/>
          <w:u w:val="none"/>
        </w:rPr>
        <w:t>职务</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lang w:val="en-US" w:eastAsia="zh-CN"/>
        </w:rPr>
        <w:t>职称</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rPr>
        <w:t>为我方代表，参加贵方组织的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rPr>
        <w:t>（项目名称</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lang w:val="en-US" w:eastAsia="zh-CN"/>
        </w:rPr>
        <w:t>项目编号</w:t>
      </w:r>
      <w:r>
        <w:rPr>
          <w:rFonts w:hint="eastAsia" w:ascii="仿宋" w:hAnsi="仿宋" w:eastAsia="仿宋" w:cs="仿宋"/>
          <w:color w:val="auto"/>
          <w:kern w:val="0"/>
          <w:sz w:val="24"/>
          <w:szCs w:val="24"/>
          <w:highlight w:val="none"/>
          <w:u w:val="none"/>
        </w:rPr>
        <w:t>）</w:t>
      </w:r>
      <w:r>
        <w:rPr>
          <w:rFonts w:hint="eastAsia" w:ascii="仿宋" w:hAnsi="仿宋" w:eastAsia="仿宋" w:cs="仿宋"/>
          <w:color w:val="auto"/>
          <w:kern w:val="0"/>
          <w:sz w:val="24"/>
          <w:szCs w:val="24"/>
          <w:highlight w:val="none"/>
        </w:rPr>
        <w:t>招标的有关活动，并对此项目进行投标。为此：</w:t>
      </w:r>
    </w:p>
    <w:p w14:paraId="7D6B8CDE">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我方同意在本项目招标文件中规定的投标文件递交截止之日起（90日历天）遵守本投标文件中的承诺且在此期限期满之前均具有约束力。</w:t>
      </w:r>
    </w:p>
    <w:p w14:paraId="250865D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我方承诺已经具备《中华人民共和国政府采购法》中规定的参加政府采购活动的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应当具备的全部条件。</w:t>
      </w:r>
    </w:p>
    <w:p w14:paraId="4A93B2BB">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提供投标须知规定的全部投标文件，包括投标文件正本、副本。</w:t>
      </w:r>
    </w:p>
    <w:p w14:paraId="3FA1D952">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按招标文件要求提供和交付的货物和服务的投标报价详见开标一览表。</w:t>
      </w:r>
    </w:p>
    <w:p w14:paraId="0E86EC9E">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我方承诺：完全理解并接受投标报价超过预算金额时，投标将被拒绝。</w:t>
      </w:r>
    </w:p>
    <w:p w14:paraId="47BD98D1">
      <w:pPr>
        <w:keepNext w:val="0"/>
        <w:keepLines w:val="0"/>
        <w:pageBreakBefore w:val="0"/>
        <w:widowControl/>
        <w:tabs>
          <w:tab w:val="left" w:pos="1680"/>
        </w:tabs>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保证忠实地执行双方所签订的合同，并承担合同规定的责任和义务。</w:t>
      </w:r>
    </w:p>
    <w:p w14:paraId="3620F34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承诺完全满足和响应招标文件中的各项商务和</w:t>
      </w:r>
      <w:r>
        <w:rPr>
          <w:rFonts w:hint="eastAsia" w:ascii="仿宋" w:hAnsi="仿宋" w:eastAsia="仿宋" w:cs="仿宋"/>
          <w:color w:val="auto"/>
          <w:kern w:val="0"/>
          <w:sz w:val="24"/>
          <w:szCs w:val="24"/>
          <w:highlight w:val="none"/>
          <w:lang w:eastAsia="zh-CN"/>
        </w:rPr>
        <w:t>服务要求</w:t>
      </w:r>
      <w:r>
        <w:rPr>
          <w:rFonts w:hint="eastAsia" w:ascii="仿宋" w:hAnsi="仿宋" w:eastAsia="仿宋" w:cs="仿宋"/>
          <w:color w:val="auto"/>
          <w:kern w:val="0"/>
          <w:sz w:val="24"/>
          <w:szCs w:val="24"/>
          <w:highlight w:val="none"/>
        </w:rPr>
        <w:t>，若有偏差，已在投标文件商务和技术条款偏离表中予以明确特别说明。</w:t>
      </w:r>
    </w:p>
    <w:p w14:paraId="56CA02AC">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保证遵守招标文件的规定。</w:t>
      </w:r>
    </w:p>
    <w:p w14:paraId="7360EF51">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如果在开标后规定的投标有效期内撤回投标，我方的投标保证金可被贵方没收。</w:t>
      </w:r>
    </w:p>
    <w:p w14:paraId="28BFAF8B">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我方完全理解贵方不接受可选择性投标。</w:t>
      </w:r>
    </w:p>
    <w:p w14:paraId="4A6559C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我方愿意向贵方提供任何与本项投标有关的数据、情况和技术资料。若贵方需要，我方愿意提供我方做出的一切承诺的证明材料。</w:t>
      </w:r>
    </w:p>
    <w:p w14:paraId="5543A43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我方已详细审核全部投标文件，包括投标文件修改书（如有的话）、参考资料及有关附件，确认无误。</w:t>
      </w:r>
    </w:p>
    <w:p w14:paraId="7940016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我方承诺：采购人若需追加采购本项目招标文件所列货物及相关服务的，在不改变合同其他实质性条款的前提下，按相同或更优惠的折扣率保证供货。</w:t>
      </w:r>
    </w:p>
    <w:p w14:paraId="6B5A2FC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我方承诺接受招标文件中《合同条款》的全部条款且无任何异议。</w:t>
      </w:r>
    </w:p>
    <w:p w14:paraId="644F349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966F8D1">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（1）提供虚假材料谋取中标、成交的；</w:t>
      </w:r>
    </w:p>
    <w:p w14:paraId="3DCE10AD">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（2）采取不正当手段诋毁、排挤其他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p>
    <w:p w14:paraId="0ECA5C5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（3）与采购人、其它</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或者代理机构工作人员恶意串通的；</w:t>
      </w:r>
    </w:p>
    <w:p w14:paraId="4EF728CA">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（4）向采购人、代理机构工作人员行贿或者提供其他不正当利益的；</w:t>
      </w:r>
    </w:p>
    <w:p w14:paraId="1F5F7AA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（5）开标后撤回投标的；</w:t>
      </w:r>
    </w:p>
    <w:p w14:paraId="2F44E629">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（6）在评标期间，影响代理机构或评标委员会正常履行职责的；</w:t>
      </w:r>
    </w:p>
    <w:p w14:paraId="1E46CB4E">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（7）未经代理机构同意，在采购过程中与采购人进行协商投标的；</w:t>
      </w:r>
    </w:p>
    <w:p w14:paraId="010E5EE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（8）中标后未按招标文件、投标文件及相关承诺规定签约或与采购人订立背离合同实质性内容的其它协议的；</w:t>
      </w:r>
    </w:p>
    <w:p w14:paraId="7C86EBA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（9）未按招标文件规定和合同约定履行义务的；</w:t>
      </w:r>
    </w:p>
    <w:p w14:paraId="2BC854A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（10）拒绝有关部门监督检查或提供虚假情况的；</w:t>
      </w:r>
    </w:p>
    <w:p w14:paraId="356DCF3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（11）违犯法律法规规定的其他行为。</w:t>
      </w:r>
    </w:p>
    <w:p w14:paraId="636B5AE0">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p>
    <w:p w14:paraId="1D8B89A9">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所有有关本投标的一切往来联系方式为：</w:t>
      </w:r>
    </w:p>
    <w:p w14:paraId="07DC627A">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邮编：</w:t>
      </w:r>
      <w:r>
        <w:rPr>
          <w:rFonts w:hint="eastAsia" w:ascii="仿宋" w:hAnsi="仿宋" w:eastAsia="仿宋" w:cs="仿宋"/>
          <w:color w:val="auto"/>
          <w:kern w:val="0"/>
          <w:sz w:val="24"/>
          <w:szCs w:val="24"/>
          <w:highlight w:val="none"/>
        </w:rPr>
        <w:tab/>
      </w:r>
    </w:p>
    <w:p w14:paraId="629CCB0E">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传真：</w:t>
      </w:r>
    </w:p>
    <w:p w14:paraId="23372602">
      <w:pPr>
        <w:keepNext w:val="0"/>
        <w:keepLines w:val="0"/>
        <w:pageBreakBefore w:val="0"/>
        <w:widowControl/>
        <w:tabs>
          <w:tab w:val="left" w:pos="480"/>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代表联系电话：             （办公）         （移动）</w:t>
      </w:r>
    </w:p>
    <w:p w14:paraId="48071004">
      <w:pPr>
        <w:keepNext w:val="0"/>
        <w:keepLines w:val="0"/>
        <w:pageBreakBefore w:val="0"/>
        <w:widowControl/>
        <w:tabs>
          <w:tab w:val="left" w:pos="480"/>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E-mail:</w:t>
      </w:r>
    </w:p>
    <w:p w14:paraId="050C159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lang w:eastAsia="zh-CN"/>
        </w:rPr>
      </w:pPr>
    </w:p>
    <w:p w14:paraId="157C4FAB">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28F7B6B9">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2FE32905">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4062E04E">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p>
    <w:p w14:paraId="474C8547">
      <w:pPr>
        <w:keepNext w:val="0"/>
        <w:keepLines w:val="0"/>
        <w:pageBreakBefore w:val="0"/>
        <w:widowControl/>
        <w:tabs>
          <w:tab w:val="left" w:pos="4000"/>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p>
    <w:p w14:paraId="2ADEA06C">
      <w:pPr>
        <w:keepNext w:val="0"/>
        <w:keepLines w:val="0"/>
        <w:pageBreakBefore w:val="0"/>
        <w:widowControl/>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color w:val="auto"/>
          <w:kern w:val="0"/>
          <w:sz w:val="24"/>
          <w:szCs w:val="24"/>
          <w:highlight w:val="none"/>
        </w:rPr>
      </w:pPr>
    </w:p>
    <w:p w14:paraId="33E02AB5">
      <w:pPr>
        <w:keepNext w:val="0"/>
        <w:keepLines w:val="0"/>
        <w:pageBreakBefore w:val="0"/>
        <w:widowControl/>
        <w:kinsoku/>
        <w:wordWrap/>
        <w:overflowPunct/>
        <w:topLinePunct w:val="0"/>
        <w:autoSpaceDE/>
        <w:autoSpaceDN/>
        <w:bidi w:val="0"/>
        <w:adjustRightInd/>
        <w:snapToGrid w:val="0"/>
        <w:spacing w:line="560" w:lineRule="exact"/>
        <w:ind w:firstLine="482" w:firstLineChars="200"/>
        <w:jc w:val="left"/>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注：除可填报项目外，对本投标函内容的修改将被视为非实质性响应投标，从而导致该投标被拒绝。</w:t>
      </w:r>
    </w:p>
    <w:p w14:paraId="4BDD19F5">
      <w:pP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14:paraId="369180E3">
      <w:pPr>
        <w:widowControl/>
        <w:tabs>
          <w:tab w:val="left" w:pos="567"/>
        </w:tabs>
        <w:snapToGrid w:val="0"/>
        <w:spacing w:line="360" w:lineRule="auto"/>
        <w:jc w:val="left"/>
        <w:outlineLvl w:val="9"/>
        <w:rPr>
          <w:rFonts w:hint="eastAsia" w:ascii="仿宋" w:hAnsi="仿宋" w:eastAsia="仿宋" w:cs="仿宋"/>
          <w:color w:val="auto"/>
          <w:highlight w:val="none"/>
        </w:rPr>
      </w:pPr>
      <w:r>
        <w:rPr>
          <w:rFonts w:hint="eastAsia" w:ascii="仿宋" w:hAnsi="仿宋" w:eastAsia="仿宋" w:cs="仿宋"/>
          <w:b/>
          <w:color w:val="auto"/>
          <w:kern w:val="0"/>
          <w:sz w:val="24"/>
          <w:highlight w:val="none"/>
        </w:rPr>
        <w:t>4</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开标一览表</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格式</w:t>
      </w:r>
      <w:r>
        <w:rPr>
          <w:rFonts w:hint="eastAsia" w:ascii="仿宋" w:hAnsi="仿宋" w:eastAsia="仿宋" w:cs="仿宋"/>
          <w:b/>
          <w:color w:val="auto"/>
          <w:kern w:val="0"/>
          <w:sz w:val="24"/>
          <w:highlight w:val="none"/>
          <w:lang w:eastAsia="zh-CN"/>
        </w:rPr>
        <w:t>）</w:t>
      </w:r>
    </w:p>
    <w:p w14:paraId="2116E01C">
      <w:pPr>
        <w:widowControl/>
        <w:snapToGrid w:val="0"/>
        <w:spacing w:line="360" w:lineRule="auto"/>
        <w:jc w:val="left"/>
        <w:outlineLvl w:val="9"/>
        <w:rPr>
          <w:rFonts w:hint="eastAsia" w:ascii="仿宋" w:hAnsi="仿宋" w:eastAsia="仿宋" w:cs="仿宋"/>
          <w:kern w:val="0"/>
          <w:sz w:val="28"/>
          <w:szCs w:val="24"/>
          <w:highlight w:val="none"/>
        </w:rPr>
      </w:pPr>
    </w:p>
    <w:p w14:paraId="4472F970">
      <w:pPr>
        <w:widowControl/>
        <w:tabs>
          <w:tab w:val="left" w:pos="567"/>
        </w:tabs>
        <w:snapToGrid w:val="0"/>
        <w:spacing w:line="360" w:lineRule="auto"/>
        <w:jc w:val="center"/>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开标一览表</w:t>
      </w:r>
    </w:p>
    <w:p w14:paraId="075FCC7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val="0"/>
          <w:bCs/>
          <w:sz w:val="24"/>
          <w:szCs w:val="24"/>
          <w:highlight w:val="none"/>
          <w:u w:val="single"/>
        </w:rPr>
      </w:pPr>
      <w:r>
        <w:rPr>
          <w:rFonts w:hint="eastAsia" w:ascii="仿宋" w:hAnsi="仿宋" w:eastAsia="仿宋" w:cs="仿宋"/>
          <w:b w:val="0"/>
          <w:bCs/>
          <w:sz w:val="24"/>
          <w:szCs w:val="24"/>
          <w:highlight w:val="none"/>
          <w:lang w:val="en-US" w:eastAsia="zh-CN"/>
        </w:rPr>
        <w:t>项目</w:t>
      </w:r>
      <w:r>
        <w:rPr>
          <w:rFonts w:hint="eastAsia" w:ascii="仿宋" w:hAnsi="仿宋" w:eastAsia="仿宋" w:cs="仿宋"/>
          <w:b w:val="0"/>
          <w:bCs/>
          <w:sz w:val="24"/>
          <w:szCs w:val="24"/>
          <w:highlight w:val="none"/>
        </w:rPr>
        <w:t>名称：</w:t>
      </w:r>
      <w:r>
        <w:rPr>
          <w:rFonts w:hint="eastAsia" w:ascii="仿宋" w:hAnsi="仿宋" w:eastAsia="仿宋" w:cs="仿宋"/>
          <w:b w:val="0"/>
          <w:bCs/>
          <w:sz w:val="24"/>
          <w:szCs w:val="24"/>
          <w:highlight w:val="none"/>
          <w:u w:val="single"/>
        </w:rPr>
        <w:t xml:space="preserve">                      </w:t>
      </w:r>
    </w:p>
    <w:p w14:paraId="6AD0266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b w:val="0"/>
          <w:bCs/>
          <w:sz w:val="24"/>
          <w:szCs w:val="24"/>
          <w:highlight w:val="none"/>
          <w:u w:val="single"/>
          <w:lang w:val="en-US" w:eastAsia="zh-CN"/>
        </w:rPr>
      </w:pPr>
      <w:r>
        <w:rPr>
          <w:rFonts w:hint="eastAsia" w:ascii="仿宋" w:hAnsi="仿宋" w:eastAsia="仿宋" w:cs="仿宋"/>
          <w:b w:val="0"/>
          <w:bCs/>
          <w:sz w:val="24"/>
          <w:szCs w:val="24"/>
          <w:highlight w:val="none"/>
          <w:lang w:eastAsia="zh-CN"/>
        </w:rPr>
        <w:t>项目</w:t>
      </w:r>
      <w:r>
        <w:rPr>
          <w:rFonts w:hint="eastAsia" w:ascii="仿宋" w:hAnsi="仿宋" w:eastAsia="仿宋" w:cs="仿宋"/>
          <w:b w:val="0"/>
          <w:bCs/>
          <w:sz w:val="24"/>
          <w:szCs w:val="24"/>
          <w:highlight w:val="none"/>
        </w:rPr>
        <w:t>编号：</w:t>
      </w:r>
      <w:r>
        <w:rPr>
          <w:rFonts w:hint="eastAsia" w:ascii="仿宋" w:hAnsi="仿宋" w:eastAsia="仿宋" w:cs="仿宋"/>
          <w:b w:val="0"/>
          <w:bCs/>
          <w:sz w:val="24"/>
          <w:szCs w:val="24"/>
          <w:highlight w:val="none"/>
          <w:u w:val="singl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5982"/>
        <w:gridCol w:w="1418"/>
      </w:tblGrid>
      <w:tr w14:paraId="4A3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88" w:type="dxa"/>
            <w:noWrap w:val="0"/>
            <w:vAlign w:val="center"/>
          </w:tcPr>
          <w:p w14:paraId="73127447">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序号</w:t>
            </w:r>
          </w:p>
        </w:tc>
        <w:tc>
          <w:tcPr>
            <w:tcW w:w="5982" w:type="dxa"/>
            <w:noWrap w:val="0"/>
            <w:vAlign w:val="center"/>
          </w:tcPr>
          <w:p w14:paraId="01331A37">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服务内容</w:t>
            </w:r>
          </w:p>
        </w:tc>
        <w:tc>
          <w:tcPr>
            <w:tcW w:w="1418" w:type="dxa"/>
            <w:noWrap w:val="0"/>
            <w:vAlign w:val="center"/>
          </w:tcPr>
          <w:p w14:paraId="43DD38BA">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备注</w:t>
            </w:r>
          </w:p>
        </w:tc>
      </w:tr>
      <w:tr w14:paraId="02B1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888" w:type="dxa"/>
            <w:noWrap w:val="0"/>
            <w:vAlign w:val="center"/>
          </w:tcPr>
          <w:p w14:paraId="15F13EBD">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总价（元）</w:t>
            </w:r>
          </w:p>
        </w:tc>
        <w:tc>
          <w:tcPr>
            <w:tcW w:w="7400" w:type="dxa"/>
            <w:gridSpan w:val="2"/>
            <w:noWrap w:val="0"/>
            <w:vAlign w:val="center"/>
          </w:tcPr>
          <w:p w14:paraId="1B66C54A">
            <w:pPr>
              <w:pStyle w:val="27"/>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大写：                          小写：</w:t>
            </w:r>
          </w:p>
        </w:tc>
      </w:tr>
      <w:tr w14:paraId="036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88" w:type="dxa"/>
            <w:noWrap w:val="0"/>
            <w:vAlign w:val="center"/>
          </w:tcPr>
          <w:p w14:paraId="6DA707AE">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服务期</w:t>
            </w:r>
          </w:p>
        </w:tc>
        <w:tc>
          <w:tcPr>
            <w:tcW w:w="7400" w:type="dxa"/>
            <w:gridSpan w:val="2"/>
            <w:noWrap w:val="0"/>
            <w:vAlign w:val="center"/>
          </w:tcPr>
          <w:p w14:paraId="248B23C4">
            <w:pPr>
              <w:pStyle w:val="27"/>
              <w:jc w:val="center"/>
              <w:rPr>
                <w:rFonts w:hint="eastAsia" w:ascii="仿宋" w:hAnsi="仿宋" w:eastAsia="仿宋" w:cs="仿宋"/>
                <w:b w:val="0"/>
                <w:bCs w:val="0"/>
                <w:sz w:val="24"/>
                <w:szCs w:val="24"/>
                <w:highlight w:val="none"/>
                <w:vertAlign w:val="baseline"/>
                <w:lang w:val="en-US" w:eastAsia="zh-CN"/>
              </w:rPr>
            </w:pPr>
          </w:p>
        </w:tc>
      </w:tr>
      <w:tr w14:paraId="7266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88" w:type="dxa"/>
            <w:noWrap w:val="0"/>
            <w:vAlign w:val="center"/>
          </w:tcPr>
          <w:p w14:paraId="674E7A07">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质量</w:t>
            </w:r>
          </w:p>
        </w:tc>
        <w:tc>
          <w:tcPr>
            <w:tcW w:w="7400" w:type="dxa"/>
            <w:gridSpan w:val="2"/>
            <w:noWrap w:val="0"/>
            <w:vAlign w:val="center"/>
          </w:tcPr>
          <w:p w14:paraId="5CAE4FA3">
            <w:pPr>
              <w:pStyle w:val="27"/>
              <w:jc w:val="center"/>
              <w:rPr>
                <w:rFonts w:hint="eastAsia" w:ascii="仿宋" w:hAnsi="仿宋" w:eastAsia="仿宋" w:cs="仿宋"/>
                <w:b w:val="0"/>
                <w:bCs w:val="0"/>
                <w:sz w:val="24"/>
                <w:szCs w:val="24"/>
                <w:highlight w:val="none"/>
                <w:vertAlign w:val="baseline"/>
                <w:lang w:val="en-US" w:eastAsia="zh-CN"/>
              </w:rPr>
            </w:pPr>
          </w:p>
        </w:tc>
      </w:tr>
      <w:tr w14:paraId="3BB4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888" w:type="dxa"/>
            <w:noWrap w:val="0"/>
            <w:vAlign w:val="center"/>
          </w:tcPr>
          <w:p w14:paraId="5CFFD584">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项目负责人</w:t>
            </w:r>
          </w:p>
        </w:tc>
        <w:tc>
          <w:tcPr>
            <w:tcW w:w="7400" w:type="dxa"/>
            <w:gridSpan w:val="2"/>
            <w:noWrap w:val="0"/>
            <w:vAlign w:val="center"/>
          </w:tcPr>
          <w:p w14:paraId="298746F2">
            <w:pPr>
              <w:pStyle w:val="27"/>
              <w:jc w:val="center"/>
              <w:rPr>
                <w:rFonts w:hint="eastAsia" w:ascii="仿宋" w:hAnsi="仿宋" w:eastAsia="仿宋" w:cs="仿宋"/>
                <w:b w:val="0"/>
                <w:bCs w:val="0"/>
                <w:sz w:val="24"/>
                <w:szCs w:val="24"/>
                <w:highlight w:val="none"/>
                <w:vertAlign w:val="baseline"/>
                <w:lang w:val="en-US" w:eastAsia="zh-CN"/>
              </w:rPr>
            </w:pPr>
          </w:p>
        </w:tc>
      </w:tr>
      <w:tr w14:paraId="4706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888" w:type="dxa"/>
            <w:noWrap w:val="0"/>
            <w:vAlign w:val="center"/>
          </w:tcPr>
          <w:p w14:paraId="0AEAEFAA">
            <w:pPr>
              <w:pStyle w:val="27"/>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项目负责人联系方式</w:t>
            </w:r>
          </w:p>
        </w:tc>
        <w:tc>
          <w:tcPr>
            <w:tcW w:w="7400" w:type="dxa"/>
            <w:gridSpan w:val="2"/>
            <w:noWrap w:val="0"/>
            <w:vAlign w:val="center"/>
          </w:tcPr>
          <w:p w14:paraId="33DC031C">
            <w:pPr>
              <w:pStyle w:val="27"/>
              <w:jc w:val="center"/>
              <w:rPr>
                <w:rFonts w:hint="eastAsia" w:ascii="仿宋" w:hAnsi="仿宋" w:eastAsia="仿宋" w:cs="仿宋"/>
                <w:b w:val="0"/>
                <w:bCs w:val="0"/>
                <w:sz w:val="24"/>
                <w:szCs w:val="24"/>
                <w:highlight w:val="none"/>
                <w:vertAlign w:val="baseline"/>
                <w:lang w:val="en-US" w:eastAsia="zh-CN"/>
              </w:rPr>
            </w:pPr>
          </w:p>
        </w:tc>
      </w:tr>
    </w:tbl>
    <w:p w14:paraId="6190F3BF">
      <w:pPr>
        <w:pStyle w:val="17"/>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备注：此报价包括完成该项目的成本、利润、税金、风险费、政策性文件规定费用等所有一切费用</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分项报价格式自拟。</w:t>
      </w:r>
      <w:r>
        <w:rPr>
          <w:rFonts w:hint="eastAsia" w:ascii="仿宋" w:hAnsi="仿宋" w:eastAsia="仿宋" w:cs="仿宋"/>
          <w:b/>
          <w:color w:val="000000"/>
          <w:sz w:val="24"/>
          <w:szCs w:val="24"/>
          <w:highlight w:val="none"/>
        </w:rPr>
        <w:t xml:space="preserve">                       </w:t>
      </w:r>
      <w:r>
        <w:rPr>
          <w:rFonts w:hint="eastAsia" w:ascii="仿宋" w:hAnsi="仿宋" w:eastAsia="仿宋" w:cs="仿宋"/>
          <w:bCs/>
          <w:color w:val="000000"/>
          <w:sz w:val="24"/>
          <w:szCs w:val="24"/>
          <w:highlight w:val="none"/>
        </w:rPr>
        <w:t xml:space="preserve">                                                                       </w:t>
      </w:r>
    </w:p>
    <w:p w14:paraId="6F20EE36">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215D625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411FF7DC">
      <w:pPr>
        <w:keepNext w:val="0"/>
        <w:keepLines w:val="0"/>
        <w:pageBreakBefore w:val="0"/>
        <w:widowControl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072E9DD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1"/>
          <w:szCs w:val="21"/>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p>
    <w:p w14:paraId="3B9C1AC5">
      <w:pPr>
        <w:rPr>
          <w:rFonts w:hint="eastAsia" w:ascii="仿宋" w:hAnsi="仿宋" w:eastAsia="仿宋" w:cs="仿宋"/>
          <w:b/>
          <w:color w:val="auto"/>
          <w:kern w:val="0"/>
          <w:sz w:val="24"/>
          <w:szCs w:val="24"/>
          <w:highlight w:val="none"/>
          <w:lang w:val="en-US" w:eastAsia="zh-CN"/>
        </w:rPr>
      </w:pPr>
      <w:bookmarkStart w:id="56" w:name="_Toc389063149"/>
      <w:r>
        <w:rPr>
          <w:rFonts w:hint="eastAsia" w:ascii="仿宋" w:hAnsi="仿宋" w:eastAsia="仿宋" w:cs="仿宋"/>
          <w:b/>
          <w:color w:val="auto"/>
          <w:kern w:val="0"/>
          <w:sz w:val="24"/>
          <w:szCs w:val="24"/>
          <w:highlight w:val="none"/>
          <w:lang w:val="en-US" w:eastAsia="zh-CN"/>
        </w:rPr>
        <w:br w:type="page"/>
      </w:r>
    </w:p>
    <w:p w14:paraId="4E1AC6F1">
      <w:pPr>
        <w:keepNext w:val="0"/>
        <w:keepLines w:val="0"/>
        <w:pageBreakBefore w:val="0"/>
        <w:numPr>
          <w:ilvl w:val="0"/>
          <w:numId w:val="0"/>
        </w:numPr>
        <w:kinsoku/>
        <w:wordWrap/>
        <w:overflowPunct/>
        <w:topLinePunct w:val="0"/>
        <w:autoSpaceDE/>
        <w:autoSpaceDN/>
        <w:bidi w:val="0"/>
        <w:adjustRightInd/>
        <w:spacing w:before="240" w:after="120" w:line="560" w:lineRule="exact"/>
        <w:textAlignment w:val="auto"/>
        <w:outlineLvl w:val="9"/>
        <w:rPr>
          <w:rFonts w:hint="eastAsia" w:ascii="仿宋" w:hAnsi="仿宋" w:eastAsia="仿宋" w:cs="仿宋"/>
          <w:b/>
          <w:bCs/>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商务条款响应表（格式）</w:t>
      </w:r>
    </w:p>
    <w:p w14:paraId="58B8CD88">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kern w:val="2"/>
          <w:sz w:val="24"/>
          <w:szCs w:val="24"/>
          <w:highlight w:val="none"/>
          <w:lang w:val="en-US" w:eastAsia="zh-CN" w:bidi="ar-SA"/>
        </w:rPr>
      </w:pPr>
    </w:p>
    <w:p w14:paraId="23B7B035">
      <w:pPr>
        <w:keepNext w:val="0"/>
        <w:keepLines w:val="0"/>
        <w:pageBreakBefore w:val="0"/>
        <w:widowControl/>
        <w:tabs>
          <w:tab w:val="left" w:pos="567"/>
        </w:tabs>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商务条款响应表</w:t>
      </w:r>
    </w:p>
    <w:p w14:paraId="773845D3">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rPr>
      </w:pPr>
    </w:p>
    <w:p w14:paraId="4BD06CCF">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u w:val="single"/>
        </w:rPr>
        <w:t xml:space="preserve">                       </w:t>
      </w:r>
    </w:p>
    <w:p w14:paraId="7018B2B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编号：</w:t>
      </w:r>
      <w:r>
        <w:rPr>
          <w:rFonts w:hint="eastAsia" w:ascii="仿宋" w:hAnsi="仿宋" w:eastAsia="仿宋" w:cs="仿宋"/>
          <w:color w:val="000000"/>
          <w:sz w:val="24"/>
          <w:szCs w:val="24"/>
          <w:highlight w:val="none"/>
          <w:u w:val="single"/>
        </w:rPr>
        <w:t xml:space="preserve">                       </w:t>
      </w:r>
    </w:p>
    <w:p w14:paraId="3CD44137">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54"/>
        <w:gridCol w:w="3136"/>
        <w:gridCol w:w="2562"/>
        <w:gridCol w:w="1119"/>
      </w:tblGrid>
      <w:tr w14:paraId="7D76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14" w:type="dxa"/>
            <w:noWrap w:val="0"/>
            <w:vAlign w:val="center"/>
          </w:tcPr>
          <w:p w14:paraId="7B98E01A">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54" w:type="dxa"/>
            <w:noWrap w:val="0"/>
            <w:vAlign w:val="center"/>
          </w:tcPr>
          <w:p w14:paraId="6E70A65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3136" w:type="dxa"/>
            <w:noWrap w:val="0"/>
            <w:vAlign w:val="center"/>
          </w:tcPr>
          <w:p w14:paraId="6057B6F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文件商务要求</w:t>
            </w:r>
          </w:p>
        </w:tc>
        <w:tc>
          <w:tcPr>
            <w:tcW w:w="2562" w:type="dxa"/>
            <w:noWrap w:val="0"/>
            <w:vAlign w:val="center"/>
          </w:tcPr>
          <w:p w14:paraId="7F564598">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文件的对应响应</w:t>
            </w:r>
          </w:p>
        </w:tc>
        <w:tc>
          <w:tcPr>
            <w:tcW w:w="1119" w:type="dxa"/>
            <w:noWrap w:val="0"/>
            <w:vAlign w:val="center"/>
          </w:tcPr>
          <w:p w14:paraId="39E97680">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4577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1905CD99">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54" w:type="dxa"/>
            <w:noWrap w:val="0"/>
            <w:vAlign w:val="center"/>
          </w:tcPr>
          <w:p w14:paraId="0731F7B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合同履行期限</w:t>
            </w:r>
          </w:p>
        </w:tc>
        <w:tc>
          <w:tcPr>
            <w:tcW w:w="3136" w:type="dxa"/>
            <w:noWrap w:val="0"/>
            <w:vAlign w:val="top"/>
          </w:tcPr>
          <w:p w14:paraId="39CDFA9F">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4"/>
                <w:szCs w:val="24"/>
                <w:highlight w:val="none"/>
              </w:rPr>
            </w:pPr>
          </w:p>
        </w:tc>
        <w:tc>
          <w:tcPr>
            <w:tcW w:w="2562" w:type="dxa"/>
            <w:noWrap w:val="0"/>
            <w:vAlign w:val="top"/>
          </w:tcPr>
          <w:p w14:paraId="154FF930">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0078B848">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r w14:paraId="40A5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7670203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854" w:type="dxa"/>
            <w:noWrap w:val="0"/>
            <w:vAlign w:val="center"/>
          </w:tcPr>
          <w:p w14:paraId="5F8E6726">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付款条件</w:t>
            </w:r>
          </w:p>
        </w:tc>
        <w:tc>
          <w:tcPr>
            <w:tcW w:w="3136" w:type="dxa"/>
            <w:noWrap w:val="0"/>
            <w:vAlign w:val="top"/>
          </w:tcPr>
          <w:p w14:paraId="33038C90">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 w:hAnsi="仿宋" w:eastAsia="仿宋" w:cs="仿宋"/>
                <w:kern w:val="0"/>
                <w:sz w:val="24"/>
                <w:szCs w:val="24"/>
                <w:highlight w:val="none"/>
              </w:rPr>
            </w:pPr>
          </w:p>
        </w:tc>
        <w:tc>
          <w:tcPr>
            <w:tcW w:w="2562" w:type="dxa"/>
            <w:noWrap w:val="0"/>
            <w:vAlign w:val="top"/>
          </w:tcPr>
          <w:p w14:paraId="57E0AD72">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0302AF22">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r w14:paraId="6F1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512CA43B">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854" w:type="dxa"/>
            <w:noWrap w:val="0"/>
            <w:vAlign w:val="center"/>
          </w:tcPr>
          <w:p w14:paraId="0038FEA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3136" w:type="dxa"/>
            <w:noWrap w:val="0"/>
            <w:vAlign w:val="top"/>
          </w:tcPr>
          <w:p w14:paraId="3251A096">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tc>
        <w:tc>
          <w:tcPr>
            <w:tcW w:w="2562" w:type="dxa"/>
            <w:noWrap w:val="0"/>
            <w:vAlign w:val="top"/>
          </w:tcPr>
          <w:p w14:paraId="6C6D026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2A98827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r w14:paraId="3F1B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14607D1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854" w:type="dxa"/>
            <w:noWrap w:val="0"/>
            <w:vAlign w:val="center"/>
          </w:tcPr>
          <w:p w14:paraId="497BCCC1">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kern w:val="2"/>
                <w:sz w:val="24"/>
                <w:szCs w:val="24"/>
                <w:highlight w:val="none"/>
                <w:lang w:val="en-US" w:eastAsia="zh-CN" w:bidi="ar-SA"/>
              </w:rPr>
            </w:pPr>
          </w:p>
        </w:tc>
        <w:tc>
          <w:tcPr>
            <w:tcW w:w="3136" w:type="dxa"/>
            <w:noWrap w:val="0"/>
            <w:vAlign w:val="top"/>
          </w:tcPr>
          <w:p w14:paraId="227F2CB1">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tc>
        <w:tc>
          <w:tcPr>
            <w:tcW w:w="2562" w:type="dxa"/>
            <w:noWrap w:val="0"/>
            <w:vAlign w:val="top"/>
          </w:tcPr>
          <w:p w14:paraId="5BB6BC2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3B646EE5">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r w14:paraId="48B6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06E6410A">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854" w:type="dxa"/>
            <w:noWrap w:val="0"/>
            <w:vAlign w:val="center"/>
          </w:tcPr>
          <w:p w14:paraId="38E2B1DA">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kern w:val="2"/>
                <w:sz w:val="24"/>
                <w:szCs w:val="24"/>
                <w:highlight w:val="none"/>
                <w:lang w:val="en-US" w:eastAsia="zh-CN" w:bidi="ar-SA"/>
              </w:rPr>
            </w:pPr>
          </w:p>
        </w:tc>
        <w:tc>
          <w:tcPr>
            <w:tcW w:w="3136" w:type="dxa"/>
            <w:noWrap w:val="0"/>
            <w:vAlign w:val="top"/>
          </w:tcPr>
          <w:p w14:paraId="7378578E">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tc>
        <w:tc>
          <w:tcPr>
            <w:tcW w:w="2562" w:type="dxa"/>
            <w:noWrap w:val="0"/>
            <w:vAlign w:val="top"/>
          </w:tcPr>
          <w:p w14:paraId="2713A4FE">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056362F3">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r w14:paraId="67D3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4" w:type="dxa"/>
            <w:noWrap w:val="0"/>
            <w:vAlign w:val="center"/>
          </w:tcPr>
          <w:p w14:paraId="0648700E">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854" w:type="dxa"/>
            <w:noWrap w:val="0"/>
            <w:vAlign w:val="center"/>
          </w:tcPr>
          <w:p w14:paraId="1359F2AD">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3136" w:type="dxa"/>
            <w:noWrap w:val="0"/>
            <w:vAlign w:val="top"/>
          </w:tcPr>
          <w:p w14:paraId="61665448">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24"/>
                <w:szCs w:val="24"/>
                <w:highlight w:val="none"/>
              </w:rPr>
            </w:pPr>
          </w:p>
        </w:tc>
        <w:tc>
          <w:tcPr>
            <w:tcW w:w="2562" w:type="dxa"/>
            <w:noWrap w:val="0"/>
            <w:vAlign w:val="top"/>
          </w:tcPr>
          <w:p w14:paraId="582BAC69">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c>
          <w:tcPr>
            <w:tcW w:w="1119" w:type="dxa"/>
            <w:noWrap w:val="0"/>
            <w:vAlign w:val="top"/>
          </w:tcPr>
          <w:p w14:paraId="00572F1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p>
        </w:tc>
      </w:tr>
    </w:tbl>
    <w:p w14:paraId="29EA6F1B">
      <w:pPr>
        <w:numPr>
          <w:ilvl w:val="0"/>
          <w:numId w:val="0"/>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说明：</w:t>
      </w:r>
    </w:p>
    <w:p w14:paraId="48066CA5">
      <w:pPr>
        <w:numPr>
          <w:ilvl w:val="0"/>
          <w:numId w:val="0"/>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表只填写投标文件中与招标文件有偏离的内容，投标文件中商务响应与招标文件要求完全一致的，不用在此表中列出，但必须提交空白表；如不提供此表，则视为供应商不满足磋商文件所有的商务条款要求，其投标文件无效。</w:t>
      </w:r>
    </w:p>
    <w:p w14:paraId="2E2F6A8D">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8"/>
          <w:szCs w:val="28"/>
          <w:highlight w:val="none"/>
          <w:lang w:val="en-US" w:eastAsia="zh-CN"/>
        </w:rPr>
        <w:t>2.供应商必须据实填写，不得虚假响应，否则将取消其投标或中标资格。</w:t>
      </w:r>
    </w:p>
    <w:p w14:paraId="25FE690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p>
    <w:p w14:paraId="35B5F2B7">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06CD5F7F">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1E3157E9">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3917CD34">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p>
    <w:p w14:paraId="7D680286">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br w:type="page"/>
      </w:r>
    </w:p>
    <w:p w14:paraId="31EEDAE3">
      <w:pPr>
        <w:keepNext w:val="0"/>
        <w:keepLines w:val="0"/>
        <w:pageBreakBefore w:val="0"/>
        <w:widowControl/>
        <w:tabs>
          <w:tab w:val="left" w:pos="567"/>
        </w:tabs>
        <w:kinsoku/>
        <w:wordWrap/>
        <w:overflowPunct/>
        <w:topLinePunct w:val="0"/>
        <w:autoSpaceDE/>
        <w:autoSpaceDN/>
        <w:bidi w:val="0"/>
        <w:adjustRightInd/>
        <w:snapToGrid w:val="0"/>
        <w:spacing w:line="560" w:lineRule="exact"/>
        <w:jc w:val="left"/>
        <w:textAlignment w:val="auto"/>
        <w:outlineLvl w:val="9"/>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6</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kern w:val="0"/>
          <w:sz w:val="24"/>
          <w:szCs w:val="24"/>
          <w:highlight w:val="none"/>
        </w:rPr>
        <w:t>技术规范响应及偏离表</w:t>
      </w: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rPr>
        <w:t>格式</w:t>
      </w:r>
      <w:r>
        <w:rPr>
          <w:rFonts w:hint="eastAsia" w:ascii="仿宋" w:hAnsi="仿宋" w:eastAsia="仿宋" w:cs="仿宋"/>
          <w:b/>
          <w:kern w:val="0"/>
          <w:sz w:val="24"/>
          <w:szCs w:val="24"/>
          <w:highlight w:val="none"/>
          <w:lang w:eastAsia="zh-CN"/>
        </w:rPr>
        <w:t>）</w:t>
      </w:r>
    </w:p>
    <w:p w14:paraId="55BA7B88">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kern w:val="2"/>
          <w:sz w:val="24"/>
          <w:szCs w:val="24"/>
          <w:highlight w:val="none"/>
          <w:lang w:val="en-US" w:eastAsia="zh-CN" w:bidi="ar-SA"/>
        </w:rPr>
      </w:pPr>
    </w:p>
    <w:p w14:paraId="5957B6FC">
      <w:pPr>
        <w:keepNext w:val="0"/>
        <w:keepLines w:val="0"/>
        <w:pageBreakBefore w:val="0"/>
        <w:widowControl/>
        <w:tabs>
          <w:tab w:val="left" w:pos="567"/>
        </w:tabs>
        <w:kinsoku/>
        <w:wordWrap/>
        <w:overflowPunct/>
        <w:topLinePunct w:val="0"/>
        <w:autoSpaceDE/>
        <w:autoSpaceDN/>
        <w:bidi w:val="0"/>
        <w:adjustRightInd/>
        <w:snapToGrid w:val="0"/>
        <w:spacing w:line="560" w:lineRule="exact"/>
        <w:jc w:val="center"/>
        <w:textAlignment w:val="auto"/>
        <w:outlineLvl w:val="9"/>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kern w:val="0"/>
          <w:sz w:val="24"/>
          <w:szCs w:val="24"/>
          <w:highlight w:val="none"/>
        </w:rPr>
        <w:t>技术规范响应及偏离表</w:t>
      </w:r>
    </w:p>
    <w:p w14:paraId="0B1901E6">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rPr>
      </w:pPr>
    </w:p>
    <w:p w14:paraId="476A07A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u w:val="single"/>
        </w:rPr>
        <w:t xml:space="preserve">                                   </w:t>
      </w:r>
    </w:p>
    <w:p w14:paraId="79B42EBC">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7D86B29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tbl>
      <w:tblPr>
        <w:tblStyle w:val="31"/>
        <w:tblW w:w="520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08"/>
        <w:gridCol w:w="2016"/>
        <w:gridCol w:w="2592"/>
        <w:gridCol w:w="2215"/>
        <w:gridCol w:w="1265"/>
        <w:gridCol w:w="869"/>
      </w:tblGrid>
      <w:tr w14:paraId="048B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jc w:val="center"/>
        </w:trPr>
        <w:tc>
          <w:tcPr>
            <w:tcW w:w="460" w:type="pct"/>
            <w:tcBorders>
              <w:top w:val="single" w:color="000000" w:sz="6" w:space="0"/>
              <w:left w:val="single" w:color="000000" w:sz="6" w:space="0"/>
              <w:bottom w:val="single" w:color="000000" w:sz="6" w:space="0"/>
              <w:right w:val="single" w:color="auto" w:sz="4" w:space="0"/>
            </w:tcBorders>
            <w:noWrap w:val="0"/>
            <w:vAlign w:val="center"/>
          </w:tcPr>
          <w:p w14:paraId="11C05B8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序号</w:t>
            </w:r>
          </w:p>
        </w:tc>
        <w:tc>
          <w:tcPr>
            <w:tcW w:w="1021" w:type="pct"/>
            <w:tcBorders>
              <w:top w:val="single" w:color="000000" w:sz="6" w:space="0"/>
              <w:left w:val="single" w:color="auto" w:sz="4" w:space="0"/>
              <w:bottom w:val="single" w:color="000000" w:sz="6" w:space="0"/>
              <w:right w:val="single" w:color="000000" w:sz="6" w:space="0"/>
            </w:tcBorders>
            <w:noWrap w:val="0"/>
            <w:vAlign w:val="center"/>
          </w:tcPr>
          <w:p w14:paraId="3E04A9A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w:t>
            </w:r>
          </w:p>
        </w:tc>
        <w:tc>
          <w:tcPr>
            <w:tcW w:w="1313" w:type="pct"/>
            <w:tcBorders>
              <w:top w:val="single" w:color="000000" w:sz="6" w:space="0"/>
              <w:left w:val="single" w:color="000000" w:sz="6" w:space="0"/>
              <w:bottom w:val="single" w:color="000000" w:sz="6" w:space="0"/>
              <w:right w:val="single" w:color="000000" w:sz="6" w:space="0"/>
            </w:tcBorders>
            <w:noWrap w:val="0"/>
            <w:vAlign w:val="center"/>
          </w:tcPr>
          <w:p w14:paraId="2028916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招标</w:t>
            </w:r>
            <w:r>
              <w:rPr>
                <w:rFonts w:hint="eastAsia" w:ascii="仿宋" w:hAnsi="仿宋" w:eastAsia="仿宋" w:cs="仿宋"/>
                <w:color w:val="000000"/>
                <w:kern w:val="0"/>
                <w:sz w:val="24"/>
                <w:szCs w:val="24"/>
                <w:highlight w:val="none"/>
              </w:rPr>
              <w:t>文件技术规范、要求</w:t>
            </w:r>
          </w:p>
        </w:tc>
        <w:tc>
          <w:tcPr>
            <w:tcW w:w="1122" w:type="pct"/>
            <w:tcBorders>
              <w:top w:val="single" w:color="000000" w:sz="6" w:space="0"/>
              <w:left w:val="single" w:color="000000" w:sz="6" w:space="0"/>
              <w:bottom w:val="single" w:color="000000" w:sz="6" w:space="0"/>
              <w:right w:val="single" w:color="000000" w:sz="6" w:space="0"/>
            </w:tcBorders>
            <w:noWrap w:val="0"/>
            <w:vAlign w:val="center"/>
          </w:tcPr>
          <w:p w14:paraId="64D3F29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投标</w:t>
            </w:r>
            <w:r>
              <w:rPr>
                <w:rFonts w:hint="eastAsia" w:ascii="仿宋" w:hAnsi="仿宋" w:eastAsia="仿宋" w:cs="仿宋"/>
                <w:color w:val="000000"/>
                <w:kern w:val="0"/>
                <w:sz w:val="24"/>
                <w:szCs w:val="24"/>
                <w:highlight w:val="none"/>
              </w:rPr>
              <w:t>文件对应规范</w:t>
            </w:r>
          </w:p>
        </w:tc>
        <w:tc>
          <w:tcPr>
            <w:tcW w:w="641" w:type="pct"/>
            <w:tcBorders>
              <w:top w:val="single" w:color="000000" w:sz="6" w:space="0"/>
              <w:left w:val="single" w:color="000000" w:sz="6" w:space="0"/>
              <w:bottom w:val="single" w:color="000000" w:sz="6" w:space="0"/>
              <w:right w:val="single" w:color="000000" w:sz="6" w:space="0"/>
            </w:tcBorders>
            <w:noWrap w:val="0"/>
            <w:vAlign w:val="center"/>
          </w:tcPr>
          <w:p w14:paraId="56E445A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偏离情况</w:t>
            </w:r>
          </w:p>
        </w:tc>
        <w:tc>
          <w:tcPr>
            <w:tcW w:w="440" w:type="pct"/>
            <w:tcBorders>
              <w:top w:val="single" w:color="000000" w:sz="6" w:space="0"/>
              <w:left w:val="single" w:color="000000" w:sz="6" w:space="0"/>
              <w:bottom w:val="single" w:color="000000" w:sz="6" w:space="0"/>
              <w:right w:val="single" w:color="000000" w:sz="6" w:space="0"/>
            </w:tcBorders>
            <w:noWrap w:val="0"/>
            <w:vAlign w:val="center"/>
          </w:tcPr>
          <w:p w14:paraId="44029B9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备注</w:t>
            </w:r>
          </w:p>
        </w:tc>
      </w:tr>
      <w:tr w14:paraId="1FFE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460" w:type="pct"/>
            <w:tcBorders>
              <w:top w:val="single" w:color="000000" w:sz="6" w:space="0"/>
              <w:left w:val="single" w:color="000000" w:sz="6" w:space="0"/>
              <w:bottom w:val="single" w:color="000000" w:sz="6" w:space="0"/>
              <w:right w:val="single" w:color="auto" w:sz="4" w:space="0"/>
            </w:tcBorders>
            <w:noWrap w:val="0"/>
            <w:vAlign w:val="center"/>
          </w:tcPr>
          <w:p w14:paraId="0E905BD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1021" w:type="pct"/>
            <w:tcBorders>
              <w:top w:val="single" w:color="000000" w:sz="6" w:space="0"/>
              <w:left w:val="single" w:color="auto" w:sz="4" w:space="0"/>
              <w:bottom w:val="single" w:color="000000" w:sz="6" w:space="0"/>
              <w:right w:val="single" w:color="000000" w:sz="6" w:space="0"/>
            </w:tcBorders>
            <w:noWrap w:val="0"/>
            <w:vAlign w:val="center"/>
          </w:tcPr>
          <w:p w14:paraId="2D869D4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1313" w:type="pct"/>
            <w:tcBorders>
              <w:top w:val="single" w:color="000000" w:sz="6" w:space="0"/>
              <w:left w:val="single" w:color="000000" w:sz="6" w:space="0"/>
              <w:bottom w:val="single" w:color="000000" w:sz="6" w:space="0"/>
              <w:right w:val="single" w:color="000000" w:sz="6" w:space="0"/>
            </w:tcBorders>
            <w:noWrap w:val="0"/>
            <w:vAlign w:val="center"/>
          </w:tcPr>
          <w:p w14:paraId="218CB35A">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kern w:val="0"/>
                <w:sz w:val="24"/>
                <w:szCs w:val="24"/>
                <w:highlight w:val="none"/>
              </w:rPr>
            </w:pPr>
          </w:p>
        </w:tc>
        <w:tc>
          <w:tcPr>
            <w:tcW w:w="1122" w:type="pct"/>
            <w:tcBorders>
              <w:top w:val="single" w:color="000000" w:sz="6" w:space="0"/>
              <w:left w:val="single" w:color="000000" w:sz="6" w:space="0"/>
              <w:bottom w:val="single" w:color="000000" w:sz="6" w:space="0"/>
              <w:right w:val="single" w:color="000000" w:sz="6" w:space="0"/>
            </w:tcBorders>
            <w:noWrap w:val="0"/>
            <w:vAlign w:val="center"/>
          </w:tcPr>
          <w:p w14:paraId="35498A1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641" w:type="pct"/>
            <w:tcBorders>
              <w:top w:val="single" w:color="000000" w:sz="6" w:space="0"/>
              <w:left w:val="single" w:color="000000" w:sz="6" w:space="0"/>
              <w:bottom w:val="single" w:color="000000" w:sz="6" w:space="0"/>
              <w:right w:val="single" w:color="000000" w:sz="6" w:space="0"/>
            </w:tcBorders>
            <w:noWrap w:val="0"/>
            <w:vAlign w:val="center"/>
          </w:tcPr>
          <w:p w14:paraId="66E2F83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440" w:type="pct"/>
            <w:tcBorders>
              <w:top w:val="single" w:color="000000" w:sz="6" w:space="0"/>
              <w:left w:val="single" w:color="000000" w:sz="6" w:space="0"/>
              <w:bottom w:val="single" w:color="000000" w:sz="6" w:space="0"/>
              <w:right w:val="single" w:color="000000" w:sz="6" w:space="0"/>
            </w:tcBorders>
            <w:noWrap w:val="0"/>
            <w:vAlign w:val="center"/>
          </w:tcPr>
          <w:p w14:paraId="5531625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r>
      <w:tr w14:paraId="3A13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460" w:type="pct"/>
            <w:tcBorders>
              <w:top w:val="single" w:color="000000" w:sz="6" w:space="0"/>
              <w:left w:val="single" w:color="000000" w:sz="6" w:space="0"/>
              <w:bottom w:val="single" w:color="000000" w:sz="6" w:space="0"/>
              <w:right w:val="single" w:color="auto" w:sz="4" w:space="0"/>
            </w:tcBorders>
            <w:noWrap w:val="0"/>
            <w:vAlign w:val="center"/>
          </w:tcPr>
          <w:p w14:paraId="7AC09F1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1021" w:type="pct"/>
            <w:tcBorders>
              <w:top w:val="single" w:color="000000" w:sz="6" w:space="0"/>
              <w:left w:val="single" w:color="auto" w:sz="4" w:space="0"/>
              <w:bottom w:val="single" w:color="000000" w:sz="6" w:space="0"/>
              <w:right w:val="single" w:color="000000" w:sz="6" w:space="0"/>
            </w:tcBorders>
            <w:noWrap w:val="0"/>
            <w:vAlign w:val="center"/>
          </w:tcPr>
          <w:p w14:paraId="4FFED51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1313" w:type="pct"/>
            <w:tcBorders>
              <w:top w:val="single" w:color="000000" w:sz="6" w:space="0"/>
              <w:left w:val="single" w:color="000000" w:sz="6" w:space="0"/>
              <w:bottom w:val="single" w:color="000000" w:sz="6" w:space="0"/>
              <w:right w:val="single" w:color="000000" w:sz="6" w:space="0"/>
            </w:tcBorders>
            <w:noWrap w:val="0"/>
            <w:vAlign w:val="center"/>
          </w:tcPr>
          <w:p w14:paraId="7BE5A3B6">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kern w:val="0"/>
                <w:sz w:val="24"/>
                <w:szCs w:val="24"/>
                <w:highlight w:val="none"/>
              </w:rPr>
            </w:pPr>
          </w:p>
        </w:tc>
        <w:tc>
          <w:tcPr>
            <w:tcW w:w="1122" w:type="pct"/>
            <w:tcBorders>
              <w:top w:val="single" w:color="000000" w:sz="6" w:space="0"/>
              <w:left w:val="single" w:color="000000" w:sz="6" w:space="0"/>
              <w:bottom w:val="single" w:color="000000" w:sz="6" w:space="0"/>
              <w:right w:val="single" w:color="000000" w:sz="6" w:space="0"/>
            </w:tcBorders>
            <w:noWrap w:val="0"/>
            <w:vAlign w:val="center"/>
          </w:tcPr>
          <w:p w14:paraId="20152B3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641" w:type="pct"/>
            <w:tcBorders>
              <w:top w:val="single" w:color="000000" w:sz="6" w:space="0"/>
              <w:left w:val="single" w:color="000000" w:sz="6" w:space="0"/>
              <w:bottom w:val="single" w:color="000000" w:sz="6" w:space="0"/>
              <w:right w:val="single" w:color="000000" w:sz="6" w:space="0"/>
            </w:tcBorders>
            <w:noWrap w:val="0"/>
            <w:vAlign w:val="center"/>
          </w:tcPr>
          <w:p w14:paraId="3E165D9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440" w:type="pct"/>
            <w:tcBorders>
              <w:top w:val="single" w:color="000000" w:sz="6" w:space="0"/>
              <w:left w:val="single" w:color="000000" w:sz="6" w:space="0"/>
              <w:bottom w:val="single" w:color="000000" w:sz="6" w:space="0"/>
              <w:right w:val="single" w:color="000000" w:sz="6" w:space="0"/>
            </w:tcBorders>
            <w:noWrap w:val="0"/>
            <w:vAlign w:val="center"/>
          </w:tcPr>
          <w:p w14:paraId="796E5EDF">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r>
      <w:tr w14:paraId="55D6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460" w:type="pct"/>
            <w:tcBorders>
              <w:top w:val="single" w:color="000000" w:sz="6" w:space="0"/>
              <w:left w:val="single" w:color="000000" w:sz="6" w:space="0"/>
              <w:bottom w:val="single" w:color="000000" w:sz="6" w:space="0"/>
              <w:right w:val="single" w:color="auto" w:sz="4" w:space="0"/>
            </w:tcBorders>
            <w:noWrap w:val="0"/>
            <w:vAlign w:val="center"/>
          </w:tcPr>
          <w:p w14:paraId="01CC866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1021" w:type="pct"/>
            <w:tcBorders>
              <w:top w:val="single" w:color="000000" w:sz="6" w:space="0"/>
              <w:left w:val="single" w:color="auto" w:sz="4" w:space="0"/>
              <w:bottom w:val="single" w:color="000000" w:sz="6" w:space="0"/>
              <w:right w:val="single" w:color="000000" w:sz="6" w:space="0"/>
            </w:tcBorders>
            <w:noWrap w:val="0"/>
            <w:vAlign w:val="center"/>
          </w:tcPr>
          <w:p w14:paraId="046B056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1313" w:type="pct"/>
            <w:tcBorders>
              <w:top w:val="single" w:color="000000" w:sz="6" w:space="0"/>
              <w:left w:val="single" w:color="000000" w:sz="6" w:space="0"/>
              <w:bottom w:val="single" w:color="000000" w:sz="6" w:space="0"/>
              <w:right w:val="single" w:color="000000" w:sz="6" w:space="0"/>
            </w:tcBorders>
            <w:noWrap w:val="0"/>
            <w:vAlign w:val="center"/>
          </w:tcPr>
          <w:p w14:paraId="3AF33289">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kern w:val="0"/>
                <w:sz w:val="24"/>
                <w:szCs w:val="24"/>
                <w:highlight w:val="none"/>
              </w:rPr>
            </w:pPr>
          </w:p>
        </w:tc>
        <w:tc>
          <w:tcPr>
            <w:tcW w:w="1122" w:type="pct"/>
            <w:tcBorders>
              <w:top w:val="single" w:color="000000" w:sz="6" w:space="0"/>
              <w:left w:val="single" w:color="000000" w:sz="6" w:space="0"/>
              <w:bottom w:val="single" w:color="000000" w:sz="6" w:space="0"/>
              <w:right w:val="single" w:color="000000" w:sz="6" w:space="0"/>
            </w:tcBorders>
            <w:noWrap w:val="0"/>
            <w:vAlign w:val="center"/>
          </w:tcPr>
          <w:p w14:paraId="29BFCC9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641" w:type="pct"/>
            <w:tcBorders>
              <w:top w:val="single" w:color="000000" w:sz="6" w:space="0"/>
              <w:left w:val="single" w:color="000000" w:sz="6" w:space="0"/>
              <w:bottom w:val="single" w:color="000000" w:sz="6" w:space="0"/>
              <w:right w:val="single" w:color="000000" w:sz="6" w:space="0"/>
            </w:tcBorders>
            <w:noWrap w:val="0"/>
            <w:vAlign w:val="center"/>
          </w:tcPr>
          <w:p w14:paraId="165CA53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440" w:type="pct"/>
            <w:tcBorders>
              <w:top w:val="single" w:color="000000" w:sz="6" w:space="0"/>
              <w:left w:val="single" w:color="000000" w:sz="6" w:space="0"/>
              <w:bottom w:val="single" w:color="000000" w:sz="6" w:space="0"/>
              <w:right w:val="single" w:color="000000" w:sz="6" w:space="0"/>
            </w:tcBorders>
            <w:noWrap w:val="0"/>
            <w:vAlign w:val="center"/>
          </w:tcPr>
          <w:p w14:paraId="09B4E88F">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r>
      <w:tr w14:paraId="31C7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jc w:val="center"/>
        </w:trPr>
        <w:tc>
          <w:tcPr>
            <w:tcW w:w="460" w:type="pct"/>
            <w:tcBorders>
              <w:top w:val="single" w:color="000000" w:sz="6" w:space="0"/>
              <w:left w:val="single" w:color="000000" w:sz="6" w:space="0"/>
              <w:bottom w:val="single" w:color="000000" w:sz="6" w:space="0"/>
              <w:right w:val="single" w:color="auto" w:sz="4" w:space="0"/>
            </w:tcBorders>
            <w:noWrap w:val="0"/>
            <w:vAlign w:val="center"/>
          </w:tcPr>
          <w:p w14:paraId="289688B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1021" w:type="pct"/>
            <w:tcBorders>
              <w:top w:val="single" w:color="000000" w:sz="6" w:space="0"/>
              <w:left w:val="single" w:color="auto" w:sz="4" w:space="0"/>
              <w:bottom w:val="single" w:color="000000" w:sz="6" w:space="0"/>
              <w:right w:val="single" w:color="000000" w:sz="6" w:space="0"/>
            </w:tcBorders>
            <w:noWrap w:val="0"/>
            <w:vAlign w:val="center"/>
          </w:tcPr>
          <w:p w14:paraId="4BFDAC5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1313" w:type="pct"/>
            <w:tcBorders>
              <w:top w:val="single" w:color="000000" w:sz="6" w:space="0"/>
              <w:left w:val="single" w:color="000000" w:sz="6" w:space="0"/>
              <w:bottom w:val="single" w:color="000000" w:sz="6" w:space="0"/>
              <w:right w:val="single" w:color="000000" w:sz="6" w:space="0"/>
            </w:tcBorders>
            <w:noWrap w:val="0"/>
            <w:vAlign w:val="center"/>
          </w:tcPr>
          <w:p w14:paraId="33AD2E56">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kern w:val="0"/>
                <w:sz w:val="24"/>
                <w:szCs w:val="24"/>
                <w:highlight w:val="none"/>
              </w:rPr>
            </w:pPr>
          </w:p>
        </w:tc>
        <w:tc>
          <w:tcPr>
            <w:tcW w:w="1122" w:type="pct"/>
            <w:tcBorders>
              <w:top w:val="single" w:color="000000" w:sz="6" w:space="0"/>
              <w:left w:val="single" w:color="000000" w:sz="6" w:space="0"/>
              <w:bottom w:val="single" w:color="000000" w:sz="6" w:space="0"/>
              <w:right w:val="single" w:color="000000" w:sz="6" w:space="0"/>
            </w:tcBorders>
            <w:noWrap w:val="0"/>
            <w:vAlign w:val="center"/>
          </w:tcPr>
          <w:p w14:paraId="36C4203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641" w:type="pct"/>
            <w:tcBorders>
              <w:top w:val="single" w:color="000000" w:sz="6" w:space="0"/>
              <w:left w:val="single" w:color="000000" w:sz="6" w:space="0"/>
              <w:bottom w:val="single" w:color="000000" w:sz="6" w:space="0"/>
              <w:right w:val="single" w:color="000000" w:sz="6" w:space="0"/>
            </w:tcBorders>
            <w:noWrap w:val="0"/>
            <w:vAlign w:val="center"/>
          </w:tcPr>
          <w:p w14:paraId="169C63A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c>
          <w:tcPr>
            <w:tcW w:w="440" w:type="pct"/>
            <w:tcBorders>
              <w:top w:val="single" w:color="000000" w:sz="6" w:space="0"/>
              <w:left w:val="single" w:color="000000" w:sz="6" w:space="0"/>
              <w:bottom w:val="single" w:color="000000" w:sz="6" w:space="0"/>
              <w:right w:val="single" w:color="000000" w:sz="6" w:space="0"/>
            </w:tcBorders>
            <w:noWrap w:val="0"/>
            <w:vAlign w:val="center"/>
          </w:tcPr>
          <w:p w14:paraId="39B6538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0"/>
                <w:sz w:val="24"/>
                <w:szCs w:val="24"/>
                <w:highlight w:val="none"/>
              </w:rPr>
            </w:pPr>
          </w:p>
        </w:tc>
      </w:tr>
    </w:tbl>
    <w:p w14:paraId="46D63352">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w:t>
      </w:r>
    </w:p>
    <w:p w14:paraId="55A77341">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表只填写投标文件中与招标文件有偏离的内容，投标文件中商务响应与招标文件要求完全一致的，不用在此表中列出，但必须提交空白表；如不提供此表，则视为供应商不满足磋商文件所有的商务条款要求，其投标文件无效。</w:t>
      </w:r>
    </w:p>
    <w:p w14:paraId="4989208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2.供应商必须据实填写，不得虚假响应，否则将取消其投标或中标资格。</w:t>
      </w:r>
    </w:p>
    <w:p w14:paraId="5CC2BDA4">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8"/>
          <w:szCs w:val="28"/>
          <w:highlight w:val="none"/>
          <w:lang w:val="en-US" w:eastAsia="zh-CN"/>
        </w:rPr>
        <w:t>。</w:t>
      </w:r>
    </w:p>
    <w:p w14:paraId="66B6169F">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p>
    <w:p w14:paraId="2F20AF10">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138BCA1D">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法定代表人（负责人）</w:t>
      </w:r>
    </w:p>
    <w:p w14:paraId="2041CFA1">
      <w:pPr>
        <w:keepNext w:val="0"/>
        <w:keepLines w:val="0"/>
        <w:pageBreakBefore w:val="0"/>
        <w:kinsoku/>
        <w:wordWrap/>
        <w:overflowPunct/>
        <w:topLinePunct w:val="0"/>
        <w:autoSpaceDE/>
        <w:autoSpaceDN/>
        <w:bidi w:val="0"/>
        <w:adjustRightInd/>
        <w:snapToGrid w:val="0"/>
        <w:spacing w:line="560" w:lineRule="exact"/>
        <w:ind w:firstLine="4560" w:firstLineChars="1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或供应商授权代表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87A096B">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bidi="ar-SA"/>
        </w:rPr>
        <w:t>日期：</w:t>
      </w:r>
    </w:p>
    <w:p w14:paraId="3CDD945D">
      <w:pPr>
        <w:pStyle w:val="41"/>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kern w:val="2"/>
          <w:sz w:val="24"/>
          <w:szCs w:val="24"/>
          <w:highlight w:val="none"/>
          <w:lang w:val="en-US" w:eastAsia="zh-CN" w:bidi="ar-SA"/>
        </w:rPr>
      </w:pPr>
    </w:p>
    <w:p w14:paraId="000794B2">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kern w:val="2"/>
          <w:sz w:val="24"/>
          <w:szCs w:val="24"/>
          <w:highlight w:val="none"/>
          <w:lang w:val="en-US" w:eastAsia="zh-CN" w:bidi="ar-SA"/>
        </w:rPr>
      </w:pPr>
    </w:p>
    <w:p w14:paraId="28604395">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7</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服务方案（格式自拟）</w:t>
      </w:r>
    </w:p>
    <w:p w14:paraId="25A1D6E6">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br w:type="page"/>
      </w:r>
    </w:p>
    <w:p w14:paraId="5CDAA720">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8</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供应商企业简况</w:t>
      </w:r>
    </w:p>
    <w:p w14:paraId="293D2588">
      <w:pPr>
        <w:numPr>
          <w:ilvl w:val="0"/>
          <w:numId w:val="0"/>
        </w:numPr>
        <w:rPr>
          <w:rFonts w:hint="eastAsia" w:ascii="仿宋" w:hAnsi="仿宋" w:eastAsia="仿宋" w:cs="仿宋"/>
          <w:b/>
          <w:kern w:val="2"/>
          <w:sz w:val="28"/>
          <w:szCs w:val="28"/>
          <w:highlight w:val="none"/>
          <w:lang w:val="en-US" w:eastAsia="zh-CN" w:bidi="ar-SA"/>
        </w:rPr>
      </w:pPr>
    </w:p>
    <w:p w14:paraId="5EE36181">
      <w:pPr>
        <w:numPr>
          <w:ilvl w:val="0"/>
          <w:numId w:val="0"/>
        </w:numPr>
        <w:rPr>
          <w:rFonts w:hint="eastAsia" w:ascii="仿宋" w:hAnsi="仿宋" w:eastAsia="仿宋" w:cs="仿宋"/>
          <w:b/>
          <w:kern w:val="2"/>
          <w:sz w:val="28"/>
          <w:szCs w:val="28"/>
          <w:highlight w:val="none"/>
          <w:lang w:val="en-US" w:eastAsia="zh-CN" w:bidi="ar-SA"/>
        </w:rPr>
      </w:pPr>
    </w:p>
    <w:p w14:paraId="6BCEC102">
      <w:pPr>
        <w:numPr>
          <w:ilvl w:val="0"/>
          <w:numId w:val="0"/>
        </w:numPr>
        <w:rPr>
          <w:rFonts w:hint="eastAsia" w:ascii="仿宋" w:hAnsi="仿宋" w:eastAsia="仿宋" w:cs="仿宋"/>
          <w:b/>
          <w:kern w:val="2"/>
          <w:sz w:val="28"/>
          <w:szCs w:val="28"/>
          <w:highlight w:val="none"/>
          <w:lang w:val="en-US" w:eastAsia="zh-CN" w:bidi="ar-SA"/>
        </w:rPr>
      </w:pPr>
    </w:p>
    <w:p w14:paraId="72374215">
      <w:pPr>
        <w:numPr>
          <w:ilvl w:val="0"/>
          <w:numId w:val="0"/>
        </w:numPr>
        <w:rPr>
          <w:rFonts w:hint="eastAsia" w:ascii="仿宋" w:hAnsi="仿宋" w:eastAsia="仿宋" w:cs="仿宋"/>
          <w:b/>
          <w:kern w:val="2"/>
          <w:sz w:val="28"/>
          <w:szCs w:val="28"/>
          <w:highlight w:val="none"/>
          <w:lang w:val="en-US" w:eastAsia="zh-CN" w:bidi="ar-SA"/>
        </w:rPr>
      </w:pPr>
    </w:p>
    <w:p w14:paraId="3687E6DA">
      <w:pPr>
        <w:numPr>
          <w:ilvl w:val="0"/>
          <w:numId w:val="0"/>
        </w:numPr>
        <w:rPr>
          <w:rFonts w:hint="eastAsia" w:ascii="仿宋" w:hAnsi="仿宋" w:eastAsia="仿宋" w:cs="仿宋"/>
          <w:b/>
          <w:kern w:val="2"/>
          <w:sz w:val="28"/>
          <w:szCs w:val="28"/>
          <w:highlight w:val="none"/>
          <w:lang w:val="en-US" w:eastAsia="zh-CN" w:bidi="ar-SA"/>
        </w:rPr>
      </w:pPr>
    </w:p>
    <w:p w14:paraId="14EBE8A8">
      <w:pPr>
        <w:numPr>
          <w:ilvl w:val="0"/>
          <w:numId w:val="0"/>
        </w:numPr>
        <w:rPr>
          <w:rFonts w:hint="eastAsia" w:ascii="仿宋" w:hAnsi="仿宋" w:eastAsia="仿宋" w:cs="仿宋"/>
          <w:b/>
          <w:kern w:val="2"/>
          <w:sz w:val="28"/>
          <w:szCs w:val="28"/>
          <w:highlight w:val="none"/>
          <w:lang w:val="en-US" w:eastAsia="zh-CN" w:bidi="ar-SA"/>
        </w:rPr>
      </w:pPr>
    </w:p>
    <w:p w14:paraId="601A1CB5">
      <w:pPr>
        <w:numPr>
          <w:ilvl w:val="0"/>
          <w:numId w:val="0"/>
        </w:numPr>
        <w:rPr>
          <w:rFonts w:hint="eastAsia" w:ascii="仿宋" w:hAnsi="仿宋" w:eastAsia="仿宋" w:cs="仿宋"/>
          <w:b/>
          <w:kern w:val="2"/>
          <w:sz w:val="28"/>
          <w:szCs w:val="28"/>
          <w:highlight w:val="none"/>
          <w:lang w:val="en-US" w:eastAsia="zh-CN" w:bidi="ar-SA"/>
        </w:rPr>
      </w:pPr>
    </w:p>
    <w:p w14:paraId="3D14A5E9">
      <w:pPr>
        <w:numPr>
          <w:ilvl w:val="0"/>
          <w:numId w:val="0"/>
        </w:numPr>
        <w:rPr>
          <w:rFonts w:hint="eastAsia" w:ascii="仿宋" w:hAnsi="仿宋" w:eastAsia="仿宋" w:cs="仿宋"/>
          <w:b/>
          <w:kern w:val="2"/>
          <w:sz w:val="28"/>
          <w:szCs w:val="28"/>
          <w:highlight w:val="none"/>
          <w:lang w:val="en-US" w:eastAsia="zh-CN" w:bidi="ar-SA"/>
        </w:rPr>
      </w:pPr>
    </w:p>
    <w:p w14:paraId="1197FDF6">
      <w:pPr>
        <w:numPr>
          <w:ilvl w:val="0"/>
          <w:numId w:val="0"/>
        </w:numPr>
        <w:rPr>
          <w:rFonts w:hint="eastAsia" w:ascii="仿宋" w:hAnsi="仿宋" w:eastAsia="仿宋" w:cs="仿宋"/>
          <w:b/>
          <w:kern w:val="2"/>
          <w:sz w:val="28"/>
          <w:szCs w:val="28"/>
          <w:highlight w:val="none"/>
          <w:lang w:val="en-US" w:eastAsia="zh-CN" w:bidi="ar-SA"/>
        </w:rPr>
      </w:pPr>
    </w:p>
    <w:p w14:paraId="76ABBC0A">
      <w:pPr>
        <w:numPr>
          <w:ilvl w:val="0"/>
          <w:numId w:val="0"/>
        </w:numPr>
        <w:rPr>
          <w:rFonts w:hint="eastAsia" w:ascii="仿宋" w:hAnsi="仿宋" w:eastAsia="仿宋" w:cs="仿宋"/>
          <w:b/>
          <w:kern w:val="2"/>
          <w:sz w:val="28"/>
          <w:szCs w:val="28"/>
          <w:highlight w:val="none"/>
          <w:lang w:val="en-US" w:eastAsia="zh-CN" w:bidi="ar-SA"/>
        </w:rPr>
      </w:pPr>
    </w:p>
    <w:p w14:paraId="2E58BC18">
      <w:pPr>
        <w:numPr>
          <w:ilvl w:val="0"/>
          <w:numId w:val="0"/>
        </w:numPr>
        <w:rPr>
          <w:rFonts w:hint="eastAsia" w:ascii="仿宋" w:hAnsi="仿宋" w:eastAsia="仿宋" w:cs="仿宋"/>
          <w:b/>
          <w:kern w:val="2"/>
          <w:sz w:val="28"/>
          <w:szCs w:val="28"/>
          <w:highlight w:val="none"/>
          <w:lang w:val="en-US" w:eastAsia="zh-CN" w:bidi="ar-SA"/>
        </w:rPr>
      </w:pPr>
    </w:p>
    <w:p w14:paraId="112A2AEF">
      <w:pPr>
        <w:numPr>
          <w:ilvl w:val="0"/>
          <w:numId w:val="0"/>
        </w:numPr>
        <w:rPr>
          <w:rFonts w:hint="eastAsia" w:ascii="仿宋" w:hAnsi="仿宋" w:eastAsia="仿宋" w:cs="仿宋"/>
          <w:b/>
          <w:kern w:val="2"/>
          <w:sz w:val="28"/>
          <w:szCs w:val="28"/>
          <w:highlight w:val="none"/>
          <w:lang w:val="en-US" w:eastAsia="zh-CN" w:bidi="ar-SA"/>
        </w:rPr>
      </w:pPr>
    </w:p>
    <w:p w14:paraId="4E6EF661">
      <w:pPr>
        <w:numPr>
          <w:ilvl w:val="0"/>
          <w:numId w:val="0"/>
        </w:numPr>
        <w:rPr>
          <w:rFonts w:hint="eastAsia" w:ascii="仿宋" w:hAnsi="仿宋" w:eastAsia="仿宋" w:cs="仿宋"/>
          <w:b/>
          <w:kern w:val="2"/>
          <w:sz w:val="28"/>
          <w:szCs w:val="28"/>
          <w:highlight w:val="none"/>
          <w:lang w:val="en-US" w:eastAsia="zh-CN" w:bidi="ar-SA"/>
        </w:rPr>
      </w:pPr>
    </w:p>
    <w:p w14:paraId="108EB5C9">
      <w:pPr>
        <w:numPr>
          <w:ilvl w:val="0"/>
          <w:numId w:val="0"/>
        </w:numPr>
        <w:rPr>
          <w:rFonts w:hint="eastAsia" w:ascii="仿宋" w:hAnsi="仿宋" w:eastAsia="仿宋" w:cs="仿宋"/>
          <w:b/>
          <w:kern w:val="2"/>
          <w:sz w:val="28"/>
          <w:szCs w:val="28"/>
          <w:highlight w:val="none"/>
          <w:lang w:val="en-US" w:eastAsia="zh-CN" w:bidi="ar-SA"/>
        </w:rPr>
      </w:pPr>
    </w:p>
    <w:p w14:paraId="20726DB5">
      <w:pPr>
        <w:numPr>
          <w:ilvl w:val="0"/>
          <w:numId w:val="0"/>
        </w:numPr>
        <w:rPr>
          <w:rFonts w:hint="eastAsia" w:ascii="仿宋" w:hAnsi="仿宋" w:eastAsia="仿宋" w:cs="仿宋"/>
          <w:b/>
          <w:kern w:val="2"/>
          <w:sz w:val="28"/>
          <w:szCs w:val="28"/>
          <w:highlight w:val="none"/>
          <w:lang w:val="en-US" w:eastAsia="zh-CN" w:bidi="ar-SA"/>
        </w:rPr>
      </w:pPr>
    </w:p>
    <w:p w14:paraId="5FB519C0">
      <w:pPr>
        <w:numPr>
          <w:ilvl w:val="0"/>
          <w:numId w:val="0"/>
        </w:numPr>
        <w:rPr>
          <w:rFonts w:hint="eastAsia" w:ascii="仿宋" w:hAnsi="仿宋" w:eastAsia="仿宋" w:cs="仿宋"/>
          <w:b/>
          <w:kern w:val="2"/>
          <w:sz w:val="28"/>
          <w:szCs w:val="28"/>
          <w:highlight w:val="none"/>
          <w:lang w:val="en-US" w:eastAsia="zh-CN" w:bidi="ar-SA"/>
        </w:rPr>
      </w:pPr>
    </w:p>
    <w:p w14:paraId="35FA4338">
      <w:pPr>
        <w:numPr>
          <w:ilvl w:val="0"/>
          <w:numId w:val="0"/>
        </w:numPr>
        <w:rPr>
          <w:rFonts w:hint="eastAsia" w:ascii="仿宋" w:hAnsi="仿宋" w:eastAsia="仿宋" w:cs="仿宋"/>
          <w:b/>
          <w:kern w:val="2"/>
          <w:sz w:val="28"/>
          <w:szCs w:val="28"/>
          <w:highlight w:val="none"/>
          <w:lang w:val="en-US" w:eastAsia="zh-CN" w:bidi="ar-SA"/>
        </w:rPr>
      </w:pPr>
    </w:p>
    <w:p w14:paraId="2565F2F0">
      <w:pPr>
        <w:numPr>
          <w:ilvl w:val="0"/>
          <w:numId w:val="0"/>
        </w:numPr>
        <w:rPr>
          <w:rFonts w:hint="eastAsia" w:ascii="仿宋" w:hAnsi="仿宋" w:eastAsia="仿宋" w:cs="仿宋"/>
          <w:b/>
          <w:kern w:val="2"/>
          <w:sz w:val="28"/>
          <w:szCs w:val="28"/>
          <w:highlight w:val="none"/>
          <w:lang w:val="en-US" w:eastAsia="zh-CN" w:bidi="ar-SA"/>
        </w:rPr>
      </w:pPr>
    </w:p>
    <w:p w14:paraId="3704F883">
      <w:pPr>
        <w:numPr>
          <w:ilvl w:val="0"/>
          <w:numId w:val="0"/>
        </w:numPr>
        <w:rPr>
          <w:rFonts w:hint="eastAsia" w:ascii="仿宋" w:hAnsi="仿宋" w:eastAsia="仿宋" w:cs="仿宋"/>
          <w:b/>
          <w:kern w:val="2"/>
          <w:sz w:val="28"/>
          <w:szCs w:val="28"/>
          <w:highlight w:val="none"/>
          <w:lang w:val="en-US" w:eastAsia="zh-CN" w:bidi="ar-SA"/>
        </w:rPr>
      </w:pPr>
    </w:p>
    <w:p w14:paraId="13F78316">
      <w:pPr>
        <w:numPr>
          <w:ilvl w:val="0"/>
          <w:numId w:val="0"/>
        </w:numPr>
        <w:rPr>
          <w:rFonts w:hint="eastAsia" w:ascii="仿宋" w:hAnsi="仿宋" w:eastAsia="仿宋" w:cs="仿宋"/>
          <w:b/>
          <w:kern w:val="2"/>
          <w:sz w:val="28"/>
          <w:szCs w:val="28"/>
          <w:highlight w:val="none"/>
          <w:lang w:val="en-US" w:eastAsia="zh-CN" w:bidi="ar-SA"/>
        </w:rPr>
      </w:pPr>
    </w:p>
    <w:p w14:paraId="7E31BA18">
      <w:pPr>
        <w:numPr>
          <w:ilvl w:val="0"/>
          <w:numId w:val="0"/>
        </w:numPr>
        <w:rPr>
          <w:rFonts w:hint="eastAsia" w:ascii="仿宋" w:hAnsi="仿宋" w:eastAsia="仿宋" w:cs="仿宋"/>
          <w:b/>
          <w:kern w:val="2"/>
          <w:sz w:val="28"/>
          <w:szCs w:val="28"/>
          <w:highlight w:val="none"/>
          <w:lang w:val="en-US" w:eastAsia="zh-CN" w:bidi="ar-SA"/>
        </w:rPr>
      </w:pPr>
    </w:p>
    <w:p w14:paraId="22C98315">
      <w:pPr>
        <w:numPr>
          <w:ilvl w:val="0"/>
          <w:numId w:val="0"/>
        </w:numPr>
        <w:rPr>
          <w:rFonts w:hint="eastAsia" w:ascii="仿宋" w:hAnsi="仿宋" w:eastAsia="仿宋" w:cs="仿宋"/>
          <w:b/>
          <w:kern w:val="2"/>
          <w:sz w:val="28"/>
          <w:szCs w:val="28"/>
          <w:highlight w:val="none"/>
          <w:lang w:val="en-US" w:eastAsia="zh-CN" w:bidi="ar-SA"/>
        </w:rPr>
      </w:pPr>
    </w:p>
    <w:p w14:paraId="46CC09B7">
      <w:pPr>
        <w:numPr>
          <w:ilvl w:val="0"/>
          <w:numId w:val="0"/>
        </w:numPr>
        <w:rPr>
          <w:rFonts w:hint="eastAsia" w:ascii="仿宋" w:hAnsi="仿宋" w:eastAsia="仿宋" w:cs="仿宋"/>
          <w:b/>
          <w:kern w:val="2"/>
          <w:sz w:val="28"/>
          <w:szCs w:val="28"/>
          <w:highlight w:val="none"/>
          <w:lang w:val="en-US" w:eastAsia="zh-CN" w:bidi="ar-SA"/>
        </w:rPr>
      </w:pPr>
    </w:p>
    <w:p w14:paraId="73C5B4DF">
      <w:pPr>
        <w:numPr>
          <w:ilvl w:val="0"/>
          <w:numId w:val="0"/>
        </w:numPr>
        <w:rPr>
          <w:rFonts w:hint="eastAsia" w:ascii="仿宋" w:hAnsi="仿宋" w:eastAsia="仿宋" w:cs="仿宋"/>
          <w:b/>
          <w:kern w:val="2"/>
          <w:sz w:val="28"/>
          <w:szCs w:val="28"/>
          <w:highlight w:val="none"/>
          <w:lang w:val="en-US" w:eastAsia="zh-CN" w:bidi="ar-SA"/>
        </w:rPr>
      </w:pPr>
    </w:p>
    <w:p w14:paraId="4EE5174B">
      <w:pPr>
        <w:numPr>
          <w:ilvl w:val="0"/>
          <w:numId w:val="0"/>
        </w:numPr>
        <w:rPr>
          <w:rFonts w:hint="eastAsia" w:ascii="仿宋" w:hAnsi="仿宋" w:eastAsia="仿宋" w:cs="仿宋"/>
          <w:b/>
          <w:kern w:val="2"/>
          <w:sz w:val="28"/>
          <w:szCs w:val="28"/>
          <w:highlight w:val="none"/>
          <w:lang w:val="en-US" w:eastAsia="zh-CN" w:bidi="ar-SA"/>
        </w:rPr>
      </w:pPr>
    </w:p>
    <w:p w14:paraId="5D824990">
      <w:pPr>
        <w:numPr>
          <w:ilvl w:val="0"/>
          <w:numId w:val="0"/>
        </w:numPr>
        <w:rPr>
          <w:rFonts w:hint="eastAsia" w:ascii="仿宋" w:hAnsi="仿宋" w:eastAsia="仿宋" w:cs="仿宋"/>
          <w:b/>
          <w:kern w:val="2"/>
          <w:sz w:val="28"/>
          <w:szCs w:val="28"/>
          <w:highlight w:val="none"/>
          <w:lang w:val="en-US" w:eastAsia="zh-CN" w:bidi="ar-SA"/>
        </w:rPr>
      </w:pPr>
    </w:p>
    <w:p w14:paraId="5686D623">
      <w:pPr>
        <w:numPr>
          <w:ilvl w:val="0"/>
          <w:numId w:val="0"/>
        </w:numPr>
        <w:rPr>
          <w:rFonts w:hint="eastAsia" w:ascii="仿宋" w:hAnsi="仿宋" w:eastAsia="仿宋" w:cs="仿宋"/>
          <w:b/>
          <w:kern w:val="2"/>
          <w:sz w:val="28"/>
          <w:szCs w:val="28"/>
          <w:highlight w:val="none"/>
          <w:lang w:val="en-US" w:eastAsia="zh-CN" w:bidi="ar-SA"/>
        </w:rPr>
      </w:pPr>
    </w:p>
    <w:p w14:paraId="580D68DC">
      <w:pPr>
        <w:numPr>
          <w:ilvl w:val="0"/>
          <w:numId w:val="0"/>
        </w:numPr>
        <w:rPr>
          <w:rFonts w:hint="eastAsia" w:ascii="仿宋" w:hAnsi="仿宋" w:eastAsia="仿宋" w:cs="仿宋"/>
          <w:b/>
          <w:kern w:val="2"/>
          <w:sz w:val="28"/>
          <w:szCs w:val="28"/>
          <w:highlight w:val="none"/>
          <w:lang w:val="en-US" w:eastAsia="zh-CN" w:bidi="ar-SA"/>
        </w:rPr>
      </w:pPr>
    </w:p>
    <w:p w14:paraId="389228FA">
      <w:pPr>
        <w:numPr>
          <w:ilvl w:val="0"/>
          <w:numId w:val="0"/>
        </w:numPr>
        <w:rPr>
          <w:rFonts w:hint="eastAsia" w:ascii="仿宋" w:hAnsi="仿宋" w:eastAsia="仿宋" w:cs="仿宋"/>
          <w:b/>
          <w:kern w:val="2"/>
          <w:sz w:val="28"/>
          <w:szCs w:val="28"/>
          <w:highlight w:val="none"/>
          <w:lang w:val="en-US" w:eastAsia="zh-CN" w:bidi="ar-SA"/>
        </w:rPr>
      </w:pPr>
    </w:p>
    <w:p w14:paraId="6F18A457">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p>
    <w:p w14:paraId="78BB6619">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p>
    <w:p w14:paraId="229FF09B">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br w:type="page"/>
      </w:r>
    </w:p>
    <w:p w14:paraId="77332F71">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9</w:t>
      </w:r>
      <w:r>
        <w:rPr>
          <w:rFonts w:hint="eastAsia" w:ascii="仿宋" w:hAnsi="仿宋" w:eastAsia="仿宋" w:cs="仿宋"/>
          <w:b/>
          <w:color w:val="auto"/>
          <w:kern w:val="0"/>
          <w:sz w:val="24"/>
          <w:highlight w:val="none"/>
          <w:lang w:eastAsia="zh-CN"/>
        </w:rPr>
        <w:t>、投标文件提交截止时间前三年内类似项目合同案例</w:t>
      </w:r>
    </w:p>
    <w:bookmarkEnd w:id="56"/>
    <w:p w14:paraId="46CE38C9">
      <w:pPr>
        <w:pStyle w:val="13"/>
        <w:widowControl w:val="0"/>
        <w:numPr>
          <w:ilvl w:val="0"/>
          <w:numId w:val="0"/>
        </w:numPr>
        <w:spacing w:line="60" w:lineRule="auto"/>
        <w:jc w:val="both"/>
        <w:rPr>
          <w:rFonts w:hint="eastAsia" w:ascii="仿宋" w:hAnsi="仿宋" w:eastAsia="仿宋" w:cs="仿宋"/>
          <w:highlight w:val="none"/>
          <w:lang w:val="en-US" w:eastAsia="zh-CN"/>
        </w:rPr>
      </w:pPr>
      <w:bookmarkStart w:id="57" w:name="_Toc175644078"/>
      <w:bookmarkStart w:id="58" w:name="_Toc37526403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3216"/>
        <w:gridCol w:w="2100"/>
        <w:gridCol w:w="1824"/>
        <w:gridCol w:w="1157"/>
      </w:tblGrid>
      <w:tr w14:paraId="39F1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1" w:type="dxa"/>
            <w:vAlign w:val="center"/>
          </w:tcPr>
          <w:p w14:paraId="2002B84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序号</w:t>
            </w:r>
          </w:p>
        </w:tc>
        <w:tc>
          <w:tcPr>
            <w:tcW w:w="3216" w:type="dxa"/>
            <w:vAlign w:val="center"/>
          </w:tcPr>
          <w:p w14:paraId="25E4F06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项目名称</w:t>
            </w:r>
          </w:p>
        </w:tc>
        <w:tc>
          <w:tcPr>
            <w:tcW w:w="2100" w:type="dxa"/>
            <w:vAlign w:val="center"/>
          </w:tcPr>
          <w:p w14:paraId="234BB05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项目业主</w:t>
            </w:r>
          </w:p>
        </w:tc>
        <w:tc>
          <w:tcPr>
            <w:tcW w:w="1824" w:type="dxa"/>
            <w:vAlign w:val="center"/>
          </w:tcPr>
          <w:p w14:paraId="68DCF9F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合同时间</w:t>
            </w:r>
          </w:p>
        </w:tc>
        <w:tc>
          <w:tcPr>
            <w:tcW w:w="1157" w:type="dxa"/>
            <w:vAlign w:val="center"/>
          </w:tcPr>
          <w:p w14:paraId="74D9C46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备注</w:t>
            </w:r>
          </w:p>
        </w:tc>
      </w:tr>
      <w:tr w14:paraId="31AF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1" w:type="dxa"/>
            <w:vAlign w:val="center"/>
          </w:tcPr>
          <w:p w14:paraId="476E80C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1</w:t>
            </w:r>
          </w:p>
        </w:tc>
        <w:tc>
          <w:tcPr>
            <w:tcW w:w="3216" w:type="dxa"/>
            <w:vAlign w:val="center"/>
          </w:tcPr>
          <w:p w14:paraId="06D43809">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2100" w:type="dxa"/>
            <w:vAlign w:val="center"/>
          </w:tcPr>
          <w:p w14:paraId="78C54F9F">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824" w:type="dxa"/>
            <w:vAlign w:val="center"/>
          </w:tcPr>
          <w:p w14:paraId="1D932F22">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157" w:type="dxa"/>
            <w:vAlign w:val="center"/>
          </w:tcPr>
          <w:p w14:paraId="334601B6">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r>
      <w:tr w14:paraId="7DED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1" w:type="dxa"/>
            <w:vAlign w:val="center"/>
          </w:tcPr>
          <w:p w14:paraId="4CB5CB3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2</w:t>
            </w:r>
          </w:p>
        </w:tc>
        <w:tc>
          <w:tcPr>
            <w:tcW w:w="3216" w:type="dxa"/>
            <w:vAlign w:val="center"/>
          </w:tcPr>
          <w:p w14:paraId="5943337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2100" w:type="dxa"/>
            <w:vAlign w:val="center"/>
          </w:tcPr>
          <w:p w14:paraId="37E9B30B">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824" w:type="dxa"/>
            <w:vAlign w:val="center"/>
          </w:tcPr>
          <w:p w14:paraId="65177018">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157" w:type="dxa"/>
            <w:vAlign w:val="center"/>
          </w:tcPr>
          <w:p w14:paraId="1B679B4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r>
      <w:tr w14:paraId="1B48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1" w:type="dxa"/>
            <w:vAlign w:val="center"/>
          </w:tcPr>
          <w:p w14:paraId="6477A33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3</w:t>
            </w:r>
          </w:p>
        </w:tc>
        <w:tc>
          <w:tcPr>
            <w:tcW w:w="3216" w:type="dxa"/>
            <w:vAlign w:val="center"/>
          </w:tcPr>
          <w:p w14:paraId="04D3CFD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2100" w:type="dxa"/>
            <w:vAlign w:val="center"/>
          </w:tcPr>
          <w:p w14:paraId="3673BF3A">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824" w:type="dxa"/>
            <w:vAlign w:val="center"/>
          </w:tcPr>
          <w:p w14:paraId="32B38D01">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157" w:type="dxa"/>
            <w:vAlign w:val="center"/>
          </w:tcPr>
          <w:p w14:paraId="2370EC0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r>
      <w:tr w14:paraId="498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1" w:type="dxa"/>
            <w:vAlign w:val="center"/>
          </w:tcPr>
          <w:p w14:paraId="10C4AEB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w:t>
            </w:r>
          </w:p>
        </w:tc>
        <w:tc>
          <w:tcPr>
            <w:tcW w:w="3216" w:type="dxa"/>
            <w:vAlign w:val="center"/>
          </w:tcPr>
          <w:p w14:paraId="360E140A">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2100" w:type="dxa"/>
            <w:vAlign w:val="center"/>
          </w:tcPr>
          <w:p w14:paraId="4A0F387F">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824" w:type="dxa"/>
            <w:vAlign w:val="center"/>
          </w:tcPr>
          <w:p w14:paraId="5F416D46">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c>
          <w:tcPr>
            <w:tcW w:w="1157" w:type="dxa"/>
            <w:vAlign w:val="center"/>
          </w:tcPr>
          <w:p w14:paraId="252CF9BF">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sz w:val="24"/>
                <w:szCs w:val="24"/>
                <w:highlight w:val="none"/>
                <w:vertAlign w:val="baseline"/>
                <w:lang w:val="en-US" w:eastAsia="zh-CN"/>
              </w:rPr>
            </w:pPr>
          </w:p>
        </w:tc>
      </w:tr>
    </w:tbl>
    <w:p w14:paraId="04ABC7BF">
      <w:pPr>
        <w:spacing w:before="240" w:after="120" w:line="240" w:lineRule="auto"/>
        <w:ind w:firstLine="480" w:firstLineChars="200"/>
        <w:jc w:val="both"/>
        <w:outlineLvl w:val="9"/>
        <w:rPr>
          <w:rFonts w:hint="eastAsia" w:ascii="仿宋" w:hAnsi="仿宋" w:eastAsia="仿宋" w:cs="仿宋"/>
          <w:b/>
          <w:bCs/>
          <w:sz w:val="28"/>
          <w:szCs w:val="28"/>
          <w:highlight w:val="none"/>
          <w:lang w:val="en-US" w:eastAsia="zh-CN"/>
        </w:rPr>
      </w:pPr>
      <w:r>
        <w:rPr>
          <w:rFonts w:hint="eastAsia" w:ascii="仿宋" w:hAnsi="仿宋" w:eastAsia="仿宋" w:cs="仿宋"/>
          <w:b w:val="0"/>
          <w:bCs w:val="0"/>
          <w:color w:val="000000"/>
          <w:sz w:val="24"/>
          <w:szCs w:val="24"/>
          <w:highlight w:val="none"/>
          <w:lang w:val="en-US" w:eastAsia="zh-CN"/>
        </w:rPr>
        <w:t>注：本表后附业绩相关证明材料，并标明序号。</w:t>
      </w:r>
    </w:p>
    <w:p w14:paraId="3F552B1A">
      <w:pPr>
        <w:spacing w:before="240" w:after="120" w:line="240" w:lineRule="auto"/>
        <w:jc w:val="both"/>
        <w:outlineLvl w:val="9"/>
        <w:rPr>
          <w:rFonts w:hint="eastAsia" w:ascii="仿宋" w:hAnsi="仿宋" w:eastAsia="仿宋" w:cs="仿宋"/>
          <w:b/>
          <w:bCs/>
          <w:sz w:val="28"/>
          <w:szCs w:val="28"/>
          <w:highlight w:val="none"/>
          <w:lang w:val="en-US" w:eastAsia="zh-CN"/>
        </w:rPr>
      </w:pPr>
    </w:p>
    <w:bookmarkEnd w:id="57"/>
    <w:bookmarkEnd w:id="58"/>
    <w:p w14:paraId="1BEC941D">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br w:type="page"/>
      </w:r>
    </w:p>
    <w:p w14:paraId="72ECA180">
      <w:pPr>
        <w:widowControl/>
        <w:tabs>
          <w:tab w:val="left" w:pos="567"/>
        </w:tabs>
        <w:snapToGrid w:val="0"/>
        <w:spacing w:line="360" w:lineRule="auto"/>
        <w:jc w:val="left"/>
        <w:outlineLvl w:val="9"/>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10</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拟投入本项目的人员一览表</w:t>
      </w:r>
    </w:p>
    <w:tbl>
      <w:tblPr>
        <w:tblStyle w:val="31"/>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83"/>
        <w:gridCol w:w="899"/>
        <w:gridCol w:w="1105"/>
        <w:gridCol w:w="1402"/>
        <w:gridCol w:w="1667"/>
        <w:gridCol w:w="1667"/>
        <w:gridCol w:w="937"/>
      </w:tblGrid>
      <w:tr w14:paraId="12A9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365" w:type="pct"/>
            <w:noWrap w:val="0"/>
            <w:vAlign w:val="center"/>
          </w:tcPr>
          <w:p w14:paraId="0184EBE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663" w:type="pct"/>
            <w:noWrap w:val="0"/>
            <w:vAlign w:val="center"/>
          </w:tcPr>
          <w:p w14:paraId="30EFB01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465" w:type="pct"/>
            <w:noWrap w:val="0"/>
            <w:vAlign w:val="center"/>
          </w:tcPr>
          <w:p w14:paraId="62EA73D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年龄</w:t>
            </w:r>
          </w:p>
        </w:tc>
        <w:tc>
          <w:tcPr>
            <w:tcW w:w="571" w:type="pct"/>
            <w:noWrap w:val="0"/>
            <w:vAlign w:val="center"/>
          </w:tcPr>
          <w:p w14:paraId="55426A2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专业</w:t>
            </w:r>
          </w:p>
        </w:tc>
        <w:tc>
          <w:tcPr>
            <w:tcW w:w="725" w:type="pct"/>
            <w:noWrap w:val="0"/>
            <w:vAlign w:val="center"/>
          </w:tcPr>
          <w:p w14:paraId="5D8E0B6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862" w:type="pct"/>
            <w:noWrap w:val="0"/>
            <w:vAlign w:val="center"/>
          </w:tcPr>
          <w:p w14:paraId="4002827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证书编号</w:t>
            </w:r>
          </w:p>
        </w:tc>
        <w:tc>
          <w:tcPr>
            <w:tcW w:w="862" w:type="pct"/>
            <w:noWrap w:val="0"/>
            <w:vAlign w:val="center"/>
          </w:tcPr>
          <w:p w14:paraId="619532B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拟在本项目中担任的职务</w:t>
            </w:r>
          </w:p>
        </w:tc>
        <w:tc>
          <w:tcPr>
            <w:tcW w:w="484" w:type="pct"/>
            <w:noWrap w:val="0"/>
            <w:vAlign w:val="center"/>
          </w:tcPr>
          <w:p w14:paraId="7BA1837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3984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65" w:type="pct"/>
            <w:noWrap w:val="0"/>
            <w:vAlign w:val="center"/>
          </w:tcPr>
          <w:p w14:paraId="43EF767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663" w:type="pct"/>
            <w:noWrap w:val="0"/>
            <w:vAlign w:val="center"/>
          </w:tcPr>
          <w:p w14:paraId="0263F24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65" w:type="pct"/>
            <w:noWrap w:val="0"/>
            <w:vAlign w:val="center"/>
          </w:tcPr>
          <w:p w14:paraId="2FE4989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571" w:type="pct"/>
            <w:noWrap w:val="0"/>
            <w:vAlign w:val="center"/>
          </w:tcPr>
          <w:p w14:paraId="3C915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725" w:type="pct"/>
            <w:noWrap w:val="0"/>
            <w:vAlign w:val="center"/>
          </w:tcPr>
          <w:p w14:paraId="5D30D06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0A8F895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7DEE3E2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84" w:type="pct"/>
            <w:noWrap w:val="0"/>
            <w:vAlign w:val="center"/>
          </w:tcPr>
          <w:p w14:paraId="744B1BB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r>
      <w:tr w14:paraId="783F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center"/>
          </w:tcPr>
          <w:p w14:paraId="5CEBB62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663" w:type="pct"/>
            <w:noWrap w:val="0"/>
            <w:vAlign w:val="center"/>
          </w:tcPr>
          <w:p w14:paraId="510C9B9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65" w:type="pct"/>
            <w:noWrap w:val="0"/>
            <w:vAlign w:val="center"/>
          </w:tcPr>
          <w:p w14:paraId="25E2A3E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571" w:type="pct"/>
            <w:noWrap w:val="0"/>
            <w:vAlign w:val="center"/>
          </w:tcPr>
          <w:p w14:paraId="241E704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725" w:type="pct"/>
            <w:noWrap w:val="0"/>
            <w:vAlign w:val="center"/>
          </w:tcPr>
          <w:p w14:paraId="1F7F3EE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5E13C77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1E16ADE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84" w:type="pct"/>
            <w:noWrap w:val="0"/>
            <w:vAlign w:val="center"/>
          </w:tcPr>
          <w:p w14:paraId="675619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r>
      <w:tr w14:paraId="0A75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center"/>
          </w:tcPr>
          <w:p w14:paraId="36CB7DC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663" w:type="pct"/>
            <w:noWrap w:val="0"/>
            <w:vAlign w:val="center"/>
          </w:tcPr>
          <w:p w14:paraId="3558852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65" w:type="pct"/>
            <w:noWrap w:val="0"/>
            <w:vAlign w:val="center"/>
          </w:tcPr>
          <w:p w14:paraId="5E75341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571" w:type="pct"/>
            <w:noWrap w:val="0"/>
            <w:vAlign w:val="center"/>
          </w:tcPr>
          <w:p w14:paraId="3E3D2DC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725" w:type="pct"/>
            <w:noWrap w:val="0"/>
            <w:vAlign w:val="center"/>
          </w:tcPr>
          <w:p w14:paraId="47DFA5A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63154D6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862" w:type="pct"/>
            <w:noWrap w:val="0"/>
            <w:vAlign w:val="center"/>
          </w:tcPr>
          <w:p w14:paraId="6F9EA43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c>
          <w:tcPr>
            <w:tcW w:w="484" w:type="pct"/>
            <w:noWrap w:val="0"/>
            <w:vAlign w:val="center"/>
          </w:tcPr>
          <w:p w14:paraId="2C5BA11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sz w:val="24"/>
                <w:szCs w:val="24"/>
                <w:highlight w:val="none"/>
              </w:rPr>
            </w:pPr>
          </w:p>
        </w:tc>
      </w:tr>
      <w:tr w14:paraId="2D0A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0EFD2CA9">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71D53E7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521AF226">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03B8887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03F1136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3CF34A9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4D20F5B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0C97FB92">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70B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2068B52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5C5612F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4B9D7DB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668EB92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3E44CF6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26F25F2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5213E8D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1CA33BB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65E7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240E807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2AE91A3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724196F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0E5D8D9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181A12B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1D56983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745DC6C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79A0B87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080C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05A1E66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213AA17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7CB8306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393DE84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2FCF81C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531BD93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11F4DCB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27D924D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6951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37BFB37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793D553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2CBCF26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1D57926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49E272E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29D0BB0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423F1B8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7ACD00B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12D2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010DF18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2A08852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76553382">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0945ECD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4CE9DB0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1CD03296">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409EFC8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3BDB2EF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789D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66361C1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22343C7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2C2E3B2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21018C3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5F117BB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2A1ADCB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096F87D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089C8E6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1843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60507EB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45B3405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2BBD3FE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709045F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601109A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43AB30F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48D535E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09B72AA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14D0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2DF37AE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060DACC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30DE6102">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02E872D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14DB7A6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7ED97FD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6FC4A24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223349A6">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6F8D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5" w:type="pct"/>
            <w:noWrap w:val="0"/>
            <w:vAlign w:val="top"/>
          </w:tcPr>
          <w:p w14:paraId="195228C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457E2682">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6094FBB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0244B04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4C8BEBC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7FA76E5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0B9B8EA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0EC8B94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r w14:paraId="6F2C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65" w:type="pct"/>
            <w:noWrap w:val="0"/>
            <w:vAlign w:val="top"/>
          </w:tcPr>
          <w:p w14:paraId="6CF0004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663" w:type="pct"/>
            <w:noWrap w:val="0"/>
            <w:vAlign w:val="top"/>
          </w:tcPr>
          <w:p w14:paraId="7E682B5D">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65" w:type="pct"/>
            <w:noWrap w:val="0"/>
            <w:vAlign w:val="top"/>
          </w:tcPr>
          <w:p w14:paraId="727C15B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571" w:type="pct"/>
            <w:noWrap w:val="0"/>
            <w:vAlign w:val="top"/>
          </w:tcPr>
          <w:p w14:paraId="16CFCA2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725" w:type="pct"/>
            <w:noWrap w:val="0"/>
            <w:vAlign w:val="top"/>
          </w:tcPr>
          <w:p w14:paraId="287E858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22F2552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862" w:type="pct"/>
            <w:noWrap w:val="0"/>
            <w:vAlign w:val="top"/>
          </w:tcPr>
          <w:p w14:paraId="3A8A214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c>
          <w:tcPr>
            <w:tcW w:w="484" w:type="pct"/>
            <w:noWrap w:val="0"/>
            <w:vAlign w:val="top"/>
          </w:tcPr>
          <w:p w14:paraId="3B833FA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 w:hAnsi="仿宋" w:eastAsia="仿宋" w:cs="仿宋"/>
                <w:sz w:val="24"/>
                <w:szCs w:val="24"/>
                <w:highlight w:val="none"/>
              </w:rPr>
            </w:pPr>
          </w:p>
        </w:tc>
      </w:tr>
    </w:tbl>
    <w:p w14:paraId="4217A043">
      <w:pPr>
        <w:widowControl/>
        <w:tabs>
          <w:tab w:val="left" w:pos="567"/>
        </w:tabs>
        <w:snapToGrid w:val="0"/>
        <w:spacing w:line="360" w:lineRule="auto"/>
        <w:ind w:firstLine="480" w:firstLineChars="200"/>
        <w:jc w:val="left"/>
        <w:outlineLvl w:val="9"/>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备注</w:t>
      </w:r>
      <w:r>
        <w:rPr>
          <w:rFonts w:hint="eastAsia" w:ascii="仿宋" w:hAnsi="仿宋" w:eastAsia="仿宋" w:cs="仿宋"/>
          <w:b w:val="0"/>
          <w:bCs w:val="0"/>
          <w:color w:val="000000"/>
          <w:kern w:val="0"/>
          <w:sz w:val="24"/>
          <w:szCs w:val="24"/>
          <w:highlight w:val="none"/>
          <w:lang w:eastAsia="zh-CN"/>
        </w:rPr>
        <w:t>：</w:t>
      </w:r>
      <w:r>
        <w:rPr>
          <w:rFonts w:hint="eastAsia" w:ascii="仿宋" w:hAnsi="仿宋" w:eastAsia="仿宋" w:cs="仿宋"/>
          <w:b w:val="0"/>
          <w:bCs w:val="0"/>
          <w:color w:val="000000"/>
          <w:kern w:val="0"/>
          <w:sz w:val="24"/>
          <w:szCs w:val="24"/>
          <w:highlight w:val="none"/>
        </w:rPr>
        <w:t>本表后附上述人员</w:t>
      </w:r>
      <w:r>
        <w:rPr>
          <w:rFonts w:hint="eastAsia" w:ascii="仿宋" w:hAnsi="仿宋" w:eastAsia="仿宋" w:cs="仿宋"/>
          <w:b w:val="0"/>
          <w:bCs w:val="0"/>
          <w:color w:val="000000"/>
          <w:kern w:val="0"/>
          <w:sz w:val="24"/>
          <w:szCs w:val="24"/>
          <w:highlight w:val="none"/>
          <w:lang w:val="en-US" w:eastAsia="zh-CN"/>
        </w:rPr>
        <w:t>身份证、执业资格</w:t>
      </w:r>
      <w:r>
        <w:rPr>
          <w:rFonts w:hint="eastAsia" w:ascii="仿宋" w:hAnsi="仿宋" w:eastAsia="仿宋" w:cs="仿宋"/>
          <w:b w:val="0"/>
          <w:bCs w:val="0"/>
          <w:color w:val="000000"/>
          <w:kern w:val="0"/>
          <w:sz w:val="24"/>
          <w:szCs w:val="24"/>
          <w:highlight w:val="none"/>
          <w:lang w:eastAsia="zh-CN"/>
        </w:rPr>
        <w:t>证书（如有）、</w:t>
      </w:r>
      <w:r>
        <w:rPr>
          <w:rFonts w:hint="eastAsia" w:ascii="仿宋" w:hAnsi="仿宋" w:eastAsia="仿宋" w:cs="仿宋"/>
          <w:b w:val="0"/>
          <w:bCs w:val="0"/>
          <w:color w:val="000000"/>
          <w:kern w:val="0"/>
          <w:sz w:val="24"/>
          <w:szCs w:val="24"/>
          <w:highlight w:val="none"/>
          <w:lang w:val="en-US" w:eastAsia="zh-CN"/>
        </w:rPr>
        <w:t>职称证</w:t>
      </w:r>
      <w:r>
        <w:rPr>
          <w:rFonts w:hint="eastAsia" w:ascii="仿宋" w:hAnsi="仿宋" w:eastAsia="仿宋" w:cs="仿宋"/>
          <w:b w:val="0"/>
          <w:bCs w:val="0"/>
          <w:color w:val="000000"/>
          <w:kern w:val="0"/>
          <w:sz w:val="24"/>
          <w:szCs w:val="24"/>
          <w:highlight w:val="none"/>
          <w:lang w:eastAsia="zh-CN"/>
        </w:rPr>
        <w:t>（</w:t>
      </w:r>
      <w:r>
        <w:rPr>
          <w:rFonts w:hint="eastAsia" w:ascii="仿宋" w:hAnsi="仿宋" w:eastAsia="仿宋" w:cs="仿宋"/>
          <w:b w:val="0"/>
          <w:bCs w:val="0"/>
          <w:color w:val="000000"/>
          <w:kern w:val="0"/>
          <w:sz w:val="24"/>
          <w:szCs w:val="24"/>
          <w:highlight w:val="none"/>
          <w:lang w:val="en-US" w:eastAsia="zh-CN"/>
        </w:rPr>
        <w:t>如有</w:t>
      </w:r>
      <w:r>
        <w:rPr>
          <w:rFonts w:hint="eastAsia" w:ascii="仿宋" w:hAnsi="仿宋" w:eastAsia="仿宋" w:cs="仿宋"/>
          <w:b w:val="0"/>
          <w:bCs w:val="0"/>
          <w:color w:val="000000"/>
          <w:kern w:val="0"/>
          <w:sz w:val="24"/>
          <w:szCs w:val="24"/>
          <w:highlight w:val="none"/>
          <w:lang w:eastAsia="zh-CN"/>
        </w:rPr>
        <w:t>）等</w:t>
      </w:r>
      <w:r>
        <w:rPr>
          <w:rFonts w:hint="eastAsia" w:ascii="仿宋" w:hAnsi="仿宋" w:eastAsia="仿宋" w:cs="仿宋"/>
          <w:b w:val="0"/>
          <w:bCs w:val="0"/>
          <w:color w:val="000000"/>
          <w:kern w:val="0"/>
          <w:sz w:val="24"/>
          <w:szCs w:val="24"/>
          <w:highlight w:val="none"/>
        </w:rPr>
        <w:t>证件</w:t>
      </w:r>
      <w:r>
        <w:rPr>
          <w:rFonts w:hint="eastAsia" w:ascii="仿宋" w:hAnsi="仿宋" w:eastAsia="仿宋" w:cs="仿宋"/>
          <w:b w:val="0"/>
          <w:bCs w:val="0"/>
          <w:color w:val="000000"/>
          <w:kern w:val="0"/>
          <w:sz w:val="24"/>
          <w:szCs w:val="24"/>
          <w:highlight w:val="none"/>
          <w:lang w:eastAsia="zh-CN"/>
        </w:rPr>
        <w:t>的复</w:t>
      </w:r>
      <w:r>
        <w:rPr>
          <w:rFonts w:hint="eastAsia" w:ascii="仿宋" w:hAnsi="仿宋" w:eastAsia="仿宋" w:cs="仿宋"/>
          <w:b w:val="0"/>
          <w:bCs w:val="0"/>
          <w:color w:val="000000"/>
          <w:kern w:val="0"/>
          <w:sz w:val="24"/>
          <w:szCs w:val="24"/>
          <w:highlight w:val="none"/>
        </w:rPr>
        <w:t>印件。</w:t>
      </w:r>
    </w:p>
    <w:p w14:paraId="636BC5F6">
      <w:pPr>
        <w:pStyle w:val="41"/>
        <w:rPr>
          <w:rFonts w:hint="eastAsia" w:ascii="仿宋" w:hAnsi="仿宋" w:eastAsia="仿宋" w:cs="仿宋"/>
          <w:b w:val="0"/>
          <w:bCs w:val="0"/>
          <w:color w:val="000000"/>
          <w:kern w:val="0"/>
          <w:sz w:val="24"/>
          <w:szCs w:val="24"/>
          <w:highlight w:val="none"/>
        </w:rPr>
      </w:pPr>
    </w:p>
    <w:p w14:paraId="7C1D53A0">
      <w:pPr>
        <w:rPr>
          <w:rFonts w:hint="eastAsia" w:ascii="仿宋" w:hAnsi="仿宋" w:eastAsia="仿宋" w:cs="仿宋"/>
          <w:b w:val="0"/>
          <w:bCs w:val="0"/>
          <w:color w:val="000000"/>
          <w:kern w:val="0"/>
          <w:sz w:val="24"/>
          <w:szCs w:val="24"/>
          <w:highlight w:val="none"/>
        </w:rPr>
      </w:pPr>
    </w:p>
    <w:p w14:paraId="10D54187">
      <w:pPr>
        <w:pStyle w:val="41"/>
        <w:rPr>
          <w:rFonts w:hint="eastAsia" w:ascii="仿宋" w:hAnsi="仿宋" w:eastAsia="仿宋" w:cs="仿宋"/>
          <w:b w:val="0"/>
          <w:bCs w:val="0"/>
          <w:color w:val="000000"/>
          <w:kern w:val="0"/>
          <w:sz w:val="24"/>
          <w:szCs w:val="24"/>
          <w:highlight w:val="none"/>
        </w:rPr>
      </w:pPr>
    </w:p>
    <w:p w14:paraId="1035FDDF">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1371D72">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11</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供应商认为需要提供的其他商务、技术材料</w:t>
      </w:r>
    </w:p>
    <w:p w14:paraId="0E5C7BEE">
      <w:pPr>
        <w:tabs>
          <w:tab w:val="left" w:pos="4000"/>
        </w:tabs>
        <w:snapToGrid w:val="0"/>
        <w:spacing w:line="360" w:lineRule="auto"/>
        <w:jc w:val="both"/>
        <w:rPr>
          <w:rFonts w:hint="eastAsia" w:ascii="仿宋" w:hAnsi="仿宋" w:eastAsia="仿宋" w:cs="仿宋"/>
          <w:b/>
          <w:bCs/>
          <w:sz w:val="28"/>
          <w:szCs w:val="28"/>
          <w:highlight w:val="none"/>
          <w:lang w:val="en-US" w:eastAsia="zh-CN"/>
        </w:rPr>
      </w:pPr>
    </w:p>
    <w:p w14:paraId="6D35BF88">
      <w:pPr>
        <w:tabs>
          <w:tab w:val="left" w:pos="4000"/>
        </w:tabs>
        <w:snapToGrid w:val="0"/>
        <w:spacing w:line="360" w:lineRule="auto"/>
        <w:jc w:val="both"/>
        <w:rPr>
          <w:rFonts w:hint="eastAsia" w:ascii="仿宋" w:hAnsi="仿宋" w:eastAsia="仿宋" w:cs="仿宋"/>
          <w:b/>
          <w:bCs/>
          <w:sz w:val="28"/>
          <w:szCs w:val="28"/>
          <w:highlight w:val="none"/>
          <w:lang w:val="en-US" w:eastAsia="zh-CN"/>
        </w:rPr>
      </w:pPr>
    </w:p>
    <w:p w14:paraId="3E27D636">
      <w:pPr>
        <w:tabs>
          <w:tab w:val="left" w:pos="4000"/>
        </w:tabs>
        <w:snapToGrid w:val="0"/>
        <w:spacing w:line="360" w:lineRule="auto"/>
        <w:jc w:val="both"/>
        <w:rPr>
          <w:rFonts w:hint="eastAsia" w:ascii="仿宋" w:hAnsi="仿宋" w:eastAsia="仿宋" w:cs="仿宋"/>
          <w:b/>
          <w:bCs/>
          <w:sz w:val="28"/>
          <w:szCs w:val="28"/>
          <w:highlight w:val="none"/>
          <w:lang w:val="en-US" w:eastAsia="zh-CN"/>
        </w:rPr>
      </w:pPr>
    </w:p>
    <w:p w14:paraId="4F4D33D2">
      <w:pPr>
        <w:tabs>
          <w:tab w:val="left" w:pos="4000"/>
        </w:tabs>
        <w:snapToGrid w:val="0"/>
        <w:spacing w:line="360" w:lineRule="auto"/>
        <w:jc w:val="both"/>
        <w:rPr>
          <w:rFonts w:hint="eastAsia" w:ascii="仿宋" w:hAnsi="仿宋" w:eastAsia="仿宋" w:cs="仿宋"/>
          <w:b/>
          <w:bCs/>
          <w:sz w:val="28"/>
          <w:szCs w:val="28"/>
          <w:highlight w:val="none"/>
          <w:lang w:val="en-US" w:eastAsia="zh-CN"/>
        </w:rPr>
      </w:pPr>
    </w:p>
    <w:p w14:paraId="45A4ED6D">
      <w:pPr>
        <w:pStyle w:val="27"/>
        <w:outlineLvl w:val="9"/>
        <w:rPr>
          <w:rFonts w:hint="eastAsia" w:ascii="仿宋" w:hAnsi="仿宋" w:eastAsia="仿宋" w:cs="仿宋"/>
          <w:b/>
          <w:color w:val="auto"/>
          <w:sz w:val="24"/>
          <w:highlight w:val="none"/>
        </w:rPr>
      </w:pPr>
    </w:p>
    <w:p w14:paraId="48385F68">
      <w:pPr>
        <w:pStyle w:val="27"/>
        <w:outlineLvl w:val="9"/>
        <w:rPr>
          <w:rFonts w:hint="eastAsia" w:ascii="仿宋" w:hAnsi="仿宋" w:eastAsia="仿宋" w:cs="仿宋"/>
          <w:b/>
          <w:color w:val="auto"/>
          <w:sz w:val="24"/>
          <w:highlight w:val="none"/>
        </w:rPr>
      </w:pPr>
    </w:p>
    <w:p w14:paraId="3EC1DFA5">
      <w:pPr>
        <w:pStyle w:val="27"/>
        <w:outlineLvl w:val="9"/>
        <w:rPr>
          <w:rFonts w:hint="eastAsia" w:ascii="仿宋" w:hAnsi="仿宋" w:eastAsia="仿宋" w:cs="仿宋"/>
          <w:b/>
          <w:color w:val="auto"/>
          <w:sz w:val="24"/>
          <w:highlight w:val="none"/>
        </w:rPr>
      </w:pPr>
    </w:p>
    <w:p w14:paraId="7D6EDA3E">
      <w:pPr>
        <w:pStyle w:val="27"/>
        <w:outlineLvl w:val="9"/>
        <w:rPr>
          <w:rFonts w:hint="eastAsia" w:ascii="仿宋" w:hAnsi="仿宋" w:eastAsia="仿宋" w:cs="仿宋"/>
          <w:b/>
          <w:color w:val="auto"/>
          <w:sz w:val="24"/>
          <w:highlight w:val="none"/>
        </w:rPr>
      </w:pPr>
    </w:p>
    <w:p w14:paraId="6CB46B79">
      <w:pPr>
        <w:pStyle w:val="27"/>
        <w:outlineLvl w:val="9"/>
        <w:rPr>
          <w:rFonts w:hint="eastAsia" w:ascii="仿宋" w:hAnsi="仿宋" w:eastAsia="仿宋" w:cs="仿宋"/>
          <w:b/>
          <w:color w:val="auto"/>
          <w:sz w:val="24"/>
          <w:highlight w:val="none"/>
        </w:rPr>
      </w:pPr>
    </w:p>
    <w:p w14:paraId="164E9BE8">
      <w:pPr>
        <w:keepNext w:val="0"/>
        <w:keepLines w:val="0"/>
        <w:pageBreakBefore w:val="0"/>
        <w:widowControl/>
        <w:tabs>
          <w:tab w:val="left" w:pos="567"/>
        </w:tabs>
        <w:kinsoku/>
        <w:overflowPunct/>
        <w:topLinePunct w:val="0"/>
        <w:autoSpaceDE/>
        <w:autoSpaceDN/>
        <w:bidi w:val="0"/>
        <w:snapToGrid w:val="0"/>
        <w:spacing w:line="560" w:lineRule="exact"/>
        <w:jc w:val="left"/>
        <w:textAlignment w:val="auto"/>
        <w:outlineLvl w:val="9"/>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sz w:val="24"/>
          <w:highlight w:val="none"/>
        </w:rPr>
        <w:br w:type="pag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kern w:val="0"/>
          <w:sz w:val="24"/>
          <w:szCs w:val="24"/>
          <w:highlight w:val="none"/>
        </w:rPr>
        <w:t>政策性要求</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如有）</w:t>
      </w:r>
    </w:p>
    <w:p w14:paraId="5B5886AE">
      <w:pPr>
        <w:keepNext w:val="0"/>
        <w:keepLines w:val="0"/>
        <w:pageBreakBefore w:val="0"/>
        <w:widowControl/>
        <w:kinsoku/>
        <w:overflowPunct/>
        <w:topLinePunct w:val="0"/>
        <w:autoSpaceDE/>
        <w:autoSpaceDN/>
        <w:bidi w:val="0"/>
        <w:snapToGrid w:val="0"/>
        <w:spacing w:line="560" w:lineRule="exact"/>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一</w:t>
      </w:r>
      <w:r>
        <w:rPr>
          <w:rFonts w:hint="eastAsia" w:ascii="仿宋" w:hAnsi="仿宋" w:eastAsia="仿宋" w:cs="仿宋"/>
          <w:b/>
          <w:color w:val="auto"/>
          <w:kern w:val="0"/>
          <w:sz w:val="24"/>
          <w:szCs w:val="24"/>
          <w:highlight w:val="none"/>
        </w:rPr>
        <w:t>）中小企业声明及证明材料（如不涉及，此函可不提供）</w:t>
      </w:r>
    </w:p>
    <w:p w14:paraId="33C643E2">
      <w:pPr>
        <w:keepNext w:val="0"/>
        <w:keepLines w:val="0"/>
        <w:pageBreakBefore w:val="0"/>
        <w:tabs>
          <w:tab w:val="left" w:pos="1680"/>
        </w:tabs>
        <w:kinsoku/>
        <w:overflowPunct/>
        <w:topLinePunct w:val="0"/>
        <w:autoSpaceDE/>
        <w:autoSpaceDN/>
        <w:bidi w:val="0"/>
        <w:snapToGrid w:val="0"/>
        <w:spacing w:after="240" w:afterLines="100" w:line="560" w:lineRule="exact"/>
        <w:jc w:val="center"/>
        <w:textAlignment w:val="auto"/>
        <w:outlineLvl w:val="9"/>
        <w:rPr>
          <w:rFonts w:hint="eastAsia" w:ascii="仿宋" w:hAnsi="仿宋" w:eastAsia="仿宋" w:cs="仿宋"/>
          <w:b/>
          <w:color w:val="auto"/>
          <w:sz w:val="24"/>
          <w:szCs w:val="24"/>
          <w:highlight w:val="none"/>
        </w:rPr>
      </w:pPr>
    </w:p>
    <w:p w14:paraId="7B5525B5">
      <w:pPr>
        <w:keepNext w:val="0"/>
        <w:keepLines w:val="0"/>
        <w:pageBreakBefore w:val="0"/>
        <w:tabs>
          <w:tab w:val="left" w:pos="1680"/>
        </w:tabs>
        <w:kinsoku/>
        <w:overflowPunct/>
        <w:topLinePunct w:val="0"/>
        <w:autoSpaceDE/>
        <w:autoSpaceDN/>
        <w:bidi w:val="0"/>
        <w:snapToGrid w:val="0"/>
        <w:spacing w:after="240" w:afterLines="100" w:line="56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w:t>
      </w:r>
    </w:p>
    <w:p w14:paraId="6E567B72">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spacing w:val="0"/>
          <w:kern w:val="0"/>
          <w:sz w:val="24"/>
          <w:szCs w:val="24"/>
          <w:highlight w:val="none"/>
          <w:u w:val="single"/>
          <w:lang w:val="en-US" w:eastAsia="zh-CN" w:bidi="ar-SA"/>
        </w:rPr>
        <w:t>(单位名称)</w:t>
      </w:r>
      <w:r>
        <w:rPr>
          <w:rFonts w:hint="eastAsia" w:ascii="仿宋" w:hAnsi="仿宋" w:eastAsia="仿宋" w:cs="仿宋"/>
          <w:spacing w:val="0"/>
          <w:kern w:val="0"/>
          <w:sz w:val="24"/>
          <w:szCs w:val="24"/>
          <w:highlight w:val="none"/>
          <w:lang w:val="en-US" w:eastAsia="zh-CN" w:bidi="ar-SA"/>
        </w:rPr>
        <w:t>的</w:t>
      </w:r>
      <w:r>
        <w:rPr>
          <w:rFonts w:hint="eastAsia" w:ascii="仿宋" w:hAnsi="仿宋" w:eastAsia="仿宋" w:cs="仿宋"/>
          <w:spacing w:val="0"/>
          <w:kern w:val="0"/>
          <w:sz w:val="24"/>
          <w:szCs w:val="24"/>
          <w:highlight w:val="none"/>
          <w:u w:val="single"/>
          <w:lang w:val="en-US" w:eastAsia="zh-CN" w:bidi="ar-SA"/>
        </w:rPr>
        <w:t>(项目名称)</w:t>
      </w:r>
      <w:r>
        <w:rPr>
          <w:rFonts w:hint="eastAsia" w:ascii="仿宋" w:hAnsi="仿宋" w:eastAsia="仿宋" w:cs="仿宋"/>
          <w:spacing w:val="0"/>
          <w:kern w:val="0"/>
          <w:sz w:val="24"/>
          <w:szCs w:val="24"/>
          <w:highlight w:val="none"/>
          <w:lang w:val="en-US" w:eastAsia="zh-CN" w:bidi="ar-SA"/>
        </w:rPr>
        <w:t>采购活动,服务全部由符合政策要求的小、微企业承接。相关企业(含联合体中的小、微企业、签订分包意向协议的小、微企业)的具体情况如下:</w:t>
      </w:r>
    </w:p>
    <w:p w14:paraId="5972EE49">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1.</w:t>
      </w:r>
      <w:r>
        <w:rPr>
          <w:rFonts w:hint="eastAsia" w:ascii="仿宋" w:hAnsi="仿宋" w:eastAsia="仿宋" w:cs="仿宋"/>
          <w:spacing w:val="0"/>
          <w:kern w:val="0"/>
          <w:sz w:val="24"/>
          <w:szCs w:val="24"/>
          <w:highlight w:val="none"/>
          <w:u w:val="single"/>
          <w:lang w:val="en-US" w:eastAsia="zh-CN" w:bidi="ar-SA"/>
        </w:rPr>
        <w:t>（智慧医疗智能体服务平台）</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（软件和信息技术服务业）</w:t>
      </w:r>
      <w:r>
        <w:rPr>
          <w:rFonts w:hint="eastAsia" w:ascii="仿宋" w:hAnsi="仿宋" w:eastAsia="仿宋" w:cs="仿宋"/>
          <w:spacing w:val="0"/>
          <w:kern w:val="0"/>
          <w:sz w:val="24"/>
          <w:szCs w:val="24"/>
          <w:highlight w:val="none"/>
          <w:lang w:val="en-US" w:eastAsia="zh-CN" w:bidi="ar-SA"/>
        </w:rPr>
        <w:t>；承接企业为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7A33EA4F">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2.</w:t>
      </w:r>
      <w:r>
        <w:rPr>
          <w:rFonts w:hint="eastAsia" w:ascii="仿宋" w:hAnsi="仿宋" w:eastAsia="仿宋" w:cs="仿宋"/>
          <w:spacing w:val="0"/>
          <w:kern w:val="0"/>
          <w:sz w:val="24"/>
          <w:szCs w:val="24"/>
          <w:highlight w:val="none"/>
          <w:u w:val="single"/>
          <w:lang w:val="en-US" w:eastAsia="zh-CN" w:bidi="ar-SA"/>
        </w:rPr>
        <w:t>(训推一体算力服务器)</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008C5933">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3.</w:t>
      </w:r>
      <w:r>
        <w:rPr>
          <w:rFonts w:hint="eastAsia" w:ascii="仿宋" w:hAnsi="仿宋" w:eastAsia="仿宋" w:cs="仿宋"/>
          <w:spacing w:val="0"/>
          <w:kern w:val="0"/>
          <w:sz w:val="24"/>
          <w:szCs w:val="24"/>
          <w:highlight w:val="none"/>
          <w:u w:val="single"/>
          <w:lang w:val="en-US" w:eastAsia="zh-CN" w:bidi="ar-SA"/>
        </w:rPr>
        <w:t>(应用服务器)</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0D1CCD37">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4.</w:t>
      </w:r>
      <w:r>
        <w:rPr>
          <w:rFonts w:hint="eastAsia" w:ascii="仿宋" w:hAnsi="仿宋" w:eastAsia="仿宋" w:cs="仿宋"/>
          <w:spacing w:val="0"/>
          <w:kern w:val="0"/>
          <w:sz w:val="24"/>
          <w:szCs w:val="24"/>
          <w:highlight w:val="none"/>
          <w:u w:val="single"/>
          <w:lang w:val="en-US" w:eastAsia="zh-CN" w:bidi="ar-SA"/>
        </w:rPr>
        <w:t>(数据服务器)</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566445C3">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5.</w:t>
      </w:r>
      <w:r>
        <w:rPr>
          <w:rFonts w:hint="eastAsia" w:ascii="仿宋" w:hAnsi="仿宋" w:eastAsia="仿宋" w:cs="仿宋"/>
          <w:spacing w:val="0"/>
          <w:kern w:val="0"/>
          <w:sz w:val="24"/>
          <w:szCs w:val="24"/>
          <w:highlight w:val="none"/>
          <w:u w:val="single"/>
          <w:lang w:val="en-US" w:eastAsia="zh-CN" w:bidi="ar-SA"/>
        </w:rPr>
        <w:t>(移动病历书写终端)</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414501B6">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6.</w:t>
      </w:r>
      <w:r>
        <w:rPr>
          <w:rFonts w:hint="eastAsia" w:ascii="仿宋" w:hAnsi="仿宋" w:eastAsia="仿宋" w:cs="仿宋"/>
          <w:spacing w:val="0"/>
          <w:kern w:val="0"/>
          <w:sz w:val="24"/>
          <w:szCs w:val="24"/>
          <w:highlight w:val="none"/>
          <w:u w:val="single"/>
          <w:lang w:val="en-US" w:eastAsia="zh-CN" w:bidi="ar-SA"/>
        </w:rPr>
        <w:t>(固定式收音设备)</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4874DACD">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7.</w:t>
      </w:r>
      <w:r>
        <w:rPr>
          <w:rFonts w:hint="eastAsia" w:ascii="仿宋" w:hAnsi="仿宋" w:eastAsia="仿宋" w:cs="仿宋"/>
          <w:spacing w:val="0"/>
          <w:kern w:val="0"/>
          <w:sz w:val="24"/>
          <w:szCs w:val="24"/>
          <w:highlight w:val="none"/>
          <w:u w:val="single"/>
          <w:lang w:val="en-US" w:eastAsia="zh-CN" w:bidi="ar-SA"/>
        </w:rPr>
        <w:t>(移动式收音设备)</w:t>
      </w:r>
      <w:r>
        <w:rPr>
          <w:rFonts w:hint="eastAsia" w:ascii="仿宋" w:hAnsi="仿宋" w:eastAsia="仿宋" w:cs="仿宋"/>
          <w:spacing w:val="0"/>
          <w:kern w:val="0"/>
          <w:sz w:val="24"/>
          <w:szCs w:val="24"/>
          <w:highlight w:val="none"/>
          <w:lang w:val="en-US" w:eastAsia="zh-CN" w:bidi="ar-SA"/>
        </w:rPr>
        <w:t>,属于</w:t>
      </w:r>
      <w:r>
        <w:rPr>
          <w:rFonts w:hint="eastAsia" w:ascii="仿宋" w:hAnsi="仿宋" w:eastAsia="仿宋" w:cs="仿宋"/>
          <w:spacing w:val="0"/>
          <w:kern w:val="0"/>
          <w:sz w:val="24"/>
          <w:szCs w:val="24"/>
          <w:highlight w:val="none"/>
          <w:u w:val="single"/>
          <w:lang w:val="en-US" w:eastAsia="zh-CN" w:bidi="ar-SA"/>
        </w:rPr>
        <w:t>（工业）</w:t>
      </w:r>
      <w:r>
        <w:rPr>
          <w:rFonts w:hint="eastAsia" w:ascii="仿宋" w:hAnsi="仿宋" w:eastAsia="仿宋" w:cs="仿宋"/>
          <w:spacing w:val="0"/>
          <w:kern w:val="0"/>
          <w:sz w:val="24"/>
          <w:szCs w:val="24"/>
          <w:highlight w:val="none"/>
          <w:lang w:val="en-US" w:eastAsia="zh-CN" w:bidi="ar-SA"/>
        </w:rPr>
        <w:t>；制造商为</w:t>
      </w:r>
      <w:r>
        <w:rPr>
          <w:rFonts w:hint="eastAsia" w:ascii="仿宋" w:hAnsi="仿宋" w:eastAsia="仿宋" w:cs="仿宋"/>
          <w:spacing w:val="0"/>
          <w:kern w:val="0"/>
          <w:sz w:val="24"/>
          <w:szCs w:val="24"/>
          <w:highlight w:val="none"/>
          <w:u w:val="single"/>
          <w:lang w:val="en-US" w:eastAsia="zh-CN" w:bidi="ar-SA"/>
        </w:rPr>
        <w:t>（企业名称）</w:t>
      </w:r>
      <w:r>
        <w:rPr>
          <w:rFonts w:hint="eastAsia" w:ascii="仿宋" w:hAnsi="仿宋" w:eastAsia="仿宋" w:cs="仿宋"/>
          <w:spacing w:val="0"/>
          <w:kern w:val="0"/>
          <w:sz w:val="24"/>
          <w:szCs w:val="24"/>
          <w:highlight w:val="none"/>
          <w:lang w:val="en-US" w:eastAsia="zh-CN" w:bidi="ar-SA"/>
        </w:rPr>
        <w:t>，从业人员</w:t>
      </w:r>
      <w:r>
        <w:rPr>
          <w:rFonts w:hint="eastAsia" w:ascii="仿宋" w:hAnsi="仿宋" w:eastAsia="仿宋" w:cs="仿宋"/>
          <w:spacing w:val="0"/>
          <w:kern w:val="0"/>
          <w:sz w:val="24"/>
          <w:szCs w:val="24"/>
          <w:highlight w:val="none"/>
          <w:u w:val="single"/>
          <w:lang w:val="en-US" w:eastAsia="zh-CN" w:bidi="ar-SA"/>
        </w:rPr>
        <w:t>（人数）</w:t>
      </w:r>
      <w:r>
        <w:rPr>
          <w:rFonts w:hint="eastAsia" w:ascii="仿宋" w:hAnsi="仿宋" w:eastAsia="仿宋" w:cs="仿宋"/>
          <w:spacing w:val="0"/>
          <w:kern w:val="0"/>
          <w:sz w:val="24"/>
          <w:szCs w:val="24"/>
          <w:highlight w:val="none"/>
          <w:lang w:val="en-US" w:eastAsia="zh-CN" w:bidi="ar-SA"/>
        </w:rPr>
        <w:t>人,营业收入为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万元,资产总额为</w:t>
      </w:r>
      <w:r>
        <w:rPr>
          <w:rFonts w:hint="eastAsia" w:ascii="仿宋" w:hAnsi="仿宋" w:eastAsia="仿宋" w:cs="仿宋"/>
          <w:spacing w:val="0"/>
          <w:kern w:val="0"/>
          <w:sz w:val="24"/>
          <w:szCs w:val="24"/>
          <w:highlight w:val="none"/>
          <w:u w:val="single"/>
          <w:lang w:val="en-US" w:eastAsia="zh-CN" w:bidi="ar-SA"/>
        </w:rPr>
        <w:t>（小写）</w:t>
      </w:r>
      <w:r>
        <w:rPr>
          <w:rFonts w:hint="eastAsia" w:ascii="仿宋" w:hAnsi="仿宋" w:eastAsia="仿宋" w:cs="仿宋"/>
          <w:spacing w:val="0"/>
          <w:kern w:val="0"/>
          <w:sz w:val="24"/>
          <w:szCs w:val="24"/>
          <w:highlight w:val="none"/>
          <w:lang w:val="en-US" w:eastAsia="zh-CN" w:bidi="ar-SA"/>
        </w:rPr>
        <w:t>万元,属于</w:t>
      </w:r>
      <w:r>
        <w:rPr>
          <w:rFonts w:hint="eastAsia" w:ascii="仿宋" w:hAnsi="仿宋" w:eastAsia="仿宋" w:cs="仿宋"/>
          <w:spacing w:val="0"/>
          <w:kern w:val="0"/>
          <w:sz w:val="24"/>
          <w:szCs w:val="24"/>
          <w:highlight w:val="none"/>
          <w:u w:val="single"/>
          <w:lang w:val="en-US" w:eastAsia="zh-CN" w:bidi="ar-SA"/>
        </w:rPr>
        <w:t>(中型企业、小型企业、微型企业)</w:t>
      </w:r>
      <w:r>
        <w:rPr>
          <w:rFonts w:hint="eastAsia" w:ascii="仿宋" w:hAnsi="仿宋" w:eastAsia="仿宋" w:cs="仿宋"/>
          <w:spacing w:val="0"/>
          <w:kern w:val="0"/>
          <w:sz w:val="24"/>
          <w:szCs w:val="24"/>
          <w:highlight w:val="none"/>
          <w:lang w:val="en-US" w:eastAsia="zh-CN" w:bidi="ar-SA"/>
        </w:rPr>
        <w:t>;</w:t>
      </w:r>
    </w:p>
    <w:p w14:paraId="7C711866">
      <w:pPr>
        <w:keepNext w:val="0"/>
        <w:keepLines w:val="0"/>
        <w:pageBreakBefore w:val="0"/>
        <w:kinsoku/>
        <w:overflowPunct/>
        <w:topLinePunct w:val="0"/>
        <w:autoSpaceDE/>
        <w:autoSpaceDN/>
        <w:bidi w:val="0"/>
        <w:spacing w:line="560" w:lineRule="exact"/>
        <w:ind w:firstLine="480" w:firstLineChars="200"/>
        <w:textAlignment w:val="auto"/>
        <w:rPr>
          <w:rFonts w:hint="default"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8.......</w:t>
      </w:r>
    </w:p>
    <w:p w14:paraId="781E3374">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p>
    <w:p w14:paraId="21BC623E">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以上企业，不属于大企业的分支机构，不存在控股股东为大企业的情形，也不存在与大企业的负责人为同一人的情形。</w:t>
      </w:r>
    </w:p>
    <w:p w14:paraId="4DA22F6B">
      <w:pPr>
        <w:keepNext w:val="0"/>
        <w:keepLines w:val="0"/>
        <w:pageBreakBefore w:val="0"/>
        <w:kinsoku/>
        <w:overflowPunct/>
        <w:topLinePunct w:val="0"/>
        <w:autoSpaceDE/>
        <w:autoSpaceDN/>
        <w:bidi w:val="0"/>
        <w:spacing w:line="560" w:lineRule="exact"/>
        <w:ind w:firstLine="480" w:firstLineChars="200"/>
        <w:textAlignment w:val="auto"/>
        <w:rPr>
          <w:rFonts w:hint="eastAsia" w:ascii="仿宋" w:hAnsi="仿宋" w:eastAsia="仿宋" w:cs="仿宋"/>
          <w:spacing w:val="2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本企业对上述声明内容的真实性负责。如有虚假,将依法承担相应责任</w:t>
      </w:r>
      <w:r>
        <w:rPr>
          <w:rFonts w:hint="eastAsia" w:ascii="仿宋" w:hAnsi="仿宋" w:eastAsia="仿宋" w:cs="仿宋"/>
          <w:spacing w:val="20"/>
          <w:kern w:val="0"/>
          <w:sz w:val="24"/>
          <w:szCs w:val="24"/>
          <w:highlight w:val="none"/>
          <w:lang w:val="en-US" w:eastAsia="zh-CN" w:bidi="ar-SA"/>
        </w:rPr>
        <w:t>。</w:t>
      </w:r>
    </w:p>
    <w:p w14:paraId="7BE772EA">
      <w:pPr>
        <w:keepNext w:val="0"/>
        <w:keepLines w:val="0"/>
        <w:pageBreakBefore w:val="0"/>
        <w:kinsoku/>
        <w:overflowPunct/>
        <w:topLinePunct w:val="0"/>
        <w:autoSpaceDE/>
        <w:autoSpaceDN/>
        <w:bidi w:val="0"/>
        <w:spacing w:line="560" w:lineRule="exact"/>
        <w:ind w:firstLine="482" w:firstLineChars="200"/>
        <w:textAlignment w:val="auto"/>
        <w:rPr>
          <w:rFonts w:hint="eastAsia" w:ascii="仿宋" w:hAnsi="仿宋" w:eastAsia="仿宋" w:cs="仿宋"/>
          <w:b/>
          <w:sz w:val="24"/>
          <w:szCs w:val="24"/>
          <w:highlight w:val="none"/>
        </w:rPr>
      </w:pPr>
    </w:p>
    <w:p w14:paraId="3076C2B6">
      <w:pPr>
        <w:keepNext w:val="0"/>
        <w:keepLines w:val="0"/>
        <w:pageBreakBefore w:val="0"/>
        <w:kinsoku/>
        <w:overflowPunct/>
        <w:topLinePunct w:val="0"/>
        <w:autoSpaceDE/>
        <w:autoSpaceDN/>
        <w:bidi w:val="0"/>
        <w:spacing w:line="560" w:lineRule="exact"/>
        <w:ind w:firstLine="4819" w:firstLineChars="2000"/>
        <w:textAlignment w:val="auto"/>
        <w:rPr>
          <w:rFonts w:hint="eastAsia" w:ascii="仿宋" w:hAnsi="仿宋" w:eastAsia="仿宋" w:cs="仿宋"/>
          <w:b/>
          <w:sz w:val="24"/>
          <w:szCs w:val="24"/>
          <w:highlight w:val="none"/>
        </w:rPr>
      </w:pPr>
    </w:p>
    <w:p w14:paraId="6E062838">
      <w:pPr>
        <w:keepNext w:val="0"/>
        <w:keepLines w:val="0"/>
        <w:pageBreakBefore w:val="0"/>
        <w:kinsoku/>
        <w:overflowPunct/>
        <w:topLinePunct w:val="0"/>
        <w:autoSpaceDE/>
        <w:autoSpaceDN/>
        <w:bidi w:val="0"/>
        <w:spacing w:line="560" w:lineRule="exact"/>
        <w:ind w:firstLine="4800" w:firstLineChars="20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供应商</w:t>
      </w:r>
      <w:r>
        <w:rPr>
          <w:rFonts w:hint="eastAsia" w:ascii="仿宋" w:hAnsi="仿宋" w:eastAsia="仿宋" w:cs="仿宋"/>
          <w:b w:val="0"/>
          <w:bCs/>
          <w:sz w:val="24"/>
          <w:szCs w:val="24"/>
          <w:highlight w:val="none"/>
        </w:rPr>
        <w:t>名称：(</w:t>
      </w:r>
      <w:r>
        <w:rPr>
          <w:rFonts w:hint="eastAsia" w:ascii="仿宋" w:hAnsi="仿宋" w:eastAsia="仿宋" w:cs="仿宋"/>
          <w:b w:val="0"/>
          <w:bCs/>
          <w:sz w:val="24"/>
          <w:szCs w:val="24"/>
          <w:highlight w:val="none"/>
          <w:lang w:val="en-US" w:eastAsia="zh-CN"/>
        </w:rPr>
        <w:t>加盖公章</w:t>
      </w:r>
      <w:r>
        <w:rPr>
          <w:rFonts w:hint="eastAsia" w:ascii="仿宋" w:hAnsi="仿宋" w:eastAsia="仿宋" w:cs="仿宋"/>
          <w:b w:val="0"/>
          <w:bCs/>
          <w:sz w:val="24"/>
          <w:szCs w:val="24"/>
          <w:highlight w:val="none"/>
        </w:rPr>
        <w:t>)</w:t>
      </w:r>
    </w:p>
    <w:p w14:paraId="4F691B63">
      <w:pPr>
        <w:keepNext w:val="0"/>
        <w:keepLines w:val="0"/>
        <w:pageBreakBefore w:val="0"/>
        <w:kinsoku/>
        <w:overflowPunct/>
        <w:topLinePunct w:val="0"/>
        <w:autoSpaceDE/>
        <w:autoSpaceDN/>
        <w:bidi w:val="0"/>
        <w:spacing w:line="560" w:lineRule="exact"/>
        <w:ind w:firstLine="4800" w:firstLineChars="2000"/>
        <w:textAlignment w:val="auto"/>
        <w:rPr>
          <w:rFonts w:hint="eastAsia" w:ascii="仿宋" w:hAnsi="仿宋" w:eastAsia="仿宋" w:cs="仿宋"/>
          <w:b/>
          <w:sz w:val="24"/>
          <w:szCs w:val="24"/>
          <w:highlight w:val="none"/>
          <w:lang w:eastAsia="zh-CN"/>
        </w:rPr>
      </w:pPr>
      <w:r>
        <w:rPr>
          <w:rFonts w:hint="eastAsia" w:ascii="仿宋" w:hAnsi="仿宋" w:eastAsia="仿宋" w:cs="仿宋"/>
          <w:b w:val="0"/>
          <w:bCs/>
          <w:sz w:val="24"/>
          <w:szCs w:val="24"/>
          <w:highlight w:val="none"/>
        </w:rPr>
        <w:t>日期</w:t>
      </w:r>
      <w:r>
        <w:rPr>
          <w:rFonts w:hint="eastAsia" w:ascii="仿宋" w:hAnsi="仿宋" w:eastAsia="仿宋" w:cs="仿宋"/>
          <w:b w:val="0"/>
          <w:bCs/>
          <w:sz w:val="24"/>
          <w:szCs w:val="24"/>
          <w:highlight w:val="none"/>
          <w:lang w:eastAsia="zh-CN"/>
        </w:rPr>
        <w:t>：</w:t>
      </w:r>
    </w:p>
    <w:p w14:paraId="0720C5CF">
      <w:pPr>
        <w:keepNext w:val="0"/>
        <w:keepLines w:val="0"/>
        <w:pageBreakBefore w:val="0"/>
        <w:kinsoku/>
        <w:overflowPunct/>
        <w:topLinePunct w:val="0"/>
        <w:autoSpaceDE/>
        <w:autoSpaceDN/>
        <w:bidi w:val="0"/>
        <w:spacing w:line="560" w:lineRule="exact"/>
        <w:ind w:firstLine="354" w:firstLineChars="147"/>
        <w:textAlignment w:val="auto"/>
        <w:rPr>
          <w:rFonts w:hint="eastAsia" w:ascii="仿宋" w:hAnsi="仿宋" w:eastAsia="仿宋" w:cs="仿宋"/>
          <w:b/>
          <w:sz w:val="24"/>
          <w:szCs w:val="24"/>
          <w:highlight w:val="none"/>
        </w:rPr>
      </w:pPr>
    </w:p>
    <w:p w14:paraId="699A2AF9">
      <w:pPr>
        <w:keepNext w:val="0"/>
        <w:keepLines w:val="0"/>
        <w:pageBreakBefore w:val="0"/>
        <w:kinsoku/>
        <w:overflowPunct/>
        <w:topLinePunct w:val="0"/>
        <w:autoSpaceDE/>
        <w:autoSpaceDN/>
        <w:bidi w:val="0"/>
        <w:spacing w:line="56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注：从业人员、营业收入、资产总额填报上一年度数据,无一年度数据的新成立企业可不填报。</w:t>
      </w:r>
    </w:p>
    <w:p w14:paraId="3707F3D3">
      <w:pPr>
        <w:keepNext w:val="0"/>
        <w:keepLines w:val="0"/>
        <w:pageBreakBefore w:val="0"/>
        <w:kinsoku/>
        <w:overflowPunct/>
        <w:topLinePunct w:val="0"/>
        <w:autoSpaceDE/>
        <w:autoSpaceDN/>
        <w:bidi w:val="0"/>
        <w:spacing w:line="560" w:lineRule="exact"/>
        <w:jc w:val="left"/>
        <w:textAlignment w:val="auto"/>
        <w:outlineLvl w:val="9"/>
        <w:rPr>
          <w:rFonts w:hint="eastAsia" w:ascii="仿宋" w:hAnsi="仿宋" w:eastAsia="仿宋" w:cs="仿宋"/>
          <w:b/>
          <w:color w:val="auto"/>
          <w:sz w:val="24"/>
          <w:szCs w:val="24"/>
          <w:highlight w:val="none"/>
        </w:rPr>
      </w:pPr>
    </w:p>
    <w:p w14:paraId="3EE06838">
      <w:pPr>
        <w:pStyle w:val="27"/>
        <w:keepNext w:val="0"/>
        <w:keepLines w:val="0"/>
        <w:pageBreakBefore w:val="0"/>
        <w:kinsoku/>
        <w:overflowPunct/>
        <w:topLinePunct w:val="0"/>
        <w:autoSpaceDE/>
        <w:autoSpaceDN/>
        <w:bidi w:val="0"/>
        <w:spacing w:line="560" w:lineRule="exact"/>
        <w:textAlignment w:val="auto"/>
        <w:outlineLvl w:val="9"/>
        <w:rPr>
          <w:rFonts w:hint="eastAsia" w:ascii="仿宋" w:hAnsi="仿宋" w:eastAsia="仿宋" w:cs="仿宋"/>
          <w:color w:val="auto"/>
          <w:sz w:val="24"/>
          <w:szCs w:val="24"/>
          <w:highlight w:val="none"/>
        </w:rPr>
      </w:pPr>
    </w:p>
    <w:p w14:paraId="54A2C4D6">
      <w:pPr>
        <w:keepNext w:val="0"/>
        <w:keepLines w:val="0"/>
        <w:pageBreakBefore w:val="0"/>
        <w:kinsoku/>
        <w:overflowPunct/>
        <w:topLinePunct w:val="0"/>
        <w:autoSpaceDE/>
        <w:autoSpaceDN/>
        <w:bidi w:val="0"/>
        <w:spacing w:line="560" w:lineRule="exact"/>
        <w:jc w:val="left"/>
        <w:textAlignment w:val="auto"/>
        <w:outlineLvl w:val="9"/>
        <w:rPr>
          <w:rFonts w:hint="eastAsia" w:ascii="仿宋" w:hAnsi="仿宋" w:eastAsia="仿宋" w:cs="仿宋"/>
          <w:b/>
          <w:color w:val="auto"/>
          <w:spacing w:val="6"/>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r>
        <w:rPr>
          <w:rFonts w:hint="eastAsia" w:ascii="仿宋" w:hAnsi="仿宋" w:eastAsia="仿宋" w:cs="仿宋"/>
          <w:b/>
          <w:color w:val="auto"/>
          <w:spacing w:val="6"/>
          <w:sz w:val="24"/>
          <w:szCs w:val="24"/>
          <w:highlight w:val="none"/>
        </w:rPr>
        <w:t>残疾人福利性单位声明函</w:t>
      </w:r>
      <w:r>
        <w:rPr>
          <w:rFonts w:hint="eastAsia" w:ascii="仿宋" w:hAnsi="仿宋" w:eastAsia="仿宋" w:cs="仿宋"/>
          <w:b/>
          <w:color w:val="auto"/>
          <w:sz w:val="24"/>
          <w:szCs w:val="24"/>
          <w:highlight w:val="none"/>
        </w:rPr>
        <w:t>格式</w:t>
      </w:r>
      <w:r>
        <w:rPr>
          <w:rFonts w:hint="eastAsia" w:ascii="仿宋" w:hAnsi="仿宋" w:eastAsia="仿宋" w:cs="仿宋"/>
          <w:b/>
          <w:color w:val="auto"/>
          <w:kern w:val="0"/>
          <w:sz w:val="24"/>
          <w:szCs w:val="24"/>
          <w:highlight w:val="none"/>
        </w:rPr>
        <w:t>（如不涉及，此函可不提供）</w:t>
      </w:r>
    </w:p>
    <w:p w14:paraId="5AC7AE23">
      <w:pPr>
        <w:keepNext w:val="0"/>
        <w:keepLines w:val="0"/>
        <w:pageBreakBefore w:val="0"/>
        <w:kinsoku/>
        <w:overflowPunct/>
        <w:topLinePunct w:val="0"/>
        <w:autoSpaceDE/>
        <w:autoSpaceDN/>
        <w:bidi w:val="0"/>
        <w:spacing w:line="560" w:lineRule="exact"/>
        <w:jc w:val="center"/>
        <w:textAlignment w:val="auto"/>
        <w:outlineLvl w:val="9"/>
        <w:rPr>
          <w:rFonts w:hint="eastAsia" w:ascii="仿宋" w:hAnsi="仿宋" w:eastAsia="仿宋" w:cs="仿宋"/>
          <w:b/>
          <w:color w:val="auto"/>
          <w:spacing w:val="6"/>
          <w:sz w:val="24"/>
          <w:szCs w:val="24"/>
          <w:highlight w:val="none"/>
        </w:rPr>
      </w:pPr>
    </w:p>
    <w:p w14:paraId="6A7C0986">
      <w:pPr>
        <w:keepNext w:val="0"/>
        <w:keepLines w:val="0"/>
        <w:pageBreakBefore w:val="0"/>
        <w:kinsoku/>
        <w:overflowPunct/>
        <w:topLinePunct w:val="0"/>
        <w:autoSpaceDE/>
        <w:autoSpaceDN/>
        <w:bidi w:val="0"/>
        <w:spacing w:line="56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pacing w:val="6"/>
          <w:sz w:val="24"/>
          <w:szCs w:val="24"/>
          <w:highlight w:val="none"/>
        </w:rPr>
        <w:t>残疾人福利性单位声明函</w:t>
      </w:r>
    </w:p>
    <w:p w14:paraId="35189576">
      <w:pPr>
        <w:keepNext w:val="0"/>
        <w:keepLines w:val="0"/>
        <w:pageBreakBefore w:val="0"/>
        <w:tabs>
          <w:tab w:val="left" w:pos="1680"/>
        </w:tabs>
        <w:kinsoku/>
        <w:overflowPunct/>
        <w:topLinePunct w:val="0"/>
        <w:autoSpaceDE/>
        <w:autoSpaceDN/>
        <w:bidi w:val="0"/>
        <w:snapToGrid w:val="0"/>
        <w:spacing w:line="560" w:lineRule="exact"/>
        <w:jc w:val="center"/>
        <w:textAlignment w:val="auto"/>
        <w:outlineLvl w:val="9"/>
        <w:rPr>
          <w:rFonts w:hint="eastAsia" w:ascii="仿宋" w:hAnsi="仿宋" w:eastAsia="仿宋" w:cs="仿宋"/>
          <w:b/>
          <w:color w:val="auto"/>
          <w:sz w:val="24"/>
          <w:szCs w:val="24"/>
          <w:highlight w:val="none"/>
        </w:rPr>
      </w:pPr>
    </w:p>
    <w:p w14:paraId="56A82626">
      <w:pPr>
        <w:keepNext w:val="0"/>
        <w:keepLines w:val="0"/>
        <w:pageBreakBefore w:val="0"/>
        <w:kinsoku/>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z w:val="24"/>
          <w:szCs w:val="24"/>
          <w:highlight w:val="none"/>
        </w:rPr>
        <w:t>：__________________）采购活动提供本单位制造的货物（由本单位承担工程/提供服务），或者提供其他残疾人福利性单位制造的货物（不包括使用非残疾人福利性单位注册商标的货物）。</w:t>
      </w:r>
    </w:p>
    <w:p w14:paraId="75470A62">
      <w:pPr>
        <w:keepNext w:val="0"/>
        <w:keepLines w:val="0"/>
        <w:pageBreakBefore w:val="0"/>
        <w:kinsoku/>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1145BA01">
      <w:pPr>
        <w:keepNext w:val="0"/>
        <w:keepLines w:val="0"/>
        <w:pageBreakBefore w:val="0"/>
        <w:kinsoku/>
        <w:overflowPunct/>
        <w:topLinePunct w:val="0"/>
        <w:autoSpaceDE/>
        <w:autoSpaceDN/>
        <w:bidi w:val="0"/>
        <w:spacing w:line="560" w:lineRule="exact"/>
        <w:ind w:firstLine="504" w:firstLineChars="200"/>
        <w:textAlignment w:val="auto"/>
        <w:outlineLvl w:val="9"/>
        <w:rPr>
          <w:rFonts w:hint="eastAsia" w:ascii="仿宋" w:hAnsi="仿宋" w:eastAsia="仿宋" w:cs="仿宋"/>
          <w:color w:val="auto"/>
          <w:spacing w:val="6"/>
          <w:sz w:val="24"/>
          <w:szCs w:val="24"/>
          <w:highlight w:val="none"/>
        </w:rPr>
      </w:pPr>
    </w:p>
    <w:p w14:paraId="736F7CB9">
      <w:pPr>
        <w:keepNext w:val="0"/>
        <w:keepLines w:val="0"/>
        <w:pageBreakBefore w:val="0"/>
        <w:kinsoku/>
        <w:overflowPunct/>
        <w:topLinePunct w:val="0"/>
        <w:autoSpaceDE/>
        <w:autoSpaceDN/>
        <w:bidi w:val="0"/>
        <w:spacing w:line="560" w:lineRule="exact"/>
        <w:ind w:firstLine="504" w:firstLineChars="200"/>
        <w:textAlignment w:val="auto"/>
        <w:outlineLvl w:val="9"/>
        <w:rPr>
          <w:rFonts w:hint="eastAsia" w:ascii="仿宋" w:hAnsi="仿宋" w:eastAsia="仿宋" w:cs="仿宋"/>
          <w:color w:val="auto"/>
          <w:spacing w:val="6"/>
          <w:sz w:val="24"/>
          <w:szCs w:val="24"/>
          <w:highlight w:val="none"/>
        </w:rPr>
      </w:pPr>
    </w:p>
    <w:p w14:paraId="18C2658B">
      <w:pPr>
        <w:pStyle w:val="65"/>
        <w:keepNext w:val="0"/>
        <w:keepLines w:val="0"/>
        <w:pageBreakBefore w:val="0"/>
        <w:kinsoku/>
        <w:overflowPunct/>
        <w:topLinePunct w:val="0"/>
        <w:autoSpaceDE/>
        <w:autoSpaceDN/>
        <w:bidi w:val="0"/>
        <w:snapToGrid w:val="0"/>
        <w:spacing w:line="560" w:lineRule="exact"/>
        <w:ind w:firstLine="4320" w:firstLineChars="18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加盖公章</w:t>
      </w:r>
      <w:r>
        <w:rPr>
          <w:rFonts w:hint="eastAsia" w:ascii="仿宋" w:hAnsi="仿宋" w:eastAsia="仿宋" w:cs="仿宋"/>
          <w:color w:val="auto"/>
          <w:sz w:val="24"/>
          <w:szCs w:val="24"/>
          <w:highlight w:val="none"/>
        </w:rPr>
        <w:t>）</w:t>
      </w:r>
    </w:p>
    <w:p w14:paraId="7016CF6E">
      <w:pPr>
        <w:keepNext w:val="0"/>
        <w:keepLines w:val="0"/>
        <w:pageBreakBefore w:val="0"/>
        <w:kinsoku/>
        <w:overflowPunct/>
        <w:topLinePunct w:val="0"/>
        <w:autoSpaceDE/>
        <w:autoSpaceDN/>
        <w:bidi w:val="0"/>
        <w:spacing w:line="560" w:lineRule="exact"/>
        <w:ind w:firstLine="4320" w:firstLineChars="18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4DD9C502">
      <w:pPr>
        <w:keepNext w:val="0"/>
        <w:keepLines w:val="0"/>
        <w:pageBreakBefore w:val="0"/>
        <w:kinsoku/>
        <w:overflowPunct/>
        <w:topLinePunct w:val="0"/>
        <w:autoSpaceDE/>
        <w:autoSpaceDN/>
        <w:bidi w:val="0"/>
        <w:spacing w:line="560" w:lineRule="exact"/>
        <w:textAlignment w:val="auto"/>
        <w:outlineLvl w:val="9"/>
        <w:rPr>
          <w:rFonts w:hint="eastAsia" w:ascii="仿宋" w:hAnsi="仿宋" w:eastAsia="仿宋" w:cs="仿宋"/>
          <w:b/>
          <w:color w:val="auto"/>
          <w:sz w:val="24"/>
          <w:szCs w:val="24"/>
          <w:highlight w:val="none"/>
        </w:rPr>
      </w:pPr>
    </w:p>
    <w:p w14:paraId="7F0E8CBC">
      <w:pPr>
        <w:keepNext w:val="0"/>
        <w:keepLines w:val="0"/>
        <w:pageBreakBefore w:val="0"/>
        <w:kinsoku/>
        <w:overflowPunct/>
        <w:topLinePunct w:val="0"/>
        <w:autoSpaceDE/>
        <w:autoSpaceDN/>
        <w:bidi w:val="0"/>
        <w:spacing w:line="560" w:lineRule="exact"/>
        <w:ind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注：中标</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为残疾人福利性单位的，采购代理机构随</w:t>
      </w:r>
      <w:r>
        <w:rPr>
          <w:rFonts w:hint="eastAsia" w:ascii="仿宋" w:hAnsi="仿宋" w:eastAsia="仿宋" w:cs="仿宋"/>
          <w:b/>
          <w:color w:val="auto"/>
          <w:sz w:val="24"/>
          <w:szCs w:val="24"/>
          <w:highlight w:val="none"/>
          <w:lang w:val="en-US" w:eastAsia="zh-CN"/>
        </w:rPr>
        <w:t>中标</w:t>
      </w:r>
      <w:r>
        <w:rPr>
          <w:rFonts w:hint="eastAsia" w:ascii="仿宋" w:hAnsi="仿宋" w:eastAsia="仿宋" w:cs="仿宋"/>
          <w:b/>
          <w:color w:val="auto"/>
          <w:sz w:val="24"/>
          <w:szCs w:val="24"/>
          <w:highlight w:val="none"/>
        </w:rPr>
        <w:t>结果同时公告其《残疾人福利性单位声明函》</w:t>
      </w:r>
    </w:p>
    <w:p w14:paraId="00E208DD">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color w:val="auto"/>
          <w:kern w:val="0"/>
          <w:sz w:val="24"/>
          <w:szCs w:val="24"/>
          <w:highlight w:val="none"/>
        </w:rPr>
      </w:pPr>
    </w:p>
    <w:p w14:paraId="5CC3F273">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b/>
          <w:color w:val="auto"/>
          <w:kern w:val="0"/>
          <w:sz w:val="24"/>
          <w:szCs w:val="24"/>
          <w:highlight w:val="none"/>
        </w:rPr>
      </w:pPr>
    </w:p>
    <w:p w14:paraId="650D9FBF">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b/>
          <w:color w:val="auto"/>
          <w:kern w:val="0"/>
          <w:sz w:val="24"/>
          <w:szCs w:val="24"/>
          <w:highlight w:val="none"/>
        </w:rPr>
      </w:pPr>
    </w:p>
    <w:p w14:paraId="760B2F66">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b/>
          <w:color w:val="auto"/>
          <w:kern w:val="0"/>
          <w:sz w:val="24"/>
          <w:szCs w:val="24"/>
          <w:highlight w:val="none"/>
        </w:rPr>
      </w:pPr>
    </w:p>
    <w:p w14:paraId="0A51F702">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b/>
          <w:color w:val="auto"/>
          <w:kern w:val="0"/>
          <w:sz w:val="24"/>
          <w:szCs w:val="24"/>
          <w:highlight w:val="none"/>
        </w:rPr>
      </w:pPr>
    </w:p>
    <w:p w14:paraId="1A0DE1CA">
      <w:pPr>
        <w:keepNext w:val="0"/>
        <w:keepLines w:val="0"/>
        <w:pageBreakBefore w:val="0"/>
        <w:widowControl/>
        <w:kinsoku/>
        <w:overflowPunct/>
        <w:topLinePunct w:val="0"/>
        <w:autoSpaceDE/>
        <w:autoSpaceDN/>
        <w:bidi w:val="0"/>
        <w:snapToGrid w:val="0"/>
        <w:spacing w:line="560" w:lineRule="exact"/>
        <w:textAlignment w:val="auto"/>
        <w:outlineLvl w:val="9"/>
        <w:rPr>
          <w:rFonts w:hint="eastAsia" w:ascii="仿宋" w:hAnsi="仿宋" w:eastAsia="仿宋" w:cs="仿宋"/>
          <w:b/>
          <w:color w:val="auto"/>
          <w:kern w:val="0"/>
          <w:sz w:val="24"/>
          <w:szCs w:val="24"/>
          <w:highlight w:val="none"/>
        </w:rPr>
      </w:pPr>
    </w:p>
    <w:p w14:paraId="0E8008E1">
      <w:pPr>
        <w:keepNext w:val="0"/>
        <w:keepLines w:val="0"/>
        <w:pageBreakBefore w:val="0"/>
        <w:kinsoku/>
        <w:overflowPunct/>
        <w:topLinePunct w:val="0"/>
        <w:autoSpaceDE/>
        <w:autoSpaceDN/>
        <w:bidi w:val="0"/>
        <w:spacing w:line="560" w:lineRule="exac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104CEC5E">
      <w:pPr>
        <w:spacing w:line="560" w:lineRule="exact"/>
        <w:ind w:right="640"/>
        <w:rPr>
          <w:rFonts w:hint="eastAsia" w:ascii="仿宋" w:hAnsi="仿宋" w:eastAsia="仿宋" w:cs="仿宋"/>
          <w:spacing w:val="6"/>
          <w:sz w:val="24"/>
          <w:highlight w:val="none"/>
          <w:lang w:eastAsia="zh-CN"/>
        </w:rPr>
      </w:pP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lang w:val="en-US" w:eastAsia="zh-CN"/>
        </w:rPr>
        <w:t>三</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监狱企业证明文件格式</w:t>
      </w:r>
      <w:r>
        <w:rPr>
          <w:rFonts w:hint="eastAsia" w:ascii="仿宋" w:hAnsi="仿宋" w:eastAsia="仿宋" w:cs="仿宋"/>
          <w:b/>
          <w:color w:val="auto"/>
          <w:kern w:val="0"/>
          <w:sz w:val="24"/>
          <w:szCs w:val="24"/>
          <w:highlight w:val="none"/>
        </w:rPr>
        <w:t>（如不涉及，可不提供）</w:t>
      </w:r>
    </w:p>
    <w:p w14:paraId="7E794FCF">
      <w:pPr>
        <w:spacing w:line="560" w:lineRule="exact"/>
        <w:ind w:right="640"/>
        <w:jc w:val="center"/>
        <w:rPr>
          <w:rFonts w:hint="eastAsia" w:ascii="仿宋" w:hAnsi="仿宋" w:eastAsia="仿宋" w:cs="仿宋"/>
          <w:spacing w:val="6"/>
          <w:sz w:val="24"/>
          <w:highlight w:val="none"/>
        </w:rPr>
      </w:pPr>
    </w:p>
    <w:p w14:paraId="4F26B5D7">
      <w:pPr>
        <w:spacing w:line="560" w:lineRule="exact"/>
        <w:ind w:right="640"/>
        <w:jc w:val="center"/>
        <w:rPr>
          <w:rFonts w:hint="eastAsia" w:ascii="仿宋" w:hAnsi="仿宋" w:eastAsia="仿宋" w:cs="仿宋"/>
          <w:b/>
          <w:bCs/>
          <w:spacing w:val="10"/>
          <w:sz w:val="24"/>
          <w:szCs w:val="24"/>
          <w:highlight w:val="none"/>
        </w:rPr>
      </w:pPr>
      <w:r>
        <w:rPr>
          <w:rFonts w:hint="eastAsia" w:ascii="仿宋" w:hAnsi="仿宋" w:eastAsia="仿宋" w:cs="仿宋"/>
          <w:b/>
          <w:bCs/>
          <w:sz w:val="24"/>
          <w:szCs w:val="24"/>
          <w:highlight w:val="none"/>
        </w:rPr>
        <w:t>监狱企业证明文件（格式）</w:t>
      </w:r>
    </w:p>
    <w:p w14:paraId="4BB4AFBC">
      <w:pPr>
        <w:rPr>
          <w:rFonts w:hint="eastAsia" w:ascii="仿宋" w:hAnsi="仿宋" w:eastAsia="仿宋" w:cs="仿宋"/>
          <w:sz w:val="24"/>
          <w:szCs w:val="24"/>
          <w:highlight w:val="none"/>
        </w:rPr>
      </w:pPr>
    </w:p>
    <w:p w14:paraId="2AA3DA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本单位郑重声明，根据《财政部司法部关于政府采购支持监狱企业发展有关问题的通知》（财库〔2014〕68号）的规定，本单位为符合条件的监狱企业，且本单位参加</w:t>
      </w:r>
      <w:r>
        <w:rPr>
          <w:rFonts w:hint="eastAsia" w:ascii="仿宋" w:hAnsi="仿宋" w:eastAsia="仿宋" w:cs="仿宋"/>
          <w:color w:val="auto"/>
          <w:sz w:val="24"/>
          <w:szCs w:val="24"/>
          <w:highlight w:val="none"/>
        </w:rPr>
        <w:t>______单位的______项目（</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z w:val="24"/>
          <w:szCs w:val="24"/>
          <w:highlight w:val="none"/>
        </w:rPr>
        <w:t>：__________________）</w:t>
      </w:r>
      <w:r>
        <w:rPr>
          <w:rFonts w:hint="eastAsia" w:ascii="仿宋" w:hAnsi="仿宋" w:eastAsia="仿宋" w:cs="仿宋"/>
          <w:spacing w:val="6"/>
          <w:sz w:val="24"/>
          <w:szCs w:val="24"/>
          <w:highlight w:val="none"/>
        </w:rPr>
        <w:t>采购活动提供本单位提供的服务，或者提供其他监狱企业的服务。</w:t>
      </w:r>
    </w:p>
    <w:p w14:paraId="53EE72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3B392C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附：监狱企业证明文件</w:t>
      </w:r>
    </w:p>
    <w:p w14:paraId="192DD0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p>
    <w:p w14:paraId="6E40F9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snapToGrid w:val="0"/>
          <w:color w:val="auto"/>
          <w:sz w:val="24"/>
          <w:szCs w:val="24"/>
          <w:highlight w:val="none"/>
          <w:lang w:val="en-US" w:eastAsia="zh-CN" w:bidi="ar-SA"/>
        </w:rPr>
      </w:pPr>
      <w:r>
        <w:rPr>
          <w:rFonts w:hint="eastAsia" w:ascii="仿宋" w:hAnsi="仿宋" w:eastAsia="仿宋" w:cs="仿宋"/>
          <w:sz w:val="24"/>
          <w:szCs w:val="24"/>
          <w:highlight w:val="none"/>
        </w:rPr>
        <w:t>本单位对上述声明的真实性负责。如有虚假，将依法承担相应责任。</w:t>
      </w:r>
    </w:p>
    <w:p w14:paraId="01766B02">
      <w:pPr>
        <w:pStyle w:val="65"/>
        <w:keepNext w:val="0"/>
        <w:keepLines w:val="0"/>
        <w:pageBreakBefore w:val="0"/>
        <w:kinsoku/>
        <w:overflowPunct/>
        <w:topLinePunct w:val="0"/>
        <w:autoSpaceDE/>
        <w:autoSpaceDN/>
        <w:bidi w:val="0"/>
        <w:snapToGrid w:val="0"/>
        <w:spacing w:line="560" w:lineRule="exact"/>
        <w:ind w:firstLine="240" w:firstLineChars="100"/>
        <w:jc w:val="both"/>
        <w:textAlignment w:val="auto"/>
        <w:outlineLvl w:val="9"/>
        <w:rPr>
          <w:rFonts w:hint="eastAsia" w:ascii="仿宋" w:hAnsi="仿宋" w:eastAsia="仿宋" w:cs="仿宋"/>
          <w:color w:val="auto"/>
          <w:sz w:val="24"/>
          <w:szCs w:val="24"/>
          <w:highlight w:val="none"/>
          <w:lang w:eastAsia="zh-CN"/>
        </w:rPr>
      </w:pPr>
    </w:p>
    <w:p w14:paraId="67F41933">
      <w:pPr>
        <w:pStyle w:val="65"/>
        <w:keepNext w:val="0"/>
        <w:keepLines w:val="0"/>
        <w:pageBreakBefore w:val="0"/>
        <w:kinsoku/>
        <w:overflowPunct/>
        <w:topLinePunct w:val="0"/>
        <w:autoSpaceDE/>
        <w:autoSpaceDN/>
        <w:bidi w:val="0"/>
        <w:snapToGrid w:val="0"/>
        <w:spacing w:line="560" w:lineRule="exact"/>
        <w:ind w:firstLine="240" w:firstLineChars="100"/>
        <w:jc w:val="both"/>
        <w:textAlignment w:val="auto"/>
        <w:outlineLvl w:val="9"/>
        <w:rPr>
          <w:rFonts w:hint="eastAsia" w:ascii="仿宋" w:hAnsi="仿宋" w:eastAsia="仿宋" w:cs="仿宋"/>
          <w:color w:val="auto"/>
          <w:sz w:val="24"/>
          <w:szCs w:val="24"/>
          <w:highlight w:val="none"/>
          <w:lang w:eastAsia="zh-CN"/>
        </w:rPr>
      </w:pPr>
    </w:p>
    <w:p w14:paraId="78B0CB90">
      <w:pPr>
        <w:pStyle w:val="65"/>
        <w:keepNext w:val="0"/>
        <w:keepLines w:val="0"/>
        <w:pageBreakBefore w:val="0"/>
        <w:widowControl w:val="0"/>
        <w:kinsoku/>
        <w:wordWrap/>
        <w:overflowPunct/>
        <w:topLinePunct w:val="0"/>
        <w:autoSpaceDE/>
        <w:autoSpaceDN/>
        <w:bidi w:val="0"/>
        <w:adjustRightInd/>
        <w:snapToGrid w:val="0"/>
        <w:spacing w:line="560" w:lineRule="exact"/>
        <w:ind w:firstLine="4080" w:firstLineChars="17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加盖公章</w:t>
      </w:r>
      <w:r>
        <w:rPr>
          <w:rFonts w:hint="eastAsia" w:ascii="仿宋" w:hAnsi="仿宋" w:eastAsia="仿宋" w:cs="仿宋"/>
          <w:color w:val="auto"/>
          <w:sz w:val="24"/>
          <w:szCs w:val="24"/>
          <w:highlight w:val="none"/>
        </w:rPr>
        <w:t>）</w:t>
      </w:r>
    </w:p>
    <w:p w14:paraId="14CA5511">
      <w:pPr>
        <w:keepNext w:val="0"/>
        <w:keepLines w:val="0"/>
        <w:pageBreakBefore w:val="0"/>
        <w:widowControl w:val="0"/>
        <w:kinsoku/>
        <w:wordWrap/>
        <w:overflowPunct/>
        <w:topLinePunct w:val="0"/>
        <w:autoSpaceDE/>
        <w:autoSpaceDN/>
        <w:bidi w:val="0"/>
        <w:adjustRightInd/>
        <w:spacing w:line="560" w:lineRule="exact"/>
        <w:ind w:firstLine="4080" w:firstLineChars="1700"/>
        <w:textAlignment w:val="auto"/>
        <w:rPr>
          <w:rFonts w:hint="eastAsia" w:ascii="仿宋" w:hAnsi="仿宋" w:eastAsia="仿宋" w:cs="仿宋"/>
          <w:b/>
          <w:snapToGrid w:val="0"/>
          <w:color w:val="auto"/>
          <w:sz w:val="24"/>
          <w:szCs w:val="24"/>
          <w:highlight w:val="none"/>
          <w:lang w:val="en-US" w:eastAsia="zh-CN" w:bidi="ar-SA"/>
        </w:rPr>
      </w:pPr>
      <w:r>
        <w:rPr>
          <w:rFonts w:hint="eastAsia" w:ascii="仿宋" w:hAnsi="仿宋" w:eastAsia="仿宋" w:cs="仿宋"/>
          <w:color w:val="auto"/>
          <w:sz w:val="24"/>
          <w:szCs w:val="24"/>
          <w:highlight w:val="none"/>
        </w:rPr>
        <w:t>日期：</w:t>
      </w:r>
    </w:p>
    <w:p w14:paraId="4E47C0C1">
      <w:pPr>
        <w:tabs>
          <w:tab w:val="left" w:pos="1680"/>
        </w:tabs>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snapToGrid w:val="0"/>
          <w:color w:val="auto"/>
          <w:sz w:val="24"/>
          <w:szCs w:val="24"/>
          <w:highlight w:val="none"/>
          <w:lang w:val="en-US" w:eastAsia="zh-CN" w:bidi="ar-SA"/>
        </w:rPr>
        <w:br w:type="page"/>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四</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政府强制采购产品明细表</w:t>
      </w:r>
      <w:r>
        <w:rPr>
          <w:rFonts w:hint="eastAsia" w:ascii="仿宋" w:hAnsi="仿宋" w:eastAsia="仿宋" w:cs="仿宋"/>
          <w:bCs/>
          <w:color w:val="auto"/>
          <w:sz w:val="24"/>
          <w:szCs w:val="24"/>
          <w:highlight w:val="none"/>
        </w:rPr>
        <w:t>（以</w:t>
      </w:r>
      <w:r>
        <w:rPr>
          <w:rFonts w:hint="eastAsia" w:ascii="仿宋" w:hAnsi="仿宋" w:eastAsia="仿宋" w:cs="仿宋"/>
          <w:bCs/>
          <w:color w:val="auto"/>
          <w:sz w:val="24"/>
          <w:szCs w:val="24"/>
          <w:highlight w:val="none"/>
          <w:lang w:val="en-US" w:eastAsia="zh-CN"/>
        </w:rPr>
        <w:t>标项</w:t>
      </w:r>
      <w:r>
        <w:rPr>
          <w:rFonts w:hint="eastAsia" w:ascii="仿宋" w:hAnsi="仿宋" w:eastAsia="仿宋" w:cs="仿宋"/>
          <w:bCs/>
          <w:color w:val="auto"/>
          <w:sz w:val="24"/>
          <w:szCs w:val="24"/>
          <w:highlight w:val="none"/>
        </w:rPr>
        <w:t>为单</w:t>
      </w:r>
      <w:r>
        <w:rPr>
          <w:rFonts w:hint="eastAsia" w:ascii="仿宋" w:hAnsi="仿宋" w:eastAsia="仿宋" w:cs="仿宋"/>
          <w:b w:val="0"/>
          <w:bCs/>
          <w:color w:val="auto"/>
          <w:sz w:val="24"/>
          <w:szCs w:val="24"/>
          <w:highlight w:val="none"/>
        </w:rPr>
        <w:t>位分别填写，如本项目所投产品不涉及，此表可不提供）</w:t>
      </w:r>
    </w:p>
    <w:p w14:paraId="2890450D">
      <w:pPr>
        <w:spacing w:line="360" w:lineRule="auto"/>
        <w:ind w:left="2100" w:firstLine="4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政府强制采购产品明细表</w:t>
      </w:r>
    </w:p>
    <w:tbl>
      <w:tblPr>
        <w:tblStyle w:val="3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549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6DD9101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包号/序号</w:t>
            </w:r>
          </w:p>
        </w:tc>
        <w:tc>
          <w:tcPr>
            <w:tcW w:w="1134" w:type="dxa"/>
            <w:vAlign w:val="center"/>
          </w:tcPr>
          <w:p w14:paraId="1D9A1C9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134" w:type="dxa"/>
            <w:vAlign w:val="center"/>
          </w:tcPr>
          <w:p w14:paraId="6796F0F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276" w:type="dxa"/>
            <w:vAlign w:val="center"/>
          </w:tcPr>
          <w:p w14:paraId="3950A76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产品型号</w:t>
            </w:r>
          </w:p>
        </w:tc>
        <w:tc>
          <w:tcPr>
            <w:tcW w:w="1701" w:type="dxa"/>
            <w:vAlign w:val="center"/>
          </w:tcPr>
          <w:p w14:paraId="13EBEE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产品认证证书号</w:t>
            </w:r>
          </w:p>
        </w:tc>
        <w:tc>
          <w:tcPr>
            <w:tcW w:w="2100" w:type="dxa"/>
            <w:vAlign w:val="center"/>
          </w:tcPr>
          <w:p w14:paraId="48A552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认证证书有效截止日期</w:t>
            </w:r>
          </w:p>
        </w:tc>
      </w:tr>
      <w:tr w14:paraId="28D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78E92DF9">
            <w:pPr>
              <w:spacing w:line="360" w:lineRule="auto"/>
              <w:rPr>
                <w:rFonts w:hint="eastAsia" w:ascii="仿宋" w:hAnsi="仿宋" w:eastAsia="仿宋" w:cs="仿宋"/>
                <w:color w:val="auto"/>
                <w:sz w:val="24"/>
                <w:szCs w:val="24"/>
                <w:highlight w:val="none"/>
              </w:rPr>
            </w:pPr>
          </w:p>
        </w:tc>
        <w:tc>
          <w:tcPr>
            <w:tcW w:w="1134" w:type="dxa"/>
          </w:tcPr>
          <w:p w14:paraId="5E1CE0BD">
            <w:pPr>
              <w:spacing w:line="360" w:lineRule="auto"/>
              <w:rPr>
                <w:rFonts w:hint="eastAsia" w:ascii="仿宋" w:hAnsi="仿宋" w:eastAsia="仿宋" w:cs="仿宋"/>
                <w:color w:val="auto"/>
                <w:sz w:val="24"/>
                <w:szCs w:val="24"/>
                <w:highlight w:val="none"/>
              </w:rPr>
            </w:pPr>
          </w:p>
        </w:tc>
        <w:tc>
          <w:tcPr>
            <w:tcW w:w="1134" w:type="dxa"/>
          </w:tcPr>
          <w:p w14:paraId="31482313">
            <w:pPr>
              <w:spacing w:line="360" w:lineRule="auto"/>
              <w:rPr>
                <w:rFonts w:hint="eastAsia" w:ascii="仿宋" w:hAnsi="仿宋" w:eastAsia="仿宋" w:cs="仿宋"/>
                <w:color w:val="auto"/>
                <w:sz w:val="24"/>
                <w:szCs w:val="24"/>
                <w:highlight w:val="none"/>
              </w:rPr>
            </w:pPr>
          </w:p>
        </w:tc>
        <w:tc>
          <w:tcPr>
            <w:tcW w:w="1276" w:type="dxa"/>
          </w:tcPr>
          <w:p w14:paraId="33AEDBD6">
            <w:pPr>
              <w:spacing w:line="360" w:lineRule="auto"/>
              <w:rPr>
                <w:rFonts w:hint="eastAsia" w:ascii="仿宋" w:hAnsi="仿宋" w:eastAsia="仿宋" w:cs="仿宋"/>
                <w:color w:val="auto"/>
                <w:sz w:val="24"/>
                <w:szCs w:val="24"/>
                <w:highlight w:val="none"/>
              </w:rPr>
            </w:pPr>
          </w:p>
        </w:tc>
        <w:tc>
          <w:tcPr>
            <w:tcW w:w="1701" w:type="dxa"/>
          </w:tcPr>
          <w:p w14:paraId="3B232E1D">
            <w:pPr>
              <w:spacing w:line="360" w:lineRule="auto"/>
              <w:rPr>
                <w:rFonts w:hint="eastAsia" w:ascii="仿宋" w:hAnsi="仿宋" w:eastAsia="仿宋" w:cs="仿宋"/>
                <w:color w:val="auto"/>
                <w:sz w:val="24"/>
                <w:szCs w:val="24"/>
                <w:highlight w:val="none"/>
              </w:rPr>
            </w:pPr>
          </w:p>
        </w:tc>
        <w:tc>
          <w:tcPr>
            <w:tcW w:w="2100" w:type="dxa"/>
          </w:tcPr>
          <w:p w14:paraId="47F91B33">
            <w:pPr>
              <w:spacing w:line="360" w:lineRule="auto"/>
              <w:rPr>
                <w:rFonts w:hint="eastAsia" w:ascii="仿宋" w:hAnsi="仿宋" w:eastAsia="仿宋" w:cs="仿宋"/>
                <w:color w:val="auto"/>
                <w:sz w:val="24"/>
                <w:szCs w:val="24"/>
                <w:highlight w:val="none"/>
              </w:rPr>
            </w:pPr>
          </w:p>
        </w:tc>
      </w:tr>
      <w:tr w14:paraId="222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0F09725">
            <w:pPr>
              <w:spacing w:line="360" w:lineRule="auto"/>
              <w:rPr>
                <w:rFonts w:hint="eastAsia" w:ascii="仿宋" w:hAnsi="仿宋" w:eastAsia="仿宋" w:cs="仿宋"/>
                <w:color w:val="auto"/>
                <w:sz w:val="24"/>
                <w:szCs w:val="24"/>
                <w:highlight w:val="none"/>
              </w:rPr>
            </w:pPr>
          </w:p>
        </w:tc>
        <w:tc>
          <w:tcPr>
            <w:tcW w:w="1134" w:type="dxa"/>
          </w:tcPr>
          <w:p w14:paraId="7057B4FF">
            <w:pPr>
              <w:spacing w:line="360" w:lineRule="auto"/>
              <w:rPr>
                <w:rFonts w:hint="eastAsia" w:ascii="仿宋" w:hAnsi="仿宋" w:eastAsia="仿宋" w:cs="仿宋"/>
                <w:color w:val="auto"/>
                <w:sz w:val="24"/>
                <w:szCs w:val="24"/>
                <w:highlight w:val="none"/>
              </w:rPr>
            </w:pPr>
          </w:p>
        </w:tc>
        <w:tc>
          <w:tcPr>
            <w:tcW w:w="1134" w:type="dxa"/>
          </w:tcPr>
          <w:p w14:paraId="73FF889F">
            <w:pPr>
              <w:spacing w:line="360" w:lineRule="auto"/>
              <w:rPr>
                <w:rFonts w:hint="eastAsia" w:ascii="仿宋" w:hAnsi="仿宋" w:eastAsia="仿宋" w:cs="仿宋"/>
                <w:color w:val="auto"/>
                <w:sz w:val="24"/>
                <w:szCs w:val="24"/>
                <w:highlight w:val="none"/>
              </w:rPr>
            </w:pPr>
          </w:p>
        </w:tc>
        <w:tc>
          <w:tcPr>
            <w:tcW w:w="1276" w:type="dxa"/>
          </w:tcPr>
          <w:p w14:paraId="55CE8EEB">
            <w:pPr>
              <w:spacing w:line="360" w:lineRule="auto"/>
              <w:rPr>
                <w:rFonts w:hint="eastAsia" w:ascii="仿宋" w:hAnsi="仿宋" w:eastAsia="仿宋" w:cs="仿宋"/>
                <w:color w:val="auto"/>
                <w:sz w:val="24"/>
                <w:szCs w:val="24"/>
                <w:highlight w:val="none"/>
              </w:rPr>
            </w:pPr>
          </w:p>
        </w:tc>
        <w:tc>
          <w:tcPr>
            <w:tcW w:w="1701" w:type="dxa"/>
          </w:tcPr>
          <w:p w14:paraId="74B4E762">
            <w:pPr>
              <w:spacing w:line="360" w:lineRule="auto"/>
              <w:rPr>
                <w:rFonts w:hint="eastAsia" w:ascii="仿宋" w:hAnsi="仿宋" w:eastAsia="仿宋" w:cs="仿宋"/>
                <w:color w:val="auto"/>
                <w:sz w:val="24"/>
                <w:szCs w:val="24"/>
                <w:highlight w:val="none"/>
              </w:rPr>
            </w:pPr>
          </w:p>
        </w:tc>
        <w:tc>
          <w:tcPr>
            <w:tcW w:w="2100" w:type="dxa"/>
          </w:tcPr>
          <w:p w14:paraId="578020FA">
            <w:pPr>
              <w:spacing w:line="360" w:lineRule="auto"/>
              <w:rPr>
                <w:rFonts w:hint="eastAsia" w:ascii="仿宋" w:hAnsi="仿宋" w:eastAsia="仿宋" w:cs="仿宋"/>
                <w:color w:val="auto"/>
                <w:sz w:val="24"/>
                <w:szCs w:val="24"/>
                <w:highlight w:val="none"/>
              </w:rPr>
            </w:pPr>
          </w:p>
        </w:tc>
      </w:tr>
    </w:tbl>
    <w:p w14:paraId="7F9759F3">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认证证书附后（有效期之内的节能产品</w:t>
      </w:r>
      <w:r>
        <w:rPr>
          <w:rFonts w:hint="eastAsia" w:ascii="仿宋" w:hAnsi="仿宋" w:eastAsia="仿宋" w:cs="仿宋"/>
          <w:color w:val="auto"/>
          <w:sz w:val="24"/>
          <w:szCs w:val="24"/>
          <w:highlight w:val="none"/>
          <w:lang w:val="en-US" w:eastAsia="zh-CN"/>
        </w:rPr>
        <w:t>认证</w:t>
      </w:r>
      <w:r>
        <w:rPr>
          <w:rFonts w:hint="eastAsia" w:ascii="仿宋" w:hAnsi="仿宋" w:eastAsia="仿宋" w:cs="仿宋"/>
          <w:color w:val="auto"/>
          <w:sz w:val="24"/>
          <w:szCs w:val="24"/>
          <w:highlight w:val="none"/>
        </w:rPr>
        <w:t>证书）。</w:t>
      </w:r>
    </w:p>
    <w:p w14:paraId="78838698">
      <w:pPr>
        <w:snapToGrid w:val="0"/>
        <w:spacing w:line="360" w:lineRule="auto"/>
        <w:ind w:firstLine="480" w:firstLineChars="200"/>
        <w:jc w:val="left"/>
        <w:rPr>
          <w:rFonts w:hint="eastAsia" w:ascii="仿宋" w:hAnsi="仿宋" w:eastAsia="仿宋" w:cs="仿宋"/>
          <w:color w:val="auto"/>
          <w:sz w:val="24"/>
          <w:szCs w:val="24"/>
          <w:highlight w:val="none"/>
        </w:rPr>
      </w:pPr>
    </w:p>
    <w:p w14:paraId="4D174B26">
      <w:pPr>
        <w:tabs>
          <w:tab w:val="left" w:pos="1680"/>
        </w:tabs>
        <w:snapToGrid w:val="0"/>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五</w:t>
      </w:r>
      <w:r>
        <w:rPr>
          <w:rFonts w:hint="eastAsia" w:ascii="仿宋" w:hAnsi="仿宋" w:eastAsia="仿宋" w:cs="仿宋"/>
          <w:b/>
          <w:color w:val="auto"/>
          <w:kern w:val="0"/>
          <w:sz w:val="24"/>
          <w:szCs w:val="24"/>
          <w:highlight w:val="none"/>
        </w:rPr>
        <w:t>）政府采购</w:t>
      </w:r>
      <w:r>
        <w:rPr>
          <w:rFonts w:hint="eastAsia" w:ascii="仿宋" w:hAnsi="仿宋" w:eastAsia="仿宋" w:cs="仿宋"/>
          <w:b/>
          <w:color w:val="auto"/>
          <w:kern w:val="0"/>
          <w:sz w:val="24"/>
          <w:szCs w:val="24"/>
          <w:highlight w:val="none"/>
          <w:lang w:val="en-US" w:eastAsia="zh-CN"/>
        </w:rPr>
        <w:t>绿色</w:t>
      </w:r>
      <w:r>
        <w:rPr>
          <w:rFonts w:hint="eastAsia" w:ascii="仿宋" w:hAnsi="仿宋" w:eastAsia="仿宋" w:cs="仿宋"/>
          <w:b/>
          <w:color w:val="auto"/>
          <w:kern w:val="0"/>
          <w:sz w:val="24"/>
          <w:szCs w:val="24"/>
          <w:highlight w:val="none"/>
        </w:rPr>
        <w:t>产品明细表</w:t>
      </w:r>
      <w:r>
        <w:rPr>
          <w:rFonts w:hint="eastAsia" w:ascii="仿宋" w:hAnsi="仿宋" w:eastAsia="仿宋" w:cs="仿宋"/>
          <w:bCs/>
          <w:color w:val="auto"/>
          <w:sz w:val="24"/>
          <w:szCs w:val="24"/>
          <w:highlight w:val="none"/>
        </w:rPr>
        <w:t>（以</w:t>
      </w:r>
      <w:r>
        <w:rPr>
          <w:rFonts w:hint="eastAsia" w:ascii="仿宋" w:hAnsi="仿宋" w:eastAsia="仿宋" w:cs="仿宋"/>
          <w:bCs/>
          <w:color w:val="auto"/>
          <w:sz w:val="24"/>
          <w:szCs w:val="24"/>
          <w:highlight w:val="none"/>
          <w:lang w:val="en-US" w:eastAsia="zh-CN"/>
        </w:rPr>
        <w:t>标项</w:t>
      </w:r>
      <w:r>
        <w:rPr>
          <w:rFonts w:hint="eastAsia" w:ascii="仿宋" w:hAnsi="仿宋" w:eastAsia="仿宋" w:cs="仿宋"/>
          <w:bCs/>
          <w:color w:val="auto"/>
          <w:sz w:val="24"/>
          <w:szCs w:val="24"/>
          <w:highlight w:val="none"/>
        </w:rPr>
        <w:t>为单</w:t>
      </w:r>
      <w:r>
        <w:rPr>
          <w:rFonts w:hint="eastAsia" w:ascii="仿宋" w:hAnsi="仿宋" w:eastAsia="仿宋" w:cs="仿宋"/>
          <w:b w:val="0"/>
          <w:bCs/>
          <w:color w:val="auto"/>
          <w:sz w:val="24"/>
          <w:szCs w:val="24"/>
          <w:highlight w:val="none"/>
        </w:rPr>
        <w:t>位分别填写，如本项目所投产品不涉及，此表可不提供）</w:t>
      </w:r>
    </w:p>
    <w:p w14:paraId="2D727327">
      <w:pPr>
        <w:spacing w:line="360" w:lineRule="auto"/>
        <w:ind w:left="2100" w:firstLine="4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政府采购</w:t>
      </w:r>
      <w:r>
        <w:rPr>
          <w:rFonts w:hint="eastAsia" w:ascii="仿宋" w:hAnsi="仿宋" w:eastAsia="仿宋" w:cs="仿宋"/>
          <w:b/>
          <w:color w:val="auto"/>
          <w:sz w:val="24"/>
          <w:szCs w:val="24"/>
          <w:highlight w:val="none"/>
          <w:lang w:val="en-US" w:eastAsia="zh-CN"/>
        </w:rPr>
        <w:t>绿色</w:t>
      </w:r>
      <w:r>
        <w:rPr>
          <w:rFonts w:hint="eastAsia" w:ascii="仿宋" w:hAnsi="仿宋" w:eastAsia="仿宋" w:cs="仿宋"/>
          <w:b/>
          <w:color w:val="auto"/>
          <w:sz w:val="24"/>
          <w:szCs w:val="24"/>
          <w:highlight w:val="none"/>
        </w:rPr>
        <w:t>产品明细表</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751"/>
        <w:gridCol w:w="713"/>
        <w:gridCol w:w="818"/>
        <w:gridCol w:w="809"/>
        <w:gridCol w:w="632"/>
        <w:gridCol w:w="1294"/>
        <w:gridCol w:w="3746"/>
      </w:tblGrid>
      <w:tr w14:paraId="031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6C877E8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包号/序号</w:t>
            </w:r>
          </w:p>
        </w:tc>
        <w:tc>
          <w:tcPr>
            <w:tcW w:w="390" w:type="pct"/>
            <w:vAlign w:val="center"/>
          </w:tcPr>
          <w:p w14:paraId="479E53D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370" w:type="pct"/>
            <w:vAlign w:val="center"/>
          </w:tcPr>
          <w:p w14:paraId="02A1379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425" w:type="pct"/>
            <w:vAlign w:val="center"/>
          </w:tcPr>
          <w:p w14:paraId="41A65E5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产品型号</w:t>
            </w:r>
          </w:p>
        </w:tc>
        <w:tc>
          <w:tcPr>
            <w:tcW w:w="420" w:type="pct"/>
            <w:vAlign w:val="center"/>
          </w:tcPr>
          <w:p w14:paraId="181C1449">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产品单价</w:t>
            </w:r>
          </w:p>
        </w:tc>
        <w:tc>
          <w:tcPr>
            <w:tcW w:w="328" w:type="pct"/>
            <w:vAlign w:val="center"/>
          </w:tcPr>
          <w:p w14:paraId="182D8B2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672" w:type="pct"/>
            <w:vAlign w:val="center"/>
          </w:tcPr>
          <w:p w14:paraId="27C3EDD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产品认证证书号</w:t>
            </w:r>
          </w:p>
        </w:tc>
        <w:tc>
          <w:tcPr>
            <w:tcW w:w="1945" w:type="pct"/>
            <w:vAlign w:val="center"/>
          </w:tcPr>
          <w:p w14:paraId="27844E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认证证书有效截止日期</w:t>
            </w:r>
          </w:p>
        </w:tc>
      </w:tr>
      <w:tr w14:paraId="75FC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77AE4117">
            <w:pPr>
              <w:spacing w:line="360" w:lineRule="auto"/>
              <w:rPr>
                <w:rFonts w:hint="eastAsia" w:ascii="仿宋" w:hAnsi="仿宋" w:eastAsia="仿宋" w:cs="仿宋"/>
                <w:color w:val="auto"/>
                <w:sz w:val="24"/>
                <w:szCs w:val="24"/>
                <w:highlight w:val="none"/>
              </w:rPr>
            </w:pPr>
          </w:p>
        </w:tc>
        <w:tc>
          <w:tcPr>
            <w:tcW w:w="390" w:type="pct"/>
          </w:tcPr>
          <w:p w14:paraId="18626A86">
            <w:pPr>
              <w:spacing w:line="360" w:lineRule="auto"/>
              <w:rPr>
                <w:rFonts w:hint="eastAsia" w:ascii="仿宋" w:hAnsi="仿宋" w:eastAsia="仿宋" w:cs="仿宋"/>
                <w:color w:val="auto"/>
                <w:sz w:val="24"/>
                <w:szCs w:val="24"/>
                <w:highlight w:val="none"/>
              </w:rPr>
            </w:pPr>
          </w:p>
        </w:tc>
        <w:tc>
          <w:tcPr>
            <w:tcW w:w="370" w:type="pct"/>
          </w:tcPr>
          <w:p w14:paraId="7BD62005">
            <w:pPr>
              <w:spacing w:line="360" w:lineRule="auto"/>
              <w:rPr>
                <w:rFonts w:hint="eastAsia" w:ascii="仿宋" w:hAnsi="仿宋" w:eastAsia="仿宋" w:cs="仿宋"/>
                <w:color w:val="auto"/>
                <w:sz w:val="24"/>
                <w:szCs w:val="24"/>
                <w:highlight w:val="none"/>
              </w:rPr>
            </w:pPr>
          </w:p>
        </w:tc>
        <w:tc>
          <w:tcPr>
            <w:tcW w:w="425" w:type="pct"/>
          </w:tcPr>
          <w:p w14:paraId="536A8111">
            <w:pPr>
              <w:spacing w:line="360" w:lineRule="auto"/>
              <w:rPr>
                <w:rFonts w:hint="eastAsia" w:ascii="仿宋" w:hAnsi="仿宋" w:eastAsia="仿宋" w:cs="仿宋"/>
                <w:color w:val="auto"/>
                <w:sz w:val="24"/>
                <w:szCs w:val="24"/>
                <w:highlight w:val="none"/>
              </w:rPr>
            </w:pPr>
          </w:p>
        </w:tc>
        <w:tc>
          <w:tcPr>
            <w:tcW w:w="420" w:type="pct"/>
          </w:tcPr>
          <w:p w14:paraId="48FD40EF">
            <w:pPr>
              <w:spacing w:line="360" w:lineRule="auto"/>
              <w:rPr>
                <w:rFonts w:hint="eastAsia" w:ascii="仿宋" w:hAnsi="仿宋" w:eastAsia="仿宋" w:cs="仿宋"/>
                <w:color w:val="auto"/>
                <w:sz w:val="24"/>
                <w:szCs w:val="24"/>
                <w:highlight w:val="none"/>
              </w:rPr>
            </w:pPr>
          </w:p>
        </w:tc>
        <w:tc>
          <w:tcPr>
            <w:tcW w:w="328" w:type="pct"/>
          </w:tcPr>
          <w:p w14:paraId="2A663A64">
            <w:pPr>
              <w:spacing w:line="360" w:lineRule="auto"/>
              <w:rPr>
                <w:rFonts w:hint="eastAsia" w:ascii="仿宋" w:hAnsi="仿宋" w:eastAsia="仿宋" w:cs="仿宋"/>
                <w:color w:val="auto"/>
                <w:sz w:val="24"/>
                <w:szCs w:val="24"/>
                <w:highlight w:val="none"/>
              </w:rPr>
            </w:pPr>
          </w:p>
        </w:tc>
        <w:tc>
          <w:tcPr>
            <w:tcW w:w="672" w:type="pct"/>
          </w:tcPr>
          <w:p w14:paraId="149195E4">
            <w:pPr>
              <w:spacing w:line="360" w:lineRule="auto"/>
              <w:rPr>
                <w:rFonts w:hint="eastAsia" w:ascii="仿宋" w:hAnsi="仿宋" w:eastAsia="仿宋" w:cs="仿宋"/>
                <w:color w:val="auto"/>
                <w:sz w:val="24"/>
                <w:szCs w:val="24"/>
                <w:highlight w:val="none"/>
              </w:rPr>
            </w:pPr>
          </w:p>
        </w:tc>
        <w:tc>
          <w:tcPr>
            <w:tcW w:w="1945" w:type="pct"/>
          </w:tcPr>
          <w:p w14:paraId="480B3612">
            <w:pPr>
              <w:spacing w:line="360" w:lineRule="auto"/>
              <w:rPr>
                <w:rFonts w:hint="eastAsia" w:ascii="仿宋" w:hAnsi="仿宋" w:eastAsia="仿宋" w:cs="仿宋"/>
                <w:color w:val="auto"/>
                <w:sz w:val="24"/>
                <w:szCs w:val="24"/>
                <w:highlight w:val="none"/>
              </w:rPr>
            </w:pPr>
          </w:p>
        </w:tc>
      </w:tr>
      <w:tr w14:paraId="7FF8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09CA513E">
            <w:pPr>
              <w:spacing w:line="360" w:lineRule="auto"/>
              <w:rPr>
                <w:rFonts w:hint="eastAsia" w:ascii="仿宋" w:hAnsi="仿宋" w:eastAsia="仿宋" w:cs="仿宋"/>
                <w:color w:val="auto"/>
                <w:sz w:val="24"/>
                <w:szCs w:val="24"/>
                <w:highlight w:val="none"/>
              </w:rPr>
            </w:pPr>
          </w:p>
        </w:tc>
        <w:tc>
          <w:tcPr>
            <w:tcW w:w="390" w:type="pct"/>
          </w:tcPr>
          <w:p w14:paraId="4BC8E905">
            <w:pPr>
              <w:spacing w:line="360" w:lineRule="auto"/>
              <w:rPr>
                <w:rFonts w:hint="eastAsia" w:ascii="仿宋" w:hAnsi="仿宋" w:eastAsia="仿宋" w:cs="仿宋"/>
                <w:color w:val="auto"/>
                <w:sz w:val="24"/>
                <w:szCs w:val="24"/>
                <w:highlight w:val="none"/>
              </w:rPr>
            </w:pPr>
          </w:p>
        </w:tc>
        <w:tc>
          <w:tcPr>
            <w:tcW w:w="370" w:type="pct"/>
          </w:tcPr>
          <w:p w14:paraId="17F8F272">
            <w:pPr>
              <w:spacing w:line="360" w:lineRule="auto"/>
              <w:rPr>
                <w:rFonts w:hint="eastAsia" w:ascii="仿宋" w:hAnsi="仿宋" w:eastAsia="仿宋" w:cs="仿宋"/>
                <w:color w:val="auto"/>
                <w:sz w:val="24"/>
                <w:szCs w:val="24"/>
                <w:highlight w:val="none"/>
              </w:rPr>
            </w:pPr>
          </w:p>
        </w:tc>
        <w:tc>
          <w:tcPr>
            <w:tcW w:w="425" w:type="pct"/>
          </w:tcPr>
          <w:p w14:paraId="37F645B5">
            <w:pPr>
              <w:spacing w:line="360" w:lineRule="auto"/>
              <w:rPr>
                <w:rFonts w:hint="eastAsia" w:ascii="仿宋" w:hAnsi="仿宋" w:eastAsia="仿宋" w:cs="仿宋"/>
                <w:color w:val="auto"/>
                <w:sz w:val="24"/>
                <w:szCs w:val="24"/>
                <w:highlight w:val="none"/>
              </w:rPr>
            </w:pPr>
          </w:p>
        </w:tc>
        <w:tc>
          <w:tcPr>
            <w:tcW w:w="420" w:type="pct"/>
          </w:tcPr>
          <w:p w14:paraId="6EC3E79A">
            <w:pPr>
              <w:spacing w:line="360" w:lineRule="auto"/>
              <w:rPr>
                <w:rFonts w:hint="eastAsia" w:ascii="仿宋" w:hAnsi="仿宋" w:eastAsia="仿宋" w:cs="仿宋"/>
                <w:color w:val="auto"/>
                <w:sz w:val="24"/>
                <w:szCs w:val="24"/>
                <w:highlight w:val="none"/>
              </w:rPr>
            </w:pPr>
          </w:p>
        </w:tc>
        <w:tc>
          <w:tcPr>
            <w:tcW w:w="328" w:type="pct"/>
          </w:tcPr>
          <w:p w14:paraId="2AEA8506">
            <w:pPr>
              <w:spacing w:line="360" w:lineRule="auto"/>
              <w:rPr>
                <w:rFonts w:hint="eastAsia" w:ascii="仿宋" w:hAnsi="仿宋" w:eastAsia="仿宋" w:cs="仿宋"/>
                <w:color w:val="auto"/>
                <w:sz w:val="24"/>
                <w:szCs w:val="24"/>
                <w:highlight w:val="none"/>
              </w:rPr>
            </w:pPr>
          </w:p>
        </w:tc>
        <w:tc>
          <w:tcPr>
            <w:tcW w:w="672" w:type="pct"/>
          </w:tcPr>
          <w:p w14:paraId="5B9D8E5B">
            <w:pPr>
              <w:spacing w:line="360" w:lineRule="auto"/>
              <w:rPr>
                <w:rFonts w:hint="eastAsia" w:ascii="仿宋" w:hAnsi="仿宋" w:eastAsia="仿宋" w:cs="仿宋"/>
                <w:color w:val="auto"/>
                <w:sz w:val="24"/>
                <w:szCs w:val="24"/>
                <w:highlight w:val="none"/>
              </w:rPr>
            </w:pPr>
          </w:p>
        </w:tc>
        <w:tc>
          <w:tcPr>
            <w:tcW w:w="1945" w:type="pct"/>
          </w:tcPr>
          <w:p w14:paraId="2927BD9B">
            <w:pPr>
              <w:spacing w:line="360" w:lineRule="auto"/>
              <w:rPr>
                <w:rFonts w:hint="eastAsia" w:ascii="仿宋" w:hAnsi="仿宋" w:eastAsia="仿宋" w:cs="仿宋"/>
                <w:color w:val="auto"/>
                <w:sz w:val="24"/>
                <w:szCs w:val="24"/>
                <w:highlight w:val="none"/>
              </w:rPr>
            </w:pPr>
          </w:p>
        </w:tc>
      </w:tr>
    </w:tbl>
    <w:p w14:paraId="5D6FA916">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1.投报“节能产品政府采购品目清单”“环境标志产品政府采购品目清单”中产品的将给予一定比例的价格扣除。</w:t>
      </w:r>
    </w:p>
    <w:p w14:paraId="73C6E59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2.认证证书附后（有效期之内的节能产品、环境标志产品证书）。</w:t>
      </w:r>
    </w:p>
    <w:p w14:paraId="36EADE74">
      <w:pPr>
        <w:snapToGrid w:val="0"/>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p w14:paraId="7C05442E">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467D2E40">
      <w:pPr>
        <w:spacing w:line="48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六</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lang w:val="en-US" w:eastAsia="zh-CN"/>
        </w:rPr>
        <w:t>关于符合本国产品标准的声明函（以标项为单位分别填写，如本项目所投不涉及，可不提供）</w:t>
      </w:r>
    </w:p>
    <w:p w14:paraId="2A2DFAA0">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color w:val="auto"/>
          <w:sz w:val="24"/>
          <w:szCs w:val="24"/>
          <w:highlight w:val="none"/>
          <w:lang w:val="en-US" w:eastAsia="zh-CN"/>
        </w:rPr>
        <w:t>附件1</w:t>
      </w:r>
      <w:r>
        <w:rPr>
          <w:rFonts w:hint="eastAsia" w:ascii="仿宋" w:hAnsi="仿宋" w:eastAsia="仿宋" w:cs="仿宋"/>
          <w:color w:val="auto"/>
          <w:kern w:val="0"/>
          <w:sz w:val="24"/>
          <w:szCs w:val="24"/>
          <w:highlight w:val="none"/>
          <w:lang w:val="en-US" w:eastAsia="zh-CN"/>
        </w:rPr>
        <w:t>中国境内生产的组件成本核算基本规则</w:t>
      </w:r>
    </w:p>
    <w:p w14:paraId="065BD14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产品在中国境内生产的组件成本，一般按照其二级组件的相关成本进行核算。</w:t>
      </w:r>
    </w:p>
    <w:p w14:paraId="7255504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按照产品的一级组件进行成本核算能够满足中国境内生产的组件成本判定需求的，可以按照一级组件的相关成本进行核算。</w:t>
      </w:r>
    </w:p>
    <w:p w14:paraId="3A1B3D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一、产品的一级组件是指直接组成产品的组件。产品的二级组件是指直接组成产品一级组件的组件。一级组件不可分解的，视同二级组件。</w:t>
      </w:r>
    </w:p>
    <w:p w14:paraId="5DD67D3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二、二级组件在中国境内生产的，其全部成本计入中国境内生产的组件成本；二级组件不在中国境内生产的，其成本不计入中国境内生产的组件成本。</w:t>
      </w:r>
    </w:p>
    <w:p w14:paraId="4FF1E0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三、产品总成本和组件成本以相关会计核算数据、采购合同、进货记录等为基础进行计算。</w:t>
      </w:r>
    </w:p>
    <w:p w14:paraId="71AD85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四、需要对成本核算规则予以进一步明确的其他有关事项，由财政部会同有关部门另行规定。</w:t>
      </w:r>
    </w:p>
    <w:p w14:paraId="00CD1043">
      <w:pPr>
        <w:keepNext w:val="0"/>
        <w:keepLines w:val="0"/>
        <w:pageBreakBefore w:val="0"/>
        <w:widowControl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color w:val="auto"/>
          <w:sz w:val="24"/>
          <w:szCs w:val="24"/>
          <w:highlight w:val="none"/>
          <w:lang w:val="en-US" w:eastAsia="zh-CN"/>
        </w:rPr>
      </w:pPr>
    </w:p>
    <w:p w14:paraId="56075C42">
      <w:pPr>
        <w:rPr>
          <w:rStyle w:val="34"/>
          <w:rFonts w:hint="eastAsia" w:ascii="仿宋" w:hAnsi="仿宋" w:eastAsia="仿宋" w:cs="仿宋"/>
          <w:i w:val="0"/>
          <w:iCs w:val="0"/>
          <w:caps w:val="0"/>
          <w:color w:val="000000"/>
          <w:spacing w:val="0"/>
          <w:sz w:val="24"/>
          <w:szCs w:val="24"/>
          <w:highlight w:val="none"/>
          <w:u w:val="none"/>
          <w:shd w:val="clear" w:color="auto" w:fill="FFFFFF"/>
          <w:vertAlign w:val="baseline"/>
        </w:rPr>
      </w:pPr>
      <w:r>
        <w:rPr>
          <w:rStyle w:val="34"/>
          <w:rFonts w:hint="eastAsia" w:ascii="仿宋" w:hAnsi="仿宋" w:eastAsia="仿宋" w:cs="仿宋"/>
          <w:i w:val="0"/>
          <w:iCs w:val="0"/>
          <w:caps w:val="0"/>
          <w:color w:val="000000"/>
          <w:spacing w:val="0"/>
          <w:sz w:val="24"/>
          <w:szCs w:val="24"/>
          <w:highlight w:val="none"/>
          <w:u w:val="none"/>
          <w:shd w:val="clear" w:color="auto" w:fill="FFFFFF"/>
          <w:vertAlign w:val="baseline"/>
        </w:rPr>
        <w:br w:type="page"/>
      </w:r>
    </w:p>
    <w:p w14:paraId="63C34BA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2" w:firstLineChars="200"/>
        <w:jc w:val="left"/>
        <w:textAlignment w:val="baseline"/>
        <w:rPr>
          <w:rFonts w:hint="eastAsia" w:ascii="仿宋" w:hAnsi="仿宋" w:eastAsia="仿宋" w:cs="仿宋"/>
          <w:sz w:val="24"/>
          <w:szCs w:val="24"/>
          <w:highlight w:val="none"/>
        </w:rPr>
      </w:pPr>
      <w:r>
        <w:rPr>
          <w:rStyle w:val="34"/>
          <w:rFonts w:hint="eastAsia" w:ascii="仿宋" w:hAnsi="仿宋" w:eastAsia="仿宋" w:cs="仿宋"/>
          <w:i w:val="0"/>
          <w:iCs w:val="0"/>
          <w:caps w:val="0"/>
          <w:color w:val="000000"/>
          <w:spacing w:val="0"/>
          <w:sz w:val="24"/>
          <w:szCs w:val="24"/>
          <w:highlight w:val="none"/>
          <w:u w:val="none"/>
          <w:shd w:val="clear" w:color="auto" w:fill="FFFFFF"/>
          <w:vertAlign w:val="baseline"/>
        </w:rPr>
        <w:t>附件2</w:t>
      </w:r>
      <w:r>
        <w:rPr>
          <w:rFonts w:hint="eastAsia" w:ascii="仿宋" w:hAnsi="仿宋" w:eastAsia="仿宋" w:cs="仿宋"/>
          <w:i w:val="0"/>
          <w:iCs w:val="0"/>
          <w:caps w:val="0"/>
          <w:color w:val="000000"/>
          <w:spacing w:val="0"/>
          <w:sz w:val="24"/>
          <w:szCs w:val="24"/>
          <w:highlight w:val="none"/>
          <w:u w:val="none"/>
          <w:shd w:val="clear" w:color="auto" w:fill="FFFFFF"/>
          <w:vertAlign w:val="baseline"/>
        </w:rPr>
        <w:t> </w:t>
      </w:r>
    </w:p>
    <w:p w14:paraId="502D1E6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right="0"/>
        <w:jc w:val="center"/>
        <w:textAlignment w:val="baseline"/>
        <w:rPr>
          <w:rFonts w:hint="eastAsia" w:ascii="仿宋" w:hAnsi="仿宋" w:eastAsia="仿宋" w:cs="仿宋"/>
          <w:sz w:val="24"/>
          <w:szCs w:val="24"/>
          <w:highlight w:val="none"/>
        </w:rPr>
      </w:pPr>
      <w:r>
        <w:rPr>
          <w:rStyle w:val="34"/>
          <w:rFonts w:hint="eastAsia" w:ascii="仿宋" w:hAnsi="仿宋" w:eastAsia="仿宋" w:cs="仿宋"/>
          <w:i w:val="0"/>
          <w:iCs w:val="0"/>
          <w:caps w:val="0"/>
          <w:color w:val="000000"/>
          <w:spacing w:val="0"/>
          <w:sz w:val="24"/>
          <w:szCs w:val="24"/>
          <w:highlight w:val="none"/>
          <w:u w:val="none"/>
          <w:shd w:val="clear" w:color="auto" w:fill="FFFFFF"/>
          <w:vertAlign w:val="baseline"/>
        </w:rPr>
        <w:t>关于符合本国产品标准的声明函</w:t>
      </w:r>
    </w:p>
    <w:p w14:paraId="715A972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1EB7E1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1.</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（产品名称1）</w:t>
      </w:r>
      <w:r>
        <w:rPr>
          <w:rStyle w:val="37"/>
          <w:rFonts w:hint="eastAsia" w:ascii="仿宋" w:hAnsi="仿宋" w:eastAsia="仿宋" w:cs="仿宋"/>
          <w:i w:val="0"/>
          <w:iCs w:val="0"/>
          <w:caps w:val="0"/>
          <w:color w:val="000000"/>
          <w:spacing w:val="0"/>
          <w:sz w:val="24"/>
          <w:szCs w:val="24"/>
          <w:highlight w:val="none"/>
          <w:u w:val="none"/>
          <w:shd w:val="clear" w:color="auto" w:fill="FFFFFF"/>
          <w:vertAlign w:val="baseline"/>
        </w:rPr>
        <w:t>1</w:t>
      </w:r>
      <w:r>
        <w:rPr>
          <w:rFonts w:hint="eastAsia" w:ascii="仿宋" w:hAnsi="仿宋" w:eastAsia="仿宋" w:cs="仿宋"/>
          <w:i w:val="0"/>
          <w:iCs w:val="0"/>
          <w:caps w:val="0"/>
          <w:color w:val="000000"/>
          <w:spacing w:val="0"/>
          <w:sz w:val="24"/>
          <w:szCs w:val="24"/>
          <w:highlight w:val="none"/>
          <w:u w:val="none"/>
          <w:shd w:val="clear" w:color="auto" w:fill="FFFFFF"/>
          <w:vertAlign w:val="baseline"/>
        </w:rPr>
        <w:t>，生产厂为</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（厂名）</w:t>
      </w:r>
      <w:r>
        <w:rPr>
          <w:rStyle w:val="37"/>
          <w:rFonts w:hint="eastAsia" w:ascii="仿宋" w:hAnsi="仿宋" w:eastAsia="仿宋" w:cs="仿宋"/>
          <w:i w:val="0"/>
          <w:iCs w:val="0"/>
          <w:caps w:val="0"/>
          <w:color w:val="000000"/>
          <w:spacing w:val="0"/>
          <w:sz w:val="24"/>
          <w:szCs w:val="24"/>
          <w:highlight w:val="none"/>
          <w:u w:val="none"/>
          <w:shd w:val="clear" w:color="auto" w:fill="FFFFFF"/>
          <w:vertAlign w:val="baseline"/>
        </w:rPr>
        <w:t>2</w:t>
      </w:r>
      <w:r>
        <w:rPr>
          <w:rFonts w:hint="eastAsia" w:ascii="仿宋" w:hAnsi="仿宋" w:eastAsia="仿宋" w:cs="仿宋"/>
          <w:i w:val="0"/>
          <w:iCs w:val="0"/>
          <w:caps w:val="0"/>
          <w:color w:val="000000"/>
          <w:spacing w:val="0"/>
          <w:sz w:val="24"/>
          <w:szCs w:val="24"/>
          <w:highlight w:val="none"/>
          <w:u w:val="none"/>
          <w:shd w:val="clear" w:color="auto" w:fill="FFFFFF"/>
          <w:vertAlign w:val="baseline"/>
        </w:rPr>
        <w:t>，厂址为</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（生产厂址）</w:t>
      </w:r>
      <w:r>
        <w:rPr>
          <w:rFonts w:hint="eastAsia" w:ascii="仿宋" w:hAnsi="仿宋" w:eastAsia="仿宋" w:cs="仿宋"/>
          <w:i w:val="0"/>
          <w:iCs w:val="0"/>
          <w:caps w:val="0"/>
          <w:color w:val="000000"/>
          <w:spacing w:val="0"/>
          <w:sz w:val="24"/>
          <w:szCs w:val="24"/>
          <w:highlight w:val="none"/>
          <w:u w:val="none"/>
          <w:shd w:val="clear" w:color="auto" w:fill="FFFFFF"/>
          <w:vertAlign w:val="baseline"/>
        </w:rPr>
        <w:t>。</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（产品名称1）</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的中国境内生产的组件成本占比≥</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（规定比例）</w:t>
      </w:r>
      <w:r>
        <w:rPr>
          <w:rStyle w:val="37"/>
          <w:rFonts w:hint="eastAsia" w:ascii="仿宋" w:hAnsi="仿宋" w:eastAsia="仿宋" w:cs="仿宋"/>
          <w:i w:val="0"/>
          <w:iCs w:val="0"/>
          <w:caps w:val="0"/>
          <w:color w:val="000000"/>
          <w:spacing w:val="0"/>
          <w:sz w:val="24"/>
          <w:szCs w:val="24"/>
          <w:highlight w:val="none"/>
          <w:u w:val="none"/>
          <w:shd w:val="clear" w:color="auto" w:fill="FFFFFF"/>
          <w:vertAlign w:val="baseline"/>
        </w:rPr>
        <w:t>3</w:t>
      </w:r>
      <w:r>
        <w:rPr>
          <w:rFonts w:hint="eastAsia" w:ascii="仿宋" w:hAnsi="仿宋" w:eastAsia="仿宋" w:cs="仿宋"/>
          <w:i w:val="0"/>
          <w:iCs w:val="0"/>
          <w:caps w:val="0"/>
          <w:color w:val="000000"/>
          <w:spacing w:val="0"/>
          <w:sz w:val="24"/>
          <w:szCs w:val="24"/>
          <w:highlight w:val="none"/>
          <w:u w:val="none"/>
          <w:shd w:val="clear" w:color="auto" w:fill="FFFFFF"/>
          <w:vertAlign w:val="baseline"/>
        </w:rPr>
        <w:t>。</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（产品名称1）</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（关键组件）4</w:t>
      </w:r>
      <w:r>
        <w:rPr>
          <w:rFonts w:hint="eastAsia" w:ascii="仿宋" w:hAnsi="仿宋" w:eastAsia="仿宋" w:cs="仿宋"/>
          <w:i w:val="0"/>
          <w:iCs w:val="0"/>
          <w:caps w:val="0"/>
          <w:color w:val="000000"/>
          <w:spacing w:val="0"/>
          <w:sz w:val="24"/>
          <w:szCs w:val="24"/>
          <w:highlight w:val="none"/>
          <w:u w:val="none"/>
          <w:shd w:val="clear" w:color="auto" w:fill="FFFFFF"/>
          <w:vertAlign w:val="baseline"/>
        </w:rPr>
        <w:t>在中国境内生产。</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（产品名称1）</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（关键工序）5</w:t>
      </w:r>
      <w:r>
        <w:rPr>
          <w:rFonts w:hint="eastAsia" w:ascii="仿宋" w:hAnsi="仿宋" w:eastAsia="仿宋" w:cs="仿宋"/>
          <w:i w:val="0"/>
          <w:iCs w:val="0"/>
          <w:caps w:val="0"/>
          <w:color w:val="000000"/>
          <w:spacing w:val="0"/>
          <w:sz w:val="24"/>
          <w:szCs w:val="24"/>
          <w:highlight w:val="none"/>
          <w:u w:val="none"/>
          <w:shd w:val="clear" w:color="auto" w:fill="FFFFFF"/>
          <w:vertAlign w:val="baseline"/>
        </w:rPr>
        <w:t>在中国境内完成。</w:t>
      </w:r>
    </w:p>
    <w:p w14:paraId="78DD363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2.</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（产品名称2）</w:t>
      </w:r>
      <w:r>
        <w:rPr>
          <w:rFonts w:hint="eastAsia" w:ascii="仿宋" w:hAnsi="仿宋" w:eastAsia="仿宋" w:cs="仿宋"/>
          <w:i w:val="0"/>
          <w:iCs w:val="0"/>
          <w:caps w:val="0"/>
          <w:color w:val="000000"/>
          <w:spacing w:val="0"/>
          <w:sz w:val="24"/>
          <w:szCs w:val="24"/>
          <w:highlight w:val="none"/>
          <w:u w:val="none"/>
          <w:shd w:val="clear" w:color="auto" w:fill="FFFFFF"/>
          <w:vertAlign w:val="baseline"/>
        </w:rPr>
        <w:t>，生产厂为</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（厂名）</w:t>
      </w:r>
      <w:r>
        <w:rPr>
          <w:rFonts w:hint="eastAsia" w:ascii="仿宋" w:hAnsi="仿宋" w:eastAsia="仿宋" w:cs="仿宋"/>
          <w:i w:val="0"/>
          <w:iCs w:val="0"/>
          <w:caps w:val="0"/>
          <w:color w:val="000000"/>
          <w:spacing w:val="0"/>
          <w:sz w:val="24"/>
          <w:szCs w:val="24"/>
          <w:highlight w:val="none"/>
          <w:u w:val="none"/>
          <w:shd w:val="clear" w:color="auto" w:fill="FFFFFF"/>
          <w:vertAlign w:val="baseline"/>
        </w:rPr>
        <w:t>，厂址为</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（生产厂址）</w:t>
      </w:r>
      <w:r>
        <w:rPr>
          <w:rFonts w:hint="eastAsia" w:ascii="仿宋" w:hAnsi="仿宋" w:eastAsia="仿宋" w:cs="仿宋"/>
          <w:i w:val="0"/>
          <w:iCs w:val="0"/>
          <w:caps w:val="0"/>
          <w:color w:val="000000"/>
          <w:spacing w:val="0"/>
          <w:sz w:val="24"/>
          <w:szCs w:val="24"/>
          <w:highlight w:val="none"/>
          <w:u w:val="none"/>
          <w:shd w:val="clear" w:color="auto" w:fill="FFFFFF"/>
          <w:vertAlign w:val="baseline"/>
        </w:rPr>
        <w:t>。</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（产品名称2）</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的中国境内生产的组件成本占比≥</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（规定比例）</w:t>
      </w:r>
      <w:r>
        <w:rPr>
          <w:rFonts w:hint="eastAsia" w:ascii="仿宋" w:hAnsi="仿宋" w:eastAsia="仿宋" w:cs="仿宋"/>
          <w:i w:val="0"/>
          <w:iCs w:val="0"/>
          <w:caps w:val="0"/>
          <w:color w:val="000000"/>
          <w:spacing w:val="0"/>
          <w:sz w:val="24"/>
          <w:szCs w:val="24"/>
          <w:highlight w:val="none"/>
          <w:u w:val="none"/>
          <w:shd w:val="clear" w:color="auto" w:fill="FFFFFF"/>
          <w:vertAlign w:val="baseline"/>
        </w:rPr>
        <w:t>。</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（产品名称2）</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（关键组件）</w:t>
      </w:r>
      <w:r>
        <w:rPr>
          <w:rFonts w:hint="eastAsia" w:ascii="仿宋" w:hAnsi="仿宋" w:eastAsia="仿宋" w:cs="仿宋"/>
          <w:i w:val="0"/>
          <w:iCs w:val="0"/>
          <w:caps w:val="0"/>
          <w:color w:val="000000"/>
          <w:spacing w:val="0"/>
          <w:sz w:val="24"/>
          <w:szCs w:val="24"/>
          <w:highlight w:val="none"/>
          <w:u w:val="none"/>
          <w:shd w:val="clear" w:color="auto" w:fill="FFFFFF"/>
          <w:vertAlign w:val="baseline"/>
        </w:rPr>
        <w:t>在中国境内生产。</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（产品名称2）</w:t>
      </w:r>
      <w:r>
        <w:rPr>
          <w:rFonts w:hint="eastAsia" w:ascii="仿宋" w:hAnsi="仿宋" w:eastAsia="仿宋" w:cs="仿宋"/>
          <w:i w:val="0"/>
          <w:iCs w:val="0"/>
          <w:caps w:val="0"/>
          <w:color w:val="000000"/>
          <w:spacing w:val="0"/>
          <w:sz w:val="24"/>
          <w:szCs w:val="24"/>
          <w:highlight w:val="none"/>
          <w:u w:val="none"/>
          <w:shd w:val="clear" w:color="auto" w:fill="FFFFFF"/>
          <w:vertAlign w:val="baseline"/>
        </w:rPr>
        <w:t>的</w:t>
      </w:r>
      <w:r>
        <w:rPr>
          <w:rStyle w:val="37"/>
          <w:rFonts w:hint="eastAsia" w:ascii="仿宋" w:hAnsi="仿宋" w:eastAsia="仿宋" w:cs="仿宋"/>
          <w:i w:val="0"/>
          <w:iCs w:val="0"/>
          <w:caps w:val="0"/>
          <w:color w:val="000000"/>
          <w:spacing w:val="0"/>
          <w:sz w:val="24"/>
          <w:szCs w:val="24"/>
          <w:highlight w:val="none"/>
          <w:u w:val="single"/>
          <w:shd w:val="clear" w:color="auto" w:fill="FFFFFF"/>
          <w:vertAlign w:val="baseline"/>
        </w:rPr>
        <w:t>（关键工序）</w:t>
      </w:r>
      <w:r>
        <w:rPr>
          <w:rFonts w:hint="eastAsia" w:ascii="仿宋" w:hAnsi="仿宋" w:eastAsia="仿宋" w:cs="仿宋"/>
          <w:i w:val="0"/>
          <w:iCs w:val="0"/>
          <w:caps w:val="0"/>
          <w:color w:val="000000"/>
          <w:spacing w:val="0"/>
          <w:sz w:val="24"/>
          <w:szCs w:val="24"/>
          <w:highlight w:val="none"/>
          <w:u w:val="none"/>
          <w:shd w:val="clear" w:color="auto" w:fill="FFFFFF"/>
          <w:vertAlign w:val="baseline"/>
        </w:rPr>
        <w:t>在中国境内完成。</w:t>
      </w:r>
    </w:p>
    <w:p w14:paraId="63865DB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p>
    <w:p w14:paraId="4881149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本公司（单位）对上述声明内容的真实性负责。如有虚假，愿承担相应法律责任。</w:t>
      </w:r>
    </w:p>
    <w:p w14:paraId="6A3E07C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left"/>
        <w:textAlignment w:val="baseline"/>
        <w:rPr>
          <w:rFonts w:hint="eastAsia" w:ascii="仿宋" w:hAnsi="仿宋" w:eastAsia="仿宋" w:cs="仿宋"/>
          <w:sz w:val="24"/>
          <w:szCs w:val="24"/>
          <w:highlight w:val="none"/>
        </w:rPr>
      </w:pPr>
    </w:p>
    <w:p w14:paraId="736E60B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righ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公司（单位）名称（盖章）：</w:t>
      </w:r>
    </w:p>
    <w:p w14:paraId="47D893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80" w:firstLineChars="200"/>
        <w:jc w:val="righ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u w:val="none"/>
          <w:shd w:val="clear" w:color="auto" w:fill="FFFFFF"/>
          <w:vertAlign w:val="baseline"/>
        </w:rPr>
        <w:t>日期：     年  月  日</w:t>
      </w:r>
    </w:p>
    <w:p w14:paraId="12E5D94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6DA0F10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1.产品如有型号，请在“产品名称”栏一并填写。</w:t>
      </w:r>
    </w:p>
    <w:p w14:paraId="4270625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2.生产厂名与厂址应与生产厂营业执照载明的相关信息保持一致。</w:t>
      </w:r>
    </w:p>
    <w:p w14:paraId="7443866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3.该产品的中国境内生产的组件成本占比相关要求实施前，“规定比例”栏可不填，下同。</w:t>
      </w:r>
    </w:p>
    <w:p w14:paraId="435FEAC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4.该产品的关键组件要求实施前，“关键组件”栏可不填，下同。</w:t>
      </w:r>
    </w:p>
    <w:p w14:paraId="60737D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5.该产品的关键工序要求实施前，“关键工序”栏可不填，下同。</w:t>
      </w:r>
    </w:p>
    <w:p w14:paraId="25F91CCC">
      <w:pPr>
        <w:keepNext w:val="0"/>
        <w:keepLines w:val="0"/>
        <w:pageBreakBefore w:val="0"/>
        <w:widowControl w:val="0"/>
        <w:kinsoku/>
        <w:wordWrap/>
        <w:overflowPunct/>
        <w:topLinePunct w:val="0"/>
        <w:autoSpaceDE/>
        <w:autoSpaceDN/>
        <w:bidi w:val="0"/>
        <w:spacing w:line="360" w:lineRule="auto"/>
        <w:ind w:firstLine="482" w:firstLineChars="200"/>
        <w:jc w:val="right"/>
        <w:textAlignment w:val="auto"/>
        <w:rPr>
          <w:rFonts w:hint="eastAsia" w:ascii="仿宋" w:hAnsi="仿宋" w:eastAsia="仿宋" w:cs="仿宋"/>
          <w:b/>
          <w:color w:val="auto"/>
          <w:sz w:val="24"/>
          <w:szCs w:val="24"/>
          <w:highlight w:val="none"/>
        </w:rPr>
      </w:pPr>
    </w:p>
    <w:p w14:paraId="6B172C65">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621B7CD1">
      <w:pPr>
        <w:keepNext w:val="0"/>
        <w:keepLines w:val="0"/>
        <w:pageBreakBefore w:val="0"/>
        <w:widowControl w:val="0"/>
        <w:kinsoku/>
        <w:overflowPunct/>
        <w:topLinePunct w:val="0"/>
        <w:autoSpaceDE/>
        <w:autoSpaceDN/>
        <w:bidi w:val="0"/>
        <w:spacing w:line="44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lang w:val="en-US" w:eastAsia="zh-CN"/>
        </w:rPr>
        <w:t>符合绿色数据中心建设要求承诺书（以标项为单位分别填写，如本项目所投不涉及，可不提供）</w:t>
      </w:r>
    </w:p>
    <w:p w14:paraId="2F6D2410">
      <w:pPr>
        <w:keepNext w:val="0"/>
        <w:keepLines w:val="0"/>
        <w:pageBreakBefore w:val="0"/>
        <w:widowControl w:val="0"/>
        <w:kinsoku/>
        <w:wordWrap/>
        <w:overflowPunct/>
        <w:topLinePunct w:val="0"/>
        <w:autoSpaceDE/>
        <w:autoSpaceDN/>
        <w:bidi w:val="0"/>
        <w:spacing w:line="440" w:lineRule="exact"/>
        <w:ind w:firstLine="482" w:firstLineChars="20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符合绿色数据中心建设要求承诺书</w:t>
      </w:r>
    </w:p>
    <w:p w14:paraId="1F4AE7B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rPr>
        <w:t>现参与</w:t>
      </w:r>
      <w:r>
        <w:rPr>
          <w:rFonts w:hint="eastAsia" w:ascii="仿宋" w:hAnsi="仿宋" w:eastAsia="仿宋" w:cs="仿宋"/>
          <w:color w:val="auto"/>
          <w:spacing w:val="6"/>
          <w:sz w:val="24"/>
          <w:szCs w:val="24"/>
          <w:highlight w:val="none"/>
          <w:u w:val="single"/>
        </w:rPr>
        <w:t>（项目名称、项目编号）</w:t>
      </w:r>
      <w:r>
        <w:rPr>
          <w:rFonts w:hint="eastAsia" w:ascii="仿宋" w:hAnsi="仿宋" w:eastAsia="仿宋" w:cs="仿宋"/>
          <w:color w:val="auto"/>
          <w:kern w:val="0"/>
          <w:sz w:val="24"/>
          <w:szCs w:val="24"/>
          <w:highlight w:val="none"/>
        </w:rPr>
        <w:t>的采购活动，本公司承诺所</w:t>
      </w:r>
      <w:r>
        <w:rPr>
          <w:rFonts w:hint="eastAsia" w:ascii="仿宋" w:hAnsi="仿宋" w:eastAsia="仿宋" w:cs="仿宋"/>
          <w:color w:val="auto"/>
          <w:kern w:val="0"/>
          <w:sz w:val="24"/>
          <w:szCs w:val="24"/>
          <w:highlight w:val="none"/>
          <w:lang w:val="en-US" w:eastAsia="zh-CN"/>
        </w:rPr>
        <w:t>提供并完成数据中心建设内容及标准</w:t>
      </w:r>
      <w:r>
        <w:rPr>
          <w:rFonts w:hint="eastAsia" w:ascii="仿宋" w:hAnsi="仿宋" w:eastAsia="仿宋" w:cs="仿宋"/>
          <w:color w:val="auto"/>
          <w:kern w:val="0"/>
          <w:sz w:val="24"/>
          <w:szCs w:val="24"/>
          <w:highlight w:val="none"/>
        </w:rPr>
        <w:t>符合</w:t>
      </w:r>
      <w:r>
        <w:rPr>
          <w:rFonts w:hint="eastAsia" w:ascii="仿宋" w:hAnsi="仿宋" w:eastAsia="仿宋" w:cs="仿宋"/>
          <w:color w:val="auto"/>
          <w:kern w:val="0"/>
          <w:sz w:val="24"/>
          <w:szCs w:val="24"/>
          <w:highlight w:val="none"/>
          <w:lang w:val="en-US" w:eastAsia="zh-CN"/>
        </w:rPr>
        <w:t>绿色数据中心建设有关要求，完全满足或优于项目采购需求</w:t>
      </w:r>
      <w:r>
        <w:rPr>
          <w:rFonts w:hint="eastAsia" w:ascii="仿宋" w:hAnsi="仿宋" w:eastAsia="仿宋" w:cs="仿宋"/>
          <w:color w:val="auto"/>
          <w:kern w:val="0"/>
          <w:sz w:val="24"/>
          <w:szCs w:val="24"/>
          <w:highlight w:val="none"/>
        </w:rPr>
        <w:t>。</w:t>
      </w:r>
    </w:p>
    <w:p w14:paraId="07A8F346">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2C6018D8">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5338F261">
      <w:pPr>
        <w:keepNext w:val="0"/>
        <w:keepLines w:val="0"/>
        <w:pageBreakBefore w:val="0"/>
        <w:widowControl w:val="0"/>
        <w:kinsoku/>
        <w:wordWrap/>
        <w:overflowPunct/>
        <w:topLinePunct w:val="0"/>
        <w:autoSpaceDE/>
        <w:autoSpaceDN/>
        <w:bidi w:val="0"/>
        <w:spacing w:line="440" w:lineRule="exact"/>
        <w:ind w:firstLine="480" w:firstLineChars="200"/>
        <w:jc w:val="righ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rPr>
        <w:t>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(盖章)</w:t>
      </w:r>
    </w:p>
    <w:p w14:paraId="2628AE18">
      <w:pPr>
        <w:keepNext w:val="0"/>
        <w:keepLines w:val="0"/>
        <w:pageBreakBefore w:val="0"/>
        <w:widowControl w:val="0"/>
        <w:kinsoku/>
        <w:wordWrap/>
        <w:overflowPunct/>
        <w:topLinePunct w:val="0"/>
        <w:autoSpaceDE/>
        <w:autoSpaceDN/>
        <w:bidi w:val="0"/>
        <w:spacing w:line="440" w:lineRule="exact"/>
        <w:ind w:firstLine="480" w:firstLineChars="200"/>
        <w:jc w:val="right"/>
        <w:textAlignment w:val="auto"/>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en-US" w:eastAsia="zh-CN"/>
        </w:rPr>
        <w:t>日期：    年  月  日</w:t>
      </w:r>
    </w:p>
    <w:p w14:paraId="57E96151">
      <w:pPr>
        <w:keepNext w:val="0"/>
        <w:keepLines w:val="0"/>
        <w:pageBreakBefore w:val="0"/>
        <w:widowControl w:val="0"/>
        <w:kinsoku/>
        <w:overflowPunct/>
        <w:topLinePunct w:val="0"/>
        <w:autoSpaceDE/>
        <w:autoSpaceDN/>
        <w:bidi w:val="0"/>
        <w:spacing w:line="440" w:lineRule="exact"/>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八</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符合绿色建筑和绿色建材政府采购需求承诺书</w:t>
      </w:r>
      <w:r>
        <w:rPr>
          <w:rFonts w:hint="eastAsia" w:ascii="仿宋" w:hAnsi="仿宋" w:eastAsia="仿宋" w:cs="仿宋"/>
          <w:b/>
          <w:color w:val="auto"/>
          <w:sz w:val="24"/>
          <w:szCs w:val="24"/>
          <w:highlight w:val="none"/>
          <w:lang w:val="en-US" w:eastAsia="zh-CN"/>
        </w:rPr>
        <w:t>（以标项为单位分别填写，如本项目所投不涉及，可不提供）</w:t>
      </w:r>
    </w:p>
    <w:p w14:paraId="2CAF55DC">
      <w:pPr>
        <w:keepNext w:val="0"/>
        <w:keepLines w:val="0"/>
        <w:pageBreakBefore w:val="0"/>
        <w:widowControl w:val="0"/>
        <w:kinsoku/>
        <w:overflowPunct/>
        <w:topLinePunct w:val="0"/>
        <w:autoSpaceDE/>
        <w:autoSpaceDN/>
        <w:bidi w:val="0"/>
        <w:spacing w:line="440" w:lineRule="exact"/>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符合绿色建筑和绿色建材政府采购需求承诺书</w:t>
      </w:r>
    </w:p>
    <w:p w14:paraId="271EF92D">
      <w:pPr>
        <w:keepNext w:val="0"/>
        <w:keepLines w:val="0"/>
        <w:pageBreakBefore w:val="0"/>
        <w:widowControl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rPr>
        <w:t>现参与</w:t>
      </w:r>
      <w:r>
        <w:rPr>
          <w:rFonts w:hint="eastAsia" w:ascii="仿宋" w:hAnsi="仿宋" w:eastAsia="仿宋" w:cs="仿宋"/>
          <w:color w:val="auto"/>
          <w:spacing w:val="6"/>
          <w:sz w:val="24"/>
          <w:szCs w:val="24"/>
          <w:highlight w:val="none"/>
          <w:u w:val="single"/>
        </w:rPr>
        <w:t>（项目名称、项目编号）</w:t>
      </w:r>
      <w:r>
        <w:rPr>
          <w:rFonts w:hint="eastAsia" w:ascii="仿宋" w:hAnsi="仿宋" w:eastAsia="仿宋" w:cs="仿宋"/>
          <w:color w:val="auto"/>
          <w:kern w:val="0"/>
          <w:sz w:val="24"/>
          <w:szCs w:val="24"/>
          <w:highlight w:val="none"/>
        </w:rPr>
        <w:t>的采购活动，本公司承诺</w:t>
      </w:r>
      <w:r>
        <w:rPr>
          <w:rFonts w:hint="eastAsia" w:ascii="仿宋" w:hAnsi="仿宋" w:eastAsia="仿宋" w:cs="仿宋"/>
          <w:color w:val="auto"/>
          <w:sz w:val="24"/>
          <w:szCs w:val="24"/>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仿宋" w:hAnsi="仿宋" w:eastAsia="仿宋" w:cs="仿宋"/>
          <w:color w:val="auto"/>
          <w:kern w:val="0"/>
          <w:sz w:val="24"/>
          <w:szCs w:val="24"/>
          <w:highlight w:val="none"/>
        </w:rPr>
        <w:t>。</w:t>
      </w:r>
    </w:p>
    <w:p w14:paraId="03C53F5C">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470416B8">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00C4C523">
      <w:pPr>
        <w:keepNext w:val="0"/>
        <w:keepLines w:val="0"/>
        <w:pageBreakBefore w:val="0"/>
        <w:widowControl w:val="0"/>
        <w:kinsoku/>
        <w:wordWrap/>
        <w:overflowPunct/>
        <w:topLinePunct w:val="0"/>
        <w:autoSpaceDE/>
        <w:autoSpaceDN/>
        <w:bidi w:val="0"/>
        <w:spacing w:line="440" w:lineRule="exact"/>
        <w:ind w:firstLine="480" w:firstLineChars="200"/>
        <w:jc w:val="righ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rPr>
        <w:t>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(盖章)</w:t>
      </w:r>
    </w:p>
    <w:p w14:paraId="48F668B5">
      <w:pPr>
        <w:keepNext w:val="0"/>
        <w:keepLines w:val="0"/>
        <w:pageBreakBefore w:val="0"/>
        <w:widowControl w:val="0"/>
        <w:kinsoku/>
        <w:wordWrap/>
        <w:overflowPunct/>
        <w:topLinePunct w:val="0"/>
        <w:autoSpaceDE/>
        <w:autoSpaceDN/>
        <w:bidi w:val="0"/>
        <w:spacing w:line="440" w:lineRule="exact"/>
        <w:ind w:firstLine="480" w:firstLineChars="200"/>
        <w:jc w:val="right"/>
        <w:textAlignment w:val="auto"/>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en-US" w:eastAsia="zh-CN"/>
        </w:rPr>
        <w:t>日期：    年  月  日</w:t>
      </w:r>
    </w:p>
    <w:p w14:paraId="56862CEB">
      <w:pPr>
        <w:keepNext w:val="0"/>
        <w:keepLines w:val="0"/>
        <w:pageBreakBefore w:val="0"/>
        <w:widowControl w:val="0"/>
        <w:kinsoku/>
        <w:overflowPunct/>
        <w:topLinePunct w:val="0"/>
        <w:autoSpaceDE/>
        <w:autoSpaceDN/>
        <w:bidi w:val="0"/>
        <w:spacing w:line="440" w:lineRule="exact"/>
        <w:jc w:val="left"/>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（九）商品包装和快递包装承诺</w:t>
      </w:r>
      <w:r>
        <w:rPr>
          <w:rFonts w:hint="eastAsia" w:ascii="仿宋" w:hAnsi="仿宋" w:eastAsia="仿宋" w:cs="仿宋"/>
          <w:b/>
          <w:color w:val="auto"/>
          <w:sz w:val="24"/>
          <w:szCs w:val="24"/>
          <w:highlight w:val="none"/>
          <w:lang w:val="en-US" w:eastAsia="zh-CN"/>
        </w:rPr>
        <w:t>（以标项为单位分别填写，如本项目所投不涉及，可不提供）</w:t>
      </w:r>
    </w:p>
    <w:p w14:paraId="3DA817F7">
      <w:pPr>
        <w:keepNext w:val="0"/>
        <w:keepLines w:val="0"/>
        <w:pageBreakBefore w:val="0"/>
        <w:widowControl w:val="0"/>
        <w:kinsoku/>
        <w:overflowPunct/>
        <w:topLinePunct w:val="0"/>
        <w:autoSpaceDE/>
        <w:autoSpaceDN/>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商品包装和快递包装承诺</w:t>
      </w:r>
    </w:p>
    <w:p w14:paraId="0C61CFBC">
      <w:pPr>
        <w:keepNext w:val="0"/>
        <w:keepLines w:val="0"/>
        <w:pageBreakBefore w:val="0"/>
        <w:widowControl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rPr>
        <w:t>现参与</w:t>
      </w:r>
      <w:r>
        <w:rPr>
          <w:rFonts w:hint="eastAsia" w:ascii="仿宋" w:hAnsi="仿宋" w:eastAsia="仿宋" w:cs="仿宋"/>
          <w:color w:val="auto"/>
          <w:spacing w:val="6"/>
          <w:sz w:val="24"/>
          <w:szCs w:val="24"/>
          <w:highlight w:val="none"/>
          <w:u w:val="single"/>
        </w:rPr>
        <w:t>（项目名称、项目编号）</w:t>
      </w:r>
      <w:r>
        <w:rPr>
          <w:rFonts w:hint="eastAsia" w:ascii="仿宋" w:hAnsi="仿宋" w:eastAsia="仿宋" w:cs="仿宋"/>
          <w:color w:val="auto"/>
          <w:kern w:val="0"/>
          <w:sz w:val="24"/>
          <w:szCs w:val="24"/>
          <w:highlight w:val="none"/>
        </w:rPr>
        <w:t>的采购活动，本公司承诺所供商品包装符合《商品包装政府采购需求标准（试行）》，快递包装符合《快递包装政府采购需求标准（试行）》。</w:t>
      </w:r>
    </w:p>
    <w:p w14:paraId="2034BE0C">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1C7AECAD">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4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2019B2D0">
      <w:pPr>
        <w:keepNext w:val="0"/>
        <w:keepLines w:val="0"/>
        <w:pageBreakBefore w:val="0"/>
        <w:widowControl w:val="0"/>
        <w:kinsoku/>
        <w:wordWrap/>
        <w:overflowPunct/>
        <w:topLinePunct w:val="0"/>
        <w:autoSpaceDE/>
        <w:autoSpaceDN/>
        <w:bidi w:val="0"/>
        <w:spacing w:line="440" w:lineRule="exact"/>
        <w:ind w:firstLine="480" w:firstLineChars="200"/>
        <w:jc w:val="righ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rPr>
        <w:t>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(盖章)</w:t>
      </w:r>
    </w:p>
    <w:p w14:paraId="3BD44166">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440" w:lineRule="exact"/>
        <w:ind w:firstLine="480" w:firstLineChars="200"/>
        <w:jc w:val="right"/>
        <w:textAlignment w:val="auto"/>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en-US" w:eastAsia="zh-CN"/>
        </w:rPr>
        <w:t>日期：    年  月  日</w:t>
      </w:r>
    </w:p>
    <w:p w14:paraId="1825B43F">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E53D5F8">
      <w:pPr>
        <w:spacing w:line="48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十</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网络安全专用产品说明</w:t>
      </w:r>
      <w:r>
        <w:rPr>
          <w:rFonts w:hint="eastAsia" w:ascii="仿宋" w:hAnsi="仿宋" w:eastAsia="仿宋" w:cs="仿宋"/>
          <w:b/>
          <w:color w:val="auto"/>
          <w:sz w:val="24"/>
          <w:szCs w:val="24"/>
          <w:highlight w:val="none"/>
          <w:lang w:val="en-US" w:eastAsia="zh-CN"/>
        </w:rPr>
        <w:t>（以标项为单位分别填写，如本项目所投不涉及，可不提供）</w:t>
      </w:r>
    </w:p>
    <w:p w14:paraId="13FE813A">
      <w:pPr>
        <w:spacing w:line="48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按照国家财政部、工信部、公安部以及其他部委联合下发《关于调整网络安全专用产品安全管理有关事项的公告》有关要求：</w:t>
      </w:r>
    </w:p>
    <w:p w14:paraId="092FC628">
      <w:pPr>
        <w:spacing w:line="48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2184267F">
      <w:pPr>
        <w:spacing w:line="48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具备资格的机构是指列入《承担网络关键设备和网络安全专用产品安全认证和安全检测任务机构名录》的机构。</w:t>
      </w:r>
    </w:p>
    <w:p w14:paraId="67BF7A2A">
      <w:pPr>
        <w:spacing w:line="48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23EE6AF1">
      <w:pPr>
        <w:spacing w:line="480" w:lineRule="exact"/>
        <w:jc w:val="left"/>
        <w:rPr>
          <w:rFonts w:hint="eastAsia" w:ascii="仿宋" w:hAnsi="仿宋" w:eastAsia="仿宋" w:cs="仿宋"/>
          <w:color w:val="auto"/>
          <w:sz w:val="24"/>
          <w:szCs w:val="24"/>
          <w:highlight w:val="none"/>
        </w:rPr>
      </w:pPr>
    </w:p>
    <w:p w14:paraId="49C021DB">
      <w:pPr>
        <w:spacing w:line="480" w:lineRule="exact"/>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val="en-US" w:eastAsia="zh-CN"/>
        </w:rPr>
        <w:t>（十一）</w:t>
      </w:r>
      <w:r>
        <w:rPr>
          <w:rFonts w:hint="eastAsia" w:ascii="仿宋" w:hAnsi="仿宋" w:eastAsia="仿宋" w:cs="仿宋"/>
          <w:b/>
          <w:color w:val="auto"/>
          <w:kern w:val="0"/>
          <w:sz w:val="24"/>
          <w:szCs w:val="24"/>
          <w:highlight w:val="none"/>
          <w:lang w:eastAsia="zh-CN"/>
        </w:rPr>
        <w:t>正版软件承诺</w:t>
      </w:r>
      <w:r>
        <w:rPr>
          <w:rFonts w:hint="eastAsia" w:ascii="仿宋" w:hAnsi="仿宋" w:eastAsia="仿宋" w:cs="仿宋"/>
          <w:b/>
          <w:color w:val="auto"/>
          <w:sz w:val="24"/>
          <w:szCs w:val="24"/>
          <w:highlight w:val="none"/>
          <w:lang w:val="en-US" w:eastAsia="zh-CN"/>
        </w:rPr>
        <w:t>（以标项为单位分别填写，如本项目所投不涉及，可不提供）</w:t>
      </w:r>
    </w:p>
    <w:p w14:paraId="5C613993">
      <w:pP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正版软件承诺</w:t>
      </w:r>
    </w:p>
    <w:p w14:paraId="3D9A8173">
      <w:pPr>
        <w:pStyle w:val="28"/>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现参与</w:t>
      </w:r>
      <w:r>
        <w:rPr>
          <w:rFonts w:hint="eastAsia" w:ascii="仿宋" w:hAnsi="仿宋" w:eastAsia="仿宋" w:cs="仿宋"/>
          <w:color w:val="auto"/>
          <w:spacing w:val="6"/>
          <w:sz w:val="24"/>
          <w:szCs w:val="24"/>
          <w:highlight w:val="none"/>
          <w:u w:val="single"/>
        </w:rPr>
        <w:t>（项目名称、项目编号）</w:t>
      </w:r>
      <w:r>
        <w:rPr>
          <w:rFonts w:hint="eastAsia" w:ascii="仿宋" w:hAnsi="仿宋" w:eastAsia="仿宋" w:cs="仿宋"/>
          <w:color w:val="auto"/>
          <w:sz w:val="24"/>
          <w:szCs w:val="24"/>
          <w:highlight w:val="none"/>
        </w:rPr>
        <w:t>的采购活动，本公司承诺投报的计算机产品预装正版操作系统，投报的硬件产品内的预装软件为正版软件。</w:t>
      </w:r>
    </w:p>
    <w:p w14:paraId="20936FCC">
      <w:pPr>
        <w:pStyle w:val="28"/>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23DD36EF">
      <w:pPr>
        <w:pStyle w:val="28"/>
        <w:widowControl w:val="0"/>
        <w:adjustRightInd w:val="0"/>
        <w:snapToGrid w:val="0"/>
        <w:spacing w:before="0" w:beforeAutospacing="0" w:after="0" w:afterAutospacing="0" w:line="480" w:lineRule="exact"/>
        <w:ind w:firstLine="480" w:firstLineChars="200"/>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特此声明</w:t>
      </w:r>
    </w:p>
    <w:p w14:paraId="3014485C">
      <w:pPr>
        <w:keepNext w:val="0"/>
        <w:keepLines w:val="0"/>
        <w:pageBreakBefore w:val="0"/>
        <w:widowControl w:val="0"/>
        <w:kinsoku/>
        <w:wordWrap/>
        <w:overflowPunct/>
        <w:topLinePunct w:val="0"/>
        <w:autoSpaceDE/>
        <w:autoSpaceDN/>
        <w:bidi w:val="0"/>
        <w:spacing w:line="360" w:lineRule="auto"/>
        <w:ind w:firstLine="480" w:firstLineChars="200"/>
        <w:jc w:val="righ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0"/>
          <w:sz w:val="24"/>
          <w:szCs w:val="24"/>
          <w:highlight w:val="none"/>
          <w:lang w:val="en-US" w:eastAsia="zh-CN"/>
        </w:rPr>
        <w:t>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(盖章)</w:t>
      </w:r>
    </w:p>
    <w:p w14:paraId="610A538F">
      <w:pPr>
        <w:pStyle w:val="28"/>
        <w:widowControl w:val="0"/>
        <w:adjustRightInd w:val="0"/>
        <w:snapToGrid w:val="0"/>
        <w:spacing w:before="0" w:beforeAutospacing="0" w:after="0" w:afterAutospacing="0" w:line="48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日期：    年  月  日</w:t>
      </w:r>
    </w:p>
    <w:p w14:paraId="37F2E381">
      <w:pPr>
        <w:rPr>
          <w:rFonts w:hint="eastAsia" w:ascii="仿宋" w:hAnsi="仿宋" w:eastAsia="仿宋" w:cs="仿宋"/>
          <w:b/>
          <w:snapToGrid w:val="0"/>
          <w:color w:val="auto"/>
          <w:sz w:val="24"/>
          <w:szCs w:val="24"/>
          <w:highlight w:val="none"/>
          <w:lang w:val="en-US" w:eastAsia="zh-CN" w:bidi="ar-SA"/>
        </w:rPr>
      </w:pPr>
      <w:r>
        <w:rPr>
          <w:rFonts w:hint="eastAsia" w:ascii="仿宋" w:hAnsi="仿宋" w:eastAsia="仿宋" w:cs="仿宋"/>
          <w:b/>
          <w:snapToGrid w:val="0"/>
          <w:color w:val="auto"/>
          <w:sz w:val="24"/>
          <w:szCs w:val="24"/>
          <w:highlight w:val="none"/>
          <w:lang w:val="en-US" w:eastAsia="zh-CN" w:bidi="ar-SA"/>
        </w:rPr>
        <w:br w:type="textWrapping"/>
      </w:r>
      <w:r>
        <w:rPr>
          <w:rFonts w:hint="eastAsia" w:ascii="仿宋" w:hAnsi="仿宋" w:eastAsia="仿宋" w:cs="仿宋"/>
          <w:b/>
          <w:snapToGrid w:val="0"/>
          <w:color w:val="auto"/>
          <w:sz w:val="24"/>
          <w:szCs w:val="24"/>
          <w:highlight w:val="none"/>
          <w:lang w:val="en-US" w:eastAsia="zh-CN" w:bidi="ar-SA"/>
        </w:rPr>
        <w:br w:type="textWrapping"/>
      </w:r>
    </w:p>
    <w:p w14:paraId="666CE7C9">
      <w:pPr>
        <w:rPr>
          <w:rFonts w:hint="eastAsia" w:ascii="仿宋" w:hAnsi="仿宋" w:eastAsia="仿宋" w:cs="仿宋"/>
          <w:b/>
          <w:snapToGrid w:val="0"/>
          <w:color w:val="auto"/>
          <w:sz w:val="24"/>
          <w:szCs w:val="24"/>
          <w:highlight w:val="none"/>
          <w:lang w:val="en-US" w:eastAsia="zh-CN" w:bidi="ar-SA"/>
        </w:rPr>
      </w:pPr>
      <w:r>
        <w:rPr>
          <w:rFonts w:hint="eastAsia" w:ascii="仿宋" w:hAnsi="仿宋" w:eastAsia="仿宋" w:cs="仿宋"/>
          <w:b/>
          <w:snapToGrid w:val="0"/>
          <w:color w:val="auto"/>
          <w:sz w:val="24"/>
          <w:szCs w:val="24"/>
          <w:highlight w:val="none"/>
          <w:lang w:val="en-US" w:eastAsia="zh-CN" w:bidi="ar-SA"/>
        </w:rPr>
        <w:br w:type="page"/>
      </w:r>
    </w:p>
    <w:p w14:paraId="5FA5D1D3">
      <w:pPr>
        <w:rPr>
          <w:rFonts w:hint="eastAsia" w:ascii="仿宋" w:hAnsi="仿宋" w:eastAsia="仿宋" w:cs="仿宋"/>
          <w:b/>
          <w:snapToGrid w:val="0"/>
          <w:color w:val="auto"/>
          <w:sz w:val="24"/>
          <w:szCs w:val="24"/>
          <w:highlight w:val="none"/>
          <w:lang w:val="en-US" w:eastAsia="zh-CN" w:bidi="ar-SA"/>
        </w:rPr>
      </w:pPr>
    </w:p>
    <w:p w14:paraId="212D2A8D">
      <w:pPr>
        <w:pStyle w:val="28"/>
        <w:keepNext w:val="0"/>
        <w:keepLines w:val="0"/>
        <w:pageBreakBefore w:val="0"/>
        <w:kinsoku/>
        <w:overflowPunct/>
        <w:topLinePunct w:val="0"/>
        <w:autoSpaceDE/>
        <w:autoSpaceDN/>
        <w:bidi w:val="0"/>
        <w:spacing w:line="560" w:lineRule="exact"/>
        <w:textAlignment w:val="auto"/>
        <w:rPr>
          <w:rFonts w:hint="eastAsia" w:ascii="仿宋" w:hAnsi="仿宋" w:eastAsia="仿宋" w:cs="仿宋"/>
          <w:b/>
          <w:snapToGrid w:val="0"/>
          <w:color w:val="auto"/>
          <w:sz w:val="24"/>
          <w:szCs w:val="24"/>
          <w:highlight w:val="none"/>
          <w:lang w:val="en-US" w:eastAsia="zh-CN" w:bidi="ar-SA"/>
        </w:rPr>
      </w:pPr>
      <w:r>
        <w:rPr>
          <w:rFonts w:hint="eastAsia" w:ascii="仿宋" w:hAnsi="仿宋" w:eastAsia="仿宋" w:cs="仿宋"/>
          <w:b/>
          <w:snapToGrid w:val="0"/>
          <w:color w:val="auto"/>
          <w:sz w:val="24"/>
          <w:szCs w:val="24"/>
          <w:highlight w:val="none"/>
          <w:lang w:val="en-US" w:eastAsia="zh-CN" w:bidi="ar-SA"/>
        </w:rPr>
        <w:t>（十二）联合投标协议书格式（如有）</w:t>
      </w:r>
    </w:p>
    <w:p w14:paraId="61A72F5F">
      <w:pPr>
        <w:keepNext w:val="0"/>
        <w:keepLines w:val="0"/>
        <w:pageBreakBefore w:val="0"/>
        <w:kinsoku/>
        <w:overflowPunct/>
        <w:topLinePunct w:val="0"/>
        <w:autoSpaceDE/>
        <w:autoSpaceDN/>
        <w:bidi w:val="0"/>
        <w:spacing w:line="56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w:t>
      </w:r>
    </w:p>
    <w:p w14:paraId="3A60444F">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14:paraId="5D27A806">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514A4650">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D9DCBF9">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5E6F8DE6">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44811F3B">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44E0D9D2">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14:paraId="15F3E5E6">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14:paraId="736A148B">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lang w:val="en-US" w:eastAsia="zh-CN"/>
        </w:rPr>
        <w:t xml:space="preserve">  （采购代理机构名称）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u w:val="single"/>
          <w:lang w:val="en-US" w:eastAsia="zh-CN"/>
        </w:rPr>
        <w:t>项目</w:t>
      </w:r>
      <w:r>
        <w:rPr>
          <w:rFonts w:hint="eastAsia" w:ascii="仿宋" w:hAnsi="仿宋" w:eastAsia="仿宋" w:cs="仿宋"/>
          <w:sz w:val="24"/>
          <w:szCs w:val="24"/>
          <w:highlight w:val="none"/>
          <w:u w:val="single"/>
        </w:rPr>
        <w:t>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项目的招标活动，各方经协商，就联合进行投标之事宜，达成如下协议：</w:t>
      </w:r>
    </w:p>
    <w:p w14:paraId="31832246">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一、各方一致决定，以</w:t>
      </w:r>
      <w:r>
        <w:rPr>
          <w:rFonts w:hint="eastAsia" w:ascii="仿宋" w:hAnsi="仿宋" w:eastAsia="仿宋" w:cs="仿宋"/>
          <w:spacing w:val="6"/>
          <w:sz w:val="24"/>
          <w:szCs w:val="24"/>
          <w:highlight w:val="none"/>
        </w:rPr>
        <w:t>____________</w:t>
      </w:r>
      <w:r>
        <w:rPr>
          <w:rFonts w:hint="eastAsia" w:ascii="仿宋" w:hAnsi="仿宋" w:eastAsia="仿宋" w:cs="仿宋"/>
          <w:sz w:val="24"/>
          <w:szCs w:val="24"/>
          <w:highlight w:val="none"/>
        </w:rPr>
        <w:t>为主办人进行投标，并按照</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文件的规定分别提交资格文件。</w:t>
      </w:r>
    </w:p>
    <w:p w14:paraId="78B4017E">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文件规定及投标内容而对采购人所作的任何合法承诺，包括书面澄清及响应等均对联合投标各方产生约束力。如果</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并签订合同，则联合投标各方将共同履行对采购人所负有的全部义务并就采购合同约定的事项对采购人承担连带责任。</w:t>
      </w:r>
    </w:p>
    <w:p w14:paraId="522A22C8">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而提供的货物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工程或服务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和相关服务提供全部质量保证及售后服务支持。</w:t>
      </w:r>
    </w:p>
    <w:p w14:paraId="35F3A578">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14:paraId="333C15CD">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14:paraId="5B3984C1">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14:paraId="38C67293">
      <w:pPr>
        <w:pStyle w:val="28"/>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文件的组成部分。</w:t>
      </w:r>
    </w:p>
    <w:p w14:paraId="7DD86B40">
      <w:pPr>
        <w:rPr>
          <w:rFonts w:hint="eastAsia" w:ascii="仿宋" w:hAnsi="仿宋" w:eastAsia="仿宋" w:cs="仿宋"/>
          <w:sz w:val="24"/>
          <w:szCs w:val="24"/>
          <w:highlight w:val="none"/>
        </w:rPr>
      </w:pPr>
    </w:p>
    <w:p w14:paraId="7C814E83">
      <w:pPr>
        <w:pStyle w:val="13"/>
        <w:rPr>
          <w:rFonts w:hint="eastAsia" w:ascii="仿宋" w:hAnsi="仿宋" w:eastAsia="仿宋" w:cs="仿宋"/>
          <w:highlight w:val="none"/>
        </w:rPr>
      </w:pPr>
    </w:p>
    <w:p w14:paraId="54964D8A">
      <w:pPr>
        <w:rPr>
          <w:rFonts w:hint="eastAsia" w:ascii="仿宋" w:hAnsi="仿宋" w:eastAsia="仿宋" w:cs="仿宋"/>
          <w:highlight w:val="none"/>
        </w:rPr>
      </w:pPr>
    </w:p>
    <w:p w14:paraId="2CA2E0C8">
      <w:pPr>
        <w:pStyle w:val="13"/>
        <w:rPr>
          <w:rFonts w:hint="eastAsia" w:ascii="仿宋" w:hAnsi="仿宋" w:eastAsia="仿宋" w:cs="仿宋"/>
          <w:highlight w:val="none"/>
        </w:rPr>
      </w:pPr>
    </w:p>
    <w:p w14:paraId="294E198D">
      <w:pPr>
        <w:spacing w:line="72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w:t>
      </w:r>
    </w:p>
    <w:p w14:paraId="718C9E04">
      <w:pPr>
        <w:spacing w:line="72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签字或盖章</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签字或盖章</w:t>
      </w:r>
      <w:r>
        <w:rPr>
          <w:rFonts w:hint="eastAsia" w:ascii="仿宋" w:hAnsi="仿宋" w:eastAsia="仿宋" w:cs="仿宋"/>
          <w:sz w:val="24"/>
          <w:szCs w:val="24"/>
          <w:highlight w:val="none"/>
        </w:rPr>
        <w:t>）：</w:t>
      </w:r>
    </w:p>
    <w:p w14:paraId="7E5FEF21">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年  月  日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年  月  日</w:t>
      </w:r>
    </w:p>
    <w:p w14:paraId="3367E76D">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6B1E134B">
      <w:pPr>
        <w:spacing w:line="720" w:lineRule="auto"/>
        <w:rPr>
          <w:rFonts w:hint="eastAsia" w:ascii="仿宋" w:hAnsi="仿宋" w:eastAsia="仿宋" w:cs="仿宋"/>
          <w:sz w:val="24"/>
          <w:szCs w:val="24"/>
          <w:highlight w:val="none"/>
        </w:rPr>
        <w:sectPr>
          <w:headerReference r:id="rId8" w:type="default"/>
          <w:footerReference r:id="rId9" w:type="default"/>
          <w:pgSz w:w="11907" w:h="16840"/>
          <w:pgMar w:top="1418" w:right="1247" w:bottom="1418" w:left="1247" w:header="1021" w:footer="1021" w:gutter="0"/>
          <w:pgNumType w:fmt="decimal"/>
          <w:cols w:space="720" w:num="1"/>
          <w:docGrid w:linePitch="326" w:charSpace="0"/>
        </w:sectPr>
      </w:pPr>
    </w:p>
    <w:tbl>
      <w:tblPr>
        <w:tblStyle w:val="31"/>
        <w:tblW w:w="9880" w:type="dxa"/>
        <w:jc w:val="center"/>
        <w:tblLayout w:type="autofit"/>
        <w:tblCellMar>
          <w:top w:w="0" w:type="dxa"/>
          <w:left w:w="108" w:type="dxa"/>
          <w:bottom w:w="0" w:type="dxa"/>
          <w:right w:w="108" w:type="dxa"/>
        </w:tblCellMar>
      </w:tblPr>
      <w:tblGrid>
        <w:gridCol w:w="4090"/>
        <w:gridCol w:w="5790"/>
      </w:tblGrid>
      <w:tr w14:paraId="7127B673">
        <w:tblPrEx>
          <w:tblCellMar>
            <w:top w:w="0" w:type="dxa"/>
            <w:left w:w="108" w:type="dxa"/>
            <w:bottom w:w="0" w:type="dxa"/>
            <w:right w:w="108" w:type="dxa"/>
          </w:tblCellMar>
        </w:tblPrEx>
        <w:trPr>
          <w:trHeight w:val="1173" w:hRule="atLeast"/>
          <w:jc w:val="center"/>
        </w:trPr>
        <w:tc>
          <w:tcPr>
            <w:tcW w:w="9880" w:type="dxa"/>
            <w:gridSpan w:val="2"/>
            <w:tcBorders>
              <w:top w:val="nil"/>
              <w:left w:val="nil"/>
              <w:bottom w:val="nil"/>
              <w:right w:val="nil"/>
            </w:tcBorders>
            <w:noWrap/>
            <w:vAlign w:val="center"/>
          </w:tcPr>
          <w:p w14:paraId="392FF596">
            <w:pPr>
              <w:widowControl/>
              <w:jc w:val="center"/>
              <w:rPr>
                <w:rFonts w:hint="eastAsia" w:ascii="仿宋" w:hAnsi="仿宋" w:eastAsia="仿宋" w:cs="仿宋"/>
                <w:b/>
                <w:bCs/>
                <w:color w:val="000000"/>
                <w:kern w:val="0"/>
                <w:sz w:val="24"/>
                <w:szCs w:val="24"/>
                <w:highlight w:val="none"/>
              </w:rPr>
            </w:pPr>
            <w:bookmarkStart w:id="59" w:name="_Toc30077"/>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、银行账户信息一览表（用于退还保证金及开具发票）</w:t>
            </w:r>
          </w:p>
        </w:tc>
      </w:tr>
      <w:tr w14:paraId="06E56CF5">
        <w:tblPrEx>
          <w:tblCellMar>
            <w:top w:w="0" w:type="dxa"/>
            <w:left w:w="108" w:type="dxa"/>
            <w:bottom w:w="0" w:type="dxa"/>
            <w:right w:w="108" w:type="dxa"/>
          </w:tblCellMar>
        </w:tblPrEx>
        <w:trPr>
          <w:trHeight w:val="850" w:hRule="atLeast"/>
          <w:jc w:val="center"/>
        </w:trPr>
        <w:tc>
          <w:tcPr>
            <w:tcW w:w="4090" w:type="dxa"/>
            <w:tcBorders>
              <w:top w:val="single" w:color="auto" w:sz="4" w:space="0"/>
              <w:left w:val="single" w:color="auto" w:sz="4" w:space="0"/>
              <w:bottom w:val="single" w:color="auto" w:sz="4" w:space="0"/>
              <w:right w:val="single" w:color="auto" w:sz="4" w:space="0"/>
            </w:tcBorders>
            <w:noWrap/>
            <w:vAlign w:val="center"/>
          </w:tcPr>
          <w:p w14:paraId="2A64F0C4">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项目</w:t>
            </w:r>
            <w:r>
              <w:rPr>
                <w:rFonts w:hint="eastAsia" w:ascii="仿宋" w:hAnsi="仿宋" w:eastAsia="仿宋" w:cs="仿宋"/>
                <w:color w:val="000000"/>
                <w:kern w:val="0"/>
                <w:sz w:val="24"/>
                <w:szCs w:val="24"/>
                <w:highlight w:val="none"/>
              </w:rPr>
              <w:t>编号</w:t>
            </w:r>
          </w:p>
        </w:tc>
        <w:tc>
          <w:tcPr>
            <w:tcW w:w="5790" w:type="dxa"/>
            <w:tcBorders>
              <w:top w:val="single" w:color="auto" w:sz="4" w:space="0"/>
              <w:left w:val="nil"/>
              <w:bottom w:val="single" w:color="auto" w:sz="4" w:space="0"/>
              <w:right w:val="single" w:color="auto" w:sz="4" w:space="0"/>
            </w:tcBorders>
            <w:noWrap/>
            <w:vAlign w:val="center"/>
          </w:tcPr>
          <w:p w14:paraId="6D41137F">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54E57432">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417CBB74">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供应商</w:t>
            </w:r>
            <w:r>
              <w:rPr>
                <w:rFonts w:hint="eastAsia" w:ascii="仿宋" w:hAnsi="仿宋" w:eastAsia="仿宋" w:cs="仿宋"/>
                <w:color w:val="000000"/>
                <w:kern w:val="0"/>
                <w:sz w:val="24"/>
                <w:szCs w:val="24"/>
                <w:highlight w:val="none"/>
              </w:rPr>
              <w:t>全称</w:t>
            </w:r>
          </w:p>
        </w:tc>
        <w:tc>
          <w:tcPr>
            <w:tcW w:w="5790" w:type="dxa"/>
            <w:tcBorders>
              <w:top w:val="nil"/>
              <w:left w:val="nil"/>
              <w:bottom w:val="single" w:color="auto" w:sz="4" w:space="0"/>
              <w:right w:val="single" w:color="auto" w:sz="4" w:space="0"/>
            </w:tcBorders>
            <w:noWrap/>
            <w:vAlign w:val="center"/>
          </w:tcPr>
          <w:p w14:paraId="28396061">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43923465">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1C099CDB">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纳税人识别号</w:t>
            </w:r>
          </w:p>
        </w:tc>
        <w:tc>
          <w:tcPr>
            <w:tcW w:w="5790" w:type="dxa"/>
            <w:tcBorders>
              <w:top w:val="nil"/>
              <w:left w:val="nil"/>
              <w:bottom w:val="single" w:color="auto" w:sz="4" w:space="0"/>
              <w:right w:val="single" w:color="auto" w:sz="4" w:space="0"/>
            </w:tcBorders>
            <w:noWrap/>
            <w:vAlign w:val="center"/>
          </w:tcPr>
          <w:p w14:paraId="03A0E2EF">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19D88915">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62B55103">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公司注册地址</w:t>
            </w:r>
          </w:p>
        </w:tc>
        <w:tc>
          <w:tcPr>
            <w:tcW w:w="5790" w:type="dxa"/>
            <w:tcBorders>
              <w:top w:val="nil"/>
              <w:left w:val="nil"/>
              <w:bottom w:val="single" w:color="auto" w:sz="4" w:space="0"/>
              <w:right w:val="single" w:color="auto" w:sz="4" w:space="0"/>
            </w:tcBorders>
            <w:noWrap/>
            <w:vAlign w:val="center"/>
          </w:tcPr>
          <w:p w14:paraId="772DB91E">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252B62AB">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5DCDC667">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供应商</w:t>
            </w:r>
            <w:r>
              <w:rPr>
                <w:rFonts w:hint="eastAsia" w:ascii="仿宋" w:hAnsi="仿宋" w:eastAsia="仿宋" w:cs="仿宋"/>
                <w:color w:val="000000"/>
                <w:kern w:val="0"/>
                <w:sz w:val="24"/>
                <w:szCs w:val="24"/>
                <w:highlight w:val="none"/>
              </w:rPr>
              <w:t>联系人电话</w:t>
            </w:r>
          </w:p>
        </w:tc>
        <w:tc>
          <w:tcPr>
            <w:tcW w:w="5790" w:type="dxa"/>
            <w:tcBorders>
              <w:top w:val="nil"/>
              <w:left w:val="nil"/>
              <w:bottom w:val="single" w:color="auto" w:sz="4" w:space="0"/>
              <w:right w:val="single" w:color="auto" w:sz="4" w:space="0"/>
            </w:tcBorders>
            <w:noWrap/>
            <w:vAlign w:val="center"/>
          </w:tcPr>
          <w:p w14:paraId="00C1C2E9">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4ABC8F91">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7D7CC9D2">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w:t>
            </w:r>
          </w:p>
        </w:tc>
        <w:tc>
          <w:tcPr>
            <w:tcW w:w="5790" w:type="dxa"/>
            <w:tcBorders>
              <w:top w:val="nil"/>
              <w:left w:val="nil"/>
              <w:bottom w:val="single" w:color="auto" w:sz="4" w:space="0"/>
              <w:right w:val="single" w:color="auto" w:sz="4" w:space="0"/>
            </w:tcBorders>
            <w:noWrap/>
            <w:vAlign w:val="center"/>
          </w:tcPr>
          <w:p w14:paraId="76CB6108">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3B36B37B">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43114F27">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银行账号</w:t>
            </w:r>
          </w:p>
        </w:tc>
        <w:tc>
          <w:tcPr>
            <w:tcW w:w="5790" w:type="dxa"/>
            <w:tcBorders>
              <w:top w:val="nil"/>
              <w:left w:val="nil"/>
              <w:bottom w:val="single" w:color="auto" w:sz="4" w:space="0"/>
              <w:right w:val="single" w:color="auto" w:sz="4" w:space="0"/>
            </w:tcBorders>
            <w:noWrap/>
            <w:vAlign w:val="center"/>
          </w:tcPr>
          <w:p w14:paraId="79EE77C3">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57DAF706">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5805E2F7">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银行联行号（12位）</w:t>
            </w:r>
          </w:p>
        </w:tc>
        <w:tc>
          <w:tcPr>
            <w:tcW w:w="5790" w:type="dxa"/>
            <w:tcBorders>
              <w:top w:val="nil"/>
              <w:left w:val="nil"/>
              <w:bottom w:val="single" w:color="auto" w:sz="4" w:space="0"/>
              <w:right w:val="single" w:color="auto" w:sz="4" w:space="0"/>
            </w:tcBorders>
            <w:noWrap/>
            <w:vAlign w:val="center"/>
          </w:tcPr>
          <w:p w14:paraId="308AE7CA">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61E8304B">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3FB20FB4">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供应商</w:t>
            </w:r>
            <w:r>
              <w:rPr>
                <w:rFonts w:hint="eastAsia" w:ascii="仿宋" w:hAnsi="仿宋" w:eastAsia="仿宋" w:cs="仿宋"/>
                <w:color w:val="000000"/>
                <w:kern w:val="0"/>
                <w:sz w:val="24"/>
                <w:szCs w:val="24"/>
                <w:highlight w:val="none"/>
              </w:rPr>
              <w:t>联系人</w:t>
            </w:r>
          </w:p>
        </w:tc>
        <w:tc>
          <w:tcPr>
            <w:tcW w:w="5790" w:type="dxa"/>
            <w:tcBorders>
              <w:top w:val="nil"/>
              <w:left w:val="nil"/>
              <w:bottom w:val="single" w:color="auto" w:sz="4" w:space="0"/>
              <w:right w:val="single" w:color="auto" w:sz="4" w:space="0"/>
            </w:tcBorders>
            <w:noWrap/>
            <w:vAlign w:val="center"/>
          </w:tcPr>
          <w:p w14:paraId="09FFA938">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6118E3C7">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1342AA44">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手机号码</w:t>
            </w:r>
          </w:p>
        </w:tc>
        <w:tc>
          <w:tcPr>
            <w:tcW w:w="5790" w:type="dxa"/>
            <w:tcBorders>
              <w:top w:val="nil"/>
              <w:left w:val="nil"/>
              <w:bottom w:val="single" w:color="auto" w:sz="4" w:space="0"/>
              <w:right w:val="single" w:color="auto" w:sz="4" w:space="0"/>
            </w:tcBorders>
            <w:noWrap/>
            <w:vAlign w:val="center"/>
          </w:tcPr>
          <w:p w14:paraId="2262B044">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r>
      <w:tr w14:paraId="05246C89">
        <w:tblPrEx>
          <w:tblCellMar>
            <w:top w:w="0" w:type="dxa"/>
            <w:left w:w="108" w:type="dxa"/>
            <w:bottom w:w="0" w:type="dxa"/>
            <w:right w:w="108" w:type="dxa"/>
          </w:tblCellMar>
        </w:tblPrEx>
        <w:trPr>
          <w:trHeight w:val="850" w:hRule="atLeast"/>
          <w:jc w:val="center"/>
        </w:trPr>
        <w:tc>
          <w:tcPr>
            <w:tcW w:w="4090" w:type="dxa"/>
            <w:tcBorders>
              <w:top w:val="nil"/>
              <w:left w:val="single" w:color="auto" w:sz="4" w:space="0"/>
              <w:bottom w:val="single" w:color="auto" w:sz="4" w:space="0"/>
              <w:right w:val="single" w:color="auto" w:sz="4" w:space="0"/>
            </w:tcBorders>
            <w:noWrap/>
            <w:vAlign w:val="center"/>
          </w:tcPr>
          <w:p w14:paraId="0C50A287">
            <w:pPr>
              <w:widowControl/>
              <w:spacing w:line="24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备注</w:t>
            </w:r>
          </w:p>
        </w:tc>
        <w:tc>
          <w:tcPr>
            <w:tcW w:w="5790" w:type="dxa"/>
            <w:tcBorders>
              <w:top w:val="nil"/>
              <w:left w:val="nil"/>
              <w:bottom w:val="single" w:color="auto" w:sz="4" w:space="0"/>
              <w:right w:val="single" w:color="auto" w:sz="4" w:space="0"/>
            </w:tcBorders>
            <w:noWrap/>
            <w:vAlign w:val="center"/>
          </w:tcPr>
          <w:p w14:paraId="45788302">
            <w:pPr>
              <w:widowControl/>
              <w:spacing w:line="240" w:lineRule="auto"/>
              <w:jc w:val="center"/>
              <w:rPr>
                <w:rFonts w:hint="eastAsia" w:ascii="仿宋" w:hAnsi="仿宋" w:eastAsia="仿宋" w:cs="仿宋"/>
                <w:b/>
                <w:color w:val="000000"/>
                <w:kern w:val="0"/>
                <w:sz w:val="24"/>
                <w:szCs w:val="24"/>
                <w:highlight w:val="none"/>
              </w:rPr>
            </w:pPr>
          </w:p>
        </w:tc>
      </w:tr>
      <w:tr w14:paraId="60D614F1">
        <w:tblPrEx>
          <w:tblCellMar>
            <w:top w:w="0" w:type="dxa"/>
            <w:left w:w="108" w:type="dxa"/>
            <w:bottom w:w="0" w:type="dxa"/>
            <w:right w:w="108" w:type="dxa"/>
          </w:tblCellMar>
        </w:tblPrEx>
        <w:trPr>
          <w:trHeight w:val="927" w:hRule="atLeast"/>
          <w:jc w:val="center"/>
        </w:trPr>
        <w:tc>
          <w:tcPr>
            <w:tcW w:w="9880" w:type="dxa"/>
            <w:gridSpan w:val="2"/>
            <w:tcBorders>
              <w:top w:val="single" w:color="auto" w:sz="4" w:space="0"/>
              <w:left w:val="nil"/>
              <w:bottom w:val="nil"/>
              <w:right w:val="nil"/>
            </w:tcBorders>
            <w:noWrap w:val="0"/>
            <w:vAlign w:val="center"/>
          </w:tcPr>
          <w:p w14:paraId="566C5044">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备注：发票开具、邮寄地址提供错误后果自负。</w:t>
            </w:r>
          </w:p>
        </w:tc>
      </w:tr>
    </w:tbl>
    <w:p w14:paraId="22E616D5">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7AE5A235">
      <w:pPr>
        <w:pageBreakBefore w:val="0"/>
        <w:kinsoku/>
        <w:wordWrap/>
        <w:autoSpaceDE/>
        <w:bidi w:val="0"/>
        <w:spacing w:line="560" w:lineRule="exact"/>
        <w:jc w:val="center"/>
        <w:textAlignment w:val="auto"/>
        <w:outlineLvl w:val="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第八部分</w:t>
      </w: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rPr>
        <w:t>相关附件</w:t>
      </w:r>
      <w:bookmarkEnd w:id="59"/>
    </w:p>
    <w:p w14:paraId="6C8E34E8">
      <w:pPr>
        <w:keepNext w:val="0"/>
        <w:keepLines w:val="0"/>
        <w:pageBreakBefore w:val="0"/>
        <w:widowControl w:val="0"/>
        <w:kinsoku/>
        <w:wordWrap/>
        <w:overflowPunct/>
        <w:topLinePunct w:val="0"/>
        <w:autoSpaceDE/>
        <w:autoSpaceDN/>
        <w:bidi w:val="0"/>
        <w:spacing w:line="48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附件1：</w:t>
      </w:r>
      <w:r>
        <w:rPr>
          <w:rFonts w:hint="eastAsia" w:ascii="仿宋" w:hAnsi="仿宋" w:eastAsia="仿宋" w:cs="仿宋"/>
          <w:b/>
          <w:bCs/>
          <w:color w:val="auto"/>
          <w:sz w:val="24"/>
          <w:szCs w:val="24"/>
          <w:highlight w:val="none"/>
        </w:rPr>
        <w:t>质疑函范本</w:t>
      </w:r>
    </w:p>
    <w:p w14:paraId="44867EC9">
      <w:pPr>
        <w:keepNext w:val="0"/>
        <w:keepLines w:val="0"/>
        <w:pageBreakBefore w:val="0"/>
        <w:widowControl w:val="0"/>
        <w:kinsoku/>
        <w:wordWrap/>
        <w:overflowPunct/>
        <w:topLinePunct w:val="0"/>
        <w:autoSpaceDE/>
        <w:autoSpaceDN/>
        <w:bidi w:val="0"/>
        <w:adjustRightInd w:val="0"/>
        <w:snapToGrid w:val="0"/>
        <w:spacing w:before="240" w:beforeLines="100" w:line="48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一、质疑供应商基本信息</w:t>
      </w:r>
    </w:p>
    <w:p w14:paraId="55B2AAC9">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3613800C">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6D81C4EC">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7036AC0">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2586EABE">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FC75E3D">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563F0FB">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二、质疑项目基本情况</w:t>
      </w:r>
    </w:p>
    <w:p w14:paraId="1761C434">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3B7E5CBD">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42C1EE81">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01964383">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17836165">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三、质疑事项具体内容</w:t>
      </w:r>
    </w:p>
    <w:p w14:paraId="1CC308D3">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75377DAC">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5D5ADE76">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2C5C1928">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22E6174C">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3DF15C74">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59714131">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0BEEE83">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四、与质疑事项相关的质疑请求</w:t>
      </w:r>
    </w:p>
    <w:p w14:paraId="7CD4F8B3">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2DCBFC07">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eastAsia" w:ascii="仿宋" w:hAnsi="仿宋" w:eastAsia="仿宋" w:cs="仿宋"/>
          <w:color w:val="auto"/>
          <w:sz w:val="24"/>
          <w:szCs w:val="24"/>
          <w:highlight w:val="none"/>
          <w:u w:val="dotted"/>
        </w:rPr>
      </w:pPr>
    </w:p>
    <w:p w14:paraId="4A3DE653">
      <w:pPr>
        <w:keepNext w:val="0"/>
        <w:keepLines w:val="0"/>
        <w:pageBreakBefore w:val="0"/>
        <w:widowControl w:val="0"/>
        <w:kinsoku/>
        <w:wordWrap/>
        <w:overflowPunct/>
        <w:topLinePunct w:val="0"/>
        <w:autoSpaceDE/>
        <w:autoSpaceDN/>
        <w:bidi w:val="0"/>
        <w:spacing w:line="480" w:lineRule="exact"/>
        <w:ind w:firstLine="4560" w:firstLineChars="1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w:t>
      </w:r>
    </w:p>
    <w:p w14:paraId="7C116953">
      <w:pPr>
        <w:keepNext w:val="0"/>
        <w:keepLines w:val="0"/>
        <w:pageBreakBefore w:val="0"/>
        <w:widowControl w:val="0"/>
        <w:kinsoku/>
        <w:wordWrap/>
        <w:overflowPunct/>
        <w:topLinePunct w:val="0"/>
        <w:autoSpaceDE/>
        <w:autoSpaceDN/>
        <w:bidi w:val="0"/>
        <w:spacing w:line="480" w:lineRule="exact"/>
        <w:ind w:firstLine="4560" w:firstLineChars="1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p w14:paraId="0132A116">
      <w:pPr>
        <w:keepNext w:val="0"/>
        <w:keepLines w:val="0"/>
        <w:pageBreakBefore w:val="0"/>
        <w:widowControl w:val="0"/>
        <w:kinsoku/>
        <w:wordWrap/>
        <w:overflowPunct/>
        <w:topLinePunct w:val="0"/>
        <w:autoSpaceDE/>
        <w:autoSpaceDN/>
        <w:bidi w:val="0"/>
        <w:spacing w:line="480" w:lineRule="exact"/>
        <w:ind w:firstLine="4560" w:firstLineChars="19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p>
    <w:p w14:paraId="4B28CC1D">
      <w:pPr>
        <w:pageBreakBefore w:val="0"/>
        <w:kinsoku/>
        <w:wordWrap/>
        <w:autoSpaceDE/>
        <w:bidi w:val="0"/>
        <w:spacing w:line="560" w:lineRule="exact"/>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4656EB92">
      <w:pPr>
        <w:pageBreakBefore w:val="0"/>
        <w:kinsoku/>
        <w:wordWrap/>
        <w:autoSpaceDE/>
        <w:bidi w:val="0"/>
        <w:spacing w:line="560" w:lineRule="exact"/>
        <w:jc w:val="center"/>
        <w:textAlignment w:val="auto"/>
        <w:outlineLvl w:val="9"/>
        <w:rPr>
          <w:rFonts w:hint="eastAsia" w:ascii="仿宋" w:hAnsi="仿宋" w:eastAsia="仿宋" w:cs="仿宋"/>
          <w:b/>
          <w:color w:val="auto"/>
          <w:sz w:val="24"/>
          <w:szCs w:val="24"/>
          <w:highlight w:val="none"/>
        </w:rPr>
      </w:pPr>
    </w:p>
    <w:p w14:paraId="07BA903F">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提出质疑时，应提交质疑函和必要的证明材料。</w:t>
      </w:r>
    </w:p>
    <w:p w14:paraId="12D78D66">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1E61E92F">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质疑供应商若对项目的某一分包进行质疑，质疑函中应列明具体分包号。</w:t>
      </w:r>
    </w:p>
    <w:p w14:paraId="09B72A63">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质疑函的质疑事项应具体、明确，并有必要的事实依据和法律依据。</w:t>
      </w:r>
    </w:p>
    <w:p w14:paraId="1F8F4D94">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质疑函的质疑请求应与质疑事项相关。</w:t>
      </w:r>
    </w:p>
    <w:p w14:paraId="6BD4FDC1">
      <w:pPr>
        <w:pageBreakBefore w:val="0"/>
        <w:kinsoku/>
        <w:wordWrap/>
        <w:autoSpaceDE/>
        <w:bidi w:val="0"/>
        <w:spacing w:line="56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质疑供应商为自然人的，质疑函应由本人签字；质疑供应商为法人或者其他组织的，质疑函应由法定代表人、主要负责人，或者其授权代表签字或者盖章，并加盖公章。</w:t>
      </w:r>
    </w:p>
    <w:p w14:paraId="40824DE4">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2B9FE540">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7B6EB2E9">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23272284">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67D85500">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38ECEAAA">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52AD3600">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5A223BC2">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0C0E1230">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76F450D4">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781C72C2">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2CC3FD28">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41F1AEDD">
      <w:pPr>
        <w:pageBreakBefore w:val="0"/>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p>
    <w:p w14:paraId="7088ECFF">
      <w:pPr>
        <w:pageBreakBefore w:val="0"/>
        <w:kinsoku/>
        <w:wordWrap/>
        <w:autoSpaceDE/>
        <w:bidi w:val="0"/>
        <w:spacing w:line="56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附件2：</w:t>
      </w:r>
      <w:r>
        <w:rPr>
          <w:rFonts w:hint="eastAsia" w:ascii="仿宋" w:hAnsi="仿宋" w:eastAsia="仿宋" w:cs="仿宋"/>
          <w:b/>
          <w:color w:val="auto"/>
          <w:sz w:val="24"/>
          <w:szCs w:val="24"/>
          <w:highlight w:val="none"/>
        </w:rPr>
        <w:t>投诉书范本</w:t>
      </w:r>
    </w:p>
    <w:p w14:paraId="0EAE11AF">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50EED0AD">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13080BF1">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37BB8E0B">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69E84D18">
      <w:pPr>
        <w:pageBreakBefore w:val="0"/>
        <w:tabs>
          <w:tab w:val="left" w:pos="6510"/>
        </w:tabs>
        <w:kinsoku/>
        <w:wordWrap/>
        <w:autoSpaceDE/>
        <w:bidi w:val="0"/>
        <w:spacing w:line="56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34D272E">
      <w:pPr>
        <w:pageBreakBefore w:val="0"/>
        <w:tabs>
          <w:tab w:val="left" w:pos="6510"/>
        </w:tabs>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5A428990">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9BCCE8A">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0A854E25">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dotted"/>
        </w:rPr>
        <w:t xml:space="preserve">                                           </w:t>
      </w:r>
    </w:p>
    <w:p w14:paraId="56657888">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58F2843A">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3CAAE12A">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4FFF1455">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420C23E2">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dotted"/>
        </w:rPr>
        <w:t xml:space="preserve">                                           </w:t>
      </w:r>
    </w:p>
    <w:p w14:paraId="278B79E8">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D8A237A">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1D63F216">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二、投诉项目基本情况</w:t>
      </w:r>
    </w:p>
    <w:p w14:paraId="6CDC8578">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dotted"/>
        </w:rPr>
        <w:t xml:space="preserve">                                        </w:t>
      </w:r>
    </w:p>
    <w:p w14:paraId="14AA6800">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279FC135">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2B7262D3">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采购代理机构名称：</w:t>
      </w:r>
      <w:r>
        <w:rPr>
          <w:rFonts w:hint="eastAsia" w:ascii="仿宋" w:hAnsi="仿宋" w:eastAsia="仿宋" w:cs="仿宋"/>
          <w:color w:val="auto"/>
          <w:sz w:val="24"/>
          <w:szCs w:val="24"/>
          <w:highlight w:val="none"/>
          <w:u w:val="dotted"/>
        </w:rPr>
        <w:t xml:space="preserve">                                         </w:t>
      </w:r>
    </w:p>
    <w:p w14:paraId="6757F8E8">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037C7C8E">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348F7683">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三、质疑基本情况</w:t>
      </w:r>
    </w:p>
    <w:p w14:paraId="48435405">
      <w:pPr>
        <w:pageBreakBefore w:val="0"/>
        <w:kinsoku/>
        <w:wordWrap/>
        <w:autoSpaceDE/>
        <w:bidi w:val="0"/>
        <w:spacing w:line="56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dotted"/>
        </w:rPr>
        <w:t xml:space="preserve">                                </w:t>
      </w:r>
    </w:p>
    <w:p w14:paraId="1C598307">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54C21F54">
      <w:pPr>
        <w:pageBreakBefore w:val="0"/>
        <w:kinsoku/>
        <w:wordWrap/>
        <w:autoSpaceDE/>
        <w:bidi w:val="0"/>
        <w:spacing w:line="56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采购人/采购代理机构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日,就质疑事项作出了答复/没有在法定期限内作出答复。</w:t>
      </w:r>
    </w:p>
    <w:p w14:paraId="0F54B3DA">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四、投诉事项具体内容</w:t>
      </w:r>
    </w:p>
    <w:p w14:paraId="6BA26C79">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dotted"/>
        </w:rPr>
        <w:t xml:space="preserve">                                       </w:t>
      </w:r>
    </w:p>
    <w:p w14:paraId="0F7E21D7">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0E0C438B">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28539FD5">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029D0379">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22E53071">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5CD05951">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17F1E617">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五、与投诉事项相关的投诉请求</w:t>
      </w:r>
    </w:p>
    <w:p w14:paraId="0B0B5DF0">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24081A65">
      <w:pPr>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4B6C3705">
      <w:pPr>
        <w:pageBreakBefore w:val="0"/>
        <w:kinsoku/>
        <w:wordWrap/>
        <w:autoSpaceDE/>
        <w:bidi w:val="0"/>
        <w:spacing w:line="560" w:lineRule="exact"/>
        <w:ind w:firstLine="6000" w:firstLineChars="25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w:t>
      </w:r>
    </w:p>
    <w:p w14:paraId="1A893C1B">
      <w:pPr>
        <w:pageBreakBefore w:val="0"/>
        <w:kinsoku/>
        <w:wordWrap/>
        <w:autoSpaceDE/>
        <w:bidi w:val="0"/>
        <w:spacing w:line="560" w:lineRule="exact"/>
        <w:ind w:firstLine="6000" w:firstLineChars="25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p w14:paraId="107D3C4C">
      <w:pPr>
        <w:pageBreakBefore w:val="0"/>
        <w:kinsoku/>
        <w:wordWrap/>
        <w:autoSpaceDE/>
        <w:bidi w:val="0"/>
        <w:spacing w:line="560" w:lineRule="exact"/>
        <w:ind w:firstLine="6000" w:firstLineChars="25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533B5C63">
      <w:pPr>
        <w:pageBreakBefore w:val="0"/>
        <w:kinsoku/>
        <w:wordWrap/>
        <w:autoSpaceDE/>
        <w:bidi w:val="0"/>
        <w:spacing w:line="560" w:lineRule="exact"/>
        <w:textAlignment w:val="auto"/>
        <w:outlineLvl w:val="9"/>
        <w:rPr>
          <w:rFonts w:hint="eastAsia" w:ascii="仿宋" w:hAnsi="仿宋" w:eastAsia="仿宋" w:cs="仿宋"/>
          <w:b/>
          <w:color w:val="auto"/>
          <w:sz w:val="24"/>
          <w:szCs w:val="24"/>
          <w:highlight w:val="none"/>
        </w:rPr>
      </w:pPr>
    </w:p>
    <w:p w14:paraId="008A906D">
      <w:pPr>
        <w:pageBreakBefore w:val="0"/>
        <w:kinsoku/>
        <w:wordWrap/>
        <w:autoSpaceDE/>
        <w:bidi w:val="0"/>
        <w:spacing w:line="560" w:lineRule="exact"/>
        <w:textAlignment w:val="auto"/>
        <w:outlineLvl w:val="9"/>
        <w:rPr>
          <w:rFonts w:hint="eastAsia" w:ascii="仿宋" w:hAnsi="仿宋" w:eastAsia="仿宋" w:cs="仿宋"/>
          <w:b/>
          <w:color w:val="auto"/>
          <w:sz w:val="24"/>
          <w:szCs w:val="24"/>
          <w:highlight w:val="none"/>
        </w:rPr>
      </w:pPr>
    </w:p>
    <w:p w14:paraId="4E9A502F">
      <w:pPr>
        <w:pageBreakBefore w:val="0"/>
        <w:kinsoku/>
        <w:wordWrap/>
        <w:autoSpaceDE/>
        <w:bidi w:val="0"/>
        <w:spacing w:line="560" w:lineRule="exact"/>
        <w:jc w:val="center"/>
        <w:textAlignment w:val="auto"/>
        <w:outlineLvl w:val="9"/>
        <w:rPr>
          <w:rFonts w:hint="eastAsia" w:ascii="仿宋" w:hAnsi="仿宋" w:eastAsia="仿宋" w:cs="仿宋"/>
          <w:b/>
          <w:color w:val="auto"/>
          <w:sz w:val="24"/>
          <w:szCs w:val="24"/>
          <w:highlight w:val="none"/>
        </w:rPr>
      </w:pPr>
    </w:p>
    <w:p w14:paraId="1781B8D2">
      <w:pPr>
        <w:pageBreakBefore w:val="0"/>
        <w:kinsoku/>
        <w:wordWrap/>
        <w:autoSpaceDE/>
        <w:bidi w:val="0"/>
        <w:spacing w:line="560" w:lineRule="exact"/>
        <w:jc w:val="center"/>
        <w:textAlignment w:val="auto"/>
        <w:outlineLvl w:val="9"/>
        <w:rPr>
          <w:rFonts w:hint="eastAsia" w:ascii="仿宋" w:hAnsi="仿宋" w:eastAsia="仿宋" w:cs="仿宋"/>
          <w:b/>
          <w:color w:val="auto"/>
          <w:sz w:val="24"/>
          <w:szCs w:val="24"/>
          <w:highlight w:val="none"/>
        </w:rPr>
      </w:pPr>
    </w:p>
    <w:p w14:paraId="7C784F58">
      <w:pPr>
        <w:pageBreakBefore w:val="0"/>
        <w:kinsoku/>
        <w:wordWrap/>
        <w:autoSpaceDE/>
        <w:bidi w:val="0"/>
        <w:spacing w:line="560" w:lineRule="exact"/>
        <w:jc w:val="center"/>
        <w:textAlignment w:val="auto"/>
        <w:outlineLvl w:val="9"/>
        <w:rPr>
          <w:rFonts w:hint="eastAsia" w:ascii="仿宋" w:hAnsi="仿宋" w:eastAsia="仿宋" w:cs="仿宋"/>
          <w:b/>
          <w:color w:val="auto"/>
          <w:sz w:val="24"/>
          <w:szCs w:val="24"/>
          <w:highlight w:val="none"/>
        </w:rPr>
      </w:pPr>
    </w:p>
    <w:p w14:paraId="274E1863">
      <w:pPr>
        <w:pageBreakBefore w:val="0"/>
        <w:kinsoku/>
        <w:wordWrap/>
        <w:autoSpaceDE/>
        <w:bidi w:val="0"/>
        <w:spacing w:line="56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投诉书制作说明</w:t>
      </w:r>
    </w:p>
    <w:p w14:paraId="2F2961B1">
      <w:pPr>
        <w:pageBreakBefore w:val="0"/>
        <w:kinsoku/>
        <w:wordWrap/>
        <w:autoSpaceDE/>
        <w:bidi w:val="0"/>
        <w:spacing w:line="560" w:lineRule="exact"/>
        <w:textAlignment w:val="auto"/>
        <w:rPr>
          <w:rFonts w:hint="eastAsia" w:ascii="仿宋" w:hAnsi="仿宋" w:eastAsia="仿宋" w:cs="仿宋"/>
          <w:b/>
          <w:sz w:val="24"/>
          <w:szCs w:val="24"/>
          <w:highlight w:val="none"/>
        </w:rPr>
      </w:pPr>
    </w:p>
    <w:p w14:paraId="5A6D44D2">
      <w:pPr>
        <w:pageBreakBefore w:val="0"/>
        <w:kinsoku/>
        <w:wordWrap/>
        <w:autoSpaceDE/>
        <w:bidi w:val="0"/>
        <w:spacing w:line="56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投诉人提起投诉时，应当提交投诉书和必要的证明材料，并按照被投诉人和与投诉事项有关的供应商数量提供投诉书副本。</w:t>
      </w:r>
    </w:p>
    <w:p w14:paraId="30CC46F7">
      <w:pPr>
        <w:pageBreakBefore w:val="0"/>
        <w:kinsoku/>
        <w:wordWrap/>
        <w:autoSpaceDE/>
        <w:bidi w:val="0"/>
        <w:spacing w:line="56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14:paraId="12414956">
      <w:pPr>
        <w:pageBreakBefore w:val="0"/>
        <w:kinsoku/>
        <w:wordWrap/>
        <w:autoSpaceDE/>
        <w:bidi w:val="0"/>
        <w:spacing w:line="5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投诉人若对项目的某一分包进行投诉，投诉书应列明具体分包号。</w:t>
      </w:r>
    </w:p>
    <w:p w14:paraId="5DF35161">
      <w:pPr>
        <w:pageBreakBefore w:val="0"/>
        <w:kinsoku/>
        <w:wordWrap/>
        <w:autoSpaceDE/>
        <w:bidi w:val="0"/>
        <w:spacing w:line="5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投诉书应简要列明质疑事项，质疑函、质疑答复等作为附件材料提供。</w:t>
      </w:r>
    </w:p>
    <w:p w14:paraId="5448FB1C">
      <w:pPr>
        <w:pageBreakBefore w:val="0"/>
        <w:kinsoku/>
        <w:wordWrap/>
        <w:autoSpaceDE/>
        <w:bidi w:val="0"/>
        <w:spacing w:line="5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投诉书的投诉事项应具体、明确，并有必要的事实依据和法律依据。</w:t>
      </w:r>
    </w:p>
    <w:p w14:paraId="6E3AC5E9">
      <w:pPr>
        <w:pageBreakBefore w:val="0"/>
        <w:kinsoku/>
        <w:wordWrap/>
        <w:autoSpaceDE/>
        <w:bidi w:val="0"/>
        <w:spacing w:line="5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投诉书的投诉请求应与投诉事项相关。</w:t>
      </w:r>
    </w:p>
    <w:p w14:paraId="50B894C7">
      <w:pPr>
        <w:pageBreakBefore w:val="0"/>
        <w:kinsoku/>
        <w:wordWrap/>
        <w:autoSpaceDE/>
        <w:bidi w:val="0"/>
        <w:spacing w:line="56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投诉人为自然人的，投诉书应当由本人签字；投诉人为法人或者其他组织的，投诉书应当由法定代表人、主要负责人，或者其授权代表签字或者盖章，并加盖公章。</w:t>
      </w:r>
    </w:p>
    <w:p w14:paraId="66FFBFAD">
      <w:pPr>
        <w:keepNext/>
        <w:keepLines/>
        <w:pageBreakBefore w:val="0"/>
        <w:kinsoku/>
        <w:wordWrap/>
        <w:overflowPunct w:val="0"/>
        <w:topLinePunct/>
        <w:autoSpaceDE/>
        <w:autoSpaceDN w:val="0"/>
        <w:bidi w:val="0"/>
        <w:adjustRightInd w:val="0"/>
        <w:snapToGrid w:val="0"/>
        <w:spacing w:line="560" w:lineRule="exact"/>
        <w:textAlignment w:val="auto"/>
        <w:outlineLvl w:val="9"/>
        <w:rPr>
          <w:rFonts w:hint="eastAsia" w:ascii="仿宋" w:hAnsi="仿宋" w:eastAsia="仿宋" w:cs="仿宋"/>
          <w:color w:val="auto"/>
          <w:sz w:val="24"/>
          <w:szCs w:val="24"/>
          <w:highlight w:val="none"/>
        </w:rPr>
      </w:pPr>
    </w:p>
    <w:p w14:paraId="370DE481">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0F67DDA5">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5ABD47C0">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6E0348E8">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25923AD6">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11468A54">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58371C24">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2511D4BD">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5FDCB9E7">
      <w:pPr>
        <w:pStyle w:val="27"/>
        <w:pageBreakBefore w:val="0"/>
        <w:kinsoku/>
        <w:wordWrap/>
        <w:autoSpaceDE/>
        <w:bidi w:val="0"/>
        <w:spacing w:line="560" w:lineRule="exact"/>
        <w:textAlignment w:val="auto"/>
        <w:outlineLvl w:val="9"/>
        <w:rPr>
          <w:rFonts w:hint="eastAsia" w:ascii="仿宋" w:hAnsi="仿宋" w:eastAsia="仿宋" w:cs="仿宋"/>
          <w:color w:val="auto"/>
          <w:sz w:val="24"/>
          <w:szCs w:val="24"/>
          <w:highlight w:val="none"/>
        </w:rPr>
      </w:pPr>
    </w:p>
    <w:p w14:paraId="7E772B05">
      <w:pPr>
        <w:pStyle w:val="27"/>
        <w:pageBreakBefore w:val="0"/>
        <w:kinsoku/>
        <w:wordWrap/>
        <w:autoSpaceDE/>
        <w:bidi w:val="0"/>
        <w:spacing w:line="560" w:lineRule="exact"/>
        <w:textAlignment w:val="auto"/>
        <w:rPr>
          <w:rFonts w:hint="eastAsia" w:ascii="仿宋" w:hAnsi="仿宋" w:eastAsia="仿宋" w:cs="仿宋"/>
          <w:color w:val="auto"/>
          <w:sz w:val="24"/>
          <w:szCs w:val="24"/>
          <w:highlight w:val="none"/>
        </w:rPr>
      </w:pPr>
    </w:p>
    <w:sectPr>
      <w:pgSz w:w="11906" w:h="16838"/>
      <w:pgMar w:top="1440" w:right="1080" w:bottom="1440" w:left="108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D1514">
    <w:pPr>
      <w:pStyle w:val="20"/>
      <w:framePr w:wrap="around" w:vAnchor="text" w:hAnchor="margin" w:xAlign="right" w:y="1"/>
      <w:rPr>
        <w:rStyle w:val="35"/>
      </w:rPr>
    </w:pPr>
    <w:r>
      <w:fldChar w:fldCharType="begin"/>
    </w:r>
    <w:r>
      <w:rPr>
        <w:rStyle w:val="35"/>
      </w:rPr>
      <w:instrText xml:space="preserve">PAGE  </w:instrText>
    </w:r>
    <w:r>
      <w:fldChar w:fldCharType="separate"/>
    </w:r>
    <w:r>
      <w:rPr>
        <w:rStyle w:val="35"/>
      </w:rPr>
      <w:t>31</w:t>
    </w:r>
    <w:r>
      <w:fldChar w:fldCharType="end"/>
    </w:r>
  </w:p>
  <w:p w14:paraId="47A9F4E2">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1E3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8144">
    <w:pPr>
      <w:pStyle w:val="20"/>
      <w:tabs>
        <w:tab w:val="center" w:pos="44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47B2D">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SgRNgBAACwAwAADgAAAGRycy9lMm9Eb2MueG1srVPBjtMwEL0j8Q+W&#10;79tke1iVqOkKVO0KCQHSwge4jtNYsj2Wx21SPgD+gBMX7nxXv4Oxk3RhueyBSzKeGb95b2a8vh2s&#10;YUcVUIOr+fWi5Ew5CY12+5p//nR3teIMo3CNMOBUzU8K+e3m5Yt17yu1hA5MowIjEIdV72vexeir&#10;okDZKStwAV45CrYQrIh0DPuiCaIndGuKZVneFD2ExgeQCpG82zHIJ8TwHEBoWy3VFuTBKhdH1KCM&#10;iCQJO+2RbzLbtlUyfmhbVJGZmpPSmL9UhOxd+habtaj2QfhOy4mCeA6FJ5qs0I6KXqC2Igp2CPof&#10;KKtlAIQ2LiTYYhSSO0IqrssnvXnohFdZC7Ua/aXp+P9g5fvjx8B0U/NXnDlhaeDn79/OP36df35l&#10;N6k9vceKsh485cXhDQy0NLMfyZlUD22w6U96GMWpuadLc9UQmUyXVsvVqqSQpNh8IPzi8boPGO8V&#10;WJaMmgeaXm6qOL7DOKbOKamagzttTJ6gcX85CDN5isR95JisOOyGSdAOmhPpoWdAdToIXzjraQlq&#10;7mjnOTNvHfU47ctshNnYzYZwki7WPHJ28EHvu7xbiQb614dI3DLlVHisNvGhQWbR09KlTfnznLMe&#10;H9r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wFKBE2AEAALADAAAOAAAAAAAAAAEAIAAA&#10;AB4BAABkcnMvZTJvRG9jLnhtbFBLBQYAAAAABgAGAFkBAABoBQAAAAA=&#10;">
              <v:fill on="f" focussize="0,0"/>
              <v:stroke on="f"/>
              <v:imagedata o:title=""/>
              <o:lock v:ext="edit" aspectratio="f"/>
              <v:textbox inset="0mm,0mm,0mm,0mm" style="mso-fit-shape-to-text:t;">
                <w:txbxContent>
                  <w:p w14:paraId="4FA47B2D">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13B9">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2E5D2">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0179gBAACxAwAADgAAAGRycy9lMm9Eb2MueG1srVPBjtMwEL0j8Q+W&#10;7zTZSqAqarpaVC1CQoC08AGu4zSWbI9lT5uUD4A/4MSFO9/V72DsJN1luexhL8l4ZvzmvZnx+nqw&#10;hh1ViBpcza8WJWfKSWi029f865fbVyvOIgrXCANO1fykIr/evHyx7n2lltCBaVRgBOJi1fuad4i+&#10;KoooO2VFXIBXjoItBCuQjmFfNEH0hG5NsSzLN0UPofEBpIqRvNsxyCfE8BRAaFst1RbkwSqHI2pQ&#10;RiBJip32kW8y27ZVEj+1bVTITM1JKeYvFSF7l77FZi2qfRC+03KiIJ5C4ZEmK7SjoheorUDBDkH/&#10;B2W1DBChxYUEW4xCckdIxVX5qDd3nfAqa6FWR39penw+WPnx+Dkw3dAmUEucsDTx888f519/zr+/&#10;s9epP72PFaXdeUrE4S0MlDv7IzmT7KENNv1JEKM4QZ0u3VUDMpkurZarVUkhSbH5QPjF/XUfIr5T&#10;YFkyah5ofLmr4vgh4pg6p6RqDm61MXmExv3jIMzkKRL3kWOycNgNk6AdNCfSQ++A6nQQvnHW0xbU&#10;3NHSc2beO2oyccXZCLOxmw3hJF2sOXJ28EHvu7xciUb0NwckbplyKjxWm/jQJLPoaevSqjw856z7&#10;l7b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tvTXv2AEAALEDAAAOAAAAAAAAAAEAIAAA&#10;AB4BAABkcnMvZTJvRG9jLnhtbFBLBQYAAAAABgAGAFkBAABoBQAAAAA=&#10;">
              <v:fill on="f" focussize="0,0"/>
              <v:stroke on="f"/>
              <v:imagedata o:title=""/>
              <o:lock v:ext="edit" aspectratio="f"/>
              <v:textbox inset="0mm,0mm,0mm,0mm" style="mso-fit-shape-to-text:t;">
                <w:txbxContent>
                  <w:p w14:paraId="1FB2E5D2">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D90A">
    <w:pPr>
      <w:pStyle w:val="20"/>
      <w:rPr>
        <w:rFonts w:hint="eastAsia" w:ascii="仿宋" w:hAnsi="仿宋" w:eastAsia="仿宋" w:cs="仿宋"/>
        <w:sz w:val="21"/>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8344EA">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1LqLzTAQAApQMAAA4AAABkcnMvZTJvRG9jLnhtbK1TzY7TMBC+&#10;I/EOlu80adE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1LqLzTAQAApQMAAA4AAAAAAAAAAQAgAAAA&#10;IgEAAGRycy9lMm9Eb2MueG1sUEsFBgAAAAAGAAYAWQEAAGcFAAAAAA==&#10;">
              <v:fill on="f" focussize="0,0"/>
              <v:stroke on="f" weight="1.25pt"/>
              <v:imagedata o:title=""/>
              <o:lock v:ext="edit" aspectratio="f"/>
              <v:textbox inset="0mm,0mm,0mm,0mm" style="mso-fit-shape-to-text:t;">
                <w:txbxContent>
                  <w:p w14:paraId="6B8344EA">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r>
      <w:rPr>
        <w:rFonts w:hint="eastAsia" w:ascii="仿宋" w:hAnsi="仿宋" w:eastAsia="仿宋" w:cs="仿宋"/>
        <w:sz w:val="21"/>
        <w:szCs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C71D">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4F05">
    <w:pPr>
      <w:pStyle w:val="21"/>
      <w:pBdr>
        <w:top w:val="none" w:color="auto" w:sz="0" w:space="0"/>
        <w:left w:val="none" w:color="auto" w:sz="0" w:space="0"/>
        <w:bottom w:val="none" w:color="auto" w:sz="0" w:space="1"/>
        <w:right w:val="none" w:color="auto" w:sz="0" w:space="0"/>
      </w:pBdr>
      <w:tabs>
        <w:tab w:val="clear" w:pos="4153"/>
      </w:tabs>
      <w:jc w:val="left"/>
      <w:rPr>
        <w:rFonts w:hint="eastAsia" w:ascii="仿宋" w:hAnsi="仿宋" w:eastAsia="仿宋" w:cs="Arial"/>
        <w:bCs/>
        <w:color w:val="000000"/>
        <w:szCs w:val="22"/>
      </w:rPr>
    </w:pPr>
    <w:r>
      <w:rPr>
        <w:rFonts w:hint="eastAsia" w:ascii="仿宋" w:hAnsi="仿宋" w:eastAsia="仿宋" w:cs="Arial"/>
        <w:bCs/>
        <w:color w:val="000000"/>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A6E67"/>
    <w:multiLevelType w:val="multilevel"/>
    <w:tmpl w:val="97FA6E67"/>
    <w:lvl w:ilvl="0" w:tentative="0">
      <w:start w:val="1"/>
      <w:numFmt w:val="bullet"/>
      <w:lvlText w:val=""/>
      <w:lvlJc w:val="left"/>
      <w:pPr>
        <w:tabs>
          <w:tab w:val="left" w:pos="1140"/>
        </w:tabs>
        <w:ind w:left="1140" w:hanging="360"/>
      </w:pPr>
      <w:rPr>
        <w:rFonts w:hint="default" w:ascii="Symbol" w:hAnsi="Symbol" w:cs="Symbol"/>
        <w:sz w:val="20"/>
      </w:rPr>
    </w:lvl>
    <w:lvl w:ilvl="1" w:tentative="0">
      <w:start w:val="1"/>
      <w:numFmt w:val="bullet"/>
      <w:lvlText w:val="o"/>
      <w:lvlJc w:val="left"/>
      <w:pPr>
        <w:tabs>
          <w:tab w:val="left" w:pos="1860"/>
        </w:tabs>
        <w:ind w:left="1860" w:hanging="360"/>
      </w:pPr>
      <w:rPr>
        <w:rFonts w:hint="default" w:ascii="Courier New" w:hAnsi="Courier New" w:cs="Courier New"/>
        <w:sz w:val="20"/>
      </w:rPr>
    </w:lvl>
    <w:lvl w:ilvl="2" w:tentative="0">
      <w:start w:val="1"/>
      <w:numFmt w:val="bullet"/>
      <w:lvlText w:val=""/>
      <w:lvlJc w:val="left"/>
      <w:pPr>
        <w:tabs>
          <w:tab w:val="left" w:pos="2580"/>
        </w:tabs>
        <w:ind w:left="2580" w:hanging="360"/>
      </w:pPr>
      <w:rPr>
        <w:rFonts w:hint="default" w:ascii="Wingdings" w:hAnsi="Wingdings" w:cs="Wingdings"/>
        <w:sz w:val="20"/>
      </w:rPr>
    </w:lvl>
    <w:lvl w:ilvl="3" w:tentative="0">
      <w:start w:val="1"/>
      <w:numFmt w:val="bullet"/>
      <w:lvlText w:val=""/>
      <w:lvlJc w:val="left"/>
      <w:pPr>
        <w:tabs>
          <w:tab w:val="left" w:pos="3300"/>
        </w:tabs>
        <w:ind w:left="3300" w:hanging="360"/>
      </w:pPr>
      <w:rPr>
        <w:rFonts w:hint="default" w:ascii="Wingdings" w:hAnsi="Wingdings" w:cs="Wingdings"/>
        <w:sz w:val="20"/>
      </w:rPr>
    </w:lvl>
    <w:lvl w:ilvl="4" w:tentative="0">
      <w:start w:val="1"/>
      <w:numFmt w:val="bullet"/>
      <w:lvlText w:val=""/>
      <w:lvlJc w:val="left"/>
      <w:pPr>
        <w:tabs>
          <w:tab w:val="left" w:pos="4020"/>
        </w:tabs>
        <w:ind w:left="4020" w:hanging="360"/>
      </w:pPr>
      <w:rPr>
        <w:rFonts w:hint="default" w:ascii="Wingdings" w:hAnsi="Wingdings" w:cs="Wingdings"/>
        <w:sz w:val="20"/>
      </w:rPr>
    </w:lvl>
    <w:lvl w:ilvl="5" w:tentative="0">
      <w:start w:val="1"/>
      <w:numFmt w:val="bullet"/>
      <w:lvlText w:val=""/>
      <w:lvlJc w:val="left"/>
      <w:pPr>
        <w:tabs>
          <w:tab w:val="left" w:pos="4740"/>
        </w:tabs>
        <w:ind w:left="4740" w:hanging="360"/>
      </w:pPr>
      <w:rPr>
        <w:rFonts w:hint="default" w:ascii="Wingdings" w:hAnsi="Wingdings" w:cs="Wingdings"/>
        <w:sz w:val="20"/>
      </w:rPr>
    </w:lvl>
    <w:lvl w:ilvl="6" w:tentative="0">
      <w:start w:val="1"/>
      <w:numFmt w:val="bullet"/>
      <w:lvlText w:val=""/>
      <w:lvlJc w:val="left"/>
      <w:pPr>
        <w:tabs>
          <w:tab w:val="left" w:pos="5460"/>
        </w:tabs>
        <w:ind w:left="5460" w:hanging="360"/>
      </w:pPr>
      <w:rPr>
        <w:rFonts w:hint="default" w:ascii="Wingdings" w:hAnsi="Wingdings" w:cs="Wingdings"/>
        <w:sz w:val="20"/>
      </w:rPr>
    </w:lvl>
    <w:lvl w:ilvl="7" w:tentative="0">
      <w:start w:val="1"/>
      <w:numFmt w:val="bullet"/>
      <w:lvlText w:val=""/>
      <w:lvlJc w:val="left"/>
      <w:pPr>
        <w:tabs>
          <w:tab w:val="left" w:pos="6180"/>
        </w:tabs>
        <w:ind w:left="6180" w:hanging="360"/>
      </w:pPr>
      <w:rPr>
        <w:rFonts w:hint="default" w:ascii="Wingdings" w:hAnsi="Wingdings" w:cs="Wingdings"/>
        <w:sz w:val="20"/>
      </w:rPr>
    </w:lvl>
    <w:lvl w:ilvl="8" w:tentative="0">
      <w:start w:val="1"/>
      <w:numFmt w:val="bullet"/>
      <w:lvlText w:val=""/>
      <w:lvlJc w:val="left"/>
      <w:pPr>
        <w:tabs>
          <w:tab w:val="left" w:pos="6900"/>
        </w:tabs>
        <w:ind w:left="6900" w:hanging="360"/>
      </w:pPr>
      <w:rPr>
        <w:rFonts w:hint="default" w:ascii="Wingdings" w:hAnsi="Wingdings" w:cs="Wingdings"/>
        <w:sz w:val="20"/>
      </w:rPr>
    </w:lvl>
  </w:abstractNum>
  <w:abstractNum w:abstractNumId="1">
    <w:nsid w:val="CD2548A8"/>
    <w:multiLevelType w:val="singleLevel"/>
    <w:tmpl w:val="CD2548A8"/>
    <w:lvl w:ilvl="0" w:tentative="0">
      <w:start w:val="1"/>
      <w:numFmt w:val="decimal"/>
      <w:suff w:val="nothing"/>
      <w:lvlText w:val="%1．"/>
      <w:lvlJc w:val="left"/>
      <w:pPr>
        <w:ind w:left="0" w:firstLine="400"/>
      </w:pPr>
      <w:rPr>
        <w:rFonts w:hint="default"/>
      </w:rPr>
    </w:lvl>
  </w:abstractNum>
  <w:abstractNum w:abstractNumId="2">
    <w:nsid w:val="E66AC30E"/>
    <w:multiLevelType w:val="multilevel"/>
    <w:tmpl w:val="E66AC30E"/>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abstractNum w:abstractNumId="3">
    <w:nsid w:val="E7FF4B55"/>
    <w:multiLevelType w:val="multilevel"/>
    <w:tmpl w:val="E7FF4B55"/>
    <w:lvl w:ilvl="0" w:tentative="0">
      <w:start w:val="1"/>
      <w:numFmt w:val="bullet"/>
      <w:lvlText w:val=""/>
      <w:lvlJc w:val="left"/>
      <w:pPr>
        <w:tabs>
          <w:tab w:val="left" w:pos="1140"/>
        </w:tabs>
        <w:ind w:left="1140" w:hanging="360"/>
      </w:pPr>
      <w:rPr>
        <w:rFonts w:hint="default" w:ascii="Symbol" w:hAnsi="Symbol" w:cs="Symbol"/>
        <w:sz w:val="20"/>
      </w:rPr>
    </w:lvl>
    <w:lvl w:ilvl="1" w:tentative="0">
      <w:start w:val="1"/>
      <w:numFmt w:val="bullet"/>
      <w:lvlText w:val="o"/>
      <w:lvlJc w:val="left"/>
      <w:pPr>
        <w:tabs>
          <w:tab w:val="left" w:pos="1860"/>
        </w:tabs>
        <w:ind w:left="1860" w:hanging="360"/>
      </w:pPr>
      <w:rPr>
        <w:rFonts w:hint="default" w:ascii="Courier New" w:hAnsi="Courier New" w:cs="Courier New"/>
        <w:sz w:val="20"/>
      </w:rPr>
    </w:lvl>
    <w:lvl w:ilvl="2" w:tentative="0">
      <w:start w:val="1"/>
      <w:numFmt w:val="bullet"/>
      <w:lvlText w:val=""/>
      <w:lvlJc w:val="left"/>
      <w:pPr>
        <w:tabs>
          <w:tab w:val="left" w:pos="2580"/>
        </w:tabs>
        <w:ind w:left="2580" w:hanging="360"/>
      </w:pPr>
      <w:rPr>
        <w:rFonts w:hint="default" w:ascii="Wingdings" w:hAnsi="Wingdings" w:cs="Wingdings"/>
        <w:sz w:val="20"/>
      </w:rPr>
    </w:lvl>
    <w:lvl w:ilvl="3" w:tentative="0">
      <w:start w:val="1"/>
      <w:numFmt w:val="bullet"/>
      <w:lvlText w:val=""/>
      <w:lvlJc w:val="left"/>
      <w:pPr>
        <w:tabs>
          <w:tab w:val="left" w:pos="3300"/>
        </w:tabs>
        <w:ind w:left="3300" w:hanging="360"/>
      </w:pPr>
      <w:rPr>
        <w:rFonts w:hint="default" w:ascii="Wingdings" w:hAnsi="Wingdings" w:cs="Wingdings"/>
        <w:sz w:val="20"/>
      </w:rPr>
    </w:lvl>
    <w:lvl w:ilvl="4" w:tentative="0">
      <w:start w:val="1"/>
      <w:numFmt w:val="bullet"/>
      <w:lvlText w:val=""/>
      <w:lvlJc w:val="left"/>
      <w:pPr>
        <w:tabs>
          <w:tab w:val="left" w:pos="4020"/>
        </w:tabs>
        <w:ind w:left="4020" w:hanging="360"/>
      </w:pPr>
      <w:rPr>
        <w:rFonts w:hint="default" w:ascii="Wingdings" w:hAnsi="Wingdings" w:cs="Wingdings"/>
        <w:sz w:val="20"/>
      </w:rPr>
    </w:lvl>
    <w:lvl w:ilvl="5" w:tentative="0">
      <w:start w:val="1"/>
      <w:numFmt w:val="bullet"/>
      <w:lvlText w:val=""/>
      <w:lvlJc w:val="left"/>
      <w:pPr>
        <w:tabs>
          <w:tab w:val="left" w:pos="4740"/>
        </w:tabs>
        <w:ind w:left="4740" w:hanging="360"/>
      </w:pPr>
      <w:rPr>
        <w:rFonts w:hint="default" w:ascii="Wingdings" w:hAnsi="Wingdings" w:cs="Wingdings"/>
        <w:sz w:val="20"/>
      </w:rPr>
    </w:lvl>
    <w:lvl w:ilvl="6" w:tentative="0">
      <w:start w:val="1"/>
      <w:numFmt w:val="bullet"/>
      <w:lvlText w:val=""/>
      <w:lvlJc w:val="left"/>
      <w:pPr>
        <w:tabs>
          <w:tab w:val="left" w:pos="5460"/>
        </w:tabs>
        <w:ind w:left="5460" w:hanging="360"/>
      </w:pPr>
      <w:rPr>
        <w:rFonts w:hint="default" w:ascii="Wingdings" w:hAnsi="Wingdings" w:cs="Wingdings"/>
        <w:sz w:val="20"/>
      </w:rPr>
    </w:lvl>
    <w:lvl w:ilvl="7" w:tentative="0">
      <w:start w:val="1"/>
      <w:numFmt w:val="bullet"/>
      <w:lvlText w:val=""/>
      <w:lvlJc w:val="left"/>
      <w:pPr>
        <w:tabs>
          <w:tab w:val="left" w:pos="6180"/>
        </w:tabs>
        <w:ind w:left="6180" w:hanging="360"/>
      </w:pPr>
      <w:rPr>
        <w:rFonts w:hint="default" w:ascii="Wingdings" w:hAnsi="Wingdings" w:cs="Wingdings"/>
        <w:sz w:val="20"/>
      </w:rPr>
    </w:lvl>
    <w:lvl w:ilvl="8" w:tentative="0">
      <w:start w:val="1"/>
      <w:numFmt w:val="bullet"/>
      <w:lvlText w:val=""/>
      <w:lvlJc w:val="left"/>
      <w:pPr>
        <w:tabs>
          <w:tab w:val="left" w:pos="6900"/>
        </w:tabs>
        <w:ind w:left="6900" w:hanging="360"/>
      </w:pPr>
      <w:rPr>
        <w:rFonts w:hint="default" w:ascii="Wingdings" w:hAnsi="Wingdings" w:cs="Wingdings"/>
        <w:sz w:val="20"/>
      </w:rPr>
    </w:lvl>
  </w:abstractNum>
  <w:abstractNum w:abstractNumId="4">
    <w:nsid w:val="0F8A50BC"/>
    <w:multiLevelType w:val="singleLevel"/>
    <w:tmpl w:val="0F8A50BC"/>
    <w:lvl w:ilvl="0" w:tentative="0">
      <w:start w:val="1"/>
      <w:numFmt w:val="decimal"/>
      <w:suff w:val="nothing"/>
      <w:lvlText w:val="%1．"/>
      <w:lvlJc w:val="left"/>
      <w:pPr>
        <w:ind w:left="0" w:firstLine="400"/>
      </w:pPr>
      <w:rPr>
        <w:rFonts w:hint="default"/>
      </w:rPr>
    </w:lvl>
  </w:abstractNum>
  <w:abstractNum w:abstractNumId="5">
    <w:nsid w:val="6A8825D7"/>
    <w:multiLevelType w:val="multilevel"/>
    <w:tmpl w:val="6A8825D7"/>
    <w:lvl w:ilvl="0" w:tentative="0">
      <w:start w:val="3"/>
      <w:numFmt w:val="japaneseCounting"/>
      <w:lvlText w:val="%1、"/>
      <w:lvlJc w:val="left"/>
      <w:pPr>
        <w:ind w:left="1282" w:hanging="720"/>
      </w:pPr>
      <w:rPr>
        <w:rFonts w:hint="default"/>
      </w:rPr>
    </w:lvl>
    <w:lvl w:ilvl="1" w:tentative="0">
      <w:start w:val="1"/>
      <w:numFmt w:val="japaneseCounting"/>
      <w:lvlText w:val="%2）"/>
      <w:lvlJc w:val="left"/>
      <w:pPr>
        <w:ind w:left="1722" w:hanging="720"/>
      </w:pPr>
      <w:rPr>
        <w:rFonts w:hint="default"/>
      </w:r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U0NzgyNDQxODQ0MzgxZmQyNDYzMTUzOTA2MzIifQ=="/>
  </w:docVars>
  <w:rsids>
    <w:rsidRoot w:val="001516FC"/>
    <w:rsid w:val="00002A35"/>
    <w:rsid w:val="000068EA"/>
    <w:rsid w:val="00013D5F"/>
    <w:rsid w:val="000241FA"/>
    <w:rsid w:val="0003221E"/>
    <w:rsid w:val="000326AC"/>
    <w:rsid w:val="000340B1"/>
    <w:rsid w:val="00043D00"/>
    <w:rsid w:val="0004478F"/>
    <w:rsid w:val="000457E7"/>
    <w:rsid w:val="00047CF0"/>
    <w:rsid w:val="000617C5"/>
    <w:rsid w:val="000624ED"/>
    <w:rsid w:val="000659DC"/>
    <w:rsid w:val="00072119"/>
    <w:rsid w:val="00074A34"/>
    <w:rsid w:val="00074B5E"/>
    <w:rsid w:val="00074C12"/>
    <w:rsid w:val="00075618"/>
    <w:rsid w:val="000802B9"/>
    <w:rsid w:val="00081607"/>
    <w:rsid w:val="00083ECC"/>
    <w:rsid w:val="000856BE"/>
    <w:rsid w:val="00090C03"/>
    <w:rsid w:val="00091898"/>
    <w:rsid w:val="000A4000"/>
    <w:rsid w:val="000A5D81"/>
    <w:rsid w:val="000B0211"/>
    <w:rsid w:val="000B0F5F"/>
    <w:rsid w:val="000B3B93"/>
    <w:rsid w:val="000C2118"/>
    <w:rsid w:val="000C45C3"/>
    <w:rsid w:val="000C5526"/>
    <w:rsid w:val="000D40AC"/>
    <w:rsid w:val="000E4B16"/>
    <w:rsid w:val="000F3596"/>
    <w:rsid w:val="000F5679"/>
    <w:rsid w:val="000F6417"/>
    <w:rsid w:val="001010AE"/>
    <w:rsid w:val="001036D2"/>
    <w:rsid w:val="001078AC"/>
    <w:rsid w:val="001100DB"/>
    <w:rsid w:val="001107F0"/>
    <w:rsid w:val="00114447"/>
    <w:rsid w:val="00114F5A"/>
    <w:rsid w:val="00117737"/>
    <w:rsid w:val="00123881"/>
    <w:rsid w:val="001333B6"/>
    <w:rsid w:val="00134DD7"/>
    <w:rsid w:val="00135E5B"/>
    <w:rsid w:val="00136677"/>
    <w:rsid w:val="00144B19"/>
    <w:rsid w:val="001516FC"/>
    <w:rsid w:val="001531D8"/>
    <w:rsid w:val="00156C17"/>
    <w:rsid w:val="00163728"/>
    <w:rsid w:val="001649B5"/>
    <w:rsid w:val="00165319"/>
    <w:rsid w:val="001658E8"/>
    <w:rsid w:val="00167A85"/>
    <w:rsid w:val="0017423B"/>
    <w:rsid w:val="001754C1"/>
    <w:rsid w:val="0017606C"/>
    <w:rsid w:val="00177797"/>
    <w:rsid w:val="0018028D"/>
    <w:rsid w:val="00182258"/>
    <w:rsid w:val="001838C6"/>
    <w:rsid w:val="0019079B"/>
    <w:rsid w:val="00197344"/>
    <w:rsid w:val="0019742F"/>
    <w:rsid w:val="001A0684"/>
    <w:rsid w:val="001A119A"/>
    <w:rsid w:val="001B055F"/>
    <w:rsid w:val="001B2F0C"/>
    <w:rsid w:val="001B57CF"/>
    <w:rsid w:val="001B5EE7"/>
    <w:rsid w:val="001B7AF1"/>
    <w:rsid w:val="001C2F00"/>
    <w:rsid w:val="001C5B85"/>
    <w:rsid w:val="001D2485"/>
    <w:rsid w:val="001D519B"/>
    <w:rsid w:val="001E7715"/>
    <w:rsid w:val="001F3874"/>
    <w:rsid w:val="00210512"/>
    <w:rsid w:val="002150B7"/>
    <w:rsid w:val="00221D64"/>
    <w:rsid w:val="00223E38"/>
    <w:rsid w:val="0022575E"/>
    <w:rsid w:val="002309DD"/>
    <w:rsid w:val="002312B5"/>
    <w:rsid w:val="002328F3"/>
    <w:rsid w:val="00233C93"/>
    <w:rsid w:val="0024090C"/>
    <w:rsid w:val="00243234"/>
    <w:rsid w:val="002521EE"/>
    <w:rsid w:val="002526A2"/>
    <w:rsid w:val="002530B9"/>
    <w:rsid w:val="002543FF"/>
    <w:rsid w:val="00257575"/>
    <w:rsid w:val="002613B3"/>
    <w:rsid w:val="0026243A"/>
    <w:rsid w:val="0026480D"/>
    <w:rsid w:val="00275420"/>
    <w:rsid w:val="002841E4"/>
    <w:rsid w:val="0028727A"/>
    <w:rsid w:val="00291ECE"/>
    <w:rsid w:val="00292C44"/>
    <w:rsid w:val="0029326C"/>
    <w:rsid w:val="002A00B2"/>
    <w:rsid w:val="002A32B6"/>
    <w:rsid w:val="002A6839"/>
    <w:rsid w:val="002A6D2F"/>
    <w:rsid w:val="002B20E0"/>
    <w:rsid w:val="002B5451"/>
    <w:rsid w:val="002C0815"/>
    <w:rsid w:val="002C14C6"/>
    <w:rsid w:val="002C6415"/>
    <w:rsid w:val="002C748C"/>
    <w:rsid w:val="002D6EEE"/>
    <w:rsid w:val="002E478A"/>
    <w:rsid w:val="00312874"/>
    <w:rsid w:val="00312DBB"/>
    <w:rsid w:val="00313BEF"/>
    <w:rsid w:val="00315162"/>
    <w:rsid w:val="003237D1"/>
    <w:rsid w:val="003359EA"/>
    <w:rsid w:val="003415F1"/>
    <w:rsid w:val="003433E9"/>
    <w:rsid w:val="003523C7"/>
    <w:rsid w:val="00361478"/>
    <w:rsid w:val="00363E67"/>
    <w:rsid w:val="003727A1"/>
    <w:rsid w:val="00372C95"/>
    <w:rsid w:val="003803BC"/>
    <w:rsid w:val="003817E3"/>
    <w:rsid w:val="00390771"/>
    <w:rsid w:val="00392FAB"/>
    <w:rsid w:val="00397AF2"/>
    <w:rsid w:val="003A2BD0"/>
    <w:rsid w:val="003A415B"/>
    <w:rsid w:val="003A7225"/>
    <w:rsid w:val="003B0759"/>
    <w:rsid w:val="003B5DE4"/>
    <w:rsid w:val="003C3583"/>
    <w:rsid w:val="003C3EBD"/>
    <w:rsid w:val="003C48B6"/>
    <w:rsid w:val="003C4A85"/>
    <w:rsid w:val="003C5B3E"/>
    <w:rsid w:val="003C7927"/>
    <w:rsid w:val="003D05DB"/>
    <w:rsid w:val="003D200A"/>
    <w:rsid w:val="003D44EC"/>
    <w:rsid w:val="003E16AD"/>
    <w:rsid w:val="003E4E11"/>
    <w:rsid w:val="003E52B2"/>
    <w:rsid w:val="003E7FF9"/>
    <w:rsid w:val="003F2E7B"/>
    <w:rsid w:val="004025A8"/>
    <w:rsid w:val="004031DC"/>
    <w:rsid w:val="0040578A"/>
    <w:rsid w:val="004122C2"/>
    <w:rsid w:val="00415644"/>
    <w:rsid w:val="0041612E"/>
    <w:rsid w:val="00417C01"/>
    <w:rsid w:val="004202DF"/>
    <w:rsid w:val="00427CEE"/>
    <w:rsid w:val="004314A2"/>
    <w:rsid w:val="0043472C"/>
    <w:rsid w:val="00435232"/>
    <w:rsid w:val="00435DB8"/>
    <w:rsid w:val="00440CFF"/>
    <w:rsid w:val="0044128A"/>
    <w:rsid w:val="00442F59"/>
    <w:rsid w:val="00444F86"/>
    <w:rsid w:val="00446B56"/>
    <w:rsid w:val="004503FC"/>
    <w:rsid w:val="004511C1"/>
    <w:rsid w:val="004613A3"/>
    <w:rsid w:val="004646A5"/>
    <w:rsid w:val="00464DA8"/>
    <w:rsid w:val="00470F32"/>
    <w:rsid w:val="0047316B"/>
    <w:rsid w:val="00475970"/>
    <w:rsid w:val="004777E1"/>
    <w:rsid w:val="00482094"/>
    <w:rsid w:val="0048356D"/>
    <w:rsid w:val="00483A70"/>
    <w:rsid w:val="00483AFB"/>
    <w:rsid w:val="0048509B"/>
    <w:rsid w:val="004869FC"/>
    <w:rsid w:val="004870DB"/>
    <w:rsid w:val="00494394"/>
    <w:rsid w:val="00497EFD"/>
    <w:rsid w:val="004A1094"/>
    <w:rsid w:val="004A20B6"/>
    <w:rsid w:val="004A3DC6"/>
    <w:rsid w:val="004A5EDA"/>
    <w:rsid w:val="004A7C6C"/>
    <w:rsid w:val="004B5FB0"/>
    <w:rsid w:val="004D0757"/>
    <w:rsid w:val="004D67C8"/>
    <w:rsid w:val="004D7595"/>
    <w:rsid w:val="004E6430"/>
    <w:rsid w:val="004F276C"/>
    <w:rsid w:val="004F34D3"/>
    <w:rsid w:val="004F466F"/>
    <w:rsid w:val="0050203F"/>
    <w:rsid w:val="00503D56"/>
    <w:rsid w:val="00511355"/>
    <w:rsid w:val="00512AD9"/>
    <w:rsid w:val="005140E4"/>
    <w:rsid w:val="00515BBA"/>
    <w:rsid w:val="005239D4"/>
    <w:rsid w:val="00524A51"/>
    <w:rsid w:val="005260ED"/>
    <w:rsid w:val="00526B2F"/>
    <w:rsid w:val="00527040"/>
    <w:rsid w:val="005276BC"/>
    <w:rsid w:val="005335BA"/>
    <w:rsid w:val="00535ED4"/>
    <w:rsid w:val="005436A3"/>
    <w:rsid w:val="00550A6D"/>
    <w:rsid w:val="00551DD6"/>
    <w:rsid w:val="00553BB0"/>
    <w:rsid w:val="0056345F"/>
    <w:rsid w:val="00563FBF"/>
    <w:rsid w:val="00567397"/>
    <w:rsid w:val="00572054"/>
    <w:rsid w:val="00575102"/>
    <w:rsid w:val="005752D4"/>
    <w:rsid w:val="00575D46"/>
    <w:rsid w:val="0058227A"/>
    <w:rsid w:val="00582611"/>
    <w:rsid w:val="005826B6"/>
    <w:rsid w:val="00586334"/>
    <w:rsid w:val="005876FA"/>
    <w:rsid w:val="00591AE1"/>
    <w:rsid w:val="0059225B"/>
    <w:rsid w:val="005922F9"/>
    <w:rsid w:val="005A04E0"/>
    <w:rsid w:val="005A27B5"/>
    <w:rsid w:val="005B335B"/>
    <w:rsid w:val="005B39D2"/>
    <w:rsid w:val="005C2C87"/>
    <w:rsid w:val="005C789E"/>
    <w:rsid w:val="005D2AEF"/>
    <w:rsid w:val="005D314F"/>
    <w:rsid w:val="005D5CCD"/>
    <w:rsid w:val="005E1DAA"/>
    <w:rsid w:val="005F58CE"/>
    <w:rsid w:val="005F677A"/>
    <w:rsid w:val="0060238C"/>
    <w:rsid w:val="006077AC"/>
    <w:rsid w:val="00610277"/>
    <w:rsid w:val="00612E6C"/>
    <w:rsid w:val="0061355E"/>
    <w:rsid w:val="00621043"/>
    <w:rsid w:val="00621902"/>
    <w:rsid w:val="0062267B"/>
    <w:rsid w:val="00623313"/>
    <w:rsid w:val="0062340C"/>
    <w:rsid w:val="00625876"/>
    <w:rsid w:val="006379CE"/>
    <w:rsid w:val="00643E36"/>
    <w:rsid w:val="00646223"/>
    <w:rsid w:val="00647E07"/>
    <w:rsid w:val="0065195E"/>
    <w:rsid w:val="006544CE"/>
    <w:rsid w:val="00656E53"/>
    <w:rsid w:val="00660493"/>
    <w:rsid w:val="00660FCF"/>
    <w:rsid w:val="00665D9C"/>
    <w:rsid w:val="00667C65"/>
    <w:rsid w:val="00670BBA"/>
    <w:rsid w:val="00670DC2"/>
    <w:rsid w:val="00674A15"/>
    <w:rsid w:val="00682038"/>
    <w:rsid w:val="006820DA"/>
    <w:rsid w:val="00684636"/>
    <w:rsid w:val="006864A9"/>
    <w:rsid w:val="00687AD4"/>
    <w:rsid w:val="006A1720"/>
    <w:rsid w:val="006A393D"/>
    <w:rsid w:val="006A5DC7"/>
    <w:rsid w:val="006A6C7E"/>
    <w:rsid w:val="006B67CB"/>
    <w:rsid w:val="006C3556"/>
    <w:rsid w:val="006C3A21"/>
    <w:rsid w:val="006C582E"/>
    <w:rsid w:val="006C636D"/>
    <w:rsid w:val="006C6654"/>
    <w:rsid w:val="006D6E3B"/>
    <w:rsid w:val="006E0181"/>
    <w:rsid w:val="006E089A"/>
    <w:rsid w:val="006E1AEC"/>
    <w:rsid w:val="006E3CD8"/>
    <w:rsid w:val="006F39FC"/>
    <w:rsid w:val="006F5716"/>
    <w:rsid w:val="006F6E95"/>
    <w:rsid w:val="00706586"/>
    <w:rsid w:val="007075DB"/>
    <w:rsid w:val="00713C76"/>
    <w:rsid w:val="0071416D"/>
    <w:rsid w:val="0071579C"/>
    <w:rsid w:val="00716E20"/>
    <w:rsid w:val="007259EE"/>
    <w:rsid w:val="0074078E"/>
    <w:rsid w:val="00742A12"/>
    <w:rsid w:val="00747E38"/>
    <w:rsid w:val="00753028"/>
    <w:rsid w:val="00754CC3"/>
    <w:rsid w:val="00754D12"/>
    <w:rsid w:val="00755DB9"/>
    <w:rsid w:val="00761CF5"/>
    <w:rsid w:val="00767C18"/>
    <w:rsid w:val="00770EFA"/>
    <w:rsid w:val="00775657"/>
    <w:rsid w:val="007766D8"/>
    <w:rsid w:val="0077691C"/>
    <w:rsid w:val="0077701E"/>
    <w:rsid w:val="00791538"/>
    <w:rsid w:val="0079183E"/>
    <w:rsid w:val="00792C98"/>
    <w:rsid w:val="00794FFB"/>
    <w:rsid w:val="007A0E26"/>
    <w:rsid w:val="007A7523"/>
    <w:rsid w:val="007B534A"/>
    <w:rsid w:val="007B6634"/>
    <w:rsid w:val="007B6886"/>
    <w:rsid w:val="007C0D5B"/>
    <w:rsid w:val="007C41C6"/>
    <w:rsid w:val="007C44F5"/>
    <w:rsid w:val="007C4F06"/>
    <w:rsid w:val="007C5097"/>
    <w:rsid w:val="007C6163"/>
    <w:rsid w:val="007D7275"/>
    <w:rsid w:val="007E3A30"/>
    <w:rsid w:val="007E43DC"/>
    <w:rsid w:val="007F330C"/>
    <w:rsid w:val="007F3501"/>
    <w:rsid w:val="00800174"/>
    <w:rsid w:val="008001F1"/>
    <w:rsid w:val="008076BD"/>
    <w:rsid w:val="00822C6A"/>
    <w:rsid w:val="00824525"/>
    <w:rsid w:val="00825996"/>
    <w:rsid w:val="00833507"/>
    <w:rsid w:val="0083460D"/>
    <w:rsid w:val="00842E0B"/>
    <w:rsid w:val="00845AB1"/>
    <w:rsid w:val="00846737"/>
    <w:rsid w:val="00853AEA"/>
    <w:rsid w:val="00855926"/>
    <w:rsid w:val="00857C10"/>
    <w:rsid w:val="0086535A"/>
    <w:rsid w:val="00866EC3"/>
    <w:rsid w:val="00870ED6"/>
    <w:rsid w:val="008710F5"/>
    <w:rsid w:val="008712F4"/>
    <w:rsid w:val="00871854"/>
    <w:rsid w:val="00887D45"/>
    <w:rsid w:val="0089369D"/>
    <w:rsid w:val="00893F8B"/>
    <w:rsid w:val="008957F3"/>
    <w:rsid w:val="0089619F"/>
    <w:rsid w:val="00897751"/>
    <w:rsid w:val="008A0CCE"/>
    <w:rsid w:val="008A3CC9"/>
    <w:rsid w:val="008B1B2E"/>
    <w:rsid w:val="008B1C54"/>
    <w:rsid w:val="008B2743"/>
    <w:rsid w:val="008B3306"/>
    <w:rsid w:val="008B493C"/>
    <w:rsid w:val="008B755B"/>
    <w:rsid w:val="008C47D2"/>
    <w:rsid w:val="008C67E6"/>
    <w:rsid w:val="008C7ECA"/>
    <w:rsid w:val="008D0C4C"/>
    <w:rsid w:val="008D4ED8"/>
    <w:rsid w:val="008E7598"/>
    <w:rsid w:val="008F09CE"/>
    <w:rsid w:val="0090260A"/>
    <w:rsid w:val="00904FD2"/>
    <w:rsid w:val="00906F7B"/>
    <w:rsid w:val="00912910"/>
    <w:rsid w:val="00917758"/>
    <w:rsid w:val="00924EE0"/>
    <w:rsid w:val="00925719"/>
    <w:rsid w:val="0093010C"/>
    <w:rsid w:val="00932FDB"/>
    <w:rsid w:val="0093457B"/>
    <w:rsid w:val="009351F9"/>
    <w:rsid w:val="00936226"/>
    <w:rsid w:val="00937706"/>
    <w:rsid w:val="00946D29"/>
    <w:rsid w:val="00952918"/>
    <w:rsid w:val="009552FD"/>
    <w:rsid w:val="00967055"/>
    <w:rsid w:val="0097149B"/>
    <w:rsid w:val="009861A6"/>
    <w:rsid w:val="00987431"/>
    <w:rsid w:val="00990452"/>
    <w:rsid w:val="00992FC3"/>
    <w:rsid w:val="00997ACD"/>
    <w:rsid w:val="00997F71"/>
    <w:rsid w:val="009A39E8"/>
    <w:rsid w:val="009A3CCD"/>
    <w:rsid w:val="009A3DCB"/>
    <w:rsid w:val="009A3DFE"/>
    <w:rsid w:val="009B341E"/>
    <w:rsid w:val="009B3FF3"/>
    <w:rsid w:val="009B7063"/>
    <w:rsid w:val="009C026D"/>
    <w:rsid w:val="009D6CF0"/>
    <w:rsid w:val="009D79E6"/>
    <w:rsid w:val="009E2FE2"/>
    <w:rsid w:val="009E7612"/>
    <w:rsid w:val="00A00D2A"/>
    <w:rsid w:val="00A03850"/>
    <w:rsid w:val="00A05169"/>
    <w:rsid w:val="00A06013"/>
    <w:rsid w:val="00A06EAF"/>
    <w:rsid w:val="00A13D2B"/>
    <w:rsid w:val="00A13DFD"/>
    <w:rsid w:val="00A1527E"/>
    <w:rsid w:val="00A16757"/>
    <w:rsid w:val="00A16B3B"/>
    <w:rsid w:val="00A23FE0"/>
    <w:rsid w:val="00A2443A"/>
    <w:rsid w:val="00A270B1"/>
    <w:rsid w:val="00A27400"/>
    <w:rsid w:val="00A27E54"/>
    <w:rsid w:val="00A319B1"/>
    <w:rsid w:val="00A3358D"/>
    <w:rsid w:val="00A33FD7"/>
    <w:rsid w:val="00A34A40"/>
    <w:rsid w:val="00A35856"/>
    <w:rsid w:val="00A36382"/>
    <w:rsid w:val="00A374AF"/>
    <w:rsid w:val="00A42591"/>
    <w:rsid w:val="00A42AB3"/>
    <w:rsid w:val="00A46912"/>
    <w:rsid w:val="00A51397"/>
    <w:rsid w:val="00A54560"/>
    <w:rsid w:val="00A554F8"/>
    <w:rsid w:val="00A5562C"/>
    <w:rsid w:val="00A569AF"/>
    <w:rsid w:val="00A62090"/>
    <w:rsid w:val="00A70C9D"/>
    <w:rsid w:val="00A7249E"/>
    <w:rsid w:val="00A80993"/>
    <w:rsid w:val="00A80A73"/>
    <w:rsid w:val="00A8629D"/>
    <w:rsid w:val="00A86F92"/>
    <w:rsid w:val="00A928DC"/>
    <w:rsid w:val="00A93AC8"/>
    <w:rsid w:val="00A95F77"/>
    <w:rsid w:val="00AA0120"/>
    <w:rsid w:val="00AA137D"/>
    <w:rsid w:val="00AA231A"/>
    <w:rsid w:val="00AA2D70"/>
    <w:rsid w:val="00AA32E1"/>
    <w:rsid w:val="00AA3BBB"/>
    <w:rsid w:val="00AA7128"/>
    <w:rsid w:val="00AB738C"/>
    <w:rsid w:val="00AB740A"/>
    <w:rsid w:val="00AC1516"/>
    <w:rsid w:val="00AC7F9E"/>
    <w:rsid w:val="00AD10CD"/>
    <w:rsid w:val="00AD3901"/>
    <w:rsid w:val="00AD4498"/>
    <w:rsid w:val="00AE0572"/>
    <w:rsid w:val="00AE07C5"/>
    <w:rsid w:val="00AE3147"/>
    <w:rsid w:val="00AF3EEA"/>
    <w:rsid w:val="00AF4678"/>
    <w:rsid w:val="00AF53E3"/>
    <w:rsid w:val="00AF7355"/>
    <w:rsid w:val="00B1174C"/>
    <w:rsid w:val="00B15BBA"/>
    <w:rsid w:val="00B15FD1"/>
    <w:rsid w:val="00B174F0"/>
    <w:rsid w:val="00B312D6"/>
    <w:rsid w:val="00B33E40"/>
    <w:rsid w:val="00B3763B"/>
    <w:rsid w:val="00B4034C"/>
    <w:rsid w:val="00B42D42"/>
    <w:rsid w:val="00B43059"/>
    <w:rsid w:val="00B45FFF"/>
    <w:rsid w:val="00B54DDE"/>
    <w:rsid w:val="00B617CF"/>
    <w:rsid w:val="00B62D34"/>
    <w:rsid w:val="00B63734"/>
    <w:rsid w:val="00B641BD"/>
    <w:rsid w:val="00B71440"/>
    <w:rsid w:val="00B76D79"/>
    <w:rsid w:val="00B801F2"/>
    <w:rsid w:val="00B80BBF"/>
    <w:rsid w:val="00B81E03"/>
    <w:rsid w:val="00B82152"/>
    <w:rsid w:val="00B82778"/>
    <w:rsid w:val="00B83880"/>
    <w:rsid w:val="00B86E12"/>
    <w:rsid w:val="00B9083E"/>
    <w:rsid w:val="00B91573"/>
    <w:rsid w:val="00B916AA"/>
    <w:rsid w:val="00B942AF"/>
    <w:rsid w:val="00B944F9"/>
    <w:rsid w:val="00B94CF4"/>
    <w:rsid w:val="00BA2B47"/>
    <w:rsid w:val="00BB6BC1"/>
    <w:rsid w:val="00BC2FB0"/>
    <w:rsid w:val="00BC6936"/>
    <w:rsid w:val="00BC73A9"/>
    <w:rsid w:val="00BD01CB"/>
    <w:rsid w:val="00BD6B9A"/>
    <w:rsid w:val="00BE7D96"/>
    <w:rsid w:val="00BF04A3"/>
    <w:rsid w:val="00BF1C0C"/>
    <w:rsid w:val="00C00838"/>
    <w:rsid w:val="00C01828"/>
    <w:rsid w:val="00C05F72"/>
    <w:rsid w:val="00C06685"/>
    <w:rsid w:val="00C12820"/>
    <w:rsid w:val="00C13ADA"/>
    <w:rsid w:val="00C17FDF"/>
    <w:rsid w:val="00C21064"/>
    <w:rsid w:val="00C24926"/>
    <w:rsid w:val="00C2793A"/>
    <w:rsid w:val="00C357E8"/>
    <w:rsid w:val="00C35AA8"/>
    <w:rsid w:val="00C3687B"/>
    <w:rsid w:val="00C40A16"/>
    <w:rsid w:val="00C4182C"/>
    <w:rsid w:val="00C41DD2"/>
    <w:rsid w:val="00C4207F"/>
    <w:rsid w:val="00C4337A"/>
    <w:rsid w:val="00C444D5"/>
    <w:rsid w:val="00C4609F"/>
    <w:rsid w:val="00C47EF7"/>
    <w:rsid w:val="00C505F4"/>
    <w:rsid w:val="00C5174B"/>
    <w:rsid w:val="00C517F2"/>
    <w:rsid w:val="00C52B6C"/>
    <w:rsid w:val="00C52C3D"/>
    <w:rsid w:val="00C530BF"/>
    <w:rsid w:val="00C54D22"/>
    <w:rsid w:val="00C55CEF"/>
    <w:rsid w:val="00C5605A"/>
    <w:rsid w:val="00C577F7"/>
    <w:rsid w:val="00C67ECD"/>
    <w:rsid w:val="00C709DD"/>
    <w:rsid w:val="00C75D1A"/>
    <w:rsid w:val="00C80091"/>
    <w:rsid w:val="00C80711"/>
    <w:rsid w:val="00C82CF5"/>
    <w:rsid w:val="00C851E9"/>
    <w:rsid w:val="00C87D5D"/>
    <w:rsid w:val="00C95C45"/>
    <w:rsid w:val="00CA4071"/>
    <w:rsid w:val="00CA40D2"/>
    <w:rsid w:val="00CA6C02"/>
    <w:rsid w:val="00CB1C57"/>
    <w:rsid w:val="00CB4244"/>
    <w:rsid w:val="00CB49A8"/>
    <w:rsid w:val="00CB5B5E"/>
    <w:rsid w:val="00CB5E9B"/>
    <w:rsid w:val="00CB6277"/>
    <w:rsid w:val="00CB7B8E"/>
    <w:rsid w:val="00CC03AA"/>
    <w:rsid w:val="00CC2616"/>
    <w:rsid w:val="00CD583B"/>
    <w:rsid w:val="00CE5488"/>
    <w:rsid w:val="00CF1E3D"/>
    <w:rsid w:val="00CF348F"/>
    <w:rsid w:val="00CF3D08"/>
    <w:rsid w:val="00CF794B"/>
    <w:rsid w:val="00D00D1F"/>
    <w:rsid w:val="00D16BBC"/>
    <w:rsid w:val="00D423DE"/>
    <w:rsid w:val="00D428D9"/>
    <w:rsid w:val="00D4350B"/>
    <w:rsid w:val="00D4407A"/>
    <w:rsid w:val="00D47CAD"/>
    <w:rsid w:val="00D52507"/>
    <w:rsid w:val="00D61DF1"/>
    <w:rsid w:val="00D65498"/>
    <w:rsid w:val="00D660B2"/>
    <w:rsid w:val="00D76D19"/>
    <w:rsid w:val="00D80796"/>
    <w:rsid w:val="00D81951"/>
    <w:rsid w:val="00D83E19"/>
    <w:rsid w:val="00D84463"/>
    <w:rsid w:val="00D94724"/>
    <w:rsid w:val="00D94C43"/>
    <w:rsid w:val="00D95A96"/>
    <w:rsid w:val="00D97415"/>
    <w:rsid w:val="00DA43A3"/>
    <w:rsid w:val="00DB37E7"/>
    <w:rsid w:val="00DB471C"/>
    <w:rsid w:val="00DB6FC2"/>
    <w:rsid w:val="00DC15BE"/>
    <w:rsid w:val="00DC5193"/>
    <w:rsid w:val="00DE2977"/>
    <w:rsid w:val="00DF46E4"/>
    <w:rsid w:val="00DF66F0"/>
    <w:rsid w:val="00E00929"/>
    <w:rsid w:val="00E053A5"/>
    <w:rsid w:val="00E05507"/>
    <w:rsid w:val="00E05E30"/>
    <w:rsid w:val="00E075FE"/>
    <w:rsid w:val="00E126B0"/>
    <w:rsid w:val="00E12ECA"/>
    <w:rsid w:val="00E209A9"/>
    <w:rsid w:val="00E22C75"/>
    <w:rsid w:val="00E25A62"/>
    <w:rsid w:val="00E25D42"/>
    <w:rsid w:val="00E25ED1"/>
    <w:rsid w:val="00E2738F"/>
    <w:rsid w:val="00E4530A"/>
    <w:rsid w:val="00E45D0A"/>
    <w:rsid w:val="00E51807"/>
    <w:rsid w:val="00E55DA7"/>
    <w:rsid w:val="00E56F4D"/>
    <w:rsid w:val="00E570F3"/>
    <w:rsid w:val="00E57283"/>
    <w:rsid w:val="00E60247"/>
    <w:rsid w:val="00E60FF9"/>
    <w:rsid w:val="00E66F3E"/>
    <w:rsid w:val="00E70AEF"/>
    <w:rsid w:val="00E80443"/>
    <w:rsid w:val="00E80A23"/>
    <w:rsid w:val="00E87147"/>
    <w:rsid w:val="00E87C87"/>
    <w:rsid w:val="00E87E0D"/>
    <w:rsid w:val="00E9074B"/>
    <w:rsid w:val="00E938FF"/>
    <w:rsid w:val="00EA2B53"/>
    <w:rsid w:val="00EA2E4C"/>
    <w:rsid w:val="00EA312F"/>
    <w:rsid w:val="00EA316A"/>
    <w:rsid w:val="00EA3EC6"/>
    <w:rsid w:val="00EA6B69"/>
    <w:rsid w:val="00EB1D7A"/>
    <w:rsid w:val="00EB51D2"/>
    <w:rsid w:val="00EB5EE7"/>
    <w:rsid w:val="00EC1AEF"/>
    <w:rsid w:val="00EC2B2D"/>
    <w:rsid w:val="00EC4671"/>
    <w:rsid w:val="00EF41B8"/>
    <w:rsid w:val="00EF545D"/>
    <w:rsid w:val="00EF5A2A"/>
    <w:rsid w:val="00F00A67"/>
    <w:rsid w:val="00F04192"/>
    <w:rsid w:val="00F04B3B"/>
    <w:rsid w:val="00F051F5"/>
    <w:rsid w:val="00F209BD"/>
    <w:rsid w:val="00F23A27"/>
    <w:rsid w:val="00F25072"/>
    <w:rsid w:val="00F3043B"/>
    <w:rsid w:val="00F34B68"/>
    <w:rsid w:val="00F36365"/>
    <w:rsid w:val="00F378B1"/>
    <w:rsid w:val="00F4065C"/>
    <w:rsid w:val="00F53E57"/>
    <w:rsid w:val="00F55090"/>
    <w:rsid w:val="00F56E28"/>
    <w:rsid w:val="00F712AC"/>
    <w:rsid w:val="00F72995"/>
    <w:rsid w:val="00F72D19"/>
    <w:rsid w:val="00F932A3"/>
    <w:rsid w:val="00F94BEF"/>
    <w:rsid w:val="00F94C0A"/>
    <w:rsid w:val="00FA0DF5"/>
    <w:rsid w:val="00FA27EC"/>
    <w:rsid w:val="00FA5695"/>
    <w:rsid w:val="00FB16B6"/>
    <w:rsid w:val="00FB2A37"/>
    <w:rsid w:val="00FC43C2"/>
    <w:rsid w:val="00FD2887"/>
    <w:rsid w:val="00FE018E"/>
    <w:rsid w:val="00FE4820"/>
    <w:rsid w:val="00FE65D3"/>
    <w:rsid w:val="00FF40AC"/>
    <w:rsid w:val="00FF7626"/>
    <w:rsid w:val="01026394"/>
    <w:rsid w:val="0113359B"/>
    <w:rsid w:val="01244937"/>
    <w:rsid w:val="012A7B5B"/>
    <w:rsid w:val="013347FC"/>
    <w:rsid w:val="01455EB6"/>
    <w:rsid w:val="01516AF1"/>
    <w:rsid w:val="016A6FD7"/>
    <w:rsid w:val="0176741D"/>
    <w:rsid w:val="0177780C"/>
    <w:rsid w:val="017C1262"/>
    <w:rsid w:val="0188180F"/>
    <w:rsid w:val="018D0933"/>
    <w:rsid w:val="01A356F0"/>
    <w:rsid w:val="01B4154F"/>
    <w:rsid w:val="01B42264"/>
    <w:rsid w:val="01B61473"/>
    <w:rsid w:val="01B64D30"/>
    <w:rsid w:val="01B71D86"/>
    <w:rsid w:val="01C25065"/>
    <w:rsid w:val="01D628BE"/>
    <w:rsid w:val="01D76BCB"/>
    <w:rsid w:val="01E06145"/>
    <w:rsid w:val="01EB25B8"/>
    <w:rsid w:val="01FF5E32"/>
    <w:rsid w:val="02001A3E"/>
    <w:rsid w:val="020F62BB"/>
    <w:rsid w:val="022A2815"/>
    <w:rsid w:val="022A287C"/>
    <w:rsid w:val="024B02D1"/>
    <w:rsid w:val="02566BBE"/>
    <w:rsid w:val="025F75AC"/>
    <w:rsid w:val="02727A51"/>
    <w:rsid w:val="02731135"/>
    <w:rsid w:val="02733DB9"/>
    <w:rsid w:val="027C16B8"/>
    <w:rsid w:val="02AC29E7"/>
    <w:rsid w:val="02BC406A"/>
    <w:rsid w:val="02BF568E"/>
    <w:rsid w:val="02DF0237"/>
    <w:rsid w:val="02E57EAA"/>
    <w:rsid w:val="02E66D81"/>
    <w:rsid w:val="02EC733B"/>
    <w:rsid w:val="02EE3798"/>
    <w:rsid w:val="03007DE6"/>
    <w:rsid w:val="03011BBD"/>
    <w:rsid w:val="03065636"/>
    <w:rsid w:val="03096830"/>
    <w:rsid w:val="030D1630"/>
    <w:rsid w:val="03226A84"/>
    <w:rsid w:val="0338682A"/>
    <w:rsid w:val="03396CB0"/>
    <w:rsid w:val="034B1806"/>
    <w:rsid w:val="03572251"/>
    <w:rsid w:val="0363387A"/>
    <w:rsid w:val="0363749D"/>
    <w:rsid w:val="037227C3"/>
    <w:rsid w:val="037468D2"/>
    <w:rsid w:val="037607C0"/>
    <w:rsid w:val="03776FB5"/>
    <w:rsid w:val="038C6DAB"/>
    <w:rsid w:val="038E6A76"/>
    <w:rsid w:val="0397603C"/>
    <w:rsid w:val="039F70F5"/>
    <w:rsid w:val="03B309BF"/>
    <w:rsid w:val="03B37C04"/>
    <w:rsid w:val="03BA1195"/>
    <w:rsid w:val="03C525EF"/>
    <w:rsid w:val="03E921F1"/>
    <w:rsid w:val="03F21355"/>
    <w:rsid w:val="04136BEB"/>
    <w:rsid w:val="041A2BF4"/>
    <w:rsid w:val="04210DFC"/>
    <w:rsid w:val="042A0CA0"/>
    <w:rsid w:val="0438103F"/>
    <w:rsid w:val="04385958"/>
    <w:rsid w:val="043C7866"/>
    <w:rsid w:val="04493317"/>
    <w:rsid w:val="044D4291"/>
    <w:rsid w:val="045A6946"/>
    <w:rsid w:val="046066CC"/>
    <w:rsid w:val="046144EF"/>
    <w:rsid w:val="046C4372"/>
    <w:rsid w:val="047A6A25"/>
    <w:rsid w:val="047D2BD6"/>
    <w:rsid w:val="047E3DDB"/>
    <w:rsid w:val="04910807"/>
    <w:rsid w:val="049251C3"/>
    <w:rsid w:val="04937FEC"/>
    <w:rsid w:val="049745E6"/>
    <w:rsid w:val="04A722F0"/>
    <w:rsid w:val="04AD2CBA"/>
    <w:rsid w:val="04BA6A55"/>
    <w:rsid w:val="04C722BE"/>
    <w:rsid w:val="04E50550"/>
    <w:rsid w:val="04E946A2"/>
    <w:rsid w:val="04EA2A9E"/>
    <w:rsid w:val="04EA49D7"/>
    <w:rsid w:val="04ED2CAB"/>
    <w:rsid w:val="04FC698D"/>
    <w:rsid w:val="04FE2375"/>
    <w:rsid w:val="05025B78"/>
    <w:rsid w:val="05203638"/>
    <w:rsid w:val="0528244F"/>
    <w:rsid w:val="05305319"/>
    <w:rsid w:val="053A4F12"/>
    <w:rsid w:val="053D0CC2"/>
    <w:rsid w:val="05427E50"/>
    <w:rsid w:val="05527B2F"/>
    <w:rsid w:val="055460B6"/>
    <w:rsid w:val="0560635F"/>
    <w:rsid w:val="056359EB"/>
    <w:rsid w:val="05701819"/>
    <w:rsid w:val="05740860"/>
    <w:rsid w:val="057A2F64"/>
    <w:rsid w:val="05896E14"/>
    <w:rsid w:val="058A0A88"/>
    <w:rsid w:val="058C1932"/>
    <w:rsid w:val="059134CC"/>
    <w:rsid w:val="05A13249"/>
    <w:rsid w:val="05A42AA3"/>
    <w:rsid w:val="05AF3B52"/>
    <w:rsid w:val="05B463CC"/>
    <w:rsid w:val="05B61A8D"/>
    <w:rsid w:val="05CE48C3"/>
    <w:rsid w:val="05D1525D"/>
    <w:rsid w:val="05E530D0"/>
    <w:rsid w:val="05F44087"/>
    <w:rsid w:val="06025952"/>
    <w:rsid w:val="061C2963"/>
    <w:rsid w:val="061D6CB7"/>
    <w:rsid w:val="06214714"/>
    <w:rsid w:val="06322E07"/>
    <w:rsid w:val="06456265"/>
    <w:rsid w:val="064D6765"/>
    <w:rsid w:val="06520F24"/>
    <w:rsid w:val="06550D6F"/>
    <w:rsid w:val="0663485B"/>
    <w:rsid w:val="06637B0A"/>
    <w:rsid w:val="066A0DA4"/>
    <w:rsid w:val="067E0385"/>
    <w:rsid w:val="068A1EE8"/>
    <w:rsid w:val="06966E13"/>
    <w:rsid w:val="06A2327C"/>
    <w:rsid w:val="06A50AB1"/>
    <w:rsid w:val="06B02BE4"/>
    <w:rsid w:val="06CB5BD4"/>
    <w:rsid w:val="06D23B5E"/>
    <w:rsid w:val="06DC5936"/>
    <w:rsid w:val="06F358D4"/>
    <w:rsid w:val="06F40D2D"/>
    <w:rsid w:val="06F957DE"/>
    <w:rsid w:val="06FD25B9"/>
    <w:rsid w:val="071242C0"/>
    <w:rsid w:val="0717096E"/>
    <w:rsid w:val="071F2345"/>
    <w:rsid w:val="07274FE4"/>
    <w:rsid w:val="07341101"/>
    <w:rsid w:val="073B2ACB"/>
    <w:rsid w:val="074F1952"/>
    <w:rsid w:val="076D4BE4"/>
    <w:rsid w:val="077F71CD"/>
    <w:rsid w:val="0786065A"/>
    <w:rsid w:val="078806DB"/>
    <w:rsid w:val="07935EAB"/>
    <w:rsid w:val="07975C67"/>
    <w:rsid w:val="07A8795B"/>
    <w:rsid w:val="07B5607B"/>
    <w:rsid w:val="07BF43FE"/>
    <w:rsid w:val="07D958E5"/>
    <w:rsid w:val="07E1506B"/>
    <w:rsid w:val="07E53F4E"/>
    <w:rsid w:val="07E74EE4"/>
    <w:rsid w:val="07F11883"/>
    <w:rsid w:val="07F65828"/>
    <w:rsid w:val="07F827F0"/>
    <w:rsid w:val="07FB307F"/>
    <w:rsid w:val="07FB5FE8"/>
    <w:rsid w:val="07FD6DF7"/>
    <w:rsid w:val="08006A2F"/>
    <w:rsid w:val="08333360"/>
    <w:rsid w:val="08466AE7"/>
    <w:rsid w:val="084F2349"/>
    <w:rsid w:val="086A2F11"/>
    <w:rsid w:val="086F122C"/>
    <w:rsid w:val="08833DF0"/>
    <w:rsid w:val="088455D1"/>
    <w:rsid w:val="088E106E"/>
    <w:rsid w:val="0893395E"/>
    <w:rsid w:val="08C07E24"/>
    <w:rsid w:val="08CA368D"/>
    <w:rsid w:val="08CB683E"/>
    <w:rsid w:val="08E66160"/>
    <w:rsid w:val="08F72233"/>
    <w:rsid w:val="0911242E"/>
    <w:rsid w:val="091C444F"/>
    <w:rsid w:val="091D7619"/>
    <w:rsid w:val="0935731C"/>
    <w:rsid w:val="0938239A"/>
    <w:rsid w:val="093D0B2B"/>
    <w:rsid w:val="09412960"/>
    <w:rsid w:val="09412E4A"/>
    <w:rsid w:val="0948254F"/>
    <w:rsid w:val="095E2B42"/>
    <w:rsid w:val="0966724E"/>
    <w:rsid w:val="09703594"/>
    <w:rsid w:val="097413E6"/>
    <w:rsid w:val="098E6671"/>
    <w:rsid w:val="099133DE"/>
    <w:rsid w:val="099A2423"/>
    <w:rsid w:val="09AE4D7F"/>
    <w:rsid w:val="09B533FA"/>
    <w:rsid w:val="09B806E3"/>
    <w:rsid w:val="09CB377F"/>
    <w:rsid w:val="09E22B15"/>
    <w:rsid w:val="09E729C3"/>
    <w:rsid w:val="0A036E58"/>
    <w:rsid w:val="0A0C44DD"/>
    <w:rsid w:val="0A122403"/>
    <w:rsid w:val="0A1B0F91"/>
    <w:rsid w:val="0A1F3AE5"/>
    <w:rsid w:val="0A4A0883"/>
    <w:rsid w:val="0A4A4BFF"/>
    <w:rsid w:val="0A4D36EF"/>
    <w:rsid w:val="0A585D05"/>
    <w:rsid w:val="0A663A0B"/>
    <w:rsid w:val="0A663F7D"/>
    <w:rsid w:val="0A6D272C"/>
    <w:rsid w:val="0A7D3C48"/>
    <w:rsid w:val="0A8831FD"/>
    <w:rsid w:val="0A9637BC"/>
    <w:rsid w:val="0AA36050"/>
    <w:rsid w:val="0AA87667"/>
    <w:rsid w:val="0AAF446E"/>
    <w:rsid w:val="0AB343F0"/>
    <w:rsid w:val="0AB5283E"/>
    <w:rsid w:val="0ACC123A"/>
    <w:rsid w:val="0ACD691B"/>
    <w:rsid w:val="0AE2585A"/>
    <w:rsid w:val="0AF0486A"/>
    <w:rsid w:val="0B0C2DFB"/>
    <w:rsid w:val="0B10159B"/>
    <w:rsid w:val="0B103806"/>
    <w:rsid w:val="0B2226D0"/>
    <w:rsid w:val="0B353684"/>
    <w:rsid w:val="0B38749D"/>
    <w:rsid w:val="0B41221F"/>
    <w:rsid w:val="0B5029E9"/>
    <w:rsid w:val="0B7D193A"/>
    <w:rsid w:val="0B964DCF"/>
    <w:rsid w:val="0B974E6D"/>
    <w:rsid w:val="0B9B048F"/>
    <w:rsid w:val="0BB33761"/>
    <w:rsid w:val="0BC7010C"/>
    <w:rsid w:val="0BC70C25"/>
    <w:rsid w:val="0BD049D6"/>
    <w:rsid w:val="0BEC7EE4"/>
    <w:rsid w:val="0BF5484B"/>
    <w:rsid w:val="0C040775"/>
    <w:rsid w:val="0C094933"/>
    <w:rsid w:val="0C142961"/>
    <w:rsid w:val="0C1C7246"/>
    <w:rsid w:val="0C3D37F5"/>
    <w:rsid w:val="0C4A4B62"/>
    <w:rsid w:val="0C4F4380"/>
    <w:rsid w:val="0C540B73"/>
    <w:rsid w:val="0C5D43C4"/>
    <w:rsid w:val="0C6838CF"/>
    <w:rsid w:val="0C6B7FC5"/>
    <w:rsid w:val="0C6D40EC"/>
    <w:rsid w:val="0C913FB2"/>
    <w:rsid w:val="0CA75583"/>
    <w:rsid w:val="0CB31B7F"/>
    <w:rsid w:val="0CD6393A"/>
    <w:rsid w:val="0CD940F9"/>
    <w:rsid w:val="0CEA1C33"/>
    <w:rsid w:val="0CF305F1"/>
    <w:rsid w:val="0D081E40"/>
    <w:rsid w:val="0D141481"/>
    <w:rsid w:val="0D1A60C8"/>
    <w:rsid w:val="0D1D6E3F"/>
    <w:rsid w:val="0D4C6E5A"/>
    <w:rsid w:val="0D4E6F1E"/>
    <w:rsid w:val="0D5059EA"/>
    <w:rsid w:val="0D5358B3"/>
    <w:rsid w:val="0D5713D6"/>
    <w:rsid w:val="0D5B453C"/>
    <w:rsid w:val="0D5D5C42"/>
    <w:rsid w:val="0D5D716A"/>
    <w:rsid w:val="0D610F98"/>
    <w:rsid w:val="0D6202F7"/>
    <w:rsid w:val="0D6214AA"/>
    <w:rsid w:val="0D665B4B"/>
    <w:rsid w:val="0D6C49CD"/>
    <w:rsid w:val="0D8C34F6"/>
    <w:rsid w:val="0D8D360B"/>
    <w:rsid w:val="0D8F1F8E"/>
    <w:rsid w:val="0D9D7E2D"/>
    <w:rsid w:val="0DD2455E"/>
    <w:rsid w:val="0DDE23FC"/>
    <w:rsid w:val="0DE44B0E"/>
    <w:rsid w:val="0DEE0E3A"/>
    <w:rsid w:val="0E231AE6"/>
    <w:rsid w:val="0E260B56"/>
    <w:rsid w:val="0E353D07"/>
    <w:rsid w:val="0E4F4A42"/>
    <w:rsid w:val="0E5B25EF"/>
    <w:rsid w:val="0E600B76"/>
    <w:rsid w:val="0E6A4BA9"/>
    <w:rsid w:val="0E6D0A85"/>
    <w:rsid w:val="0E746889"/>
    <w:rsid w:val="0E8B6F12"/>
    <w:rsid w:val="0E901E9A"/>
    <w:rsid w:val="0EB33187"/>
    <w:rsid w:val="0EBD1572"/>
    <w:rsid w:val="0EC42A86"/>
    <w:rsid w:val="0EC73CBB"/>
    <w:rsid w:val="0ECA7541"/>
    <w:rsid w:val="0ECC4AEA"/>
    <w:rsid w:val="0ED308B1"/>
    <w:rsid w:val="0EE06B2A"/>
    <w:rsid w:val="0EEE140B"/>
    <w:rsid w:val="0EF22FAB"/>
    <w:rsid w:val="0EF51B20"/>
    <w:rsid w:val="0EF97073"/>
    <w:rsid w:val="0EFB5BA4"/>
    <w:rsid w:val="0F11131D"/>
    <w:rsid w:val="0F127011"/>
    <w:rsid w:val="0F127FC0"/>
    <w:rsid w:val="0F3A3C9F"/>
    <w:rsid w:val="0F4001FD"/>
    <w:rsid w:val="0F4119EA"/>
    <w:rsid w:val="0F4C0412"/>
    <w:rsid w:val="0F552F32"/>
    <w:rsid w:val="0F5654AC"/>
    <w:rsid w:val="0F5F7E6B"/>
    <w:rsid w:val="0F647E61"/>
    <w:rsid w:val="0F66112F"/>
    <w:rsid w:val="0F734F9B"/>
    <w:rsid w:val="0F735BF1"/>
    <w:rsid w:val="0F776271"/>
    <w:rsid w:val="0F803E6A"/>
    <w:rsid w:val="0F8275D7"/>
    <w:rsid w:val="0F8F385D"/>
    <w:rsid w:val="0F9D38B8"/>
    <w:rsid w:val="0F9F1DA9"/>
    <w:rsid w:val="0FA617E8"/>
    <w:rsid w:val="0FCF5C3E"/>
    <w:rsid w:val="0FD7691F"/>
    <w:rsid w:val="0FE51099"/>
    <w:rsid w:val="0FE82963"/>
    <w:rsid w:val="0FEA282E"/>
    <w:rsid w:val="0FEC0435"/>
    <w:rsid w:val="100434ED"/>
    <w:rsid w:val="101933BF"/>
    <w:rsid w:val="101C7A12"/>
    <w:rsid w:val="102007D4"/>
    <w:rsid w:val="1022461B"/>
    <w:rsid w:val="102351BA"/>
    <w:rsid w:val="10314227"/>
    <w:rsid w:val="103D79C9"/>
    <w:rsid w:val="10492FDA"/>
    <w:rsid w:val="10576F9B"/>
    <w:rsid w:val="106F5DD9"/>
    <w:rsid w:val="10707DED"/>
    <w:rsid w:val="10785A53"/>
    <w:rsid w:val="107B0A99"/>
    <w:rsid w:val="10811B51"/>
    <w:rsid w:val="10891318"/>
    <w:rsid w:val="10897D96"/>
    <w:rsid w:val="108B5960"/>
    <w:rsid w:val="108F369D"/>
    <w:rsid w:val="10A53609"/>
    <w:rsid w:val="10AC2D6C"/>
    <w:rsid w:val="10E723F2"/>
    <w:rsid w:val="10EA2A39"/>
    <w:rsid w:val="1117403A"/>
    <w:rsid w:val="11414DF3"/>
    <w:rsid w:val="117B3C36"/>
    <w:rsid w:val="118F0639"/>
    <w:rsid w:val="11985505"/>
    <w:rsid w:val="119D052D"/>
    <w:rsid w:val="119D51A7"/>
    <w:rsid w:val="11A141A9"/>
    <w:rsid w:val="11B74185"/>
    <w:rsid w:val="11BE797B"/>
    <w:rsid w:val="11C35C56"/>
    <w:rsid w:val="11C42733"/>
    <w:rsid w:val="11C444E1"/>
    <w:rsid w:val="11D370A7"/>
    <w:rsid w:val="11DC2360"/>
    <w:rsid w:val="11EA4A32"/>
    <w:rsid w:val="11F535FE"/>
    <w:rsid w:val="121623F7"/>
    <w:rsid w:val="12185038"/>
    <w:rsid w:val="12216172"/>
    <w:rsid w:val="12281CBC"/>
    <w:rsid w:val="12336D19"/>
    <w:rsid w:val="12356FC0"/>
    <w:rsid w:val="123A54B8"/>
    <w:rsid w:val="123F3E65"/>
    <w:rsid w:val="12474DCB"/>
    <w:rsid w:val="1250377D"/>
    <w:rsid w:val="12617F82"/>
    <w:rsid w:val="12657834"/>
    <w:rsid w:val="12766AD6"/>
    <w:rsid w:val="1285312B"/>
    <w:rsid w:val="12970412"/>
    <w:rsid w:val="129E1A97"/>
    <w:rsid w:val="12A941DE"/>
    <w:rsid w:val="12CB2F94"/>
    <w:rsid w:val="12D335F1"/>
    <w:rsid w:val="12E0531B"/>
    <w:rsid w:val="12F9465F"/>
    <w:rsid w:val="130452CF"/>
    <w:rsid w:val="13060C1B"/>
    <w:rsid w:val="130C4392"/>
    <w:rsid w:val="132D60B6"/>
    <w:rsid w:val="13300548"/>
    <w:rsid w:val="133534B2"/>
    <w:rsid w:val="134B3B75"/>
    <w:rsid w:val="1360718B"/>
    <w:rsid w:val="136167AD"/>
    <w:rsid w:val="138F513F"/>
    <w:rsid w:val="13905C3E"/>
    <w:rsid w:val="139660E0"/>
    <w:rsid w:val="13B161D1"/>
    <w:rsid w:val="13B708B9"/>
    <w:rsid w:val="13C0543A"/>
    <w:rsid w:val="13C62672"/>
    <w:rsid w:val="13D257FD"/>
    <w:rsid w:val="13D3505C"/>
    <w:rsid w:val="13D42FA3"/>
    <w:rsid w:val="13D5296B"/>
    <w:rsid w:val="13D970BE"/>
    <w:rsid w:val="13DB5D0F"/>
    <w:rsid w:val="13DD3A82"/>
    <w:rsid w:val="13E96481"/>
    <w:rsid w:val="13F041CD"/>
    <w:rsid w:val="13F56E39"/>
    <w:rsid w:val="140B60A8"/>
    <w:rsid w:val="14163C6B"/>
    <w:rsid w:val="141E04FD"/>
    <w:rsid w:val="142452F5"/>
    <w:rsid w:val="143020F5"/>
    <w:rsid w:val="14360905"/>
    <w:rsid w:val="143D4E8F"/>
    <w:rsid w:val="14464516"/>
    <w:rsid w:val="14521801"/>
    <w:rsid w:val="146432F4"/>
    <w:rsid w:val="146E1CBF"/>
    <w:rsid w:val="146E79EA"/>
    <w:rsid w:val="147E34A9"/>
    <w:rsid w:val="1486146A"/>
    <w:rsid w:val="14B56E68"/>
    <w:rsid w:val="14CC4C3E"/>
    <w:rsid w:val="14D74116"/>
    <w:rsid w:val="14E51621"/>
    <w:rsid w:val="14EF2E55"/>
    <w:rsid w:val="14F34173"/>
    <w:rsid w:val="14FA65CF"/>
    <w:rsid w:val="14FC0CD7"/>
    <w:rsid w:val="15064E11"/>
    <w:rsid w:val="150870B3"/>
    <w:rsid w:val="151A0E0E"/>
    <w:rsid w:val="15214F1A"/>
    <w:rsid w:val="153320AA"/>
    <w:rsid w:val="153C7797"/>
    <w:rsid w:val="153F4003"/>
    <w:rsid w:val="153F6B5D"/>
    <w:rsid w:val="15430492"/>
    <w:rsid w:val="15445A89"/>
    <w:rsid w:val="15450D82"/>
    <w:rsid w:val="154F0198"/>
    <w:rsid w:val="15593193"/>
    <w:rsid w:val="155C7A6B"/>
    <w:rsid w:val="155D53FF"/>
    <w:rsid w:val="15663FDE"/>
    <w:rsid w:val="157D50D3"/>
    <w:rsid w:val="15866987"/>
    <w:rsid w:val="158E167D"/>
    <w:rsid w:val="158F0F7F"/>
    <w:rsid w:val="15910B7E"/>
    <w:rsid w:val="1595422E"/>
    <w:rsid w:val="15997A33"/>
    <w:rsid w:val="159B25D8"/>
    <w:rsid w:val="159D20D5"/>
    <w:rsid w:val="15A80D6D"/>
    <w:rsid w:val="15B227F5"/>
    <w:rsid w:val="15C04E67"/>
    <w:rsid w:val="15DE0225"/>
    <w:rsid w:val="15EA6956"/>
    <w:rsid w:val="15F24A7A"/>
    <w:rsid w:val="15F31839"/>
    <w:rsid w:val="15F80BFE"/>
    <w:rsid w:val="16084060"/>
    <w:rsid w:val="16094541"/>
    <w:rsid w:val="161D295D"/>
    <w:rsid w:val="16236E83"/>
    <w:rsid w:val="1637002D"/>
    <w:rsid w:val="163B3A75"/>
    <w:rsid w:val="164F609E"/>
    <w:rsid w:val="166164F5"/>
    <w:rsid w:val="16750B10"/>
    <w:rsid w:val="16780512"/>
    <w:rsid w:val="168E1696"/>
    <w:rsid w:val="16933CF2"/>
    <w:rsid w:val="169828CD"/>
    <w:rsid w:val="16A833A8"/>
    <w:rsid w:val="16B26082"/>
    <w:rsid w:val="16B36C25"/>
    <w:rsid w:val="16B936DB"/>
    <w:rsid w:val="16C536D8"/>
    <w:rsid w:val="16C61FD2"/>
    <w:rsid w:val="16D6652D"/>
    <w:rsid w:val="16D6663E"/>
    <w:rsid w:val="16F340A6"/>
    <w:rsid w:val="170126A0"/>
    <w:rsid w:val="170432DD"/>
    <w:rsid w:val="170B0EEA"/>
    <w:rsid w:val="1718638B"/>
    <w:rsid w:val="17320640"/>
    <w:rsid w:val="173914CE"/>
    <w:rsid w:val="1742143D"/>
    <w:rsid w:val="174B0F3E"/>
    <w:rsid w:val="17506B0A"/>
    <w:rsid w:val="176410F3"/>
    <w:rsid w:val="176C53FF"/>
    <w:rsid w:val="177436A6"/>
    <w:rsid w:val="177B148E"/>
    <w:rsid w:val="178B0C16"/>
    <w:rsid w:val="17993A1A"/>
    <w:rsid w:val="17AA0EA9"/>
    <w:rsid w:val="17AD6B97"/>
    <w:rsid w:val="17AF4F55"/>
    <w:rsid w:val="17B82E66"/>
    <w:rsid w:val="17CF4B01"/>
    <w:rsid w:val="17D1317C"/>
    <w:rsid w:val="17D27772"/>
    <w:rsid w:val="17EB28DA"/>
    <w:rsid w:val="17F26ECC"/>
    <w:rsid w:val="17FB1EAE"/>
    <w:rsid w:val="180D5BDE"/>
    <w:rsid w:val="18147058"/>
    <w:rsid w:val="18151CD4"/>
    <w:rsid w:val="181E33A1"/>
    <w:rsid w:val="18590B71"/>
    <w:rsid w:val="186305B5"/>
    <w:rsid w:val="1867123B"/>
    <w:rsid w:val="186F0547"/>
    <w:rsid w:val="18824183"/>
    <w:rsid w:val="188624F1"/>
    <w:rsid w:val="18873B7B"/>
    <w:rsid w:val="189701DE"/>
    <w:rsid w:val="18A5168B"/>
    <w:rsid w:val="18B34FA3"/>
    <w:rsid w:val="18B37763"/>
    <w:rsid w:val="18BB684E"/>
    <w:rsid w:val="18C30E0C"/>
    <w:rsid w:val="18C6435F"/>
    <w:rsid w:val="18D53F72"/>
    <w:rsid w:val="193266CA"/>
    <w:rsid w:val="19353F17"/>
    <w:rsid w:val="193878CF"/>
    <w:rsid w:val="193960AC"/>
    <w:rsid w:val="19400E38"/>
    <w:rsid w:val="19413A9E"/>
    <w:rsid w:val="195769BD"/>
    <w:rsid w:val="19681B70"/>
    <w:rsid w:val="19752810"/>
    <w:rsid w:val="197A13BB"/>
    <w:rsid w:val="197C2AA7"/>
    <w:rsid w:val="19892FE3"/>
    <w:rsid w:val="19943B09"/>
    <w:rsid w:val="19963BF9"/>
    <w:rsid w:val="19A40D8D"/>
    <w:rsid w:val="19AA437B"/>
    <w:rsid w:val="19BB08C0"/>
    <w:rsid w:val="19C60B17"/>
    <w:rsid w:val="19D723D4"/>
    <w:rsid w:val="19D93928"/>
    <w:rsid w:val="19E266D9"/>
    <w:rsid w:val="1A235F39"/>
    <w:rsid w:val="1A311E73"/>
    <w:rsid w:val="1A313F19"/>
    <w:rsid w:val="1A426422"/>
    <w:rsid w:val="1A492E84"/>
    <w:rsid w:val="1A675A6E"/>
    <w:rsid w:val="1A6E7D9F"/>
    <w:rsid w:val="1A73358A"/>
    <w:rsid w:val="1A7840BB"/>
    <w:rsid w:val="1A7F6683"/>
    <w:rsid w:val="1A911FDC"/>
    <w:rsid w:val="1AA55D3E"/>
    <w:rsid w:val="1AA749A0"/>
    <w:rsid w:val="1AB05757"/>
    <w:rsid w:val="1AC740AA"/>
    <w:rsid w:val="1AED4AA9"/>
    <w:rsid w:val="1AF1194A"/>
    <w:rsid w:val="1B037F4C"/>
    <w:rsid w:val="1B0B06A1"/>
    <w:rsid w:val="1B0D74A2"/>
    <w:rsid w:val="1B12015C"/>
    <w:rsid w:val="1B20669F"/>
    <w:rsid w:val="1B2939A3"/>
    <w:rsid w:val="1B2B5EC1"/>
    <w:rsid w:val="1B3929AF"/>
    <w:rsid w:val="1B426994"/>
    <w:rsid w:val="1B5C3C47"/>
    <w:rsid w:val="1B5C578B"/>
    <w:rsid w:val="1B693C84"/>
    <w:rsid w:val="1B745562"/>
    <w:rsid w:val="1B762B2C"/>
    <w:rsid w:val="1B79477A"/>
    <w:rsid w:val="1B80591D"/>
    <w:rsid w:val="1B8563DF"/>
    <w:rsid w:val="1BA31284"/>
    <w:rsid w:val="1BB43819"/>
    <w:rsid w:val="1BC47653"/>
    <w:rsid w:val="1BDD4B1E"/>
    <w:rsid w:val="1BDE0722"/>
    <w:rsid w:val="1BDF0435"/>
    <w:rsid w:val="1BEA2D97"/>
    <w:rsid w:val="1BF50D27"/>
    <w:rsid w:val="1C1D4385"/>
    <w:rsid w:val="1C214D92"/>
    <w:rsid w:val="1C2B3B01"/>
    <w:rsid w:val="1C2D7127"/>
    <w:rsid w:val="1C3A3817"/>
    <w:rsid w:val="1C3C6DE6"/>
    <w:rsid w:val="1C4C60C8"/>
    <w:rsid w:val="1C504C1F"/>
    <w:rsid w:val="1C611A44"/>
    <w:rsid w:val="1C6546EE"/>
    <w:rsid w:val="1C6C700D"/>
    <w:rsid w:val="1C6F16B0"/>
    <w:rsid w:val="1C8807CA"/>
    <w:rsid w:val="1C8A77B6"/>
    <w:rsid w:val="1C8B56E4"/>
    <w:rsid w:val="1C8E479F"/>
    <w:rsid w:val="1C9F0025"/>
    <w:rsid w:val="1CAA3E1F"/>
    <w:rsid w:val="1CAF6E03"/>
    <w:rsid w:val="1CBB46EB"/>
    <w:rsid w:val="1CC87964"/>
    <w:rsid w:val="1CE31607"/>
    <w:rsid w:val="1CE356EF"/>
    <w:rsid w:val="1CE87AF9"/>
    <w:rsid w:val="1CF013A0"/>
    <w:rsid w:val="1CF810AC"/>
    <w:rsid w:val="1CF97A6A"/>
    <w:rsid w:val="1CFE6317"/>
    <w:rsid w:val="1D144E9D"/>
    <w:rsid w:val="1D145CEF"/>
    <w:rsid w:val="1D2A5927"/>
    <w:rsid w:val="1D3335A9"/>
    <w:rsid w:val="1D373FDD"/>
    <w:rsid w:val="1D3D725F"/>
    <w:rsid w:val="1D3F0E99"/>
    <w:rsid w:val="1D4A2099"/>
    <w:rsid w:val="1D5645EC"/>
    <w:rsid w:val="1D7007B3"/>
    <w:rsid w:val="1D8B5C02"/>
    <w:rsid w:val="1D8C151B"/>
    <w:rsid w:val="1DAF6046"/>
    <w:rsid w:val="1DB02E37"/>
    <w:rsid w:val="1DB95792"/>
    <w:rsid w:val="1DC0450D"/>
    <w:rsid w:val="1DCF7104"/>
    <w:rsid w:val="1DD67A76"/>
    <w:rsid w:val="1E0104B3"/>
    <w:rsid w:val="1E165C30"/>
    <w:rsid w:val="1E200537"/>
    <w:rsid w:val="1E3977AF"/>
    <w:rsid w:val="1E4C162B"/>
    <w:rsid w:val="1E686C73"/>
    <w:rsid w:val="1E803E86"/>
    <w:rsid w:val="1E853C68"/>
    <w:rsid w:val="1E926904"/>
    <w:rsid w:val="1EA94ACF"/>
    <w:rsid w:val="1EAE489C"/>
    <w:rsid w:val="1EB04050"/>
    <w:rsid w:val="1EB36FF4"/>
    <w:rsid w:val="1EB61656"/>
    <w:rsid w:val="1EC30CED"/>
    <w:rsid w:val="1ED17D09"/>
    <w:rsid w:val="1ED847E6"/>
    <w:rsid w:val="1F035894"/>
    <w:rsid w:val="1F0F7F3D"/>
    <w:rsid w:val="1F1153BA"/>
    <w:rsid w:val="1F3A6CFF"/>
    <w:rsid w:val="1F3E3285"/>
    <w:rsid w:val="1F4A4BDD"/>
    <w:rsid w:val="1F4D7114"/>
    <w:rsid w:val="1F5F1E65"/>
    <w:rsid w:val="1F604EB3"/>
    <w:rsid w:val="1F615A67"/>
    <w:rsid w:val="1F693E03"/>
    <w:rsid w:val="1F733CD6"/>
    <w:rsid w:val="1F7C63FB"/>
    <w:rsid w:val="1F810443"/>
    <w:rsid w:val="1F856829"/>
    <w:rsid w:val="1F963086"/>
    <w:rsid w:val="1F9A63A2"/>
    <w:rsid w:val="1FA96268"/>
    <w:rsid w:val="1FB1438B"/>
    <w:rsid w:val="1FB76734"/>
    <w:rsid w:val="1FC83EB3"/>
    <w:rsid w:val="1FDB73ED"/>
    <w:rsid w:val="1FEA5A5B"/>
    <w:rsid w:val="1FFE245A"/>
    <w:rsid w:val="2002647C"/>
    <w:rsid w:val="20034A7D"/>
    <w:rsid w:val="201769FD"/>
    <w:rsid w:val="201B5C14"/>
    <w:rsid w:val="202866BE"/>
    <w:rsid w:val="20357DDC"/>
    <w:rsid w:val="203660D8"/>
    <w:rsid w:val="204D6C8F"/>
    <w:rsid w:val="20552DF5"/>
    <w:rsid w:val="205572B9"/>
    <w:rsid w:val="205C278F"/>
    <w:rsid w:val="205E1D30"/>
    <w:rsid w:val="207B4BA8"/>
    <w:rsid w:val="20861BB9"/>
    <w:rsid w:val="20880AF3"/>
    <w:rsid w:val="209354CA"/>
    <w:rsid w:val="20B118AB"/>
    <w:rsid w:val="20B57751"/>
    <w:rsid w:val="20C649DD"/>
    <w:rsid w:val="20CE19CA"/>
    <w:rsid w:val="20DD6A14"/>
    <w:rsid w:val="20DE199D"/>
    <w:rsid w:val="20FD10FA"/>
    <w:rsid w:val="20FF44F4"/>
    <w:rsid w:val="211D03FB"/>
    <w:rsid w:val="211D7A3F"/>
    <w:rsid w:val="21225039"/>
    <w:rsid w:val="213C3D37"/>
    <w:rsid w:val="213F2708"/>
    <w:rsid w:val="214E201A"/>
    <w:rsid w:val="215A00E8"/>
    <w:rsid w:val="21707F49"/>
    <w:rsid w:val="217F58F7"/>
    <w:rsid w:val="2191470F"/>
    <w:rsid w:val="219A0AF0"/>
    <w:rsid w:val="219F43C1"/>
    <w:rsid w:val="21A13A5B"/>
    <w:rsid w:val="21AF0DFB"/>
    <w:rsid w:val="21B5791C"/>
    <w:rsid w:val="21CC405F"/>
    <w:rsid w:val="21DA117C"/>
    <w:rsid w:val="21DF0EC4"/>
    <w:rsid w:val="21E008B2"/>
    <w:rsid w:val="2204688E"/>
    <w:rsid w:val="220A381E"/>
    <w:rsid w:val="22172BBE"/>
    <w:rsid w:val="22355BCC"/>
    <w:rsid w:val="22525F24"/>
    <w:rsid w:val="2259182F"/>
    <w:rsid w:val="225B36AB"/>
    <w:rsid w:val="22605873"/>
    <w:rsid w:val="22606DFF"/>
    <w:rsid w:val="22667F03"/>
    <w:rsid w:val="22680EB9"/>
    <w:rsid w:val="226D1939"/>
    <w:rsid w:val="22715E88"/>
    <w:rsid w:val="22A45C83"/>
    <w:rsid w:val="22B21C62"/>
    <w:rsid w:val="22BA6A00"/>
    <w:rsid w:val="22BD69A9"/>
    <w:rsid w:val="22C02AA3"/>
    <w:rsid w:val="22C84609"/>
    <w:rsid w:val="22CB309D"/>
    <w:rsid w:val="22CC1ECF"/>
    <w:rsid w:val="22CD0E39"/>
    <w:rsid w:val="22D20E98"/>
    <w:rsid w:val="22E5498D"/>
    <w:rsid w:val="22E961CD"/>
    <w:rsid w:val="22F369D5"/>
    <w:rsid w:val="23020545"/>
    <w:rsid w:val="23077BDC"/>
    <w:rsid w:val="230C189F"/>
    <w:rsid w:val="23115084"/>
    <w:rsid w:val="23195B11"/>
    <w:rsid w:val="231D62E6"/>
    <w:rsid w:val="23260C4C"/>
    <w:rsid w:val="233012E3"/>
    <w:rsid w:val="233E60B2"/>
    <w:rsid w:val="23442BAE"/>
    <w:rsid w:val="23553AE1"/>
    <w:rsid w:val="23583318"/>
    <w:rsid w:val="236D2C2B"/>
    <w:rsid w:val="237755C0"/>
    <w:rsid w:val="238D507B"/>
    <w:rsid w:val="23931F66"/>
    <w:rsid w:val="239E5F7C"/>
    <w:rsid w:val="23A3724B"/>
    <w:rsid w:val="23B07166"/>
    <w:rsid w:val="23BA0AFE"/>
    <w:rsid w:val="23C60706"/>
    <w:rsid w:val="23D96059"/>
    <w:rsid w:val="23DD1433"/>
    <w:rsid w:val="23E43C2A"/>
    <w:rsid w:val="23E93F81"/>
    <w:rsid w:val="23F57518"/>
    <w:rsid w:val="23F956CF"/>
    <w:rsid w:val="24026E32"/>
    <w:rsid w:val="242D596D"/>
    <w:rsid w:val="2434111D"/>
    <w:rsid w:val="243B3073"/>
    <w:rsid w:val="244176EE"/>
    <w:rsid w:val="244860B9"/>
    <w:rsid w:val="245C32BD"/>
    <w:rsid w:val="246F28F2"/>
    <w:rsid w:val="24761A2D"/>
    <w:rsid w:val="2477539B"/>
    <w:rsid w:val="249E1B16"/>
    <w:rsid w:val="24A174F9"/>
    <w:rsid w:val="24AA57B9"/>
    <w:rsid w:val="24AB5549"/>
    <w:rsid w:val="24B0415B"/>
    <w:rsid w:val="24B627E0"/>
    <w:rsid w:val="24C4172F"/>
    <w:rsid w:val="24C42CDC"/>
    <w:rsid w:val="24C83E91"/>
    <w:rsid w:val="24D00A5F"/>
    <w:rsid w:val="24D524CF"/>
    <w:rsid w:val="24E65A5E"/>
    <w:rsid w:val="24F5375A"/>
    <w:rsid w:val="24F56F3E"/>
    <w:rsid w:val="250A51D3"/>
    <w:rsid w:val="25182A62"/>
    <w:rsid w:val="252B253D"/>
    <w:rsid w:val="25486290"/>
    <w:rsid w:val="255C4982"/>
    <w:rsid w:val="256570B8"/>
    <w:rsid w:val="256775FC"/>
    <w:rsid w:val="256C21D6"/>
    <w:rsid w:val="257476D5"/>
    <w:rsid w:val="258A3C4D"/>
    <w:rsid w:val="25951944"/>
    <w:rsid w:val="25A8583B"/>
    <w:rsid w:val="25B0699F"/>
    <w:rsid w:val="25B64A05"/>
    <w:rsid w:val="25BE1E3F"/>
    <w:rsid w:val="25CD0F29"/>
    <w:rsid w:val="25CE7631"/>
    <w:rsid w:val="25D056B4"/>
    <w:rsid w:val="25D56858"/>
    <w:rsid w:val="25DB004C"/>
    <w:rsid w:val="25EB4EA4"/>
    <w:rsid w:val="25EF4F13"/>
    <w:rsid w:val="261F3F85"/>
    <w:rsid w:val="26300E9B"/>
    <w:rsid w:val="26446E8E"/>
    <w:rsid w:val="2652562D"/>
    <w:rsid w:val="26584F04"/>
    <w:rsid w:val="267428BD"/>
    <w:rsid w:val="268A3AF4"/>
    <w:rsid w:val="268F3C12"/>
    <w:rsid w:val="26A4798B"/>
    <w:rsid w:val="26A86AE9"/>
    <w:rsid w:val="26A96697"/>
    <w:rsid w:val="26AC4BA6"/>
    <w:rsid w:val="26AD19C1"/>
    <w:rsid w:val="26B02B33"/>
    <w:rsid w:val="26B95B6C"/>
    <w:rsid w:val="26C75D8F"/>
    <w:rsid w:val="26C81DFB"/>
    <w:rsid w:val="26DB1FEE"/>
    <w:rsid w:val="26DB434F"/>
    <w:rsid w:val="26E700E8"/>
    <w:rsid w:val="26EB755E"/>
    <w:rsid w:val="26F471BF"/>
    <w:rsid w:val="273505C8"/>
    <w:rsid w:val="2748582E"/>
    <w:rsid w:val="27524891"/>
    <w:rsid w:val="275A4B42"/>
    <w:rsid w:val="276F5E13"/>
    <w:rsid w:val="278A18D2"/>
    <w:rsid w:val="279640AC"/>
    <w:rsid w:val="279D0FCE"/>
    <w:rsid w:val="27AC64B6"/>
    <w:rsid w:val="27AE284A"/>
    <w:rsid w:val="27BE035F"/>
    <w:rsid w:val="27BF7AFA"/>
    <w:rsid w:val="27C1133E"/>
    <w:rsid w:val="27E42543"/>
    <w:rsid w:val="27F154AD"/>
    <w:rsid w:val="27F70CF2"/>
    <w:rsid w:val="27FC27CF"/>
    <w:rsid w:val="27FE32F4"/>
    <w:rsid w:val="28055100"/>
    <w:rsid w:val="28121594"/>
    <w:rsid w:val="28153018"/>
    <w:rsid w:val="28155927"/>
    <w:rsid w:val="28184C40"/>
    <w:rsid w:val="281950A5"/>
    <w:rsid w:val="281F782D"/>
    <w:rsid w:val="283535EA"/>
    <w:rsid w:val="28547D0B"/>
    <w:rsid w:val="285C50B8"/>
    <w:rsid w:val="28717DF6"/>
    <w:rsid w:val="288578C0"/>
    <w:rsid w:val="28890B3D"/>
    <w:rsid w:val="28A53C30"/>
    <w:rsid w:val="28AF0F29"/>
    <w:rsid w:val="28B946BA"/>
    <w:rsid w:val="28CF0010"/>
    <w:rsid w:val="28CF4E6A"/>
    <w:rsid w:val="28D2422F"/>
    <w:rsid w:val="28DE1ED5"/>
    <w:rsid w:val="28E53D65"/>
    <w:rsid w:val="28F10206"/>
    <w:rsid w:val="28F14AFE"/>
    <w:rsid w:val="28F419C3"/>
    <w:rsid w:val="291A6A49"/>
    <w:rsid w:val="29362051"/>
    <w:rsid w:val="293E7377"/>
    <w:rsid w:val="29472B94"/>
    <w:rsid w:val="29484978"/>
    <w:rsid w:val="295D104C"/>
    <w:rsid w:val="2962451E"/>
    <w:rsid w:val="29723691"/>
    <w:rsid w:val="2980636E"/>
    <w:rsid w:val="29835009"/>
    <w:rsid w:val="2989080C"/>
    <w:rsid w:val="29975E41"/>
    <w:rsid w:val="299E348B"/>
    <w:rsid w:val="299F3927"/>
    <w:rsid w:val="29A1545C"/>
    <w:rsid w:val="29B55F34"/>
    <w:rsid w:val="29BF06C8"/>
    <w:rsid w:val="29D878DC"/>
    <w:rsid w:val="29DE5984"/>
    <w:rsid w:val="29DE711E"/>
    <w:rsid w:val="29F56101"/>
    <w:rsid w:val="29FB0865"/>
    <w:rsid w:val="29FB1F57"/>
    <w:rsid w:val="2A044C46"/>
    <w:rsid w:val="2A1410D6"/>
    <w:rsid w:val="2A246C48"/>
    <w:rsid w:val="2A283640"/>
    <w:rsid w:val="2A4A2C16"/>
    <w:rsid w:val="2A536D48"/>
    <w:rsid w:val="2A593C60"/>
    <w:rsid w:val="2A6B7306"/>
    <w:rsid w:val="2A6F54DA"/>
    <w:rsid w:val="2A756869"/>
    <w:rsid w:val="2A786BC3"/>
    <w:rsid w:val="2A7E4AB2"/>
    <w:rsid w:val="2A8D6FDE"/>
    <w:rsid w:val="2A8E3994"/>
    <w:rsid w:val="2AA45B13"/>
    <w:rsid w:val="2AB60FB4"/>
    <w:rsid w:val="2AC0077D"/>
    <w:rsid w:val="2AC26E2F"/>
    <w:rsid w:val="2AE85548"/>
    <w:rsid w:val="2AF035A6"/>
    <w:rsid w:val="2AF54300"/>
    <w:rsid w:val="2AF60F41"/>
    <w:rsid w:val="2B0573AE"/>
    <w:rsid w:val="2B0C416F"/>
    <w:rsid w:val="2B3B51D7"/>
    <w:rsid w:val="2B437973"/>
    <w:rsid w:val="2B4451D2"/>
    <w:rsid w:val="2B525DFF"/>
    <w:rsid w:val="2B5E20DE"/>
    <w:rsid w:val="2B6B15C0"/>
    <w:rsid w:val="2B7050B6"/>
    <w:rsid w:val="2B725B05"/>
    <w:rsid w:val="2B7A2827"/>
    <w:rsid w:val="2B8A00F2"/>
    <w:rsid w:val="2B977110"/>
    <w:rsid w:val="2BC36034"/>
    <w:rsid w:val="2BD60C3A"/>
    <w:rsid w:val="2BF95101"/>
    <w:rsid w:val="2BFA3401"/>
    <w:rsid w:val="2BFC72E5"/>
    <w:rsid w:val="2C056DE6"/>
    <w:rsid w:val="2C136A03"/>
    <w:rsid w:val="2C1964F2"/>
    <w:rsid w:val="2C2371EB"/>
    <w:rsid w:val="2C3D237B"/>
    <w:rsid w:val="2C4C35F9"/>
    <w:rsid w:val="2C5456A6"/>
    <w:rsid w:val="2C5E20C2"/>
    <w:rsid w:val="2C714E0E"/>
    <w:rsid w:val="2C716705"/>
    <w:rsid w:val="2C746388"/>
    <w:rsid w:val="2C7B2D8A"/>
    <w:rsid w:val="2C7B4659"/>
    <w:rsid w:val="2C835800"/>
    <w:rsid w:val="2C993B8D"/>
    <w:rsid w:val="2CA30956"/>
    <w:rsid w:val="2CA528E3"/>
    <w:rsid w:val="2CA85296"/>
    <w:rsid w:val="2CBB46B5"/>
    <w:rsid w:val="2CBD7D14"/>
    <w:rsid w:val="2CCF04B2"/>
    <w:rsid w:val="2CD47553"/>
    <w:rsid w:val="2CF235FA"/>
    <w:rsid w:val="2CF4583C"/>
    <w:rsid w:val="2CFD6C66"/>
    <w:rsid w:val="2D097662"/>
    <w:rsid w:val="2D0E0BAB"/>
    <w:rsid w:val="2D17219F"/>
    <w:rsid w:val="2D173C07"/>
    <w:rsid w:val="2D175A47"/>
    <w:rsid w:val="2D18600E"/>
    <w:rsid w:val="2D202C25"/>
    <w:rsid w:val="2D2417C1"/>
    <w:rsid w:val="2D271494"/>
    <w:rsid w:val="2D2C7FCB"/>
    <w:rsid w:val="2D361AC0"/>
    <w:rsid w:val="2D380DD8"/>
    <w:rsid w:val="2D4744ED"/>
    <w:rsid w:val="2D7A0CE6"/>
    <w:rsid w:val="2D807DFD"/>
    <w:rsid w:val="2D86558F"/>
    <w:rsid w:val="2D9044A2"/>
    <w:rsid w:val="2DA91AF5"/>
    <w:rsid w:val="2DB94FB8"/>
    <w:rsid w:val="2DBB4E4C"/>
    <w:rsid w:val="2DBF3DA9"/>
    <w:rsid w:val="2DD07382"/>
    <w:rsid w:val="2DD93776"/>
    <w:rsid w:val="2DEA1AA1"/>
    <w:rsid w:val="2DED3D4F"/>
    <w:rsid w:val="2E0657A8"/>
    <w:rsid w:val="2E0C11E8"/>
    <w:rsid w:val="2E246FB8"/>
    <w:rsid w:val="2E253E0B"/>
    <w:rsid w:val="2E261D0E"/>
    <w:rsid w:val="2E3D3F83"/>
    <w:rsid w:val="2E4A115F"/>
    <w:rsid w:val="2E56640F"/>
    <w:rsid w:val="2E5D73CF"/>
    <w:rsid w:val="2E6526A9"/>
    <w:rsid w:val="2E67296D"/>
    <w:rsid w:val="2E751EAC"/>
    <w:rsid w:val="2E772B3A"/>
    <w:rsid w:val="2E7B0DB2"/>
    <w:rsid w:val="2E7C15AE"/>
    <w:rsid w:val="2E80101E"/>
    <w:rsid w:val="2E84264C"/>
    <w:rsid w:val="2E8C0FA8"/>
    <w:rsid w:val="2E8D22A0"/>
    <w:rsid w:val="2E98366D"/>
    <w:rsid w:val="2EA87E19"/>
    <w:rsid w:val="2EBE07DF"/>
    <w:rsid w:val="2ECE6548"/>
    <w:rsid w:val="2EE02336"/>
    <w:rsid w:val="2EF44200"/>
    <w:rsid w:val="2EFB570F"/>
    <w:rsid w:val="2F000197"/>
    <w:rsid w:val="2F083808"/>
    <w:rsid w:val="2F1704AF"/>
    <w:rsid w:val="2F2A7C22"/>
    <w:rsid w:val="2F2E6FE6"/>
    <w:rsid w:val="2F320885"/>
    <w:rsid w:val="2F333759"/>
    <w:rsid w:val="2F477003"/>
    <w:rsid w:val="2F487E7B"/>
    <w:rsid w:val="2F6A0D67"/>
    <w:rsid w:val="2F6D1C05"/>
    <w:rsid w:val="2F805A94"/>
    <w:rsid w:val="2FB24F03"/>
    <w:rsid w:val="2FBE28E6"/>
    <w:rsid w:val="2FD45EE1"/>
    <w:rsid w:val="2FD836F5"/>
    <w:rsid w:val="2FDE6441"/>
    <w:rsid w:val="30006C9E"/>
    <w:rsid w:val="30021CCD"/>
    <w:rsid w:val="3008000E"/>
    <w:rsid w:val="301440A4"/>
    <w:rsid w:val="3014442E"/>
    <w:rsid w:val="3015351D"/>
    <w:rsid w:val="30241CB9"/>
    <w:rsid w:val="303201B8"/>
    <w:rsid w:val="30416492"/>
    <w:rsid w:val="30610DAB"/>
    <w:rsid w:val="306B3A4D"/>
    <w:rsid w:val="306C393D"/>
    <w:rsid w:val="30747045"/>
    <w:rsid w:val="307C6734"/>
    <w:rsid w:val="30834489"/>
    <w:rsid w:val="30864293"/>
    <w:rsid w:val="308E66F4"/>
    <w:rsid w:val="30991634"/>
    <w:rsid w:val="30A64C0F"/>
    <w:rsid w:val="30B838E5"/>
    <w:rsid w:val="30BC0D4E"/>
    <w:rsid w:val="30BD1619"/>
    <w:rsid w:val="30D92FEC"/>
    <w:rsid w:val="30ED53AB"/>
    <w:rsid w:val="30ED7B4B"/>
    <w:rsid w:val="30F47947"/>
    <w:rsid w:val="31036B1D"/>
    <w:rsid w:val="31050064"/>
    <w:rsid w:val="31192BFA"/>
    <w:rsid w:val="311D1646"/>
    <w:rsid w:val="31444AF4"/>
    <w:rsid w:val="314744EF"/>
    <w:rsid w:val="3150491A"/>
    <w:rsid w:val="315414FD"/>
    <w:rsid w:val="3163566D"/>
    <w:rsid w:val="31740A71"/>
    <w:rsid w:val="317A53A8"/>
    <w:rsid w:val="318B33B6"/>
    <w:rsid w:val="319A726C"/>
    <w:rsid w:val="319E1DF4"/>
    <w:rsid w:val="31A17DF8"/>
    <w:rsid w:val="31AB2B70"/>
    <w:rsid w:val="31B001F6"/>
    <w:rsid w:val="31B2784E"/>
    <w:rsid w:val="31B4661E"/>
    <w:rsid w:val="31B67773"/>
    <w:rsid w:val="31D27480"/>
    <w:rsid w:val="31DF7927"/>
    <w:rsid w:val="31ED3B9D"/>
    <w:rsid w:val="31ED71F0"/>
    <w:rsid w:val="31FC147B"/>
    <w:rsid w:val="32052D4B"/>
    <w:rsid w:val="32061B91"/>
    <w:rsid w:val="320B59E4"/>
    <w:rsid w:val="32153829"/>
    <w:rsid w:val="321D101F"/>
    <w:rsid w:val="321E350E"/>
    <w:rsid w:val="32272EED"/>
    <w:rsid w:val="32287B80"/>
    <w:rsid w:val="32363CB2"/>
    <w:rsid w:val="323C1AE3"/>
    <w:rsid w:val="32504AC8"/>
    <w:rsid w:val="3254607F"/>
    <w:rsid w:val="32594268"/>
    <w:rsid w:val="325B0810"/>
    <w:rsid w:val="325B6344"/>
    <w:rsid w:val="32624A13"/>
    <w:rsid w:val="326979CB"/>
    <w:rsid w:val="326A4966"/>
    <w:rsid w:val="326D2393"/>
    <w:rsid w:val="32752290"/>
    <w:rsid w:val="329A6E6D"/>
    <w:rsid w:val="329C5424"/>
    <w:rsid w:val="32BD2D0B"/>
    <w:rsid w:val="32C25277"/>
    <w:rsid w:val="32C417C5"/>
    <w:rsid w:val="32C9075E"/>
    <w:rsid w:val="32DB1DF4"/>
    <w:rsid w:val="32E32E4B"/>
    <w:rsid w:val="32E44202"/>
    <w:rsid w:val="32E97489"/>
    <w:rsid w:val="32EB3F5A"/>
    <w:rsid w:val="32EC3D98"/>
    <w:rsid w:val="32F41DF8"/>
    <w:rsid w:val="32F81778"/>
    <w:rsid w:val="330D7FF0"/>
    <w:rsid w:val="331544AF"/>
    <w:rsid w:val="331A1F2F"/>
    <w:rsid w:val="3323670F"/>
    <w:rsid w:val="332B0AFE"/>
    <w:rsid w:val="334F56CA"/>
    <w:rsid w:val="335F00B6"/>
    <w:rsid w:val="336523F9"/>
    <w:rsid w:val="337828F2"/>
    <w:rsid w:val="337C6524"/>
    <w:rsid w:val="338E5764"/>
    <w:rsid w:val="33A47B1A"/>
    <w:rsid w:val="33AA5013"/>
    <w:rsid w:val="33AC0274"/>
    <w:rsid w:val="33B148A6"/>
    <w:rsid w:val="33B64277"/>
    <w:rsid w:val="33BF3B31"/>
    <w:rsid w:val="33D158C0"/>
    <w:rsid w:val="33D20D58"/>
    <w:rsid w:val="33D37F3D"/>
    <w:rsid w:val="33D40FCA"/>
    <w:rsid w:val="33E13178"/>
    <w:rsid w:val="33F842B3"/>
    <w:rsid w:val="34017ED3"/>
    <w:rsid w:val="340D3FED"/>
    <w:rsid w:val="340E6E43"/>
    <w:rsid w:val="34142C4F"/>
    <w:rsid w:val="341D189C"/>
    <w:rsid w:val="3434509F"/>
    <w:rsid w:val="34481F5E"/>
    <w:rsid w:val="34536D08"/>
    <w:rsid w:val="346040E6"/>
    <w:rsid w:val="34683799"/>
    <w:rsid w:val="346E2F65"/>
    <w:rsid w:val="34722D99"/>
    <w:rsid w:val="3475396F"/>
    <w:rsid w:val="34844022"/>
    <w:rsid w:val="34870110"/>
    <w:rsid w:val="349853FF"/>
    <w:rsid w:val="34A54FF1"/>
    <w:rsid w:val="34AC534F"/>
    <w:rsid w:val="34B32468"/>
    <w:rsid w:val="34C42040"/>
    <w:rsid w:val="34D05400"/>
    <w:rsid w:val="34D80120"/>
    <w:rsid w:val="34D83C7C"/>
    <w:rsid w:val="34E61D44"/>
    <w:rsid w:val="34F37911"/>
    <w:rsid w:val="35067908"/>
    <w:rsid w:val="350A2B1E"/>
    <w:rsid w:val="350C08BE"/>
    <w:rsid w:val="351948E5"/>
    <w:rsid w:val="351E048B"/>
    <w:rsid w:val="352358DC"/>
    <w:rsid w:val="354E7685"/>
    <w:rsid w:val="356804D8"/>
    <w:rsid w:val="357A1BBA"/>
    <w:rsid w:val="357B19A4"/>
    <w:rsid w:val="358D2CB9"/>
    <w:rsid w:val="35973DF6"/>
    <w:rsid w:val="359E0601"/>
    <w:rsid w:val="35A25D24"/>
    <w:rsid w:val="35C652A3"/>
    <w:rsid w:val="35D50D51"/>
    <w:rsid w:val="35E94C78"/>
    <w:rsid w:val="35F36723"/>
    <w:rsid w:val="35FA5CAD"/>
    <w:rsid w:val="36056323"/>
    <w:rsid w:val="360A7D81"/>
    <w:rsid w:val="36191067"/>
    <w:rsid w:val="36223259"/>
    <w:rsid w:val="362F3A74"/>
    <w:rsid w:val="36543C17"/>
    <w:rsid w:val="36556ADB"/>
    <w:rsid w:val="36681135"/>
    <w:rsid w:val="3672559D"/>
    <w:rsid w:val="367756EB"/>
    <w:rsid w:val="368A62AC"/>
    <w:rsid w:val="36907D19"/>
    <w:rsid w:val="36B31352"/>
    <w:rsid w:val="36BD442F"/>
    <w:rsid w:val="36D27A70"/>
    <w:rsid w:val="36DB2BB9"/>
    <w:rsid w:val="37221E9A"/>
    <w:rsid w:val="372955E9"/>
    <w:rsid w:val="372C319C"/>
    <w:rsid w:val="372D4F66"/>
    <w:rsid w:val="374309BB"/>
    <w:rsid w:val="374C3195"/>
    <w:rsid w:val="375909AC"/>
    <w:rsid w:val="375A59F8"/>
    <w:rsid w:val="376679EE"/>
    <w:rsid w:val="37674F60"/>
    <w:rsid w:val="377B7EDC"/>
    <w:rsid w:val="377C3ECB"/>
    <w:rsid w:val="377D0DE1"/>
    <w:rsid w:val="3784725B"/>
    <w:rsid w:val="3787568B"/>
    <w:rsid w:val="37C17049"/>
    <w:rsid w:val="37CE19BF"/>
    <w:rsid w:val="37E67063"/>
    <w:rsid w:val="38185828"/>
    <w:rsid w:val="381F54C3"/>
    <w:rsid w:val="383D2BEB"/>
    <w:rsid w:val="384E5875"/>
    <w:rsid w:val="3850089A"/>
    <w:rsid w:val="38567A25"/>
    <w:rsid w:val="386C414F"/>
    <w:rsid w:val="386D0B7F"/>
    <w:rsid w:val="387169A3"/>
    <w:rsid w:val="387D4F4A"/>
    <w:rsid w:val="388176C5"/>
    <w:rsid w:val="3894622B"/>
    <w:rsid w:val="38A0587E"/>
    <w:rsid w:val="38AA544C"/>
    <w:rsid w:val="38BD3037"/>
    <w:rsid w:val="38BF4E36"/>
    <w:rsid w:val="38D01112"/>
    <w:rsid w:val="38D328E4"/>
    <w:rsid w:val="38D94467"/>
    <w:rsid w:val="38D9744D"/>
    <w:rsid w:val="38DC2EE8"/>
    <w:rsid w:val="38EC22C0"/>
    <w:rsid w:val="38F44DFD"/>
    <w:rsid w:val="38F50BB0"/>
    <w:rsid w:val="390A63CE"/>
    <w:rsid w:val="390D05A1"/>
    <w:rsid w:val="391726D1"/>
    <w:rsid w:val="392B3DF9"/>
    <w:rsid w:val="393578EF"/>
    <w:rsid w:val="39574BC0"/>
    <w:rsid w:val="395C48F0"/>
    <w:rsid w:val="395D0BF4"/>
    <w:rsid w:val="3964610A"/>
    <w:rsid w:val="396C04F2"/>
    <w:rsid w:val="396D55F7"/>
    <w:rsid w:val="39840A65"/>
    <w:rsid w:val="399F30A0"/>
    <w:rsid w:val="39B33CF8"/>
    <w:rsid w:val="39D07243"/>
    <w:rsid w:val="39E64392"/>
    <w:rsid w:val="39EC1291"/>
    <w:rsid w:val="39ED7C07"/>
    <w:rsid w:val="39FE165A"/>
    <w:rsid w:val="3A0D33E1"/>
    <w:rsid w:val="3A1D4425"/>
    <w:rsid w:val="3A2404D7"/>
    <w:rsid w:val="3A285511"/>
    <w:rsid w:val="3A2F07E2"/>
    <w:rsid w:val="3A342C47"/>
    <w:rsid w:val="3A35277D"/>
    <w:rsid w:val="3A3B1CF2"/>
    <w:rsid w:val="3A3D063A"/>
    <w:rsid w:val="3A431C35"/>
    <w:rsid w:val="3A461688"/>
    <w:rsid w:val="3A4A73CA"/>
    <w:rsid w:val="3A5632EE"/>
    <w:rsid w:val="3A5D7DC9"/>
    <w:rsid w:val="3A606BEE"/>
    <w:rsid w:val="3A6853C7"/>
    <w:rsid w:val="3A745C62"/>
    <w:rsid w:val="3A77442C"/>
    <w:rsid w:val="3A781D0E"/>
    <w:rsid w:val="3A893B30"/>
    <w:rsid w:val="3AAE4628"/>
    <w:rsid w:val="3AAF2386"/>
    <w:rsid w:val="3ABA7710"/>
    <w:rsid w:val="3ABC078C"/>
    <w:rsid w:val="3AC76698"/>
    <w:rsid w:val="3AEF0371"/>
    <w:rsid w:val="3AF455B0"/>
    <w:rsid w:val="3AF50414"/>
    <w:rsid w:val="3AFC6E57"/>
    <w:rsid w:val="3AFE35CF"/>
    <w:rsid w:val="3B0F3A36"/>
    <w:rsid w:val="3B163750"/>
    <w:rsid w:val="3B251017"/>
    <w:rsid w:val="3B2958BE"/>
    <w:rsid w:val="3B2C3370"/>
    <w:rsid w:val="3B462BF9"/>
    <w:rsid w:val="3B4F5C63"/>
    <w:rsid w:val="3B543D4D"/>
    <w:rsid w:val="3B547717"/>
    <w:rsid w:val="3B567820"/>
    <w:rsid w:val="3B572AFC"/>
    <w:rsid w:val="3B6B6844"/>
    <w:rsid w:val="3B6C297A"/>
    <w:rsid w:val="3B7C6206"/>
    <w:rsid w:val="3B8263EE"/>
    <w:rsid w:val="3B9D432D"/>
    <w:rsid w:val="3BBA01EB"/>
    <w:rsid w:val="3BC13C92"/>
    <w:rsid w:val="3BC60CD2"/>
    <w:rsid w:val="3BE236DE"/>
    <w:rsid w:val="3BE43358"/>
    <w:rsid w:val="3BE46009"/>
    <w:rsid w:val="3C095063"/>
    <w:rsid w:val="3C1D7D4D"/>
    <w:rsid w:val="3C1F2BFB"/>
    <w:rsid w:val="3C257BA1"/>
    <w:rsid w:val="3C2F3253"/>
    <w:rsid w:val="3C3F0FD8"/>
    <w:rsid w:val="3C492848"/>
    <w:rsid w:val="3C4E1CF2"/>
    <w:rsid w:val="3C67285C"/>
    <w:rsid w:val="3C6A2EEF"/>
    <w:rsid w:val="3C6E403E"/>
    <w:rsid w:val="3C762246"/>
    <w:rsid w:val="3CA60E9D"/>
    <w:rsid w:val="3CAA3895"/>
    <w:rsid w:val="3CBD2815"/>
    <w:rsid w:val="3CBE3A21"/>
    <w:rsid w:val="3CD20737"/>
    <w:rsid w:val="3CFC621C"/>
    <w:rsid w:val="3CFF3AC4"/>
    <w:rsid w:val="3D02400E"/>
    <w:rsid w:val="3D0E3B21"/>
    <w:rsid w:val="3D197BB5"/>
    <w:rsid w:val="3D1F4F02"/>
    <w:rsid w:val="3D294FD4"/>
    <w:rsid w:val="3D551549"/>
    <w:rsid w:val="3D5B18EE"/>
    <w:rsid w:val="3D5F13DF"/>
    <w:rsid w:val="3D6B27EF"/>
    <w:rsid w:val="3D736D63"/>
    <w:rsid w:val="3DC772B9"/>
    <w:rsid w:val="3DDC3A87"/>
    <w:rsid w:val="3DF44966"/>
    <w:rsid w:val="3E030016"/>
    <w:rsid w:val="3E065707"/>
    <w:rsid w:val="3E0A124F"/>
    <w:rsid w:val="3E1219F1"/>
    <w:rsid w:val="3E282E3A"/>
    <w:rsid w:val="3E3A5AE0"/>
    <w:rsid w:val="3E3E00DD"/>
    <w:rsid w:val="3E4C4B0E"/>
    <w:rsid w:val="3E50174F"/>
    <w:rsid w:val="3E5A3259"/>
    <w:rsid w:val="3E5C0316"/>
    <w:rsid w:val="3E6B6BFE"/>
    <w:rsid w:val="3E6E3E90"/>
    <w:rsid w:val="3E862568"/>
    <w:rsid w:val="3E873AB3"/>
    <w:rsid w:val="3E9C1322"/>
    <w:rsid w:val="3EC05BD5"/>
    <w:rsid w:val="3EC42C39"/>
    <w:rsid w:val="3EEF26F1"/>
    <w:rsid w:val="3F0709CF"/>
    <w:rsid w:val="3F155425"/>
    <w:rsid w:val="3F1855D9"/>
    <w:rsid w:val="3F1C6078"/>
    <w:rsid w:val="3F3D012F"/>
    <w:rsid w:val="3F486FD4"/>
    <w:rsid w:val="3F4C690D"/>
    <w:rsid w:val="3F5121A6"/>
    <w:rsid w:val="3F584337"/>
    <w:rsid w:val="3F7349CA"/>
    <w:rsid w:val="3F906E4B"/>
    <w:rsid w:val="3FA4757D"/>
    <w:rsid w:val="3FCD4934"/>
    <w:rsid w:val="3FE32673"/>
    <w:rsid w:val="3FE361D0"/>
    <w:rsid w:val="3FE73AD8"/>
    <w:rsid w:val="3FE756BB"/>
    <w:rsid w:val="3FED2DDB"/>
    <w:rsid w:val="3FF32608"/>
    <w:rsid w:val="3FF40A7F"/>
    <w:rsid w:val="3FF6563C"/>
    <w:rsid w:val="3FF65832"/>
    <w:rsid w:val="3FFB5841"/>
    <w:rsid w:val="400B33AE"/>
    <w:rsid w:val="4012396E"/>
    <w:rsid w:val="401C1A53"/>
    <w:rsid w:val="402E4650"/>
    <w:rsid w:val="403B3CFB"/>
    <w:rsid w:val="403D755F"/>
    <w:rsid w:val="403E42C4"/>
    <w:rsid w:val="406411B9"/>
    <w:rsid w:val="40743C2F"/>
    <w:rsid w:val="40835E93"/>
    <w:rsid w:val="40A77BE8"/>
    <w:rsid w:val="40E36109"/>
    <w:rsid w:val="40E40065"/>
    <w:rsid w:val="40E83499"/>
    <w:rsid w:val="41190079"/>
    <w:rsid w:val="411E780E"/>
    <w:rsid w:val="412165CA"/>
    <w:rsid w:val="412600C3"/>
    <w:rsid w:val="41326F3F"/>
    <w:rsid w:val="413275CF"/>
    <w:rsid w:val="414C44CB"/>
    <w:rsid w:val="41577BC8"/>
    <w:rsid w:val="416C412F"/>
    <w:rsid w:val="416D7B42"/>
    <w:rsid w:val="41712F9A"/>
    <w:rsid w:val="41732898"/>
    <w:rsid w:val="417D6F99"/>
    <w:rsid w:val="41822A20"/>
    <w:rsid w:val="41860C99"/>
    <w:rsid w:val="418F04C5"/>
    <w:rsid w:val="41A36C7A"/>
    <w:rsid w:val="41A628BB"/>
    <w:rsid w:val="41A94BE2"/>
    <w:rsid w:val="41B95694"/>
    <w:rsid w:val="41BA1C65"/>
    <w:rsid w:val="41CE08E1"/>
    <w:rsid w:val="41D01F06"/>
    <w:rsid w:val="41E81277"/>
    <w:rsid w:val="41E9571B"/>
    <w:rsid w:val="41EA6CFB"/>
    <w:rsid w:val="420348A2"/>
    <w:rsid w:val="42070365"/>
    <w:rsid w:val="420E47DF"/>
    <w:rsid w:val="421C7275"/>
    <w:rsid w:val="421E283A"/>
    <w:rsid w:val="421E44F4"/>
    <w:rsid w:val="42395247"/>
    <w:rsid w:val="424B6411"/>
    <w:rsid w:val="424F7440"/>
    <w:rsid w:val="425176DC"/>
    <w:rsid w:val="42557B31"/>
    <w:rsid w:val="42580B73"/>
    <w:rsid w:val="425B5FCD"/>
    <w:rsid w:val="425C3DBA"/>
    <w:rsid w:val="425C6EAE"/>
    <w:rsid w:val="42656816"/>
    <w:rsid w:val="428C0CFF"/>
    <w:rsid w:val="42994780"/>
    <w:rsid w:val="429A1DCC"/>
    <w:rsid w:val="429A6E42"/>
    <w:rsid w:val="42A258CA"/>
    <w:rsid w:val="42AB03C4"/>
    <w:rsid w:val="42AD6748"/>
    <w:rsid w:val="42B6230E"/>
    <w:rsid w:val="42BD02CF"/>
    <w:rsid w:val="42EB28F5"/>
    <w:rsid w:val="42EB7271"/>
    <w:rsid w:val="42FA6800"/>
    <w:rsid w:val="42FF3120"/>
    <w:rsid w:val="43077BF5"/>
    <w:rsid w:val="43086074"/>
    <w:rsid w:val="430A7D4C"/>
    <w:rsid w:val="4320610A"/>
    <w:rsid w:val="43280ACE"/>
    <w:rsid w:val="432A10C9"/>
    <w:rsid w:val="4342053A"/>
    <w:rsid w:val="434F0845"/>
    <w:rsid w:val="43607AA0"/>
    <w:rsid w:val="437A49AC"/>
    <w:rsid w:val="437A7D8C"/>
    <w:rsid w:val="43821B7C"/>
    <w:rsid w:val="43843600"/>
    <w:rsid w:val="439763D1"/>
    <w:rsid w:val="439B1BD6"/>
    <w:rsid w:val="43A00044"/>
    <w:rsid w:val="43A152E1"/>
    <w:rsid w:val="43AC6A00"/>
    <w:rsid w:val="43B527EA"/>
    <w:rsid w:val="43CD2DF2"/>
    <w:rsid w:val="43F46FFC"/>
    <w:rsid w:val="43F9776B"/>
    <w:rsid w:val="440D4FF6"/>
    <w:rsid w:val="441550E8"/>
    <w:rsid w:val="44220E7C"/>
    <w:rsid w:val="442719E2"/>
    <w:rsid w:val="442D3C97"/>
    <w:rsid w:val="44305883"/>
    <w:rsid w:val="4432571E"/>
    <w:rsid w:val="44450152"/>
    <w:rsid w:val="445760A9"/>
    <w:rsid w:val="445E078E"/>
    <w:rsid w:val="44641580"/>
    <w:rsid w:val="44811BF6"/>
    <w:rsid w:val="44841371"/>
    <w:rsid w:val="4487554F"/>
    <w:rsid w:val="44896CFB"/>
    <w:rsid w:val="448F752A"/>
    <w:rsid w:val="44924DA7"/>
    <w:rsid w:val="449B7D57"/>
    <w:rsid w:val="44AA1C0A"/>
    <w:rsid w:val="44B27A36"/>
    <w:rsid w:val="44B553B7"/>
    <w:rsid w:val="44D73F50"/>
    <w:rsid w:val="44D87F96"/>
    <w:rsid w:val="44F43588"/>
    <w:rsid w:val="450D45D2"/>
    <w:rsid w:val="45143FE1"/>
    <w:rsid w:val="451A4F5C"/>
    <w:rsid w:val="451E1B7F"/>
    <w:rsid w:val="45237196"/>
    <w:rsid w:val="452B5505"/>
    <w:rsid w:val="45311038"/>
    <w:rsid w:val="45451E05"/>
    <w:rsid w:val="45501DCD"/>
    <w:rsid w:val="455A2B65"/>
    <w:rsid w:val="456D7390"/>
    <w:rsid w:val="45783434"/>
    <w:rsid w:val="45857378"/>
    <w:rsid w:val="45B93656"/>
    <w:rsid w:val="45CB3C1A"/>
    <w:rsid w:val="45E92A8C"/>
    <w:rsid w:val="45F823D0"/>
    <w:rsid w:val="45FC4A4F"/>
    <w:rsid w:val="460250F4"/>
    <w:rsid w:val="46133B1F"/>
    <w:rsid w:val="46176FF5"/>
    <w:rsid w:val="463112A1"/>
    <w:rsid w:val="46591650"/>
    <w:rsid w:val="465E3AC4"/>
    <w:rsid w:val="466C3F07"/>
    <w:rsid w:val="46803289"/>
    <w:rsid w:val="46945C37"/>
    <w:rsid w:val="46A63E69"/>
    <w:rsid w:val="46C44AED"/>
    <w:rsid w:val="46C87FF5"/>
    <w:rsid w:val="46CC3BF2"/>
    <w:rsid w:val="46CE5E75"/>
    <w:rsid w:val="46D24C32"/>
    <w:rsid w:val="46D549D6"/>
    <w:rsid w:val="46EC64E9"/>
    <w:rsid w:val="46ED7A5B"/>
    <w:rsid w:val="46F23865"/>
    <w:rsid w:val="470C2E09"/>
    <w:rsid w:val="4750541F"/>
    <w:rsid w:val="476451F1"/>
    <w:rsid w:val="47795A16"/>
    <w:rsid w:val="477D2FA6"/>
    <w:rsid w:val="478111A9"/>
    <w:rsid w:val="47854BA2"/>
    <w:rsid w:val="479C383A"/>
    <w:rsid w:val="47C572D2"/>
    <w:rsid w:val="47DE6A2D"/>
    <w:rsid w:val="47E648DB"/>
    <w:rsid w:val="47EC090B"/>
    <w:rsid w:val="47EC5231"/>
    <w:rsid w:val="480D5AB8"/>
    <w:rsid w:val="480E0138"/>
    <w:rsid w:val="483139AC"/>
    <w:rsid w:val="483A7445"/>
    <w:rsid w:val="484B5F3E"/>
    <w:rsid w:val="48503561"/>
    <w:rsid w:val="48584BA1"/>
    <w:rsid w:val="485A1BA7"/>
    <w:rsid w:val="48636F40"/>
    <w:rsid w:val="487F189B"/>
    <w:rsid w:val="48906B10"/>
    <w:rsid w:val="48A44ECA"/>
    <w:rsid w:val="48AE0380"/>
    <w:rsid w:val="48B74986"/>
    <w:rsid w:val="48B873E7"/>
    <w:rsid w:val="48DA7B6B"/>
    <w:rsid w:val="48F216A5"/>
    <w:rsid w:val="490C3672"/>
    <w:rsid w:val="490E1F0B"/>
    <w:rsid w:val="49241182"/>
    <w:rsid w:val="493B5162"/>
    <w:rsid w:val="4943641F"/>
    <w:rsid w:val="494C6DFB"/>
    <w:rsid w:val="494D1569"/>
    <w:rsid w:val="495A0CAC"/>
    <w:rsid w:val="4983508B"/>
    <w:rsid w:val="498740A2"/>
    <w:rsid w:val="4996235C"/>
    <w:rsid w:val="499D0F1C"/>
    <w:rsid w:val="49A57222"/>
    <w:rsid w:val="49A809E1"/>
    <w:rsid w:val="49AB78D4"/>
    <w:rsid w:val="49B358F7"/>
    <w:rsid w:val="49C151E6"/>
    <w:rsid w:val="49C168C7"/>
    <w:rsid w:val="49D7606E"/>
    <w:rsid w:val="49ED18AF"/>
    <w:rsid w:val="4A034234"/>
    <w:rsid w:val="4A0C7D5B"/>
    <w:rsid w:val="4A0D2C2D"/>
    <w:rsid w:val="4A1E5F6B"/>
    <w:rsid w:val="4A241124"/>
    <w:rsid w:val="4A2F5158"/>
    <w:rsid w:val="4A4000B3"/>
    <w:rsid w:val="4A5A0321"/>
    <w:rsid w:val="4A6C1445"/>
    <w:rsid w:val="4A6C563D"/>
    <w:rsid w:val="4A6F0787"/>
    <w:rsid w:val="4A767BAB"/>
    <w:rsid w:val="4A7853B9"/>
    <w:rsid w:val="4A8B0C8E"/>
    <w:rsid w:val="4A8F7847"/>
    <w:rsid w:val="4A9075D7"/>
    <w:rsid w:val="4A987CDE"/>
    <w:rsid w:val="4A9D70A2"/>
    <w:rsid w:val="4AA20D18"/>
    <w:rsid w:val="4AB13F10"/>
    <w:rsid w:val="4AB2268C"/>
    <w:rsid w:val="4AB60E99"/>
    <w:rsid w:val="4ABB488B"/>
    <w:rsid w:val="4AC42881"/>
    <w:rsid w:val="4ADC3C3A"/>
    <w:rsid w:val="4AE419C4"/>
    <w:rsid w:val="4AEE43B0"/>
    <w:rsid w:val="4AF22287"/>
    <w:rsid w:val="4B003F17"/>
    <w:rsid w:val="4B042693"/>
    <w:rsid w:val="4B0F758D"/>
    <w:rsid w:val="4B181824"/>
    <w:rsid w:val="4B251502"/>
    <w:rsid w:val="4B2940EF"/>
    <w:rsid w:val="4B2A14C4"/>
    <w:rsid w:val="4B2B7E32"/>
    <w:rsid w:val="4B346979"/>
    <w:rsid w:val="4B600314"/>
    <w:rsid w:val="4B653894"/>
    <w:rsid w:val="4B6A027E"/>
    <w:rsid w:val="4B6A51C8"/>
    <w:rsid w:val="4B720D1F"/>
    <w:rsid w:val="4B7C488D"/>
    <w:rsid w:val="4B877734"/>
    <w:rsid w:val="4B8849F7"/>
    <w:rsid w:val="4BA25FB0"/>
    <w:rsid w:val="4BB52B54"/>
    <w:rsid w:val="4BB9178E"/>
    <w:rsid w:val="4BC148B0"/>
    <w:rsid w:val="4BC61928"/>
    <w:rsid w:val="4BD3449D"/>
    <w:rsid w:val="4BD56694"/>
    <w:rsid w:val="4BE66C5C"/>
    <w:rsid w:val="4BF61160"/>
    <w:rsid w:val="4C0475C6"/>
    <w:rsid w:val="4C075C03"/>
    <w:rsid w:val="4C1F2BC2"/>
    <w:rsid w:val="4C2A2BB8"/>
    <w:rsid w:val="4C2E66D4"/>
    <w:rsid w:val="4C3561D9"/>
    <w:rsid w:val="4C4A7F2C"/>
    <w:rsid w:val="4C4B6478"/>
    <w:rsid w:val="4C5C53A5"/>
    <w:rsid w:val="4C6073EB"/>
    <w:rsid w:val="4C772E46"/>
    <w:rsid w:val="4C787DC7"/>
    <w:rsid w:val="4C7A4D8F"/>
    <w:rsid w:val="4C7C6940"/>
    <w:rsid w:val="4C7F5ABB"/>
    <w:rsid w:val="4C820910"/>
    <w:rsid w:val="4C923322"/>
    <w:rsid w:val="4C973B41"/>
    <w:rsid w:val="4CA83983"/>
    <w:rsid w:val="4CB64CC6"/>
    <w:rsid w:val="4CBE0AB6"/>
    <w:rsid w:val="4CC0351C"/>
    <w:rsid w:val="4CC248BC"/>
    <w:rsid w:val="4CC72AFC"/>
    <w:rsid w:val="4CD0188E"/>
    <w:rsid w:val="4CE03208"/>
    <w:rsid w:val="4CF27851"/>
    <w:rsid w:val="4D0B58DC"/>
    <w:rsid w:val="4D202CAD"/>
    <w:rsid w:val="4D227D33"/>
    <w:rsid w:val="4D2A111B"/>
    <w:rsid w:val="4D2C0721"/>
    <w:rsid w:val="4D347246"/>
    <w:rsid w:val="4D4238CC"/>
    <w:rsid w:val="4D4D1E00"/>
    <w:rsid w:val="4D583754"/>
    <w:rsid w:val="4D5B11C3"/>
    <w:rsid w:val="4D8B7087"/>
    <w:rsid w:val="4D935EF6"/>
    <w:rsid w:val="4D991938"/>
    <w:rsid w:val="4D994499"/>
    <w:rsid w:val="4D9F3679"/>
    <w:rsid w:val="4DA41FFF"/>
    <w:rsid w:val="4DA90E86"/>
    <w:rsid w:val="4DB04403"/>
    <w:rsid w:val="4DB52C95"/>
    <w:rsid w:val="4DB539B8"/>
    <w:rsid w:val="4DB928D3"/>
    <w:rsid w:val="4DC5393C"/>
    <w:rsid w:val="4DC64B62"/>
    <w:rsid w:val="4DD159FA"/>
    <w:rsid w:val="4DE71CD4"/>
    <w:rsid w:val="4DEE0BC0"/>
    <w:rsid w:val="4DF34FC7"/>
    <w:rsid w:val="4DFE20BC"/>
    <w:rsid w:val="4E061236"/>
    <w:rsid w:val="4E0B6A19"/>
    <w:rsid w:val="4E12250E"/>
    <w:rsid w:val="4E13390E"/>
    <w:rsid w:val="4E252216"/>
    <w:rsid w:val="4E261E39"/>
    <w:rsid w:val="4E2D798E"/>
    <w:rsid w:val="4E303F60"/>
    <w:rsid w:val="4E487F82"/>
    <w:rsid w:val="4E5B5D72"/>
    <w:rsid w:val="4E661607"/>
    <w:rsid w:val="4E6E7536"/>
    <w:rsid w:val="4E797764"/>
    <w:rsid w:val="4E837930"/>
    <w:rsid w:val="4E872466"/>
    <w:rsid w:val="4E9B1B9C"/>
    <w:rsid w:val="4EA026A4"/>
    <w:rsid w:val="4EA41FCE"/>
    <w:rsid w:val="4EB46120"/>
    <w:rsid w:val="4EB60AC7"/>
    <w:rsid w:val="4EC63853"/>
    <w:rsid w:val="4ECA4BD3"/>
    <w:rsid w:val="4ED81DCC"/>
    <w:rsid w:val="4EE23C1E"/>
    <w:rsid w:val="4EEA49EE"/>
    <w:rsid w:val="4EFF0BA7"/>
    <w:rsid w:val="4F181C83"/>
    <w:rsid w:val="4F1B1A9B"/>
    <w:rsid w:val="4F2C4E99"/>
    <w:rsid w:val="4F3930C1"/>
    <w:rsid w:val="4F440F80"/>
    <w:rsid w:val="4F500A8E"/>
    <w:rsid w:val="4F5D19D3"/>
    <w:rsid w:val="4F6A3CC7"/>
    <w:rsid w:val="4F6A776F"/>
    <w:rsid w:val="4F6B4B63"/>
    <w:rsid w:val="4F7D47B6"/>
    <w:rsid w:val="4F892E78"/>
    <w:rsid w:val="4F9A349C"/>
    <w:rsid w:val="4F9D5C1A"/>
    <w:rsid w:val="4FAB0B6E"/>
    <w:rsid w:val="4FB85BAA"/>
    <w:rsid w:val="4FBE3141"/>
    <w:rsid w:val="4FD72953"/>
    <w:rsid w:val="4FDA66A3"/>
    <w:rsid w:val="4FDF015D"/>
    <w:rsid w:val="50044B0C"/>
    <w:rsid w:val="5007020E"/>
    <w:rsid w:val="50100316"/>
    <w:rsid w:val="5023254C"/>
    <w:rsid w:val="504D6505"/>
    <w:rsid w:val="505017E5"/>
    <w:rsid w:val="505E4442"/>
    <w:rsid w:val="507D1C6A"/>
    <w:rsid w:val="50854860"/>
    <w:rsid w:val="509A21D9"/>
    <w:rsid w:val="509A4E37"/>
    <w:rsid w:val="50A524AB"/>
    <w:rsid w:val="50AE50FD"/>
    <w:rsid w:val="50BC3BFE"/>
    <w:rsid w:val="50BE2864"/>
    <w:rsid w:val="50BF16B8"/>
    <w:rsid w:val="50C45CB2"/>
    <w:rsid w:val="50C926E5"/>
    <w:rsid w:val="50D514A0"/>
    <w:rsid w:val="50DB4F93"/>
    <w:rsid w:val="50DC33FB"/>
    <w:rsid w:val="50DF429E"/>
    <w:rsid w:val="50E74CB5"/>
    <w:rsid w:val="50EA561A"/>
    <w:rsid w:val="50EB3D0E"/>
    <w:rsid w:val="50EF4B73"/>
    <w:rsid w:val="511C421F"/>
    <w:rsid w:val="511D163F"/>
    <w:rsid w:val="5120766A"/>
    <w:rsid w:val="513021C5"/>
    <w:rsid w:val="51327A4F"/>
    <w:rsid w:val="5136326D"/>
    <w:rsid w:val="513D15DF"/>
    <w:rsid w:val="5180409A"/>
    <w:rsid w:val="51813C24"/>
    <w:rsid w:val="5182766F"/>
    <w:rsid w:val="51836CB2"/>
    <w:rsid w:val="518B246C"/>
    <w:rsid w:val="51AB241A"/>
    <w:rsid w:val="51B45C54"/>
    <w:rsid w:val="51BE30D9"/>
    <w:rsid w:val="51C42E00"/>
    <w:rsid w:val="51D05FAF"/>
    <w:rsid w:val="51D76AA5"/>
    <w:rsid w:val="51E1554A"/>
    <w:rsid w:val="51E25EDD"/>
    <w:rsid w:val="51E65C94"/>
    <w:rsid w:val="51F2334E"/>
    <w:rsid w:val="521A121E"/>
    <w:rsid w:val="522400A9"/>
    <w:rsid w:val="5224454D"/>
    <w:rsid w:val="52532208"/>
    <w:rsid w:val="52614E59"/>
    <w:rsid w:val="52643179"/>
    <w:rsid w:val="527959D7"/>
    <w:rsid w:val="52980E9C"/>
    <w:rsid w:val="52A71F29"/>
    <w:rsid w:val="52A73A14"/>
    <w:rsid w:val="52B10802"/>
    <w:rsid w:val="52CD15D1"/>
    <w:rsid w:val="52E01B54"/>
    <w:rsid w:val="52E01B8C"/>
    <w:rsid w:val="52E5263E"/>
    <w:rsid w:val="52E64F13"/>
    <w:rsid w:val="52EA4E4F"/>
    <w:rsid w:val="52EC34A3"/>
    <w:rsid w:val="52EF06B7"/>
    <w:rsid w:val="5306340C"/>
    <w:rsid w:val="530E63CF"/>
    <w:rsid w:val="53105918"/>
    <w:rsid w:val="531620E8"/>
    <w:rsid w:val="531D3C2E"/>
    <w:rsid w:val="531F6D51"/>
    <w:rsid w:val="532574A8"/>
    <w:rsid w:val="53290E40"/>
    <w:rsid w:val="533D3818"/>
    <w:rsid w:val="534079AF"/>
    <w:rsid w:val="534419C3"/>
    <w:rsid w:val="53476D02"/>
    <w:rsid w:val="53482A54"/>
    <w:rsid w:val="534908AC"/>
    <w:rsid w:val="534A6A87"/>
    <w:rsid w:val="536174AC"/>
    <w:rsid w:val="536B5DC4"/>
    <w:rsid w:val="53907F8B"/>
    <w:rsid w:val="53A878C8"/>
    <w:rsid w:val="53B21D4C"/>
    <w:rsid w:val="53C17C7A"/>
    <w:rsid w:val="53C50672"/>
    <w:rsid w:val="53CD7CD2"/>
    <w:rsid w:val="53D5465E"/>
    <w:rsid w:val="53E2507A"/>
    <w:rsid w:val="53EE6B16"/>
    <w:rsid w:val="54010677"/>
    <w:rsid w:val="5416572D"/>
    <w:rsid w:val="541A5C08"/>
    <w:rsid w:val="541C1CEE"/>
    <w:rsid w:val="54217DA0"/>
    <w:rsid w:val="543D71A1"/>
    <w:rsid w:val="54422A68"/>
    <w:rsid w:val="54484893"/>
    <w:rsid w:val="544A604F"/>
    <w:rsid w:val="545033D7"/>
    <w:rsid w:val="546E12C1"/>
    <w:rsid w:val="54705395"/>
    <w:rsid w:val="54722B7A"/>
    <w:rsid w:val="548C2372"/>
    <w:rsid w:val="548D3AA9"/>
    <w:rsid w:val="54A14178"/>
    <w:rsid w:val="54C12C6E"/>
    <w:rsid w:val="54C72CDF"/>
    <w:rsid w:val="54DC6468"/>
    <w:rsid w:val="54DC71CD"/>
    <w:rsid w:val="54E7211F"/>
    <w:rsid w:val="54EB0EB9"/>
    <w:rsid w:val="54F10959"/>
    <w:rsid w:val="54F568B8"/>
    <w:rsid w:val="54F774D3"/>
    <w:rsid w:val="550D1BFF"/>
    <w:rsid w:val="551929A0"/>
    <w:rsid w:val="55195EBF"/>
    <w:rsid w:val="553B48DA"/>
    <w:rsid w:val="553C6E48"/>
    <w:rsid w:val="55420FE4"/>
    <w:rsid w:val="5543561E"/>
    <w:rsid w:val="55576C7D"/>
    <w:rsid w:val="55580900"/>
    <w:rsid w:val="55632A07"/>
    <w:rsid w:val="556C5AC4"/>
    <w:rsid w:val="55764667"/>
    <w:rsid w:val="5591185C"/>
    <w:rsid w:val="55927F4A"/>
    <w:rsid w:val="55941C35"/>
    <w:rsid w:val="55A547A9"/>
    <w:rsid w:val="55A94B7D"/>
    <w:rsid w:val="55BE7F85"/>
    <w:rsid w:val="55D903A7"/>
    <w:rsid w:val="55EE07D2"/>
    <w:rsid w:val="55EF3DB3"/>
    <w:rsid w:val="560001DD"/>
    <w:rsid w:val="560403F4"/>
    <w:rsid w:val="56050ADF"/>
    <w:rsid w:val="56094016"/>
    <w:rsid w:val="560D64C1"/>
    <w:rsid w:val="562C1FA2"/>
    <w:rsid w:val="5633031C"/>
    <w:rsid w:val="56535125"/>
    <w:rsid w:val="5658074D"/>
    <w:rsid w:val="566F1DEC"/>
    <w:rsid w:val="567B4D02"/>
    <w:rsid w:val="56841F5C"/>
    <w:rsid w:val="5686792A"/>
    <w:rsid w:val="569B0A1E"/>
    <w:rsid w:val="569B2844"/>
    <w:rsid w:val="56AA7E40"/>
    <w:rsid w:val="56BC6B02"/>
    <w:rsid w:val="56C14945"/>
    <w:rsid w:val="56D70F61"/>
    <w:rsid w:val="56E72986"/>
    <w:rsid w:val="56F06A47"/>
    <w:rsid w:val="56F13DAB"/>
    <w:rsid w:val="56F51310"/>
    <w:rsid w:val="56FE35BF"/>
    <w:rsid w:val="57037506"/>
    <w:rsid w:val="57266BFB"/>
    <w:rsid w:val="57283155"/>
    <w:rsid w:val="572E514A"/>
    <w:rsid w:val="572F1EA4"/>
    <w:rsid w:val="573334AC"/>
    <w:rsid w:val="57350051"/>
    <w:rsid w:val="573E0456"/>
    <w:rsid w:val="57444BB0"/>
    <w:rsid w:val="574532C8"/>
    <w:rsid w:val="57454D4A"/>
    <w:rsid w:val="57541431"/>
    <w:rsid w:val="576A01EF"/>
    <w:rsid w:val="576A47B0"/>
    <w:rsid w:val="576C5FD7"/>
    <w:rsid w:val="57741544"/>
    <w:rsid w:val="57832C40"/>
    <w:rsid w:val="57852C9F"/>
    <w:rsid w:val="579B0BC9"/>
    <w:rsid w:val="57A96A78"/>
    <w:rsid w:val="57B01610"/>
    <w:rsid w:val="57B123DF"/>
    <w:rsid w:val="57B5525F"/>
    <w:rsid w:val="57D921BB"/>
    <w:rsid w:val="57DA2E75"/>
    <w:rsid w:val="57DB0E4A"/>
    <w:rsid w:val="57DC63A2"/>
    <w:rsid w:val="57E83927"/>
    <w:rsid w:val="57EE4085"/>
    <w:rsid w:val="57F178E2"/>
    <w:rsid w:val="580E0441"/>
    <w:rsid w:val="581B6A1D"/>
    <w:rsid w:val="5822508B"/>
    <w:rsid w:val="58247CF3"/>
    <w:rsid w:val="585600BE"/>
    <w:rsid w:val="586C32FD"/>
    <w:rsid w:val="587825C3"/>
    <w:rsid w:val="587D3583"/>
    <w:rsid w:val="58834988"/>
    <w:rsid w:val="588673C8"/>
    <w:rsid w:val="588B2DFC"/>
    <w:rsid w:val="589D1E9C"/>
    <w:rsid w:val="58AF1500"/>
    <w:rsid w:val="58B435B9"/>
    <w:rsid w:val="58B45590"/>
    <w:rsid w:val="58B50AC3"/>
    <w:rsid w:val="58B558E3"/>
    <w:rsid w:val="58DD4EB3"/>
    <w:rsid w:val="58EE2027"/>
    <w:rsid w:val="5901414A"/>
    <w:rsid w:val="59080B3C"/>
    <w:rsid w:val="5918259E"/>
    <w:rsid w:val="591846FB"/>
    <w:rsid w:val="5922383E"/>
    <w:rsid w:val="59232842"/>
    <w:rsid w:val="5926565A"/>
    <w:rsid w:val="593B60AA"/>
    <w:rsid w:val="59564C0D"/>
    <w:rsid w:val="59595D2A"/>
    <w:rsid w:val="59616B10"/>
    <w:rsid w:val="59682444"/>
    <w:rsid w:val="596C68E5"/>
    <w:rsid w:val="597868C2"/>
    <w:rsid w:val="59985966"/>
    <w:rsid w:val="599F33EF"/>
    <w:rsid w:val="59AA1518"/>
    <w:rsid w:val="59B2596F"/>
    <w:rsid w:val="59BB5797"/>
    <w:rsid w:val="59C34471"/>
    <w:rsid w:val="59D20856"/>
    <w:rsid w:val="59D840C1"/>
    <w:rsid w:val="59DC0F71"/>
    <w:rsid w:val="59DC7129"/>
    <w:rsid w:val="59F25A71"/>
    <w:rsid w:val="59F71085"/>
    <w:rsid w:val="5A007FC9"/>
    <w:rsid w:val="5A061DB8"/>
    <w:rsid w:val="5A0C073C"/>
    <w:rsid w:val="5A115ED1"/>
    <w:rsid w:val="5A247938"/>
    <w:rsid w:val="5A28132D"/>
    <w:rsid w:val="5A4C4E80"/>
    <w:rsid w:val="5A5D5A42"/>
    <w:rsid w:val="5A6529A8"/>
    <w:rsid w:val="5A7920D8"/>
    <w:rsid w:val="5A801DA0"/>
    <w:rsid w:val="5A863F1D"/>
    <w:rsid w:val="5A944992"/>
    <w:rsid w:val="5AA83A7A"/>
    <w:rsid w:val="5AB37B07"/>
    <w:rsid w:val="5AB908D4"/>
    <w:rsid w:val="5ABE5DDA"/>
    <w:rsid w:val="5ACA34D0"/>
    <w:rsid w:val="5AD55868"/>
    <w:rsid w:val="5ADA7015"/>
    <w:rsid w:val="5ADD430A"/>
    <w:rsid w:val="5ADE4C04"/>
    <w:rsid w:val="5AE539AA"/>
    <w:rsid w:val="5AE549B6"/>
    <w:rsid w:val="5AE60B2D"/>
    <w:rsid w:val="5AEA4D34"/>
    <w:rsid w:val="5AED7BD2"/>
    <w:rsid w:val="5AFA4724"/>
    <w:rsid w:val="5AFC6D35"/>
    <w:rsid w:val="5B025D5C"/>
    <w:rsid w:val="5B100FE8"/>
    <w:rsid w:val="5B1677A6"/>
    <w:rsid w:val="5B1A6EEC"/>
    <w:rsid w:val="5B244340"/>
    <w:rsid w:val="5B30538B"/>
    <w:rsid w:val="5B423B22"/>
    <w:rsid w:val="5B5F5692"/>
    <w:rsid w:val="5B813358"/>
    <w:rsid w:val="5B927678"/>
    <w:rsid w:val="5B9F3195"/>
    <w:rsid w:val="5BA1276A"/>
    <w:rsid w:val="5BB350D3"/>
    <w:rsid w:val="5BCA0671"/>
    <w:rsid w:val="5BCB07B9"/>
    <w:rsid w:val="5BD5060D"/>
    <w:rsid w:val="5C277B30"/>
    <w:rsid w:val="5C3339DD"/>
    <w:rsid w:val="5C652D4F"/>
    <w:rsid w:val="5C692DFB"/>
    <w:rsid w:val="5C7C0323"/>
    <w:rsid w:val="5C7E07EA"/>
    <w:rsid w:val="5C8320E4"/>
    <w:rsid w:val="5C8852BB"/>
    <w:rsid w:val="5C9D7A7A"/>
    <w:rsid w:val="5CA00900"/>
    <w:rsid w:val="5CA93FCD"/>
    <w:rsid w:val="5CAE4CEF"/>
    <w:rsid w:val="5CBF2F1B"/>
    <w:rsid w:val="5CC13E28"/>
    <w:rsid w:val="5CDE1CC1"/>
    <w:rsid w:val="5CE2128D"/>
    <w:rsid w:val="5CE26B1F"/>
    <w:rsid w:val="5CF42506"/>
    <w:rsid w:val="5CF85BE6"/>
    <w:rsid w:val="5CFD5D49"/>
    <w:rsid w:val="5D063C0F"/>
    <w:rsid w:val="5D0C5002"/>
    <w:rsid w:val="5D105083"/>
    <w:rsid w:val="5D133F5E"/>
    <w:rsid w:val="5D156F6C"/>
    <w:rsid w:val="5D3E2967"/>
    <w:rsid w:val="5D437CB5"/>
    <w:rsid w:val="5D454D39"/>
    <w:rsid w:val="5D4B0BE0"/>
    <w:rsid w:val="5D4C6A24"/>
    <w:rsid w:val="5D5C3A10"/>
    <w:rsid w:val="5D6056A3"/>
    <w:rsid w:val="5D665A1A"/>
    <w:rsid w:val="5D681E2B"/>
    <w:rsid w:val="5D9D1CB8"/>
    <w:rsid w:val="5DC9521E"/>
    <w:rsid w:val="5DCF35BF"/>
    <w:rsid w:val="5DD21B0F"/>
    <w:rsid w:val="5DE019B7"/>
    <w:rsid w:val="5DE465A7"/>
    <w:rsid w:val="5DEF4196"/>
    <w:rsid w:val="5DF71A7D"/>
    <w:rsid w:val="5E0F4D4B"/>
    <w:rsid w:val="5E1C432A"/>
    <w:rsid w:val="5E3B5434"/>
    <w:rsid w:val="5E3D420D"/>
    <w:rsid w:val="5E471144"/>
    <w:rsid w:val="5E60690D"/>
    <w:rsid w:val="5E783C56"/>
    <w:rsid w:val="5E7D5156"/>
    <w:rsid w:val="5E844D55"/>
    <w:rsid w:val="5E9159B0"/>
    <w:rsid w:val="5ECB1D84"/>
    <w:rsid w:val="5ECE157C"/>
    <w:rsid w:val="5ED779D7"/>
    <w:rsid w:val="5EE56C2D"/>
    <w:rsid w:val="5EEE5A3C"/>
    <w:rsid w:val="5EFE1852"/>
    <w:rsid w:val="5F17503A"/>
    <w:rsid w:val="5F2B3792"/>
    <w:rsid w:val="5F357D7B"/>
    <w:rsid w:val="5F383FC8"/>
    <w:rsid w:val="5F42093F"/>
    <w:rsid w:val="5F521C60"/>
    <w:rsid w:val="5F552269"/>
    <w:rsid w:val="5F5652DD"/>
    <w:rsid w:val="5F5E0E54"/>
    <w:rsid w:val="5F7535C7"/>
    <w:rsid w:val="5F894234"/>
    <w:rsid w:val="5F903222"/>
    <w:rsid w:val="5FA356F6"/>
    <w:rsid w:val="5FA5345F"/>
    <w:rsid w:val="5FA628C6"/>
    <w:rsid w:val="5FBD5D3B"/>
    <w:rsid w:val="5FC714A3"/>
    <w:rsid w:val="5FCF5BFD"/>
    <w:rsid w:val="5FD66302"/>
    <w:rsid w:val="5FDE5D3B"/>
    <w:rsid w:val="5FDE73BF"/>
    <w:rsid w:val="5FE64E7D"/>
    <w:rsid w:val="5FF53622"/>
    <w:rsid w:val="5FFA441C"/>
    <w:rsid w:val="600159C2"/>
    <w:rsid w:val="600648EE"/>
    <w:rsid w:val="601047C4"/>
    <w:rsid w:val="60216709"/>
    <w:rsid w:val="60381E9F"/>
    <w:rsid w:val="60416E8C"/>
    <w:rsid w:val="604B5101"/>
    <w:rsid w:val="604F6C5D"/>
    <w:rsid w:val="606A75CF"/>
    <w:rsid w:val="606B02D9"/>
    <w:rsid w:val="606C1831"/>
    <w:rsid w:val="60727485"/>
    <w:rsid w:val="60856E73"/>
    <w:rsid w:val="60964052"/>
    <w:rsid w:val="609E130C"/>
    <w:rsid w:val="60A35EE8"/>
    <w:rsid w:val="60AF0445"/>
    <w:rsid w:val="60B544BC"/>
    <w:rsid w:val="60B72CDB"/>
    <w:rsid w:val="60CF5C87"/>
    <w:rsid w:val="60D80DEB"/>
    <w:rsid w:val="60DB4382"/>
    <w:rsid w:val="60DF1D6B"/>
    <w:rsid w:val="61140169"/>
    <w:rsid w:val="611C11BC"/>
    <w:rsid w:val="611D39BB"/>
    <w:rsid w:val="612507BA"/>
    <w:rsid w:val="612B536C"/>
    <w:rsid w:val="612B61A3"/>
    <w:rsid w:val="613308F5"/>
    <w:rsid w:val="6142444A"/>
    <w:rsid w:val="61474CB9"/>
    <w:rsid w:val="615C63B0"/>
    <w:rsid w:val="615F17FF"/>
    <w:rsid w:val="61617E42"/>
    <w:rsid w:val="616552DD"/>
    <w:rsid w:val="61770BCF"/>
    <w:rsid w:val="61795EDC"/>
    <w:rsid w:val="618127D9"/>
    <w:rsid w:val="6198128F"/>
    <w:rsid w:val="61A0578B"/>
    <w:rsid w:val="61A129F7"/>
    <w:rsid w:val="61B7023A"/>
    <w:rsid w:val="61BC0D8B"/>
    <w:rsid w:val="61C422C8"/>
    <w:rsid w:val="61CD1AB7"/>
    <w:rsid w:val="61D70C94"/>
    <w:rsid w:val="61E42010"/>
    <w:rsid w:val="61E525A6"/>
    <w:rsid w:val="61FE6804"/>
    <w:rsid w:val="62036E28"/>
    <w:rsid w:val="62226AB8"/>
    <w:rsid w:val="62424F5C"/>
    <w:rsid w:val="624932D1"/>
    <w:rsid w:val="62520AAE"/>
    <w:rsid w:val="62535A1A"/>
    <w:rsid w:val="625433CF"/>
    <w:rsid w:val="626F5572"/>
    <w:rsid w:val="62791F17"/>
    <w:rsid w:val="627B51F9"/>
    <w:rsid w:val="628F6062"/>
    <w:rsid w:val="629348FB"/>
    <w:rsid w:val="62A57F72"/>
    <w:rsid w:val="62AD2620"/>
    <w:rsid w:val="62B461AD"/>
    <w:rsid w:val="62B66AFB"/>
    <w:rsid w:val="62C1790A"/>
    <w:rsid w:val="62C25FF3"/>
    <w:rsid w:val="62C5329C"/>
    <w:rsid w:val="62CB1751"/>
    <w:rsid w:val="62CB35BF"/>
    <w:rsid w:val="62E36E6D"/>
    <w:rsid w:val="62EE7583"/>
    <w:rsid w:val="63087FC2"/>
    <w:rsid w:val="63115637"/>
    <w:rsid w:val="63124547"/>
    <w:rsid w:val="63173685"/>
    <w:rsid w:val="63177443"/>
    <w:rsid w:val="631A319B"/>
    <w:rsid w:val="631A352E"/>
    <w:rsid w:val="634E10A9"/>
    <w:rsid w:val="63610B77"/>
    <w:rsid w:val="636A45CE"/>
    <w:rsid w:val="636E62C8"/>
    <w:rsid w:val="63B601E3"/>
    <w:rsid w:val="63CC7A19"/>
    <w:rsid w:val="63D9397B"/>
    <w:rsid w:val="63FA6ABD"/>
    <w:rsid w:val="64145435"/>
    <w:rsid w:val="641B4B2B"/>
    <w:rsid w:val="64283A29"/>
    <w:rsid w:val="642C1870"/>
    <w:rsid w:val="643159E5"/>
    <w:rsid w:val="64441B82"/>
    <w:rsid w:val="64445E97"/>
    <w:rsid w:val="64471DB5"/>
    <w:rsid w:val="645102A7"/>
    <w:rsid w:val="64513ED4"/>
    <w:rsid w:val="64591EA1"/>
    <w:rsid w:val="646961C6"/>
    <w:rsid w:val="646E78D8"/>
    <w:rsid w:val="64763432"/>
    <w:rsid w:val="648C1AF2"/>
    <w:rsid w:val="64960891"/>
    <w:rsid w:val="64980247"/>
    <w:rsid w:val="64A2021B"/>
    <w:rsid w:val="64C25F72"/>
    <w:rsid w:val="64C465A4"/>
    <w:rsid w:val="64C816F1"/>
    <w:rsid w:val="64CA5274"/>
    <w:rsid w:val="64DD7581"/>
    <w:rsid w:val="64DE2012"/>
    <w:rsid w:val="6509385A"/>
    <w:rsid w:val="650A1380"/>
    <w:rsid w:val="651144BD"/>
    <w:rsid w:val="6521589F"/>
    <w:rsid w:val="65242DAF"/>
    <w:rsid w:val="65246F9E"/>
    <w:rsid w:val="65366BBA"/>
    <w:rsid w:val="653E61D3"/>
    <w:rsid w:val="65466A80"/>
    <w:rsid w:val="65483659"/>
    <w:rsid w:val="654F1F0D"/>
    <w:rsid w:val="65530BB8"/>
    <w:rsid w:val="657C3F50"/>
    <w:rsid w:val="658156F8"/>
    <w:rsid w:val="65951811"/>
    <w:rsid w:val="659D21F5"/>
    <w:rsid w:val="65A172A0"/>
    <w:rsid w:val="65A34851"/>
    <w:rsid w:val="65A73937"/>
    <w:rsid w:val="65A82ABD"/>
    <w:rsid w:val="65AA135E"/>
    <w:rsid w:val="65B80FE8"/>
    <w:rsid w:val="65B9763E"/>
    <w:rsid w:val="65BB7186"/>
    <w:rsid w:val="65D11E9E"/>
    <w:rsid w:val="65DA292A"/>
    <w:rsid w:val="65DC6686"/>
    <w:rsid w:val="65E676F8"/>
    <w:rsid w:val="65F72C0B"/>
    <w:rsid w:val="6602597D"/>
    <w:rsid w:val="66044022"/>
    <w:rsid w:val="66291442"/>
    <w:rsid w:val="663C2E09"/>
    <w:rsid w:val="664B5439"/>
    <w:rsid w:val="667170EA"/>
    <w:rsid w:val="6687361A"/>
    <w:rsid w:val="668E1FBE"/>
    <w:rsid w:val="669A41C4"/>
    <w:rsid w:val="66A1445D"/>
    <w:rsid w:val="66A952F2"/>
    <w:rsid w:val="66CC6ABC"/>
    <w:rsid w:val="66CF0385"/>
    <w:rsid w:val="66DE0D17"/>
    <w:rsid w:val="670A6088"/>
    <w:rsid w:val="670B7901"/>
    <w:rsid w:val="671463DB"/>
    <w:rsid w:val="67161624"/>
    <w:rsid w:val="67195A90"/>
    <w:rsid w:val="671C1627"/>
    <w:rsid w:val="67230A4F"/>
    <w:rsid w:val="6723158E"/>
    <w:rsid w:val="67252DF1"/>
    <w:rsid w:val="67284FC8"/>
    <w:rsid w:val="672C6957"/>
    <w:rsid w:val="673E2874"/>
    <w:rsid w:val="67467DE1"/>
    <w:rsid w:val="675062FF"/>
    <w:rsid w:val="675265E4"/>
    <w:rsid w:val="675E6122"/>
    <w:rsid w:val="676029FF"/>
    <w:rsid w:val="676B4AD5"/>
    <w:rsid w:val="676C6322"/>
    <w:rsid w:val="676F196F"/>
    <w:rsid w:val="67712A9D"/>
    <w:rsid w:val="67762F18"/>
    <w:rsid w:val="67835B30"/>
    <w:rsid w:val="678371C8"/>
    <w:rsid w:val="678D142E"/>
    <w:rsid w:val="67921BBD"/>
    <w:rsid w:val="67C577E1"/>
    <w:rsid w:val="67C57E67"/>
    <w:rsid w:val="67E92D4F"/>
    <w:rsid w:val="67EB6BC4"/>
    <w:rsid w:val="67F450A0"/>
    <w:rsid w:val="67FF1B4B"/>
    <w:rsid w:val="680254F4"/>
    <w:rsid w:val="68080747"/>
    <w:rsid w:val="680C3FD1"/>
    <w:rsid w:val="680F708F"/>
    <w:rsid w:val="681708B9"/>
    <w:rsid w:val="682159FB"/>
    <w:rsid w:val="68282A97"/>
    <w:rsid w:val="68503944"/>
    <w:rsid w:val="6864524C"/>
    <w:rsid w:val="68694610"/>
    <w:rsid w:val="686E62F9"/>
    <w:rsid w:val="68781AE2"/>
    <w:rsid w:val="6883338F"/>
    <w:rsid w:val="688B28A7"/>
    <w:rsid w:val="688F19B6"/>
    <w:rsid w:val="689E219A"/>
    <w:rsid w:val="68B17681"/>
    <w:rsid w:val="68B52E6B"/>
    <w:rsid w:val="68CA3301"/>
    <w:rsid w:val="68F02EE7"/>
    <w:rsid w:val="68F106C2"/>
    <w:rsid w:val="69015F94"/>
    <w:rsid w:val="69083E29"/>
    <w:rsid w:val="690B41A6"/>
    <w:rsid w:val="690C4D72"/>
    <w:rsid w:val="696F15A9"/>
    <w:rsid w:val="697D2468"/>
    <w:rsid w:val="69855479"/>
    <w:rsid w:val="69895568"/>
    <w:rsid w:val="698F33C5"/>
    <w:rsid w:val="69C22911"/>
    <w:rsid w:val="69D3205D"/>
    <w:rsid w:val="69D664CD"/>
    <w:rsid w:val="69DE5947"/>
    <w:rsid w:val="69E46D19"/>
    <w:rsid w:val="69E624C1"/>
    <w:rsid w:val="69F03E09"/>
    <w:rsid w:val="69F1003D"/>
    <w:rsid w:val="6A01531E"/>
    <w:rsid w:val="6A0C42C9"/>
    <w:rsid w:val="6A502AF9"/>
    <w:rsid w:val="6A527A52"/>
    <w:rsid w:val="6A531FC9"/>
    <w:rsid w:val="6A5850ED"/>
    <w:rsid w:val="6A6E725A"/>
    <w:rsid w:val="6A976278"/>
    <w:rsid w:val="6AA6164F"/>
    <w:rsid w:val="6AAB3E09"/>
    <w:rsid w:val="6AB26742"/>
    <w:rsid w:val="6AD05C51"/>
    <w:rsid w:val="6AD13FA2"/>
    <w:rsid w:val="6AD420EE"/>
    <w:rsid w:val="6AF705A4"/>
    <w:rsid w:val="6AFC24E4"/>
    <w:rsid w:val="6B067045"/>
    <w:rsid w:val="6B0A0260"/>
    <w:rsid w:val="6B254524"/>
    <w:rsid w:val="6B4155CC"/>
    <w:rsid w:val="6B5E3D9E"/>
    <w:rsid w:val="6B62302D"/>
    <w:rsid w:val="6B786386"/>
    <w:rsid w:val="6BA325D3"/>
    <w:rsid w:val="6BBD539F"/>
    <w:rsid w:val="6BC45B5B"/>
    <w:rsid w:val="6BCB523D"/>
    <w:rsid w:val="6BCE3782"/>
    <w:rsid w:val="6BD34359"/>
    <w:rsid w:val="6BD86408"/>
    <w:rsid w:val="6BDE0817"/>
    <w:rsid w:val="6C117498"/>
    <w:rsid w:val="6C1A634D"/>
    <w:rsid w:val="6C1F48EA"/>
    <w:rsid w:val="6C213531"/>
    <w:rsid w:val="6C290BE5"/>
    <w:rsid w:val="6C4755B5"/>
    <w:rsid w:val="6C485021"/>
    <w:rsid w:val="6C545752"/>
    <w:rsid w:val="6C5555D7"/>
    <w:rsid w:val="6C600E73"/>
    <w:rsid w:val="6C6F124E"/>
    <w:rsid w:val="6C847C6A"/>
    <w:rsid w:val="6C8D7985"/>
    <w:rsid w:val="6C9222F1"/>
    <w:rsid w:val="6CBB5C40"/>
    <w:rsid w:val="6CBD6329"/>
    <w:rsid w:val="6CCA6B95"/>
    <w:rsid w:val="6CD93D16"/>
    <w:rsid w:val="6CE6676D"/>
    <w:rsid w:val="6CF3253E"/>
    <w:rsid w:val="6CF86FC2"/>
    <w:rsid w:val="6D0C5172"/>
    <w:rsid w:val="6D0E2A37"/>
    <w:rsid w:val="6D1B19C3"/>
    <w:rsid w:val="6D1F5B6A"/>
    <w:rsid w:val="6D371181"/>
    <w:rsid w:val="6D571EF1"/>
    <w:rsid w:val="6D5F3715"/>
    <w:rsid w:val="6D8D60DA"/>
    <w:rsid w:val="6D8F2465"/>
    <w:rsid w:val="6DB150D8"/>
    <w:rsid w:val="6DD32C57"/>
    <w:rsid w:val="6DD71F00"/>
    <w:rsid w:val="6DDD2361"/>
    <w:rsid w:val="6DF22170"/>
    <w:rsid w:val="6DFB4F9E"/>
    <w:rsid w:val="6DFE66EE"/>
    <w:rsid w:val="6E0B682D"/>
    <w:rsid w:val="6E1405F0"/>
    <w:rsid w:val="6E2434B3"/>
    <w:rsid w:val="6E25015A"/>
    <w:rsid w:val="6E2561D5"/>
    <w:rsid w:val="6E4113DB"/>
    <w:rsid w:val="6E42656A"/>
    <w:rsid w:val="6E49729F"/>
    <w:rsid w:val="6E590BFB"/>
    <w:rsid w:val="6E623FDB"/>
    <w:rsid w:val="6E7D7592"/>
    <w:rsid w:val="6E82143B"/>
    <w:rsid w:val="6E8F685A"/>
    <w:rsid w:val="6E9E6C4E"/>
    <w:rsid w:val="6EA27A4F"/>
    <w:rsid w:val="6EA33880"/>
    <w:rsid w:val="6EAA2FD1"/>
    <w:rsid w:val="6EB466C7"/>
    <w:rsid w:val="6EB8054A"/>
    <w:rsid w:val="6EC67E1E"/>
    <w:rsid w:val="6ED022D0"/>
    <w:rsid w:val="6ED15B19"/>
    <w:rsid w:val="6EE14D69"/>
    <w:rsid w:val="6EEB6DB6"/>
    <w:rsid w:val="6EF7795F"/>
    <w:rsid w:val="6EF90976"/>
    <w:rsid w:val="6F201503"/>
    <w:rsid w:val="6F292ADB"/>
    <w:rsid w:val="6F3123FF"/>
    <w:rsid w:val="6F3B084B"/>
    <w:rsid w:val="6F420B98"/>
    <w:rsid w:val="6F4255E5"/>
    <w:rsid w:val="6F4E0E08"/>
    <w:rsid w:val="6F552484"/>
    <w:rsid w:val="6F590F9A"/>
    <w:rsid w:val="6F6E56EE"/>
    <w:rsid w:val="6F742686"/>
    <w:rsid w:val="6F8112BF"/>
    <w:rsid w:val="6F8142E8"/>
    <w:rsid w:val="6F822CAA"/>
    <w:rsid w:val="6F942142"/>
    <w:rsid w:val="6F9A3F5D"/>
    <w:rsid w:val="6FB203E3"/>
    <w:rsid w:val="6FC17B07"/>
    <w:rsid w:val="6FD62EAD"/>
    <w:rsid w:val="6FDD7D5D"/>
    <w:rsid w:val="6FE31A98"/>
    <w:rsid w:val="6FE42FF4"/>
    <w:rsid w:val="6FE56CCD"/>
    <w:rsid w:val="6FEC2350"/>
    <w:rsid w:val="6FFA07CD"/>
    <w:rsid w:val="6FFB7674"/>
    <w:rsid w:val="70004226"/>
    <w:rsid w:val="700F65B1"/>
    <w:rsid w:val="70185601"/>
    <w:rsid w:val="701A7EED"/>
    <w:rsid w:val="701B6B38"/>
    <w:rsid w:val="701C726D"/>
    <w:rsid w:val="702C5745"/>
    <w:rsid w:val="703D1A66"/>
    <w:rsid w:val="704C0A9F"/>
    <w:rsid w:val="704C496B"/>
    <w:rsid w:val="704E60CB"/>
    <w:rsid w:val="706252BB"/>
    <w:rsid w:val="70651263"/>
    <w:rsid w:val="706B6064"/>
    <w:rsid w:val="706E1E73"/>
    <w:rsid w:val="70710797"/>
    <w:rsid w:val="70797034"/>
    <w:rsid w:val="708E362C"/>
    <w:rsid w:val="70934920"/>
    <w:rsid w:val="709B47C5"/>
    <w:rsid w:val="70A115BB"/>
    <w:rsid w:val="70A21A80"/>
    <w:rsid w:val="70AF7167"/>
    <w:rsid w:val="70B11E33"/>
    <w:rsid w:val="70B675DD"/>
    <w:rsid w:val="70C46777"/>
    <w:rsid w:val="70EC6AAA"/>
    <w:rsid w:val="70EE256C"/>
    <w:rsid w:val="70F40C0D"/>
    <w:rsid w:val="71031E16"/>
    <w:rsid w:val="71092E34"/>
    <w:rsid w:val="710E0482"/>
    <w:rsid w:val="71123A97"/>
    <w:rsid w:val="7122081F"/>
    <w:rsid w:val="7125466D"/>
    <w:rsid w:val="712A510B"/>
    <w:rsid w:val="71341C5F"/>
    <w:rsid w:val="71392364"/>
    <w:rsid w:val="713A12C1"/>
    <w:rsid w:val="714640A3"/>
    <w:rsid w:val="714C7D9F"/>
    <w:rsid w:val="71534870"/>
    <w:rsid w:val="716100AF"/>
    <w:rsid w:val="7161042E"/>
    <w:rsid w:val="716E7508"/>
    <w:rsid w:val="71762335"/>
    <w:rsid w:val="717A2908"/>
    <w:rsid w:val="717C0B98"/>
    <w:rsid w:val="718D50B2"/>
    <w:rsid w:val="71A57C2C"/>
    <w:rsid w:val="71AA058E"/>
    <w:rsid w:val="71AA6B8E"/>
    <w:rsid w:val="71BA3C77"/>
    <w:rsid w:val="71BB2380"/>
    <w:rsid w:val="71BD454A"/>
    <w:rsid w:val="71BF78E4"/>
    <w:rsid w:val="71DB5236"/>
    <w:rsid w:val="71E071B7"/>
    <w:rsid w:val="71EB28C6"/>
    <w:rsid w:val="71EB3256"/>
    <w:rsid w:val="71F65AD4"/>
    <w:rsid w:val="71F97F09"/>
    <w:rsid w:val="71FB318C"/>
    <w:rsid w:val="72347956"/>
    <w:rsid w:val="7236407E"/>
    <w:rsid w:val="724E4AFF"/>
    <w:rsid w:val="72540163"/>
    <w:rsid w:val="72597081"/>
    <w:rsid w:val="72663411"/>
    <w:rsid w:val="726E7171"/>
    <w:rsid w:val="727A3C4F"/>
    <w:rsid w:val="727A7B45"/>
    <w:rsid w:val="728602FC"/>
    <w:rsid w:val="728E37CE"/>
    <w:rsid w:val="7299672B"/>
    <w:rsid w:val="72A11576"/>
    <w:rsid w:val="72A2187E"/>
    <w:rsid w:val="72A6078D"/>
    <w:rsid w:val="72A74770"/>
    <w:rsid w:val="72AB217A"/>
    <w:rsid w:val="72B633EE"/>
    <w:rsid w:val="72C76B03"/>
    <w:rsid w:val="72D869DA"/>
    <w:rsid w:val="72D903DE"/>
    <w:rsid w:val="72D908F5"/>
    <w:rsid w:val="72DA150A"/>
    <w:rsid w:val="72DB0748"/>
    <w:rsid w:val="72DE70C1"/>
    <w:rsid w:val="72E11B04"/>
    <w:rsid w:val="72E125C3"/>
    <w:rsid w:val="730206BF"/>
    <w:rsid w:val="730E495C"/>
    <w:rsid w:val="731246FA"/>
    <w:rsid w:val="731E7FAE"/>
    <w:rsid w:val="73267420"/>
    <w:rsid w:val="733D0A01"/>
    <w:rsid w:val="73423B21"/>
    <w:rsid w:val="73467A28"/>
    <w:rsid w:val="73532145"/>
    <w:rsid w:val="735D64C7"/>
    <w:rsid w:val="73630278"/>
    <w:rsid w:val="73706FEC"/>
    <w:rsid w:val="7379604F"/>
    <w:rsid w:val="7384123C"/>
    <w:rsid w:val="738B7B30"/>
    <w:rsid w:val="73994BA5"/>
    <w:rsid w:val="73A548CD"/>
    <w:rsid w:val="73AE6778"/>
    <w:rsid w:val="73BB5AAB"/>
    <w:rsid w:val="73BF4F98"/>
    <w:rsid w:val="73BF5752"/>
    <w:rsid w:val="73C237CC"/>
    <w:rsid w:val="73CB6C54"/>
    <w:rsid w:val="73D12316"/>
    <w:rsid w:val="73E00E62"/>
    <w:rsid w:val="73E82648"/>
    <w:rsid w:val="7410076D"/>
    <w:rsid w:val="741471DB"/>
    <w:rsid w:val="74331D80"/>
    <w:rsid w:val="744301AD"/>
    <w:rsid w:val="7482737C"/>
    <w:rsid w:val="74B32897"/>
    <w:rsid w:val="74B44378"/>
    <w:rsid w:val="74B84955"/>
    <w:rsid w:val="74BE1905"/>
    <w:rsid w:val="74CC21AE"/>
    <w:rsid w:val="74D32DDC"/>
    <w:rsid w:val="74E36979"/>
    <w:rsid w:val="74E521FD"/>
    <w:rsid w:val="74EE5ACA"/>
    <w:rsid w:val="75196266"/>
    <w:rsid w:val="751D6B13"/>
    <w:rsid w:val="752514B2"/>
    <w:rsid w:val="752A71AE"/>
    <w:rsid w:val="7540263A"/>
    <w:rsid w:val="754522EE"/>
    <w:rsid w:val="75480ED2"/>
    <w:rsid w:val="75647EFD"/>
    <w:rsid w:val="756F20FA"/>
    <w:rsid w:val="756F6066"/>
    <w:rsid w:val="757C677D"/>
    <w:rsid w:val="758317AD"/>
    <w:rsid w:val="75837AB8"/>
    <w:rsid w:val="758A098D"/>
    <w:rsid w:val="758A319A"/>
    <w:rsid w:val="759438F6"/>
    <w:rsid w:val="75A54C36"/>
    <w:rsid w:val="75BC2223"/>
    <w:rsid w:val="75D6166F"/>
    <w:rsid w:val="75DC697D"/>
    <w:rsid w:val="75E07011"/>
    <w:rsid w:val="75E27BAA"/>
    <w:rsid w:val="75E9235A"/>
    <w:rsid w:val="75F5118C"/>
    <w:rsid w:val="75FE5368"/>
    <w:rsid w:val="75FF6F29"/>
    <w:rsid w:val="76065B94"/>
    <w:rsid w:val="7610431D"/>
    <w:rsid w:val="761402B1"/>
    <w:rsid w:val="761B1298"/>
    <w:rsid w:val="761E3068"/>
    <w:rsid w:val="762A2C8E"/>
    <w:rsid w:val="76392BDB"/>
    <w:rsid w:val="763A3641"/>
    <w:rsid w:val="764A16E1"/>
    <w:rsid w:val="7664687E"/>
    <w:rsid w:val="767A4C44"/>
    <w:rsid w:val="768676A8"/>
    <w:rsid w:val="76937428"/>
    <w:rsid w:val="769E4D37"/>
    <w:rsid w:val="769F2009"/>
    <w:rsid w:val="76A20275"/>
    <w:rsid w:val="76AA0ABE"/>
    <w:rsid w:val="76AA52BD"/>
    <w:rsid w:val="76C45833"/>
    <w:rsid w:val="76CD6578"/>
    <w:rsid w:val="76DB5DA8"/>
    <w:rsid w:val="76F3420D"/>
    <w:rsid w:val="76FC556F"/>
    <w:rsid w:val="770519A8"/>
    <w:rsid w:val="770E7677"/>
    <w:rsid w:val="773E1D44"/>
    <w:rsid w:val="7760701D"/>
    <w:rsid w:val="77636498"/>
    <w:rsid w:val="77731AA5"/>
    <w:rsid w:val="7797523E"/>
    <w:rsid w:val="779C70B1"/>
    <w:rsid w:val="779D1A7D"/>
    <w:rsid w:val="77A952F9"/>
    <w:rsid w:val="77A962C9"/>
    <w:rsid w:val="77B70EF4"/>
    <w:rsid w:val="77C35AEB"/>
    <w:rsid w:val="77D65415"/>
    <w:rsid w:val="77DF17FF"/>
    <w:rsid w:val="77EC2028"/>
    <w:rsid w:val="781B5F00"/>
    <w:rsid w:val="782E021C"/>
    <w:rsid w:val="78312F3D"/>
    <w:rsid w:val="7840538D"/>
    <w:rsid w:val="784B203D"/>
    <w:rsid w:val="784F36DC"/>
    <w:rsid w:val="787240BE"/>
    <w:rsid w:val="788944C1"/>
    <w:rsid w:val="78A709A4"/>
    <w:rsid w:val="78DB6E64"/>
    <w:rsid w:val="78E24251"/>
    <w:rsid w:val="78F14F60"/>
    <w:rsid w:val="78FF3F8C"/>
    <w:rsid w:val="79134EC5"/>
    <w:rsid w:val="79292867"/>
    <w:rsid w:val="792A1421"/>
    <w:rsid w:val="793E06DC"/>
    <w:rsid w:val="794C346C"/>
    <w:rsid w:val="794C7C76"/>
    <w:rsid w:val="796A08F9"/>
    <w:rsid w:val="797562A8"/>
    <w:rsid w:val="79962FF4"/>
    <w:rsid w:val="79982722"/>
    <w:rsid w:val="79A75D0B"/>
    <w:rsid w:val="79A80D6F"/>
    <w:rsid w:val="79C45E8F"/>
    <w:rsid w:val="79D868E4"/>
    <w:rsid w:val="79EE3F60"/>
    <w:rsid w:val="79F556AD"/>
    <w:rsid w:val="7A0525CC"/>
    <w:rsid w:val="7A062657"/>
    <w:rsid w:val="7A174906"/>
    <w:rsid w:val="7A184059"/>
    <w:rsid w:val="7A20151A"/>
    <w:rsid w:val="7A2834C9"/>
    <w:rsid w:val="7A326F58"/>
    <w:rsid w:val="7A3E4CD1"/>
    <w:rsid w:val="7A5B2C12"/>
    <w:rsid w:val="7A635307"/>
    <w:rsid w:val="7A7514BC"/>
    <w:rsid w:val="7A7C5AF6"/>
    <w:rsid w:val="7A7E03EF"/>
    <w:rsid w:val="7A87203F"/>
    <w:rsid w:val="7A8E436A"/>
    <w:rsid w:val="7A9B16FB"/>
    <w:rsid w:val="7AAF1529"/>
    <w:rsid w:val="7AB865AB"/>
    <w:rsid w:val="7AB96438"/>
    <w:rsid w:val="7ABA2DBB"/>
    <w:rsid w:val="7ABE10C0"/>
    <w:rsid w:val="7ABE6A3D"/>
    <w:rsid w:val="7AC31793"/>
    <w:rsid w:val="7AC9234D"/>
    <w:rsid w:val="7ACD53CA"/>
    <w:rsid w:val="7AD3647C"/>
    <w:rsid w:val="7AE000C0"/>
    <w:rsid w:val="7AE4513D"/>
    <w:rsid w:val="7AE52C46"/>
    <w:rsid w:val="7AE621E7"/>
    <w:rsid w:val="7B026076"/>
    <w:rsid w:val="7B027C2C"/>
    <w:rsid w:val="7B046186"/>
    <w:rsid w:val="7B20027E"/>
    <w:rsid w:val="7B2A2985"/>
    <w:rsid w:val="7B2F1668"/>
    <w:rsid w:val="7B4E7E93"/>
    <w:rsid w:val="7B5103E1"/>
    <w:rsid w:val="7B537B58"/>
    <w:rsid w:val="7B5974FC"/>
    <w:rsid w:val="7B6129A8"/>
    <w:rsid w:val="7B6C264E"/>
    <w:rsid w:val="7B784E3E"/>
    <w:rsid w:val="7B811F45"/>
    <w:rsid w:val="7B883084"/>
    <w:rsid w:val="7B8A32BE"/>
    <w:rsid w:val="7B8B0774"/>
    <w:rsid w:val="7B8B2344"/>
    <w:rsid w:val="7BAB4C32"/>
    <w:rsid w:val="7BAE0860"/>
    <w:rsid w:val="7BAE0B39"/>
    <w:rsid w:val="7BB120FE"/>
    <w:rsid w:val="7BB229D4"/>
    <w:rsid w:val="7BC92FD6"/>
    <w:rsid w:val="7BDD1F8F"/>
    <w:rsid w:val="7BDF27F5"/>
    <w:rsid w:val="7BE95F43"/>
    <w:rsid w:val="7C04568B"/>
    <w:rsid w:val="7C133289"/>
    <w:rsid w:val="7C1515CB"/>
    <w:rsid w:val="7C156B31"/>
    <w:rsid w:val="7C1936C7"/>
    <w:rsid w:val="7C5115A1"/>
    <w:rsid w:val="7C5C5E7E"/>
    <w:rsid w:val="7C6A497F"/>
    <w:rsid w:val="7C6F7820"/>
    <w:rsid w:val="7C7F52F3"/>
    <w:rsid w:val="7C8C5751"/>
    <w:rsid w:val="7C900DCC"/>
    <w:rsid w:val="7C92311B"/>
    <w:rsid w:val="7C9812C7"/>
    <w:rsid w:val="7CA659DB"/>
    <w:rsid w:val="7CB059F6"/>
    <w:rsid w:val="7CB531C4"/>
    <w:rsid w:val="7CB6373B"/>
    <w:rsid w:val="7CBB0FC4"/>
    <w:rsid w:val="7CC47637"/>
    <w:rsid w:val="7CF31AF4"/>
    <w:rsid w:val="7CF81EAA"/>
    <w:rsid w:val="7D173F02"/>
    <w:rsid w:val="7D2308DA"/>
    <w:rsid w:val="7D296128"/>
    <w:rsid w:val="7D2C0E5B"/>
    <w:rsid w:val="7D2C732A"/>
    <w:rsid w:val="7D3A4C98"/>
    <w:rsid w:val="7D416C77"/>
    <w:rsid w:val="7D43264B"/>
    <w:rsid w:val="7D4A0EA6"/>
    <w:rsid w:val="7D4B1AA1"/>
    <w:rsid w:val="7D4B67F5"/>
    <w:rsid w:val="7D5B609A"/>
    <w:rsid w:val="7D633F4F"/>
    <w:rsid w:val="7D6A601E"/>
    <w:rsid w:val="7DA474E7"/>
    <w:rsid w:val="7DBB6758"/>
    <w:rsid w:val="7DBF70DD"/>
    <w:rsid w:val="7DC23446"/>
    <w:rsid w:val="7DD45B5F"/>
    <w:rsid w:val="7DE8525B"/>
    <w:rsid w:val="7DFF53A3"/>
    <w:rsid w:val="7E001E75"/>
    <w:rsid w:val="7E0E63BD"/>
    <w:rsid w:val="7E0F1180"/>
    <w:rsid w:val="7E1006A8"/>
    <w:rsid w:val="7E1F5A45"/>
    <w:rsid w:val="7E293656"/>
    <w:rsid w:val="7E404A21"/>
    <w:rsid w:val="7E45572C"/>
    <w:rsid w:val="7E565A4B"/>
    <w:rsid w:val="7E611DFA"/>
    <w:rsid w:val="7E691D12"/>
    <w:rsid w:val="7E751B09"/>
    <w:rsid w:val="7E7F4105"/>
    <w:rsid w:val="7E8A7362"/>
    <w:rsid w:val="7E9B5AE7"/>
    <w:rsid w:val="7EB81511"/>
    <w:rsid w:val="7EBB6D07"/>
    <w:rsid w:val="7EC67F4B"/>
    <w:rsid w:val="7ED44A81"/>
    <w:rsid w:val="7ED76B56"/>
    <w:rsid w:val="7EE437DA"/>
    <w:rsid w:val="7F17496E"/>
    <w:rsid w:val="7F1C6F81"/>
    <w:rsid w:val="7F225E2E"/>
    <w:rsid w:val="7F234D1C"/>
    <w:rsid w:val="7F2C4864"/>
    <w:rsid w:val="7F3563D6"/>
    <w:rsid w:val="7F435B4E"/>
    <w:rsid w:val="7F49147B"/>
    <w:rsid w:val="7F4B474E"/>
    <w:rsid w:val="7F5B7863"/>
    <w:rsid w:val="7F7465EF"/>
    <w:rsid w:val="7F7C7D0A"/>
    <w:rsid w:val="7F7E0DE1"/>
    <w:rsid w:val="7FD0249F"/>
    <w:rsid w:val="7FD72BF9"/>
    <w:rsid w:val="7FDC12CB"/>
    <w:rsid w:val="7FDE1A48"/>
    <w:rsid w:val="7FF076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8"/>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84"/>
    <w:autoRedefine/>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89"/>
    <w:autoRedefine/>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33">
    <w:name w:val="Default Paragraph Font"/>
    <w:autoRedefine/>
    <w:unhideWhenUsed/>
    <w:qFormat/>
    <w:uiPriority w:val="1"/>
  </w:style>
  <w:style w:type="table" w:default="1" w:styleId="31">
    <w:name w:val="Normal Table"/>
    <w:autoRedefine/>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pPr>
  </w:style>
  <w:style w:type="paragraph" w:styleId="7">
    <w:name w:val="Normal Indent"/>
    <w:basedOn w:val="1"/>
    <w:autoRedefine/>
    <w:unhideWhenUsed/>
    <w:qFormat/>
    <w:uiPriority w:val="99"/>
    <w:pPr>
      <w:spacing w:line="360" w:lineRule="auto"/>
      <w:ind w:firstLine="454"/>
    </w:pPr>
    <w:rPr>
      <w:sz w:val="24"/>
      <w:szCs w:val="20"/>
    </w:rPr>
  </w:style>
  <w:style w:type="paragraph" w:styleId="8">
    <w:name w:val="Document Map"/>
    <w:basedOn w:val="1"/>
    <w:link w:val="71"/>
    <w:autoRedefine/>
    <w:qFormat/>
    <w:uiPriority w:val="0"/>
    <w:pPr>
      <w:shd w:val="clear" w:color="auto" w:fill="000080"/>
    </w:pPr>
  </w:style>
  <w:style w:type="paragraph" w:styleId="9">
    <w:name w:val="toa heading"/>
    <w:basedOn w:val="1"/>
    <w:next w:val="1"/>
    <w:autoRedefine/>
    <w:qFormat/>
    <w:uiPriority w:val="0"/>
    <w:pPr>
      <w:spacing w:before="120"/>
    </w:pPr>
    <w:rPr>
      <w:rFonts w:ascii="Arial" w:hAnsi="Arial" w:eastAsia="宋体" w:cs="Arial"/>
      <w:sz w:val="24"/>
    </w:rPr>
  </w:style>
  <w:style w:type="paragraph" w:styleId="10">
    <w:name w:val="annotation text"/>
    <w:basedOn w:val="1"/>
    <w:next w:val="1"/>
    <w:link w:val="99"/>
    <w:autoRedefine/>
    <w:semiHidden/>
    <w:qFormat/>
    <w:uiPriority w:val="0"/>
    <w:pPr>
      <w:jc w:val="left"/>
    </w:pPr>
  </w:style>
  <w:style w:type="paragraph" w:styleId="11">
    <w:name w:val="Body Text 3"/>
    <w:next w:val="12"/>
    <w:autoRedefine/>
    <w:qFormat/>
    <w:uiPriority w:val="0"/>
    <w:pPr>
      <w:widowControl w:val="0"/>
      <w:spacing w:after="120"/>
      <w:ind w:firstLine="3584"/>
      <w:jc w:val="both"/>
    </w:pPr>
    <w:rPr>
      <w:rFonts w:ascii="Times New Roman" w:hAnsi="Times New Roman" w:eastAsia="宋体" w:cs="Times New Roman"/>
      <w:kern w:val="2"/>
      <w:sz w:val="21"/>
      <w:szCs w:val="24"/>
      <w:lang w:val="en-US" w:eastAsia="zh-CN" w:bidi="ar-SA"/>
    </w:rPr>
  </w:style>
  <w:style w:type="paragraph" w:styleId="12">
    <w:name w:val="Balloon Text"/>
    <w:basedOn w:val="1"/>
    <w:next w:val="1"/>
    <w:link w:val="93"/>
    <w:autoRedefine/>
    <w:unhideWhenUsed/>
    <w:qFormat/>
    <w:uiPriority w:val="99"/>
    <w:rPr>
      <w:sz w:val="18"/>
      <w:szCs w:val="18"/>
    </w:rPr>
  </w:style>
  <w:style w:type="paragraph" w:styleId="13">
    <w:name w:val="Body Text"/>
    <w:basedOn w:val="1"/>
    <w:next w:val="14"/>
    <w:link w:val="96"/>
    <w:autoRedefine/>
    <w:unhideWhenUsed/>
    <w:qFormat/>
    <w:uiPriority w:val="99"/>
    <w:pPr>
      <w:spacing w:after="120"/>
    </w:pPr>
  </w:style>
  <w:style w:type="paragraph" w:styleId="14">
    <w:name w:val="Body Text First Indent"/>
    <w:basedOn w:val="13"/>
    <w:next w:val="1"/>
    <w:link w:val="80"/>
    <w:autoRedefine/>
    <w:unhideWhenUsed/>
    <w:qFormat/>
    <w:uiPriority w:val="99"/>
    <w:pPr>
      <w:ind w:firstLine="420" w:firstLineChars="100"/>
    </w:pPr>
  </w:style>
  <w:style w:type="paragraph" w:styleId="15">
    <w:name w:val="Body Text Indent"/>
    <w:basedOn w:val="1"/>
    <w:link w:val="87"/>
    <w:autoRedefine/>
    <w:qFormat/>
    <w:uiPriority w:val="0"/>
    <w:pPr>
      <w:ind w:firstLine="560" w:firstLineChars="200"/>
    </w:pPr>
    <w:rPr>
      <w:sz w:val="24"/>
    </w:rPr>
  </w:style>
  <w:style w:type="paragraph" w:styleId="16">
    <w:name w:val="List Continue"/>
    <w:basedOn w:val="1"/>
    <w:autoRedefine/>
    <w:unhideWhenUsed/>
    <w:qFormat/>
    <w:uiPriority w:val="99"/>
    <w:pPr>
      <w:widowControl/>
      <w:spacing w:after="119" w:line="351" w:lineRule="atLeast"/>
      <w:ind w:firstLine="419"/>
    </w:pPr>
    <w:rPr>
      <w:rFonts w:ascii="仿宋_GB2312" w:eastAsia="仿宋_GB2312"/>
      <w:color w:val="000000"/>
      <w:sz w:val="28"/>
    </w:rPr>
  </w:style>
  <w:style w:type="paragraph" w:styleId="17">
    <w:name w:val="Plain Text"/>
    <w:basedOn w:val="1"/>
    <w:link w:val="77"/>
    <w:autoRedefine/>
    <w:unhideWhenUsed/>
    <w:qFormat/>
    <w:uiPriority w:val="0"/>
    <w:rPr>
      <w:rFonts w:ascii="宋体" w:hAnsi="Courier New"/>
      <w:szCs w:val="20"/>
    </w:rPr>
  </w:style>
  <w:style w:type="paragraph" w:styleId="18">
    <w:name w:val="Date"/>
    <w:basedOn w:val="1"/>
    <w:next w:val="1"/>
    <w:link w:val="92"/>
    <w:autoRedefine/>
    <w:qFormat/>
    <w:uiPriority w:val="0"/>
  </w:style>
  <w:style w:type="paragraph" w:styleId="19">
    <w:name w:val="Body Text Indent 2"/>
    <w:basedOn w:val="1"/>
    <w:link w:val="95"/>
    <w:autoRedefine/>
    <w:unhideWhenUsed/>
    <w:qFormat/>
    <w:uiPriority w:val="99"/>
    <w:pPr>
      <w:spacing w:after="120" w:line="480" w:lineRule="auto"/>
      <w:ind w:left="420" w:leftChars="200"/>
    </w:pPr>
  </w:style>
  <w:style w:type="paragraph" w:styleId="20">
    <w:name w:val="footer"/>
    <w:basedOn w:val="1"/>
    <w:link w:val="85"/>
    <w:autoRedefine/>
    <w:qFormat/>
    <w:uiPriority w:val="99"/>
    <w:pPr>
      <w:tabs>
        <w:tab w:val="center" w:pos="4153"/>
        <w:tab w:val="right" w:pos="8306"/>
      </w:tabs>
      <w:snapToGrid w:val="0"/>
      <w:jc w:val="left"/>
    </w:pPr>
    <w:rPr>
      <w:sz w:val="18"/>
      <w:szCs w:val="18"/>
    </w:rPr>
  </w:style>
  <w:style w:type="paragraph" w:styleId="21">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unhideWhenUsed/>
    <w:qFormat/>
    <w:uiPriority w:val="39"/>
  </w:style>
  <w:style w:type="paragraph" w:styleId="23">
    <w:name w:val="Subtitle"/>
    <w:basedOn w:val="1"/>
    <w:next w:val="1"/>
    <w:link w:val="91"/>
    <w:autoRedefine/>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4">
    <w:name w:val="List"/>
    <w:basedOn w:val="1"/>
    <w:qFormat/>
    <w:uiPriority w:val="0"/>
    <w:pPr>
      <w:spacing w:after="0" w:line="240" w:lineRule="auto"/>
      <w:ind w:left="0" w:firstLine="0" w:firstLineChars="0"/>
      <w:jc w:val="both"/>
    </w:pPr>
    <w:rPr>
      <w:rFonts w:ascii="Times New Roman" w:hAnsi="Times New Roman" w:eastAsia="宋体"/>
      <w:snapToGrid/>
      <w:sz w:val="24"/>
      <w:szCs w:val="20"/>
    </w:rPr>
  </w:style>
  <w:style w:type="paragraph" w:styleId="25">
    <w:name w:val="toc 2"/>
    <w:basedOn w:val="1"/>
    <w:next w:val="1"/>
    <w:autoRedefine/>
    <w:qFormat/>
    <w:uiPriority w:val="39"/>
    <w:pPr>
      <w:ind w:left="420" w:leftChars="200"/>
    </w:pPr>
    <w:rPr>
      <w:rFonts w:ascii="Times New Roman" w:hAnsi="Times New Roman" w:eastAsia="宋体" w:cs="Times New Roman"/>
      <w:szCs w:val="24"/>
    </w:rPr>
  </w:style>
  <w:style w:type="paragraph" w:styleId="26">
    <w:name w:val="Body Text 2"/>
    <w:basedOn w:val="1"/>
    <w:link w:val="94"/>
    <w:autoRedefine/>
    <w:unhideWhenUsed/>
    <w:qFormat/>
    <w:uiPriority w:val="99"/>
    <w:pPr>
      <w:spacing w:after="120" w:line="480" w:lineRule="auto"/>
    </w:pPr>
  </w:style>
  <w:style w:type="paragraph" w:styleId="27">
    <w:name w:val="HTML Preformatted"/>
    <w:basedOn w:val="1"/>
    <w:next w:val="1"/>
    <w:link w:val="8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autoRedefine/>
    <w:qFormat/>
    <w:uiPriority w:val="99"/>
    <w:pPr>
      <w:widowControl/>
      <w:wordWrap w:val="0"/>
      <w:spacing w:before="100" w:beforeAutospacing="1" w:after="100" w:afterAutospacing="1"/>
      <w:jc w:val="left"/>
    </w:pPr>
    <w:rPr>
      <w:rFonts w:ascii="宋体" w:hAnsi="宋体" w:cs="宋体"/>
      <w:kern w:val="0"/>
      <w:sz w:val="24"/>
    </w:rPr>
  </w:style>
  <w:style w:type="paragraph" w:styleId="29">
    <w:name w:val="Title"/>
    <w:basedOn w:val="1"/>
    <w:next w:val="1"/>
    <w:link w:val="88"/>
    <w:autoRedefine/>
    <w:qFormat/>
    <w:uiPriority w:val="10"/>
    <w:pPr>
      <w:spacing w:before="240" w:after="60"/>
      <w:jc w:val="center"/>
      <w:outlineLvl w:val="0"/>
    </w:pPr>
    <w:rPr>
      <w:rFonts w:ascii="Cambria" w:hAnsi="Cambria"/>
      <w:b/>
      <w:bCs/>
      <w:sz w:val="32"/>
      <w:szCs w:val="32"/>
    </w:rPr>
  </w:style>
  <w:style w:type="paragraph" w:styleId="30">
    <w:name w:val="Body Text First Indent 2"/>
    <w:basedOn w:val="15"/>
    <w:autoRedefine/>
    <w:qFormat/>
    <w:uiPriority w:val="0"/>
    <w:pPr>
      <w:ind w:firstLine="420" w:firstLineChars="200"/>
    </w:p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kern w:val="0"/>
    </w:rPr>
  </w:style>
  <w:style w:type="character" w:styleId="35">
    <w:name w:val="page number"/>
    <w:basedOn w:val="33"/>
    <w:autoRedefine/>
    <w:qFormat/>
    <w:uiPriority w:val="0"/>
  </w:style>
  <w:style w:type="character" w:styleId="36">
    <w:name w:val="FollowedHyperlink"/>
    <w:basedOn w:val="33"/>
    <w:autoRedefine/>
    <w:unhideWhenUsed/>
    <w:qFormat/>
    <w:uiPriority w:val="99"/>
    <w:rPr>
      <w:color w:val="156356"/>
      <w:u w:val="none"/>
    </w:rPr>
  </w:style>
  <w:style w:type="character" w:styleId="37">
    <w:name w:val="Emphasis"/>
    <w:basedOn w:val="33"/>
    <w:autoRedefine/>
    <w:qFormat/>
    <w:uiPriority w:val="20"/>
    <w:rPr>
      <w:i/>
      <w:iCs/>
    </w:rPr>
  </w:style>
  <w:style w:type="character" w:styleId="38">
    <w:name w:val="Hyperlink"/>
    <w:autoRedefine/>
    <w:qFormat/>
    <w:uiPriority w:val="0"/>
    <w:rPr>
      <w:color w:val="0368A8"/>
      <w:kern w:val="0"/>
      <w:u w:val="none"/>
    </w:rPr>
  </w:style>
  <w:style w:type="character" w:styleId="39">
    <w:name w:val="annotation reference"/>
    <w:autoRedefine/>
    <w:unhideWhenUsed/>
    <w:qFormat/>
    <w:uiPriority w:val="99"/>
    <w:rPr>
      <w:sz w:val="21"/>
      <w:szCs w:val="21"/>
    </w:rPr>
  </w:style>
  <w:style w:type="character" w:styleId="40">
    <w:name w:val="HTML Sample"/>
    <w:basedOn w:val="33"/>
    <w:semiHidden/>
    <w:unhideWhenUsed/>
    <w:qFormat/>
    <w:uiPriority w:val="99"/>
    <w:rPr>
      <w:rFonts w:ascii="Courier New" w:hAnsi="Courier New"/>
    </w:rPr>
  </w:style>
  <w:style w:type="paragraph" w:customStyle="1" w:styleId="41">
    <w:name w:val="正文首行缩进 21"/>
    <w:basedOn w:val="42"/>
    <w:next w:val="28"/>
    <w:autoRedefine/>
    <w:qFormat/>
    <w:uiPriority w:val="99"/>
    <w:pPr>
      <w:ind w:left="200" w:leftChars="200" w:firstLine="200" w:firstLineChars="200"/>
    </w:pPr>
    <w:rPr>
      <w:rFonts w:ascii="Calibri" w:hAnsi="Calibri"/>
    </w:rPr>
  </w:style>
  <w:style w:type="paragraph" w:customStyle="1" w:styleId="42">
    <w:name w:val="正文文本缩进1"/>
    <w:basedOn w:val="1"/>
    <w:autoRedefine/>
    <w:qFormat/>
    <w:uiPriority w:val="0"/>
    <w:pPr>
      <w:ind w:left="200" w:leftChars="200"/>
    </w:pPr>
  </w:style>
  <w:style w:type="paragraph" w:customStyle="1" w:styleId="43">
    <w:name w:val="Style1"/>
    <w:basedOn w:val="1"/>
    <w:autoRedefine/>
    <w:qFormat/>
    <w:uiPriority w:val="99"/>
    <w:pPr>
      <w:tabs>
        <w:tab w:val="left" w:pos="-720"/>
      </w:tabs>
      <w:spacing w:after="120"/>
    </w:pPr>
    <w:rPr>
      <w:spacing w:val="-3"/>
      <w:sz w:val="24"/>
      <w:szCs w:val="20"/>
      <w:lang w:val="en-AU" w:eastAsia="en-US"/>
    </w:rPr>
  </w:style>
  <w:style w:type="paragraph" w:customStyle="1" w:styleId="44">
    <w:name w:val="列出段落11"/>
    <w:basedOn w:val="1"/>
    <w:autoRedefine/>
    <w:qFormat/>
    <w:uiPriority w:val="0"/>
    <w:pPr>
      <w:ind w:firstLine="420" w:firstLineChars="200"/>
    </w:pPr>
    <w:rPr>
      <w:rFonts w:ascii="Calibri" w:hAnsi="Calibri"/>
      <w:szCs w:val="22"/>
    </w:rPr>
  </w:style>
  <w:style w:type="paragraph" w:customStyle="1" w:styleId="45">
    <w:name w:val="_Style 1"/>
    <w:basedOn w:val="1"/>
    <w:autoRedefine/>
    <w:qFormat/>
    <w:uiPriority w:val="0"/>
  </w:style>
  <w:style w:type="paragraph" w:customStyle="1" w:styleId="46">
    <w:name w:val="p1"/>
    <w:basedOn w:val="1"/>
    <w:autoRedefine/>
    <w:qFormat/>
    <w:uiPriority w:val="0"/>
    <w:pPr>
      <w:widowControl/>
      <w:jc w:val="left"/>
    </w:pPr>
    <w:rPr>
      <w:rFonts w:ascii="Arial" w:hAnsi="Arial" w:eastAsia="等线" w:cs="Arial"/>
      <w:color w:val="333333"/>
      <w:kern w:val="0"/>
      <w:sz w:val="20"/>
      <w:szCs w:val="20"/>
    </w:rPr>
  </w:style>
  <w:style w:type="paragraph" w:customStyle="1" w:styleId="47">
    <w:name w:val="列出段落2"/>
    <w:basedOn w:val="1"/>
    <w:autoRedefine/>
    <w:qFormat/>
    <w:uiPriority w:val="0"/>
    <w:pPr>
      <w:ind w:firstLine="420" w:firstLineChars="200"/>
    </w:pPr>
  </w:style>
  <w:style w:type="paragraph" w:customStyle="1" w:styleId="48">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49">
    <w:name w:val="列出段落1"/>
    <w:basedOn w:val="1"/>
    <w:autoRedefine/>
    <w:qFormat/>
    <w:uiPriority w:val="0"/>
    <w:pPr>
      <w:ind w:firstLine="420" w:firstLineChars="200"/>
    </w:pPr>
  </w:style>
  <w:style w:type="paragraph" w:customStyle="1" w:styleId="50">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51">
    <w:name w:val="Char Char Char Char"/>
    <w:basedOn w:val="8"/>
    <w:autoRedefine/>
    <w:qFormat/>
    <w:uiPriority w:val="0"/>
    <w:pPr>
      <w:adjustRightInd w:val="0"/>
      <w:snapToGrid w:val="0"/>
      <w:spacing w:line="360" w:lineRule="auto"/>
    </w:pPr>
    <w:rPr>
      <w:rFonts w:ascii="Tahoma" w:hAnsi="Tahoma"/>
      <w:sz w:val="24"/>
    </w:rPr>
  </w:style>
  <w:style w:type="paragraph" w:customStyle="1" w:styleId="52">
    <w:name w:val="2级正文"/>
    <w:basedOn w:val="1"/>
    <w:autoRedefine/>
    <w:qFormat/>
    <w:uiPriority w:val="0"/>
    <w:pPr>
      <w:ind w:left="721" w:hanging="420"/>
      <w:jc w:val="left"/>
    </w:pPr>
    <w:rPr>
      <w:rFonts w:ascii="宋体" w:hAnsi="宋体" w:cs="宋体"/>
      <w:szCs w:val="21"/>
    </w:rPr>
  </w:style>
  <w:style w:type="paragraph" w:customStyle="1" w:styleId="53">
    <w:name w:val="彩色列表 - 着色 11"/>
    <w:basedOn w:val="1"/>
    <w:autoRedefine/>
    <w:qFormat/>
    <w:uiPriority w:val="34"/>
    <w:pPr>
      <w:ind w:firstLine="420" w:firstLineChars="200"/>
    </w:pPr>
  </w:style>
  <w:style w:type="paragraph" w:customStyle="1" w:styleId="54">
    <w:name w:val="List Paragraph"/>
    <w:basedOn w:val="1"/>
    <w:autoRedefine/>
    <w:qFormat/>
    <w:uiPriority w:val="34"/>
    <w:pPr>
      <w:ind w:firstLine="420" w:firstLineChars="200"/>
    </w:pPr>
    <w:rPr>
      <w:rFonts w:ascii="Calibri" w:hAnsi="Calibri"/>
      <w:szCs w:val="22"/>
    </w:rPr>
  </w:style>
  <w:style w:type="paragraph" w:customStyle="1" w:styleId="55">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56">
    <w:name w:val="型号"/>
    <w:basedOn w:val="1"/>
    <w:autoRedefine/>
    <w:qFormat/>
    <w:uiPriority w:val="0"/>
    <w:pPr>
      <w:ind w:left="357"/>
      <w:jc w:val="left"/>
    </w:pPr>
    <w:rPr>
      <w:rFonts w:ascii="宋体" w:hAnsi="宋体"/>
      <w:sz w:val="18"/>
      <w:szCs w:val="18"/>
    </w:rPr>
  </w:style>
  <w:style w:type="paragraph" w:customStyle="1" w:styleId="5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Char Char"/>
    <w:basedOn w:val="1"/>
    <w:autoRedefine/>
    <w:qFormat/>
    <w:uiPriority w:val="0"/>
    <w:rPr>
      <w:rFonts w:eastAsia="Times New Roman"/>
      <w:kern w:val="0"/>
      <w:sz w:val="20"/>
      <w:szCs w:val="20"/>
    </w:rPr>
  </w:style>
  <w:style w:type="paragraph" w:customStyle="1" w:styleId="60">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61">
    <w:name w:val="正文－恩普"/>
    <w:basedOn w:val="7"/>
    <w:autoRedefine/>
    <w:qFormat/>
    <w:uiPriority w:val="0"/>
    <w:pPr>
      <w:widowControl/>
      <w:spacing w:after="156" w:afterLines="50"/>
      <w:ind w:firstLine="480" w:firstLineChars="200"/>
      <w:jc w:val="left"/>
    </w:pPr>
    <w:rPr>
      <w:kern w:val="0"/>
    </w:rPr>
  </w:style>
  <w:style w:type="paragraph" w:customStyle="1" w:styleId="62">
    <w:name w:val="样式 标题 2 + 宋体 五号 非加粗 黑色"/>
    <w:basedOn w:val="3"/>
    <w:autoRedefine/>
    <w:qFormat/>
    <w:uiPriority w:val="0"/>
    <w:pPr>
      <w:spacing w:line="416" w:lineRule="atLeast"/>
    </w:pPr>
    <w:rPr>
      <w:rFonts w:ascii="宋体" w:hAnsi="宋体"/>
      <w:b w:val="0"/>
      <w:bCs w:val="0"/>
      <w:color w:val="000000"/>
      <w:sz w:val="21"/>
    </w:rPr>
  </w:style>
  <w:style w:type="paragraph" w:customStyle="1" w:styleId="63">
    <w:name w:val="彩色列表 - 着色 1"/>
    <w:basedOn w:val="1"/>
    <w:autoRedefine/>
    <w:qFormat/>
    <w:uiPriority w:val="34"/>
    <w:pPr>
      <w:ind w:firstLine="420" w:firstLineChars="200"/>
    </w:pPr>
    <w:rPr>
      <w:rFonts w:ascii="Calibri" w:hAnsi="Calibri"/>
      <w:szCs w:val="22"/>
    </w:rPr>
  </w:style>
  <w:style w:type="paragraph" w:customStyle="1" w:styleId="64">
    <w:name w:val="No Spacing"/>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65">
    <w:name w:val="样式1"/>
    <w:basedOn w:val="1"/>
    <w:autoRedefine/>
    <w:qFormat/>
    <w:uiPriority w:val="0"/>
    <w:pPr>
      <w:jc w:val="center"/>
    </w:pPr>
    <w:rPr>
      <w:rFonts w:ascii="宋体" w:hAnsi="宋体"/>
      <w:sz w:val="30"/>
      <w:szCs w:val="28"/>
    </w:rPr>
  </w:style>
  <w:style w:type="paragraph" w:customStyle="1" w:styleId="66">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67">
    <w:name w:val="UserStyle_38"/>
    <w:basedOn w:val="68"/>
    <w:autoRedefine/>
    <w:qFormat/>
    <w:uiPriority w:val="0"/>
    <w:pPr>
      <w:keepNext/>
      <w:keepLines/>
      <w:spacing w:before="260" w:after="260" w:line="416" w:lineRule="atLeast"/>
      <w:jc w:val="both"/>
      <w:textAlignment w:val="baseline"/>
    </w:pPr>
    <w:rPr>
      <w:rFonts w:ascii="宋体" w:hAnsi="宋体"/>
      <w:b w:val="0"/>
      <w:bCs w:val="0"/>
      <w:color w:val="000000"/>
      <w:kern w:val="0"/>
      <w:sz w:val="21"/>
      <w:szCs w:val="32"/>
      <w:lang w:val="en-US" w:eastAsia="zh-CN" w:bidi="ar-SA"/>
    </w:rPr>
  </w:style>
  <w:style w:type="paragraph" w:customStyle="1" w:styleId="68">
    <w:name w:val="Heading2"/>
    <w:basedOn w:val="1"/>
    <w:next w:val="1"/>
    <w:autoRedefine/>
    <w:qFormat/>
    <w:uiPriority w:val="0"/>
    <w:pPr>
      <w:keepNext/>
      <w:keepLines/>
      <w:spacing w:before="260" w:after="260" w:line="416" w:lineRule="auto"/>
      <w:jc w:val="both"/>
      <w:textAlignment w:val="baseline"/>
    </w:pPr>
    <w:rPr>
      <w:rFonts w:ascii="Calibri Light" w:hAnsi="Calibri Light" w:cs="Times New Roman"/>
      <w:b/>
      <w:bCs/>
      <w:kern w:val="0"/>
      <w:sz w:val="32"/>
      <w:szCs w:val="32"/>
      <w:lang w:val="en-US" w:eastAsia="zh-CN" w:bidi="ar-SA"/>
    </w:rPr>
  </w:style>
  <w:style w:type="character" w:customStyle="1" w:styleId="69">
    <w:name w:val="页脚 Char"/>
    <w:autoRedefine/>
    <w:qFormat/>
    <w:uiPriority w:val="99"/>
    <w:rPr>
      <w:rFonts w:ascii="Times New Roman" w:hAnsi="Times New Roman"/>
      <w:kern w:val="2"/>
      <w:sz w:val="18"/>
      <w:szCs w:val="18"/>
    </w:rPr>
  </w:style>
  <w:style w:type="character" w:customStyle="1" w:styleId="70">
    <w:name w:val="apple-converted-space"/>
    <w:basedOn w:val="33"/>
    <w:autoRedefine/>
    <w:qFormat/>
    <w:uiPriority w:val="0"/>
  </w:style>
  <w:style w:type="character" w:customStyle="1" w:styleId="71">
    <w:name w:val="文档结构图 字符"/>
    <w:link w:val="8"/>
    <w:autoRedefine/>
    <w:qFormat/>
    <w:uiPriority w:val="0"/>
    <w:rPr>
      <w:rFonts w:ascii="Times New Roman" w:hAnsi="Times New Roman" w:eastAsia="宋体" w:cs="Times New Roman"/>
      <w:szCs w:val="24"/>
      <w:shd w:val="clear" w:color="auto" w:fill="000080"/>
    </w:rPr>
  </w:style>
  <w:style w:type="character" w:customStyle="1" w:styleId="72">
    <w:name w:val="font112"/>
    <w:basedOn w:val="33"/>
    <w:autoRedefine/>
    <w:qFormat/>
    <w:uiPriority w:val="0"/>
    <w:rPr>
      <w:rFonts w:hint="default" w:ascii="Times New Roman" w:hAnsi="Times New Roman" w:cs="Times New Roman"/>
      <w:color w:val="FF0000"/>
      <w:sz w:val="20"/>
      <w:szCs w:val="20"/>
      <w:u w:val="none"/>
    </w:rPr>
  </w:style>
  <w:style w:type="character" w:customStyle="1" w:styleId="73">
    <w:name w:val="fontstyle01"/>
    <w:autoRedefine/>
    <w:qFormat/>
    <w:uiPriority w:val="0"/>
    <w:rPr>
      <w:rFonts w:hint="eastAsia" w:ascii="宋体" w:hAnsi="宋体" w:eastAsia="宋体"/>
      <w:color w:val="000000"/>
      <w:sz w:val="22"/>
      <w:szCs w:val="22"/>
    </w:rPr>
  </w:style>
  <w:style w:type="character" w:customStyle="1" w:styleId="74">
    <w:name w:val="px_10"/>
    <w:basedOn w:val="33"/>
    <w:autoRedefine/>
    <w:qFormat/>
    <w:uiPriority w:val="0"/>
  </w:style>
  <w:style w:type="character" w:customStyle="1" w:styleId="75">
    <w:name w:val="font11"/>
    <w:autoRedefine/>
    <w:qFormat/>
    <w:uiPriority w:val="0"/>
    <w:rPr>
      <w:rFonts w:hint="eastAsia" w:ascii="宋体" w:hAnsi="宋体" w:eastAsia="宋体" w:cs="宋体"/>
      <w:color w:val="000000"/>
      <w:kern w:val="0"/>
      <w:sz w:val="18"/>
      <w:szCs w:val="18"/>
      <w:u w:val="none"/>
    </w:rPr>
  </w:style>
  <w:style w:type="character" w:customStyle="1" w:styleId="76">
    <w:name w:val="font31"/>
    <w:basedOn w:val="33"/>
    <w:autoRedefine/>
    <w:qFormat/>
    <w:uiPriority w:val="0"/>
    <w:rPr>
      <w:rFonts w:hint="eastAsia" w:ascii="宋体" w:hAnsi="宋体" w:eastAsia="宋体" w:cs="宋体"/>
      <w:color w:val="FF0000"/>
      <w:sz w:val="20"/>
      <w:szCs w:val="20"/>
      <w:u w:val="none"/>
    </w:rPr>
  </w:style>
  <w:style w:type="character" w:customStyle="1" w:styleId="77">
    <w:name w:val="纯文本 字符"/>
    <w:link w:val="17"/>
    <w:autoRedefine/>
    <w:qFormat/>
    <w:uiPriority w:val="0"/>
    <w:rPr>
      <w:rFonts w:ascii="宋体" w:hAnsi="Courier New" w:eastAsia="宋体" w:cs="Times New Roman"/>
      <w:szCs w:val="20"/>
    </w:rPr>
  </w:style>
  <w:style w:type="character" w:customStyle="1" w:styleId="78">
    <w:name w:val="font01"/>
    <w:autoRedefine/>
    <w:qFormat/>
    <w:uiPriority w:val="0"/>
    <w:rPr>
      <w:rFonts w:hint="eastAsia" w:ascii="宋体" w:hAnsi="宋体" w:eastAsia="宋体" w:cs="宋体"/>
      <w:color w:val="FF0000"/>
      <w:kern w:val="0"/>
      <w:sz w:val="18"/>
      <w:szCs w:val="18"/>
      <w:u w:val="none"/>
    </w:rPr>
  </w:style>
  <w:style w:type="character" w:customStyle="1" w:styleId="79">
    <w:name w:val="15"/>
    <w:basedOn w:val="33"/>
    <w:autoRedefine/>
    <w:qFormat/>
    <w:uiPriority w:val="0"/>
  </w:style>
  <w:style w:type="character" w:customStyle="1" w:styleId="80">
    <w:name w:val="正文文本首行缩进 字符"/>
    <w:link w:val="14"/>
    <w:autoRedefine/>
    <w:qFormat/>
    <w:uiPriority w:val="99"/>
    <w:rPr>
      <w:rFonts w:ascii="Times New Roman" w:hAnsi="Times New Roman" w:eastAsia="宋体" w:cs="Times New Roman"/>
      <w:szCs w:val="24"/>
    </w:rPr>
  </w:style>
  <w:style w:type="character" w:customStyle="1" w:styleId="81">
    <w:name w:val="批注框文本 Char"/>
    <w:autoRedefine/>
    <w:semiHidden/>
    <w:qFormat/>
    <w:uiPriority w:val="99"/>
    <w:rPr>
      <w:rFonts w:ascii="Times New Roman" w:hAnsi="Times New Roman"/>
      <w:kern w:val="2"/>
      <w:sz w:val="18"/>
      <w:szCs w:val="18"/>
    </w:rPr>
  </w:style>
  <w:style w:type="character" w:customStyle="1" w:styleId="82">
    <w:name w:val="apple-style-span"/>
    <w:basedOn w:val="33"/>
    <w:autoRedefine/>
    <w:qFormat/>
    <w:uiPriority w:val="0"/>
  </w:style>
  <w:style w:type="character" w:customStyle="1" w:styleId="83">
    <w:name w:val="HTML 预设格式 字符"/>
    <w:link w:val="27"/>
    <w:autoRedefine/>
    <w:qFormat/>
    <w:uiPriority w:val="99"/>
    <w:rPr>
      <w:rFonts w:ascii="Arial" w:hAnsi="Arial" w:eastAsia="宋体" w:cs="Arial"/>
      <w:kern w:val="0"/>
      <w:szCs w:val="21"/>
    </w:rPr>
  </w:style>
  <w:style w:type="character" w:customStyle="1" w:styleId="84">
    <w:name w:val="标题 2 字符"/>
    <w:link w:val="3"/>
    <w:autoRedefine/>
    <w:qFormat/>
    <w:uiPriority w:val="9"/>
    <w:rPr>
      <w:rFonts w:ascii="Calibri Light" w:hAnsi="Calibri Light" w:eastAsia="宋体" w:cs="Times New Roman"/>
      <w:b/>
      <w:bCs/>
      <w:sz w:val="32"/>
      <w:szCs w:val="32"/>
    </w:rPr>
  </w:style>
  <w:style w:type="character" w:customStyle="1" w:styleId="85">
    <w:name w:val="页脚 字符"/>
    <w:link w:val="20"/>
    <w:autoRedefine/>
    <w:qFormat/>
    <w:uiPriority w:val="99"/>
    <w:rPr>
      <w:rFonts w:ascii="Times New Roman" w:hAnsi="Times New Roman" w:eastAsia="宋体" w:cs="Times New Roman"/>
      <w:sz w:val="18"/>
      <w:szCs w:val="18"/>
    </w:rPr>
  </w:style>
  <w:style w:type="character" w:customStyle="1" w:styleId="86">
    <w:name w:val="页眉 字符"/>
    <w:link w:val="21"/>
    <w:autoRedefine/>
    <w:qFormat/>
    <w:uiPriority w:val="99"/>
    <w:rPr>
      <w:rFonts w:ascii="Times New Roman" w:hAnsi="Times New Roman" w:eastAsia="宋体" w:cs="Times New Roman"/>
      <w:sz w:val="18"/>
      <w:szCs w:val="18"/>
    </w:rPr>
  </w:style>
  <w:style w:type="character" w:customStyle="1" w:styleId="87">
    <w:name w:val="正文文本缩进 字符"/>
    <w:link w:val="15"/>
    <w:autoRedefine/>
    <w:qFormat/>
    <w:uiPriority w:val="0"/>
    <w:rPr>
      <w:rFonts w:ascii="Times New Roman" w:hAnsi="Times New Roman" w:eastAsia="宋体" w:cs="Times New Roman"/>
      <w:sz w:val="24"/>
      <w:szCs w:val="24"/>
    </w:rPr>
  </w:style>
  <w:style w:type="character" w:customStyle="1" w:styleId="88">
    <w:name w:val="标题 字符"/>
    <w:link w:val="29"/>
    <w:autoRedefine/>
    <w:qFormat/>
    <w:uiPriority w:val="10"/>
    <w:rPr>
      <w:rFonts w:ascii="Cambria" w:hAnsi="Cambria" w:eastAsia="宋体" w:cs="Times New Roman"/>
      <w:b/>
      <w:bCs/>
      <w:sz w:val="32"/>
      <w:szCs w:val="32"/>
    </w:rPr>
  </w:style>
  <w:style w:type="character" w:customStyle="1" w:styleId="89">
    <w:name w:val="标题 3 字符"/>
    <w:link w:val="4"/>
    <w:autoRedefine/>
    <w:qFormat/>
    <w:uiPriority w:val="9"/>
    <w:rPr>
      <w:rFonts w:ascii="Times New Roman" w:hAnsi="Times New Roman" w:eastAsia="宋体" w:cs="Times New Roman"/>
      <w:b/>
      <w:bCs/>
      <w:sz w:val="32"/>
      <w:szCs w:val="32"/>
    </w:rPr>
  </w:style>
  <w:style w:type="character" w:customStyle="1" w:styleId="90">
    <w:name w:val="font41"/>
    <w:autoRedefine/>
    <w:qFormat/>
    <w:uiPriority w:val="0"/>
    <w:rPr>
      <w:rFonts w:hint="default" w:ascii="Times New Roman" w:hAnsi="Times New Roman" w:cs="Times New Roman"/>
      <w:color w:val="000000"/>
      <w:sz w:val="22"/>
      <w:szCs w:val="22"/>
      <w:u w:val="none"/>
    </w:rPr>
  </w:style>
  <w:style w:type="character" w:customStyle="1" w:styleId="91">
    <w:name w:val="副标题 字符"/>
    <w:link w:val="23"/>
    <w:autoRedefine/>
    <w:qFormat/>
    <w:uiPriority w:val="11"/>
    <w:rPr>
      <w:rFonts w:ascii="Cambria" w:hAnsi="Cambria" w:eastAsia="宋体" w:cs="Times New Roman"/>
      <w:b/>
      <w:bCs/>
      <w:kern w:val="28"/>
      <w:sz w:val="28"/>
      <w:szCs w:val="32"/>
    </w:rPr>
  </w:style>
  <w:style w:type="character" w:customStyle="1" w:styleId="92">
    <w:name w:val="日期 字符"/>
    <w:link w:val="18"/>
    <w:autoRedefine/>
    <w:qFormat/>
    <w:uiPriority w:val="0"/>
    <w:rPr>
      <w:rFonts w:ascii="Times New Roman" w:hAnsi="Times New Roman" w:eastAsia="宋体" w:cs="Times New Roman"/>
      <w:szCs w:val="24"/>
    </w:rPr>
  </w:style>
  <w:style w:type="character" w:customStyle="1" w:styleId="93">
    <w:name w:val="批注框文本 字符"/>
    <w:link w:val="12"/>
    <w:autoRedefine/>
    <w:qFormat/>
    <w:uiPriority w:val="99"/>
    <w:rPr>
      <w:rFonts w:ascii="Times New Roman" w:hAnsi="Times New Roman" w:eastAsia="宋体" w:cs="Times New Roman"/>
      <w:sz w:val="18"/>
      <w:szCs w:val="18"/>
    </w:rPr>
  </w:style>
  <w:style w:type="character" w:customStyle="1" w:styleId="94">
    <w:name w:val="正文文本 2 字符"/>
    <w:link w:val="26"/>
    <w:autoRedefine/>
    <w:qFormat/>
    <w:uiPriority w:val="99"/>
    <w:rPr>
      <w:rFonts w:ascii="Times New Roman" w:hAnsi="Times New Roman" w:eastAsia="宋体" w:cs="Times New Roman"/>
      <w:szCs w:val="24"/>
    </w:rPr>
  </w:style>
  <w:style w:type="character" w:customStyle="1" w:styleId="95">
    <w:name w:val="正文文本缩进 2 字符"/>
    <w:link w:val="19"/>
    <w:autoRedefine/>
    <w:qFormat/>
    <w:uiPriority w:val="99"/>
    <w:rPr>
      <w:rFonts w:ascii="Times New Roman" w:hAnsi="Times New Roman" w:eastAsia="宋体" w:cs="Times New Roman"/>
      <w:szCs w:val="24"/>
    </w:rPr>
  </w:style>
  <w:style w:type="character" w:customStyle="1" w:styleId="96">
    <w:name w:val="正文文本 字符"/>
    <w:link w:val="13"/>
    <w:autoRedefine/>
    <w:semiHidden/>
    <w:qFormat/>
    <w:uiPriority w:val="99"/>
    <w:rPr>
      <w:rFonts w:ascii="Times New Roman" w:hAnsi="Times New Roman" w:eastAsia="宋体" w:cs="Times New Roman"/>
      <w:szCs w:val="24"/>
    </w:rPr>
  </w:style>
  <w:style w:type="character" w:customStyle="1" w:styleId="97">
    <w:name w:val="font61"/>
    <w:basedOn w:val="33"/>
    <w:autoRedefine/>
    <w:qFormat/>
    <w:uiPriority w:val="0"/>
    <w:rPr>
      <w:rFonts w:hint="eastAsia" w:ascii="宋体" w:hAnsi="宋体" w:eastAsia="宋体" w:cs="宋体"/>
      <w:color w:val="000000"/>
      <w:sz w:val="22"/>
      <w:szCs w:val="22"/>
      <w:u w:val="none"/>
    </w:rPr>
  </w:style>
  <w:style w:type="character" w:customStyle="1" w:styleId="98">
    <w:name w:val="标题 1 字符"/>
    <w:link w:val="2"/>
    <w:autoRedefine/>
    <w:qFormat/>
    <w:uiPriority w:val="9"/>
    <w:rPr>
      <w:rFonts w:ascii="Times New Roman" w:hAnsi="Times New Roman" w:eastAsia="宋体" w:cs="Times New Roman"/>
      <w:b/>
      <w:bCs/>
      <w:kern w:val="44"/>
      <w:sz w:val="44"/>
      <w:szCs w:val="44"/>
    </w:rPr>
  </w:style>
  <w:style w:type="character" w:customStyle="1" w:styleId="99">
    <w:name w:val="批注文字 字符"/>
    <w:link w:val="10"/>
    <w:autoRedefine/>
    <w:semiHidden/>
    <w:qFormat/>
    <w:uiPriority w:val="0"/>
    <w:rPr>
      <w:rFonts w:ascii="Times New Roman" w:hAnsi="Times New Roman" w:eastAsia="宋体" w:cs="Times New Roman"/>
      <w:szCs w:val="24"/>
    </w:rPr>
  </w:style>
  <w:style w:type="character" w:customStyle="1" w:styleId="100">
    <w:name w:val="页眉 Char"/>
    <w:autoRedefine/>
    <w:qFormat/>
    <w:uiPriority w:val="0"/>
    <w:rPr>
      <w:rFonts w:ascii="Times New Roman" w:hAnsi="Times New Roman" w:eastAsia="宋体" w:cs="Times New Roman"/>
      <w:sz w:val="18"/>
      <w:szCs w:val="18"/>
    </w:rPr>
  </w:style>
  <w:style w:type="character" w:customStyle="1" w:styleId="101">
    <w:name w:val="font21"/>
    <w:basedOn w:val="33"/>
    <w:autoRedefine/>
    <w:qFormat/>
    <w:uiPriority w:val="0"/>
    <w:rPr>
      <w:rFonts w:hint="eastAsia" w:ascii="宋体" w:hAnsi="宋体" w:eastAsia="宋体" w:cs="宋体"/>
      <w:color w:val="000000"/>
      <w:sz w:val="20"/>
      <w:szCs w:val="20"/>
      <w:u w:val="none"/>
    </w:rPr>
  </w:style>
  <w:style w:type="character" w:customStyle="1" w:styleId="102">
    <w:name w:val="NormalCharacter"/>
    <w:autoRedefine/>
    <w:qFormat/>
    <w:uiPriority w:val="0"/>
  </w:style>
  <w:style w:type="character" w:customStyle="1" w:styleId="103">
    <w:name w:val="font171"/>
    <w:basedOn w:val="33"/>
    <w:autoRedefine/>
    <w:qFormat/>
    <w:uiPriority w:val="0"/>
    <w:rPr>
      <w:rFonts w:hint="default" w:ascii="Times New Roman" w:hAnsi="Times New Roman" w:cs="Times New Roman"/>
      <w:b/>
      <w:bCs/>
      <w:color w:val="000000"/>
      <w:sz w:val="20"/>
      <w:szCs w:val="20"/>
      <w:u w:val="none"/>
    </w:rPr>
  </w:style>
  <w:style w:type="character" w:customStyle="1" w:styleId="104">
    <w:name w:val="font51"/>
    <w:basedOn w:val="33"/>
    <w:autoRedefine/>
    <w:qFormat/>
    <w:uiPriority w:val="0"/>
    <w:rPr>
      <w:rFonts w:hint="eastAsia" w:ascii="宋体" w:hAnsi="宋体" w:eastAsia="宋体" w:cs="宋体"/>
      <w:b/>
      <w:bCs/>
      <w:color w:val="000000"/>
      <w:sz w:val="20"/>
      <w:szCs w:val="20"/>
      <w:u w:val="none"/>
    </w:rPr>
  </w:style>
  <w:style w:type="character" w:customStyle="1" w:styleId="105">
    <w:name w:val="font91"/>
    <w:basedOn w:val="33"/>
    <w:autoRedefine/>
    <w:qFormat/>
    <w:uiPriority w:val="0"/>
    <w:rPr>
      <w:rFonts w:ascii="方正书宋_GBK" w:hAnsi="方正书宋_GBK" w:eastAsia="方正书宋_GBK" w:cs="方正书宋_GBK"/>
      <w:color w:val="000000"/>
      <w:sz w:val="20"/>
      <w:szCs w:val="20"/>
      <w:u w:val="none"/>
    </w:rPr>
  </w:style>
  <w:style w:type="character" w:customStyle="1" w:styleId="106">
    <w:name w:val="font111"/>
    <w:basedOn w:val="33"/>
    <w:autoRedefine/>
    <w:qFormat/>
    <w:uiPriority w:val="0"/>
    <w:rPr>
      <w:rFonts w:hint="eastAsia" w:ascii="宋体" w:hAnsi="宋体" w:eastAsia="宋体" w:cs="宋体"/>
      <w:color w:val="000000"/>
      <w:sz w:val="20"/>
      <w:szCs w:val="20"/>
      <w:u w:val="none"/>
    </w:rPr>
  </w:style>
  <w:style w:type="character" w:customStyle="1" w:styleId="107">
    <w:name w:val="font181"/>
    <w:basedOn w:val="33"/>
    <w:autoRedefine/>
    <w:qFormat/>
    <w:uiPriority w:val="0"/>
    <w:rPr>
      <w:rFonts w:hint="eastAsia" w:ascii="宋体" w:hAnsi="宋体" w:eastAsia="宋体" w:cs="宋体"/>
      <w:color w:val="FF0000"/>
      <w:sz w:val="20"/>
      <w:szCs w:val="20"/>
      <w:u w:val="none"/>
    </w:rPr>
  </w:style>
  <w:style w:type="character" w:customStyle="1" w:styleId="108">
    <w:name w:val="font191"/>
    <w:basedOn w:val="33"/>
    <w:autoRedefine/>
    <w:qFormat/>
    <w:uiPriority w:val="0"/>
    <w:rPr>
      <w:rFonts w:hint="eastAsia" w:ascii="宋体" w:hAnsi="宋体" w:eastAsia="宋体" w:cs="宋体"/>
      <w:b/>
      <w:bCs/>
      <w:color w:val="FF0000"/>
      <w:sz w:val="20"/>
      <w:szCs w:val="20"/>
      <w:u w:val="none"/>
    </w:rPr>
  </w:style>
  <w:style w:type="character" w:customStyle="1" w:styleId="109">
    <w:name w:val="font211"/>
    <w:basedOn w:val="33"/>
    <w:autoRedefine/>
    <w:qFormat/>
    <w:uiPriority w:val="0"/>
    <w:rPr>
      <w:rFonts w:hint="eastAsia" w:ascii="宋体" w:hAnsi="宋体" w:eastAsia="宋体" w:cs="宋体"/>
      <w:color w:val="FFFF00"/>
      <w:sz w:val="20"/>
      <w:szCs w:val="20"/>
      <w:u w:val="none"/>
    </w:rPr>
  </w:style>
  <w:style w:type="character" w:customStyle="1" w:styleId="110">
    <w:name w:val="font231"/>
    <w:basedOn w:val="33"/>
    <w:autoRedefine/>
    <w:qFormat/>
    <w:uiPriority w:val="0"/>
    <w:rPr>
      <w:rFonts w:hint="eastAsia" w:ascii="宋体" w:hAnsi="宋体" w:eastAsia="宋体" w:cs="宋体"/>
      <w:color w:val="000000"/>
      <w:sz w:val="18"/>
      <w:szCs w:val="18"/>
      <w:u w:val="none"/>
    </w:rPr>
  </w:style>
  <w:style w:type="character" w:customStyle="1" w:styleId="111">
    <w:name w:val="font241"/>
    <w:basedOn w:val="33"/>
    <w:autoRedefine/>
    <w:qFormat/>
    <w:uiPriority w:val="0"/>
    <w:rPr>
      <w:rFonts w:hint="eastAsia" w:ascii="宋体" w:hAnsi="宋体" w:eastAsia="宋体" w:cs="宋体"/>
      <w:b/>
      <w:bCs/>
      <w:color w:val="000000"/>
      <w:sz w:val="18"/>
      <w:szCs w:val="18"/>
      <w:u w:val="none"/>
    </w:rPr>
  </w:style>
  <w:style w:type="character" w:customStyle="1" w:styleId="112">
    <w:name w:val="font222"/>
    <w:basedOn w:val="33"/>
    <w:autoRedefine/>
    <w:qFormat/>
    <w:uiPriority w:val="0"/>
    <w:rPr>
      <w:rFonts w:ascii="宋体" w:hAnsi="宋体" w:eastAsia="宋体" w:cs="宋体"/>
      <w:color w:val="FF0000"/>
      <w:sz w:val="18"/>
      <w:szCs w:val="18"/>
      <w:u w:val="none"/>
    </w:rPr>
  </w:style>
  <w:style w:type="character" w:customStyle="1" w:styleId="113">
    <w:name w:val="font251"/>
    <w:basedOn w:val="33"/>
    <w:autoRedefine/>
    <w:qFormat/>
    <w:uiPriority w:val="0"/>
    <w:rPr>
      <w:rFonts w:hint="eastAsia" w:ascii="宋体" w:hAnsi="宋体" w:eastAsia="宋体" w:cs="宋体"/>
      <w:color w:val="FF0000"/>
      <w:sz w:val="18"/>
      <w:szCs w:val="18"/>
      <w:u w:val="none"/>
    </w:rPr>
  </w:style>
  <w:style w:type="character" w:customStyle="1" w:styleId="114">
    <w:name w:val="font261"/>
    <w:basedOn w:val="33"/>
    <w:autoRedefine/>
    <w:qFormat/>
    <w:uiPriority w:val="0"/>
    <w:rPr>
      <w:rFonts w:hint="eastAsia" w:ascii="宋体" w:hAnsi="宋体" w:eastAsia="宋体" w:cs="宋体"/>
      <w:color w:val="FF0000"/>
      <w:sz w:val="22"/>
      <w:szCs w:val="22"/>
      <w:u w:val="none"/>
    </w:rPr>
  </w:style>
  <w:style w:type="character" w:customStyle="1" w:styleId="115">
    <w:name w:val="font101"/>
    <w:basedOn w:val="33"/>
    <w:autoRedefine/>
    <w:qFormat/>
    <w:uiPriority w:val="0"/>
    <w:rPr>
      <w:rFonts w:hint="eastAsia" w:ascii="宋体" w:hAnsi="宋体" w:eastAsia="宋体" w:cs="宋体"/>
      <w:color w:val="000000"/>
      <w:sz w:val="22"/>
      <w:szCs w:val="22"/>
      <w:u w:val="none"/>
    </w:rPr>
  </w:style>
  <w:style w:type="character" w:customStyle="1" w:styleId="116">
    <w:name w:val="font271"/>
    <w:basedOn w:val="33"/>
    <w:autoRedefine/>
    <w:qFormat/>
    <w:uiPriority w:val="0"/>
    <w:rPr>
      <w:rFonts w:ascii="宋体" w:hAnsi="宋体" w:eastAsia="宋体" w:cs="宋体"/>
      <w:color w:val="FF0000"/>
      <w:sz w:val="22"/>
      <w:szCs w:val="22"/>
      <w:u w:val="none"/>
    </w:rPr>
  </w:style>
  <w:style w:type="character" w:customStyle="1" w:styleId="117">
    <w:name w:val="font201"/>
    <w:basedOn w:val="33"/>
    <w:autoRedefine/>
    <w:qFormat/>
    <w:uiPriority w:val="0"/>
    <w:rPr>
      <w:rFonts w:hint="default" w:ascii="方正书宋_GBK" w:hAnsi="方正书宋_GBK" w:eastAsia="方正书宋_GBK" w:cs="方正书宋_GBK"/>
      <w:color w:val="000000"/>
      <w:sz w:val="20"/>
      <w:szCs w:val="20"/>
      <w:u w:val="none"/>
    </w:rPr>
  </w:style>
  <w:style w:type="character" w:customStyle="1" w:styleId="118">
    <w:name w:val="UserStyle_0"/>
    <w:link w:val="119"/>
    <w:autoRedefine/>
    <w:qFormat/>
    <w:uiPriority w:val="0"/>
    <w:rPr>
      <w:rFonts w:ascii="Times New Roman" w:hAnsi="Times New Roman"/>
      <w:kern w:val="2"/>
      <w:sz w:val="24"/>
      <w:szCs w:val="24"/>
      <w:lang w:val="en-US" w:eastAsia="zh-CN" w:bidi="ar-SA"/>
    </w:rPr>
  </w:style>
  <w:style w:type="paragraph" w:customStyle="1" w:styleId="119">
    <w:name w:val="BodyTextIndent"/>
    <w:basedOn w:val="1"/>
    <w:link w:val="118"/>
    <w:autoRedefine/>
    <w:qFormat/>
    <w:uiPriority w:val="0"/>
    <w:pPr>
      <w:spacing w:line="240" w:lineRule="auto"/>
      <w:ind w:firstLine="560" w:firstLineChars="200"/>
      <w:jc w:val="both"/>
      <w:textAlignment w:val="baseline"/>
    </w:pPr>
    <w:rPr>
      <w:rFonts w:ascii="Times New Roman" w:hAnsi="Times New Roman"/>
      <w:kern w:val="2"/>
      <w:sz w:val="24"/>
      <w:szCs w:val="24"/>
      <w:lang w:val="en-US" w:eastAsia="zh-CN" w:bidi="ar-SA"/>
    </w:rPr>
  </w:style>
  <w:style w:type="character" w:customStyle="1" w:styleId="120">
    <w:name w:val="label"/>
    <w:basedOn w:val="33"/>
    <w:autoRedefine/>
    <w:qFormat/>
    <w:uiPriority w:val="0"/>
    <w:rPr>
      <w:color w:val="999999"/>
    </w:rPr>
  </w:style>
  <w:style w:type="character" w:customStyle="1" w:styleId="121">
    <w:name w:val="layui-laypage-curr"/>
    <w:basedOn w:val="33"/>
    <w:autoRedefine/>
    <w:qFormat/>
    <w:uiPriority w:val="0"/>
  </w:style>
  <w:style w:type="paragraph" w:customStyle="1" w:styleId="122">
    <w:name w:val="正文 New New New New New New New New New New New New New New New"/>
    <w:autoRedefine/>
    <w:qFormat/>
    <w:uiPriority w:val="0"/>
    <w:pPr>
      <w:widowControl w:val="0"/>
      <w:jc w:val="both"/>
    </w:pPr>
    <w:rPr>
      <w:rFonts w:ascii="Times New Roman" w:hAnsi="Times New Roman" w:eastAsia="仿宋" w:cs="Times New Roman"/>
      <w:kern w:val="2"/>
      <w:sz w:val="28"/>
      <w:szCs w:val="24"/>
      <w:lang w:val="en-US" w:eastAsia="zh-CN" w:bidi="ar-SA"/>
    </w:rPr>
  </w:style>
  <w:style w:type="paragraph" w:customStyle="1" w:styleId="123">
    <w:name w:val="WPSOffice手动目录 1"/>
    <w:autoRedefine/>
    <w:qFormat/>
    <w:uiPriority w:val="0"/>
    <w:pPr>
      <w:ind w:leftChars="0"/>
    </w:pPr>
    <w:rPr>
      <w:rFonts w:ascii="Times New Roman" w:hAnsi="Times New Roman" w:eastAsia="宋体" w:cs="Times New Roman"/>
      <w:sz w:val="20"/>
      <w:szCs w:val="20"/>
    </w:rPr>
  </w:style>
  <w:style w:type="paragraph" w:customStyle="1" w:styleId="124">
    <w:name w:val="WPSOffice手动目录 2"/>
    <w:autoRedefine/>
    <w:qFormat/>
    <w:uiPriority w:val="0"/>
    <w:pPr>
      <w:ind w:leftChars="200"/>
    </w:pPr>
    <w:rPr>
      <w:rFonts w:ascii="Times New Roman" w:hAnsi="Times New Roman" w:eastAsia="宋体" w:cs="Times New Roman"/>
      <w:sz w:val="20"/>
      <w:szCs w:val="20"/>
    </w:rPr>
  </w:style>
  <w:style w:type="paragraph" w:customStyle="1" w:styleId="125">
    <w:name w:val=" Char Char Char"/>
    <w:basedOn w:val="1"/>
    <w:autoRedefine/>
    <w:qFormat/>
    <w:uiPriority w:val="0"/>
    <w:rPr>
      <w:rFonts w:ascii="Tahoma" w:hAnsi="Tahoma"/>
      <w:sz w:val="24"/>
      <w:szCs w:val="20"/>
    </w:rPr>
  </w:style>
  <w:style w:type="character" w:customStyle="1" w:styleId="126">
    <w:name w:val="current"/>
    <w:basedOn w:val="33"/>
    <w:autoRedefine/>
    <w:qFormat/>
    <w:uiPriority w:val="0"/>
    <w:rPr>
      <w:color w:val="00C1DE"/>
    </w:rPr>
  </w:style>
  <w:style w:type="character" w:customStyle="1" w:styleId="127">
    <w:name w:val="current1"/>
    <w:basedOn w:val="33"/>
    <w:autoRedefine/>
    <w:qFormat/>
    <w:uiPriority w:val="0"/>
    <w:rPr>
      <w:color w:val="00C1DE"/>
    </w:rPr>
  </w:style>
  <w:style w:type="character" w:customStyle="1" w:styleId="128">
    <w:name w:val="info-label"/>
    <w:basedOn w:val="33"/>
    <w:autoRedefine/>
    <w:qFormat/>
    <w:uiPriority w:val="0"/>
    <w:rPr>
      <w:b/>
      <w:bCs/>
    </w:rPr>
  </w:style>
  <w:style w:type="character" w:customStyle="1" w:styleId="129">
    <w:name w:val="info-content"/>
    <w:basedOn w:val="33"/>
    <w:autoRedefine/>
    <w:qFormat/>
    <w:uiPriority w:val="0"/>
    <w:rPr>
      <w:color w:val="808080"/>
    </w:rPr>
  </w:style>
  <w:style w:type="paragraph" w:customStyle="1" w:styleId="130">
    <w:name w:val="正"/>
    <w:autoRedefine/>
    <w:qFormat/>
    <w:uiPriority w:val="0"/>
    <w:pPr>
      <w:widowControl w:val="0"/>
      <w:tabs>
        <w:tab w:val="left" w:pos="-120"/>
      </w:tabs>
      <w:adjustRightInd w:val="0"/>
      <w:spacing w:line="560" w:lineRule="exact"/>
      <w:ind w:firstLine="600"/>
      <w:jc w:val="both"/>
      <w:textAlignment w:val="baseline"/>
    </w:pPr>
    <w:rPr>
      <w:rFonts w:ascii="仿宋_GB2312" w:hAnsi="Calibri" w:eastAsia="仿宋_GB2312" w:cs="Times New Roman"/>
      <w:color w:val="000000"/>
      <w:spacing w:val="20"/>
      <w:kern w:val="0"/>
      <w:sz w:val="28"/>
      <w:szCs w:val="28"/>
      <w:lang w:val="en-US" w:eastAsia="zh-CN" w:bidi="ar-SA"/>
    </w:rPr>
  </w:style>
  <w:style w:type="character" w:customStyle="1" w:styleId="131">
    <w:name w:val="h2 Char"/>
    <w:qFormat/>
    <w:uiPriority w:val="0"/>
    <w:rPr>
      <w:rFonts w:hint="default" w:ascii="Arial" w:hAnsi="Arial" w:eastAsia="黑体" w:cs="Arial"/>
      <w:b/>
      <w:bCs/>
      <w:kern w:val="2"/>
      <w:sz w:val="32"/>
      <w:szCs w:val="32"/>
      <w:lang w:val="en-US" w:eastAsia="zh-CN" w:bidi="ar-SA"/>
    </w:rPr>
  </w:style>
  <w:style w:type="paragraph" w:customStyle="1" w:styleId="132">
    <w:name w:val="Table Paragraph"/>
    <w:basedOn w:val="1"/>
    <w:qFormat/>
    <w:uiPriority w:val="1"/>
    <w:rPr>
      <w:rFonts w:ascii="宋体" w:hAnsi="宋体" w:eastAsia="宋体" w:cs="宋体"/>
      <w:lang w:val="zh-CN" w:eastAsia="zh-CN" w:bidi="zh-CN"/>
    </w:rPr>
  </w:style>
  <w:style w:type="paragraph" w:customStyle="1" w:styleId="133">
    <w:name w:val="NormalIndent"/>
    <w:basedOn w:val="1"/>
    <w:next w:val="24"/>
    <w:qFormat/>
    <w:uiPriority w:val="0"/>
    <w:pPr>
      <w:ind w:firstLine="420"/>
      <w:jc w:val="both"/>
      <w:textAlignment w:val="baseline"/>
    </w:pPr>
    <w:rPr>
      <w:kern w:val="2"/>
      <w:sz w:val="21"/>
      <w:szCs w:val="20"/>
      <w:lang w:val="en-US" w:eastAsia="zh-CN" w:bidi="ar-SA"/>
    </w:rPr>
  </w:style>
  <w:style w:type="paragraph" w:customStyle="1" w:styleId="134">
    <w:name w:val="Table Text"/>
    <w:basedOn w:val="1"/>
    <w:qFormat/>
    <w:uiPriority w:val="0"/>
    <w:pPr>
      <w:widowControl/>
      <w:spacing w:before="60" w:after="60"/>
      <w:jc w:val="left"/>
    </w:pPr>
    <w:rPr>
      <w:kern w:val="0"/>
      <w:sz w:val="24"/>
    </w:rPr>
  </w:style>
  <w:style w:type="paragraph" w:customStyle="1" w:styleId="135">
    <w:name w:val="列出段落3"/>
    <w:basedOn w:val="1"/>
    <w:autoRedefine/>
    <w:qFormat/>
    <w:uiPriority w:val="34"/>
    <w:pPr>
      <w:ind w:firstLine="420" w:firstLineChars="200"/>
    </w:pPr>
    <w:rPr>
      <w:szCs w:val="22"/>
    </w:rPr>
  </w:style>
  <w:style w:type="paragraph" w:customStyle="1" w:styleId="136">
    <w:name w:val="列表段落1"/>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11089</Words>
  <Characters>11662</Characters>
  <Lines>418</Lines>
  <Paragraphs>117</Paragraphs>
  <TotalTime>36</TotalTime>
  <ScaleCrop>false</ScaleCrop>
  <LinksUpToDate>false</LinksUpToDate>
  <CharactersWithSpaces>11857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2017-11-15T14:55:00Z</dcterms:created>
  <dc:creator>lenovn</dc:creator>
  <cp:lastModifiedBy>～小丹</cp:lastModifiedBy>
  <cp:lastPrinted>2024-08-05T06:59:00Z</cp:lastPrinted>
  <dcterms:modified xsi:type="dcterms:W3CDTF">2026-05-29T06:53:40Z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DB9F5C2BE2724B2C83B4EFC1554E1101_13</vt:lpwstr>
  </property>
  <property fmtid="{D5CDD505-2E9C-101B-9397-08002B2CF9AE}" pid="4" name="KSOTemplateDocerSaveRecord">
    <vt:lpwstr>eyJoZGlkIjoiODRhYjkzYTVlMjEzNTZhYjFmMzI1MTczZjdhODI2YjYiLCJ1c2VySWQiOiI1MDI0OTEwMTkifQ==</vt:lpwstr>
  </property>
</Properties>
</file>