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620939">
      <w:pPr>
        <w:spacing w:line="360" w:lineRule="auto"/>
        <w:rPr>
          <w:highlight w:val="none"/>
        </w:rPr>
      </w:pPr>
    </w:p>
    <w:p w14:paraId="326CC763">
      <w:pPr>
        <w:spacing w:line="360" w:lineRule="auto"/>
        <w:rPr>
          <w:highlight w:val="none"/>
        </w:rPr>
      </w:pPr>
      <w:bookmarkStart w:id="0" w:name="_Hlk83600134"/>
      <w:bookmarkEnd w:id="0"/>
    </w:p>
    <w:p w14:paraId="4F795419">
      <w:pPr>
        <w:spacing w:line="360" w:lineRule="auto"/>
        <w:rPr>
          <w:highlight w:val="none"/>
        </w:rPr>
      </w:pPr>
    </w:p>
    <w:p w14:paraId="2D03E621">
      <w:pPr>
        <w:spacing w:line="360" w:lineRule="auto"/>
        <w:jc w:val="center"/>
        <w:rPr>
          <w:rFonts w:hint="eastAsia" w:eastAsia="宋体"/>
          <w:sz w:val="72"/>
          <w:highlight w:val="none"/>
          <w:lang w:eastAsia="zh-CN"/>
        </w:rPr>
      </w:pPr>
      <w:r>
        <w:rPr>
          <w:rFonts w:hint="eastAsia" w:eastAsia="宋体"/>
          <w:sz w:val="72"/>
          <w:highlight w:val="none"/>
          <w:lang w:eastAsia="zh-CN"/>
        </w:rPr>
        <w:drawing>
          <wp:inline distT="0" distB="0" distL="114300" distR="114300">
            <wp:extent cx="1910080" cy="1695450"/>
            <wp:effectExtent l="0" t="0" r="13970" b="0"/>
            <wp:docPr id="6" name="图片 6" descr="9f2b9b3a268078978452620ec084b9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9f2b9b3a268078978452620ec084b9aa"/>
                    <pic:cNvPicPr>
                      <a:picLocks noChangeAspect="1"/>
                    </pic:cNvPicPr>
                  </pic:nvPicPr>
                  <pic:blipFill>
                    <a:blip r:embed="rId12"/>
                    <a:stretch>
                      <a:fillRect/>
                    </a:stretch>
                  </pic:blipFill>
                  <pic:spPr>
                    <a:xfrm>
                      <a:off x="0" y="0"/>
                      <a:ext cx="1910080" cy="1695450"/>
                    </a:xfrm>
                    <a:prstGeom prst="rect">
                      <a:avLst/>
                    </a:prstGeom>
                  </pic:spPr>
                </pic:pic>
              </a:graphicData>
            </a:graphic>
          </wp:inline>
        </w:drawing>
      </w:r>
    </w:p>
    <w:p w14:paraId="09B33CBC">
      <w:pPr>
        <w:spacing w:line="360" w:lineRule="auto"/>
        <w:jc w:val="both"/>
        <w:rPr>
          <w:rFonts w:hint="eastAsia"/>
          <w:sz w:val="72"/>
          <w:highlight w:val="none"/>
        </w:rPr>
      </w:pPr>
    </w:p>
    <w:p w14:paraId="6B9403B3">
      <w:pPr>
        <w:spacing w:line="360" w:lineRule="auto"/>
        <w:jc w:val="center"/>
        <w:rPr>
          <w:highlight w:val="none"/>
        </w:rPr>
      </w:pPr>
      <w:r>
        <w:rPr>
          <w:rFonts w:hint="eastAsia"/>
          <w:sz w:val="72"/>
          <w:highlight w:val="none"/>
        </w:rPr>
        <w:t>招 标 文 件</w:t>
      </w:r>
      <w:r>
        <w:rPr>
          <w:rFonts w:hint="eastAsia"/>
          <w:highlight w:val="none"/>
        </w:rPr>
        <w:br w:type="textWrapping"/>
      </w:r>
    </w:p>
    <w:p w14:paraId="77F91CBD">
      <w:pPr>
        <w:pStyle w:val="11"/>
        <w:spacing w:line="360" w:lineRule="auto"/>
        <w:ind w:firstLine="480"/>
        <w:rPr>
          <w:highlight w:val="none"/>
        </w:rPr>
      </w:pPr>
    </w:p>
    <w:p w14:paraId="3F9A1815">
      <w:pPr>
        <w:spacing w:line="360" w:lineRule="auto"/>
        <w:rPr>
          <w:highlight w:val="none"/>
        </w:rPr>
      </w:pPr>
    </w:p>
    <w:p w14:paraId="0AD86359">
      <w:pPr>
        <w:spacing w:line="360" w:lineRule="auto"/>
        <w:rPr>
          <w:highlight w:val="none"/>
        </w:rPr>
      </w:pPr>
    </w:p>
    <w:p w14:paraId="5495DEFC">
      <w:pPr>
        <w:spacing w:line="360" w:lineRule="auto"/>
        <w:rPr>
          <w:highlight w:val="none"/>
        </w:rPr>
      </w:pPr>
    </w:p>
    <w:p w14:paraId="388D93A0">
      <w:pPr>
        <w:spacing w:line="360" w:lineRule="auto"/>
        <w:rPr>
          <w:rFonts w:hint="eastAsia"/>
          <w:highlight w:val="none"/>
        </w:rPr>
      </w:pPr>
    </w:p>
    <w:p w14:paraId="1925C645">
      <w:pPr>
        <w:spacing w:line="360" w:lineRule="auto"/>
        <w:rPr>
          <w:rFonts w:hint="eastAsia"/>
          <w:highlight w:val="none"/>
          <w:lang w:val="en-US" w:eastAsia="zh-CN"/>
        </w:rPr>
      </w:pPr>
      <w:r>
        <w:rPr>
          <w:rFonts w:hint="eastAsia"/>
          <w:highlight w:val="none"/>
        </w:rPr>
        <w:t>项目编号：</w:t>
      </w:r>
      <w:r>
        <w:rPr>
          <w:rFonts w:hint="eastAsia"/>
          <w:highlight w:val="none"/>
          <w:lang w:val="en-US" w:eastAsia="zh-CN"/>
        </w:rPr>
        <w:t>[2026]12919号</w:t>
      </w:r>
    </w:p>
    <w:p w14:paraId="201C6306">
      <w:pPr>
        <w:spacing w:line="360" w:lineRule="auto"/>
        <w:rPr>
          <w:rFonts w:hint="eastAsia"/>
          <w:highlight w:val="none"/>
          <w:lang w:eastAsia="zh-CN"/>
        </w:rPr>
      </w:pPr>
      <w:r>
        <w:rPr>
          <w:rFonts w:hint="eastAsia"/>
          <w:highlight w:val="none"/>
        </w:rPr>
        <w:t xml:space="preserve">项目名称: </w:t>
      </w:r>
      <w:r>
        <w:rPr>
          <w:rFonts w:hint="eastAsia"/>
          <w:highlight w:val="none"/>
          <w:lang w:eastAsia="zh-CN"/>
        </w:rPr>
        <w:t>新疆医科大学附属肿瘤医院调料采购项目</w:t>
      </w:r>
    </w:p>
    <w:p w14:paraId="27628E46">
      <w:pPr>
        <w:spacing w:line="360" w:lineRule="auto"/>
        <w:rPr>
          <w:rFonts w:hint="eastAsia" w:eastAsia="宋体"/>
          <w:highlight w:val="none"/>
          <w:lang w:eastAsia="zh-CN"/>
        </w:rPr>
      </w:pPr>
      <w:r>
        <w:rPr>
          <w:rFonts w:hint="eastAsia"/>
          <w:highlight w:val="none"/>
        </w:rPr>
        <w:t>采 购 人（盖章）：</w:t>
      </w:r>
      <w:r>
        <w:rPr>
          <w:rFonts w:hint="eastAsia"/>
          <w:highlight w:val="none"/>
          <w:lang w:eastAsia="zh-CN"/>
        </w:rPr>
        <w:t>新疆医科大学附属肿瘤医院</w:t>
      </w:r>
    </w:p>
    <w:p w14:paraId="3C9EC857">
      <w:pPr>
        <w:spacing w:line="360" w:lineRule="auto"/>
        <w:rPr>
          <w:highlight w:val="none"/>
        </w:rPr>
      </w:pPr>
      <w:r>
        <w:rPr>
          <w:rFonts w:hint="eastAsia"/>
          <w:highlight w:val="none"/>
        </w:rPr>
        <w:t>联系人：</w:t>
      </w:r>
      <w:r>
        <w:rPr>
          <w:rFonts w:hint="eastAsia"/>
          <w:highlight w:val="none"/>
          <w:lang w:eastAsia="zh-CN"/>
        </w:rPr>
        <w:t>丁老师</w:t>
      </w:r>
      <w:r>
        <w:rPr>
          <w:rFonts w:hint="eastAsia"/>
          <w:highlight w:val="none"/>
        </w:rPr>
        <w:t xml:space="preserve"> </w:t>
      </w:r>
    </w:p>
    <w:p w14:paraId="667F3B05">
      <w:pPr>
        <w:spacing w:line="360" w:lineRule="auto"/>
        <w:rPr>
          <w:highlight w:val="none"/>
        </w:rPr>
      </w:pPr>
      <w:r>
        <w:rPr>
          <w:rFonts w:hint="eastAsia"/>
          <w:highlight w:val="none"/>
        </w:rPr>
        <w:t>联系方式： 0991-7819055</w:t>
      </w:r>
    </w:p>
    <w:p w14:paraId="6904D60F">
      <w:pPr>
        <w:spacing w:line="360" w:lineRule="auto"/>
        <w:rPr>
          <w:highlight w:val="none"/>
        </w:rPr>
      </w:pPr>
      <w:r>
        <w:rPr>
          <w:rFonts w:hint="eastAsia"/>
          <w:highlight w:val="none"/>
        </w:rPr>
        <mc:AlternateContent>
          <mc:Choice Requires="wps">
            <w:drawing>
              <wp:anchor distT="0" distB="0" distL="114300" distR="114300" simplePos="0" relativeHeight="251660288" behindDoc="0" locked="0" layoutInCell="1" allowOverlap="1">
                <wp:simplePos x="0" y="0"/>
                <wp:positionH relativeFrom="column">
                  <wp:posOffset>94615</wp:posOffset>
                </wp:positionH>
                <wp:positionV relativeFrom="paragraph">
                  <wp:posOffset>93345</wp:posOffset>
                </wp:positionV>
                <wp:extent cx="5626735" cy="0"/>
                <wp:effectExtent l="0" t="6350" r="12065" b="6350"/>
                <wp:wrapNone/>
                <wp:docPr id="9" name="直接连接符 9"/>
                <wp:cNvGraphicFramePr/>
                <a:graphic xmlns:a="http://schemas.openxmlformats.org/drawingml/2006/main">
                  <a:graphicData uri="http://schemas.microsoft.com/office/word/2010/wordprocessingShape">
                    <wps:wsp>
                      <wps:cNvCnPr/>
                      <wps:spPr>
                        <a:xfrm>
                          <a:off x="0" y="0"/>
                          <a:ext cx="5626735" cy="0"/>
                        </a:xfrm>
                        <a:prstGeom prst="line">
                          <a:avLst/>
                        </a:prstGeom>
                        <a:ln w="12700" cap="flat" cmpd="sng">
                          <a:solidFill>
                            <a:srgbClr val="000000"/>
                          </a:solidFill>
                          <a:prstDash val="sysDot"/>
                          <a:headEnd type="none" w="med" len="med"/>
                          <a:tailEnd type="none" w="med" len="med"/>
                        </a:ln>
                      </wps:spPr>
                      <wps:bodyPr/>
                    </wps:wsp>
                  </a:graphicData>
                </a:graphic>
              </wp:anchor>
            </w:drawing>
          </mc:Choice>
          <mc:Fallback>
            <w:pict>
              <v:line id="_x0000_s1026" o:spid="_x0000_s1026" o:spt="20" style="position:absolute;left:0pt;margin-left:7.45pt;margin-top:7.35pt;height:0pt;width:443.05pt;z-index:251660288;mso-width-relative:page;mso-height-relative:page;" filled="f" stroked="t" coordsize="21600,21600" o:gfxdata="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i&#10;wOvA0wAAAAgBAAAPAAAAAAAAAAEAIAAAACIAAABkcnMvZG93bnJldi54bWxQSwECFAAUAAAACACH&#10;TuJA/BdJvPABAADaAwAADgAAAAAAAAABACAAAAAiAQAAZHJzL2Uyb0RvYy54bWxQSwUGAAAAAAYA&#10;BgBZAQAAhAUAAAAA&#10;">
                <v:fill on="f" focussize="0,0"/>
                <v:stroke weight="1pt" color="#000000" joinstyle="round" dashstyle="1 1"/>
                <v:imagedata o:title=""/>
                <o:lock v:ext="edit" aspectratio="f"/>
              </v:line>
            </w:pict>
          </mc:Fallback>
        </mc:AlternateContent>
      </w:r>
    </w:p>
    <w:p w14:paraId="5EE17D92">
      <w:pPr>
        <w:spacing w:line="360" w:lineRule="auto"/>
        <w:rPr>
          <w:rFonts w:hint="eastAsia" w:eastAsia="宋体"/>
          <w:highlight w:val="none"/>
          <w:lang w:eastAsia="zh-CN"/>
        </w:rPr>
      </w:pPr>
      <w:r>
        <w:rPr>
          <w:rFonts w:hint="eastAsia"/>
          <w:highlight w:val="none"/>
        </w:rPr>
        <w:t>采购代理机构（盖章）：</w:t>
      </w:r>
      <w:r>
        <w:rPr>
          <w:rFonts w:hint="eastAsia"/>
          <w:highlight w:val="none"/>
          <w:lang w:eastAsia="zh-CN"/>
        </w:rPr>
        <w:t>华诚博远工程咨询有限公司</w:t>
      </w:r>
    </w:p>
    <w:p w14:paraId="75E80B00">
      <w:pPr>
        <w:spacing w:line="360" w:lineRule="auto"/>
        <w:rPr>
          <w:rFonts w:hint="eastAsia" w:eastAsia="宋体"/>
          <w:highlight w:val="none"/>
          <w:lang w:eastAsia="zh-CN"/>
        </w:rPr>
      </w:pPr>
      <w:r>
        <w:rPr>
          <w:rFonts w:hint="eastAsia"/>
          <w:highlight w:val="none"/>
        </w:rPr>
        <w:t>项目联系人：</w:t>
      </w:r>
      <w:r>
        <w:rPr>
          <w:rFonts w:hint="eastAsia"/>
          <w:highlight w:val="none"/>
          <w:lang w:eastAsia="zh-CN"/>
        </w:rPr>
        <w:t>许雪洁</w:t>
      </w:r>
    </w:p>
    <w:p w14:paraId="15482F8D">
      <w:pPr>
        <w:spacing w:line="360" w:lineRule="auto"/>
        <w:rPr>
          <w:rFonts w:hint="eastAsia" w:eastAsia="宋体"/>
          <w:highlight w:val="none"/>
          <w:lang w:eastAsia="zh-CN"/>
        </w:rPr>
      </w:pPr>
      <w:r>
        <w:rPr>
          <w:rFonts w:hint="eastAsia"/>
          <w:highlight w:val="none"/>
        </w:rPr>
        <w:t>联系方式：</w:t>
      </w:r>
      <w:r>
        <w:rPr>
          <w:rFonts w:hint="eastAsia"/>
          <w:highlight w:val="none"/>
          <w:lang w:val="en-US" w:eastAsia="zh-CN"/>
        </w:rPr>
        <w:t>13150328552</w:t>
      </w:r>
      <w:r>
        <w:rPr>
          <w:rFonts w:hint="eastAsia"/>
          <w:highlight w:val="none"/>
          <w:lang w:eastAsia="zh-CN"/>
        </w:rPr>
        <w:t xml:space="preserve"> </w:t>
      </w:r>
    </w:p>
    <w:p w14:paraId="5B11C8BC">
      <w:pPr>
        <w:spacing w:line="360" w:lineRule="auto"/>
        <w:rPr>
          <w:rFonts w:hint="default" w:eastAsia="宋体"/>
          <w:highlight w:val="none"/>
          <w:lang w:val="en-US" w:eastAsia="zh-CN"/>
        </w:rPr>
      </w:pPr>
      <w:r>
        <w:rPr>
          <w:rFonts w:hint="eastAsia"/>
          <w:highlight w:val="none"/>
        </w:rPr>
        <w:t>详细地址：</w:t>
      </w:r>
      <w:r>
        <w:rPr>
          <w:rFonts w:hint="eastAsia"/>
          <w:highlight w:val="none"/>
          <w:lang w:eastAsia="zh-CN"/>
        </w:rPr>
        <w:t>新疆乌鲁木齐市新市区鲤鱼山北路</w:t>
      </w:r>
      <w:r>
        <w:rPr>
          <w:rFonts w:hint="eastAsia"/>
          <w:highlight w:val="none"/>
          <w:lang w:val="en-US" w:eastAsia="zh-CN"/>
        </w:rPr>
        <w:t>298号领世广场1404室</w:t>
      </w:r>
    </w:p>
    <w:p w14:paraId="3FD52C41">
      <w:pPr>
        <w:pStyle w:val="40"/>
        <w:spacing w:line="360" w:lineRule="auto"/>
        <w:ind w:firstLine="1440"/>
        <w:rPr>
          <w:rFonts w:ascii="黑体" w:hAnsi="黑体" w:eastAsia="黑体"/>
          <w:sz w:val="72"/>
          <w:szCs w:val="72"/>
          <w:highlight w:val="none"/>
        </w:rPr>
        <w:sectPr>
          <w:pgSz w:w="11906" w:h="16838"/>
          <w:pgMar w:top="1440" w:right="1800" w:bottom="1440" w:left="1800" w:header="851" w:footer="879" w:gutter="0"/>
          <w:pgNumType w:fmt="decimal"/>
          <w:cols w:space="0" w:num="1"/>
          <w:docGrid w:type="lines" w:linePitch="312" w:charSpace="0"/>
        </w:sectPr>
      </w:pPr>
    </w:p>
    <w:p w14:paraId="2C74BBD0">
      <w:pPr>
        <w:spacing w:line="360" w:lineRule="auto"/>
        <w:jc w:val="center"/>
        <w:rPr>
          <w:highlight w:val="none"/>
        </w:rPr>
      </w:pPr>
      <w:r>
        <w:rPr>
          <w:rFonts w:hint="eastAsia"/>
          <w:highlight w:val="none"/>
        </w:rPr>
        <w:t>目  录</w:t>
      </w:r>
    </w:p>
    <w:p w14:paraId="2A6CE597">
      <w:pPr>
        <w:pStyle w:val="24"/>
        <w:tabs>
          <w:tab w:val="right" w:leader="dot" w:pos="8306"/>
        </w:tabs>
        <w:spacing w:line="360" w:lineRule="auto"/>
        <w:rPr>
          <w:highlight w:val="none"/>
        </w:rPr>
      </w:pPr>
      <w:r>
        <w:rPr>
          <w:rFonts w:hint="eastAsia"/>
          <w:highlight w:val="none"/>
        </w:rPr>
        <w:fldChar w:fldCharType="begin"/>
      </w:r>
      <w:r>
        <w:rPr>
          <w:rFonts w:hint="eastAsia"/>
          <w:highlight w:val="none"/>
        </w:rPr>
        <w:instrText xml:space="preserve">TOC \o "1-2" \h \u </w:instrText>
      </w:r>
      <w:r>
        <w:rPr>
          <w:rFonts w:hint="eastAsia"/>
          <w:highlight w:val="none"/>
        </w:rPr>
        <w:fldChar w:fldCharType="separate"/>
      </w:r>
      <w:r>
        <w:rPr>
          <w:rFonts w:hint="eastAsia"/>
          <w:highlight w:val="none"/>
        </w:rPr>
        <w:fldChar w:fldCharType="begin"/>
      </w:r>
      <w:r>
        <w:rPr>
          <w:rFonts w:hint="eastAsia"/>
          <w:highlight w:val="none"/>
        </w:rPr>
        <w:instrText xml:space="preserve"> HYPERLINK \l _Toc4647 </w:instrText>
      </w:r>
      <w:r>
        <w:rPr>
          <w:rFonts w:hint="eastAsia"/>
          <w:highlight w:val="none"/>
        </w:rPr>
        <w:fldChar w:fldCharType="separate"/>
      </w:r>
      <w:r>
        <w:rPr>
          <w:rFonts w:hint="eastAsia"/>
          <w:highlight w:val="none"/>
        </w:rPr>
        <w:t>第一章 招标公告</w:t>
      </w:r>
      <w:r>
        <w:rPr>
          <w:highlight w:val="none"/>
        </w:rPr>
        <w:tab/>
      </w:r>
      <w:r>
        <w:rPr>
          <w:highlight w:val="none"/>
        </w:rPr>
        <w:fldChar w:fldCharType="begin"/>
      </w:r>
      <w:r>
        <w:rPr>
          <w:highlight w:val="none"/>
        </w:rPr>
        <w:instrText xml:space="preserve"> PAGEREF _Toc4647 \h </w:instrText>
      </w:r>
      <w:r>
        <w:rPr>
          <w:highlight w:val="none"/>
        </w:rPr>
        <w:fldChar w:fldCharType="separate"/>
      </w:r>
      <w:r>
        <w:rPr>
          <w:highlight w:val="none"/>
        </w:rPr>
        <w:t>1</w:t>
      </w:r>
      <w:r>
        <w:rPr>
          <w:highlight w:val="none"/>
        </w:rPr>
        <w:fldChar w:fldCharType="end"/>
      </w:r>
      <w:r>
        <w:rPr>
          <w:rFonts w:hint="eastAsia"/>
          <w:highlight w:val="none"/>
        </w:rPr>
        <w:fldChar w:fldCharType="end"/>
      </w:r>
    </w:p>
    <w:p w14:paraId="7546653F">
      <w:pPr>
        <w:pStyle w:val="24"/>
        <w:tabs>
          <w:tab w:val="right" w:leader="dot" w:pos="8306"/>
        </w:tabs>
        <w:spacing w:line="360" w:lineRule="auto"/>
        <w:rPr>
          <w:highlight w:val="none"/>
        </w:rPr>
      </w:pPr>
      <w:r>
        <w:rPr>
          <w:rFonts w:hint="eastAsia"/>
          <w:highlight w:val="none"/>
        </w:rPr>
        <w:fldChar w:fldCharType="begin"/>
      </w:r>
      <w:r>
        <w:rPr>
          <w:rFonts w:hint="eastAsia"/>
          <w:highlight w:val="none"/>
        </w:rPr>
        <w:instrText xml:space="preserve"> HYPERLINK \l _Toc5028 </w:instrText>
      </w:r>
      <w:r>
        <w:rPr>
          <w:rFonts w:hint="eastAsia"/>
          <w:highlight w:val="none"/>
        </w:rPr>
        <w:fldChar w:fldCharType="separate"/>
      </w:r>
      <w:r>
        <w:rPr>
          <w:rFonts w:hint="eastAsia"/>
          <w:highlight w:val="none"/>
        </w:rPr>
        <w:t>第二章 投标人须知</w:t>
      </w:r>
      <w:r>
        <w:rPr>
          <w:highlight w:val="none"/>
        </w:rPr>
        <w:tab/>
      </w:r>
      <w:r>
        <w:rPr>
          <w:highlight w:val="none"/>
        </w:rPr>
        <w:fldChar w:fldCharType="begin"/>
      </w:r>
      <w:r>
        <w:rPr>
          <w:highlight w:val="none"/>
        </w:rPr>
        <w:instrText xml:space="preserve"> PAGEREF _Toc5028 \h </w:instrText>
      </w:r>
      <w:r>
        <w:rPr>
          <w:highlight w:val="none"/>
        </w:rPr>
        <w:fldChar w:fldCharType="separate"/>
      </w:r>
      <w:r>
        <w:rPr>
          <w:highlight w:val="none"/>
        </w:rPr>
        <w:t>5</w:t>
      </w:r>
      <w:r>
        <w:rPr>
          <w:highlight w:val="none"/>
        </w:rPr>
        <w:fldChar w:fldCharType="end"/>
      </w:r>
      <w:r>
        <w:rPr>
          <w:rFonts w:hint="eastAsia"/>
          <w:highlight w:val="none"/>
        </w:rPr>
        <w:fldChar w:fldCharType="end"/>
      </w:r>
    </w:p>
    <w:p w14:paraId="291F2885">
      <w:pPr>
        <w:pStyle w:val="24"/>
        <w:tabs>
          <w:tab w:val="right" w:leader="dot" w:pos="8306"/>
        </w:tabs>
        <w:spacing w:line="360" w:lineRule="auto"/>
        <w:rPr>
          <w:highlight w:val="none"/>
        </w:rPr>
      </w:pPr>
      <w:r>
        <w:rPr>
          <w:rFonts w:hint="eastAsia"/>
          <w:highlight w:val="none"/>
        </w:rPr>
        <w:fldChar w:fldCharType="begin"/>
      </w:r>
      <w:r>
        <w:rPr>
          <w:rFonts w:hint="eastAsia"/>
          <w:highlight w:val="none"/>
        </w:rPr>
        <w:instrText xml:space="preserve"> HYPERLINK \l _Toc28263 </w:instrText>
      </w:r>
      <w:r>
        <w:rPr>
          <w:rFonts w:hint="eastAsia"/>
          <w:highlight w:val="none"/>
        </w:rPr>
        <w:fldChar w:fldCharType="separate"/>
      </w:r>
      <w:r>
        <w:rPr>
          <w:rFonts w:hint="eastAsia"/>
          <w:highlight w:val="none"/>
        </w:rPr>
        <w:t>第三章 采购需求</w:t>
      </w:r>
      <w:r>
        <w:rPr>
          <w:highlight w:val="none"/>
        </w:rPr>
        <w:tab/>
      </w:r>
      <w:r>
        <w:rPr>
          <w:highlight w:val="none"/>
        </w:rPr>
        <w:fldChar w:fldCharType="begin"/>
      </w:r>
      <w:r>
        <w:rPr>
          <w:highlight w:val="none"/>
        </w:rPr>
        <w:instrText xml:space="preserve"> PAGEREF _Toc28263 \h </w:instrText>
      </w:r>
      <w:r>
        <w:rPr>
          <w:highlight w:val="none"/>
        </w:rPr>
        <w:fldChar w:fldCharType="separate"/>
      </w:r>
      <w:r>
        <w:rPr>
          <w:highlight w:val="none"/>
        </w:rPr>
        <w:t>47</w:t>
      </w:r>
      <w:r>
        <w:rPr>
          <w:highlight w:val="none"/>
        </w:rPr>
        <w:fldChar w:fldCharType="end"/>
      </w:r>
      <w:r>
        <w:rPr>
          <w:rFonts w:hint="eastAsia"/>
          <w:highlight w:val="none"/>
        </w:rPr>
        <w:fldChar w:fldCharType="end"/>
      </w:r>
    </w:p>
    <w:p w14:paraId="2841A364">
      <w:pPr>
        <w:pStyle w:val="24"/>
        <w:tabs>
          <w:tab w:val="right" w:leader="dot" w:pos="8306"/>
        </w:tabs>
        <w:spacing w:line="360" w:lineRule="auto"/>
        <w:rPr>
          <w:highlight w:val="none"/>
        </w:rPr>
      </w:pPr>
      <w:r>
        <w:rPr>
          <w:rFonts w:hint="eastAsia"/>
          <w:highlight w:val="none"/>
        </w:rPr>
        <w:fldChar w:fldCharType="begin"/>
      </w:r>
      <w:r>
        <w:rPr>
          <w:rFonts w:hint="eastAsia"/>
          <w:highlight w:val="none"/>
        </w:rPr>
        <w:instrText xml:space="preserve"> HYPERLINK \l _Toc18577 </w:instrText>
      </w:r>
      <w:r>
        <w:rPr>
          <w:rFonts w:hint="eastAsia"/>
          <w:highlight w:val="none"/>
        </w:rPr>
        <w:fldChar w:fldCharType="separate"/>
      </w:r>
      <w:r>
        <w:rPr>
          <w:rFonts w:hint="eastAsia"/>
          <w:highlight w:val="none"/>
        </w:rPr>
        <w:t>第四章 资格审查</w:t>
      </w:r>
      <w:r>
        <w:rPr>
          <w:highlight w:val="none"/>
        </w:rPr>
        <w:tab/>
      </w:r>
      <w:r>
        <w:rPr>
          <w:highlight w:val="none"/>
        </w:rPr>
        <w:fldChar w:fldCharType="begin"/>
      </w:r>
      <w:r>
        <w:rPr>
          <w:highlight w:val="none"/>
        </w:rPr>
        <w:instrText xml:space="preserve"> PAGEREF _Toc18577 \h </w:instrText>
      </w:r>
      <w:r>
        <w:rPr>
          <w:highlight w:val="none"/>
        </w:rPr>
        <w:fldChar w:fldCharType="separate"/>
      </w:r>
      <w:r>
        <w:rPr>
          <w:highlight w:val="none"/>
        </w:rPr>
        <w:t>63</w:t>
      </w:r>
      <w:r>
        <w:rPr>
          <w:highlight w:val="none"/>
        </w:rPr>
        <w:fldChar w:fldCharType="end"/>
      </w:r>
      <w:r>
        <w:rPr>
          <w:rFonts w:hint="eastAsia"/>
          <w:highlight w:val="none"/>
        </w:rPr>
        <w:fldChar w:fldCharType="end"/>
      </w:r>
    </w:p>
    <w:p w14:paraId="022D8A94">
      <w:pPr>
        <w:pStyle w:val="24"/>
        <w:tabs>
          <w:tab w:val="right" w:leader="dot" w:pos="8306"/>
        </w:tabs>
        <w:spacing w:line="360" w:lineRule="auto"/>
        <w:rPr>
          <w:highlight w:val="none"/>
        </w:rPr>
      </w:pPr>
      <w:r>
        <w:rPr>
          <w:rFonts w:hint="eastAsia"/>
          <w:highlight w:val="none"/>
        </w:rPr>
        <w:fldChar w:fldCharType="begin"/>
      </w:r>
      <w:r>
        <w:rPr>
          <w:rFonts w:hint="eastAsia"/>
          <w:highlight w:val="none"/>
        </w:rPr>
        <w:instrText xml:space="preserve"> HYPERLINK \l _Toc11221 </w:instrText>
      </w:r>
      <w:r>
        <w:rPr>
          <w:rFonts w:hint="eastAsia"/>
          <w:highlight w:val="none"/>
        </w:rPr>
        <w:fldChar w:fldCharType="separate"/>
      </w:r>
      <w:r>
        <w:rPr>
          <w:rFonts w:hint="eastAsia"/>
          <w:highlight w:val="none"/>
        </w:rPr>
        <w:t>第五章 评标方法及标准(综合评分法)</w:t>
      </w:r>
      <w:r>
        <w:rPr>
          <w:highlight w:val="none"/>
        </w:rPr>
        <w:tab/>
      </w:r>
      <w:r>
        <w:rPr>
          <w:highlight w:val="none"/>
        </w:rPr>
        <w:fldChar w:fldCharType="begin"/>
      </w:r>
      <w:r>
        <w:rPr>
          <w:highlight w:val="none"/>
        </w:rPr>
        <w:instrText xml:space="preserve"> PAGEREF _Toc11221 \h </w:instrText>
      </w:r>
      <w:r>
        <w:rPr>
          <w:highlight w:val="none"/>
        </w:rPr>
        <w:fldChar w:fldCharType="separate"/>
      </w:r>
      <w:r>
        <w:rPr>
          <w:highlight w:val="none"/>
        </w:rPr>
        <w:t>66</w:t>
      </w:r>
      <w:r>
        <w:rPr>
          <w:highlight w:val="none"/>
        </w:rPr>
        <w:fldChar w:fldCharType="end"/>
      </w:r>
      <w:r>
        <w:rPr>
          <w:rFonts w:hint="eastAsia"/>
          <w:highlight w:val="none"/>
        </w:rPr>
        <w:fldChar w:fldCharType="end"/>
      </w:r>
    </w:p>
    <w:p w14:paraId="0B95589E">
      <w:pPr>
        <w:pStyle w:val="24"/>
        <w:tabs>
          <w:tab w:val="right" w:leader="dot" w:pos="8306"/>
        </w:tabs>
        <w:spacing w:line="360" w:lineRule="auto"/>
        <w:rPr>
          <w:highlight w:val="none"/>
        </w:rPr>
      </w:pPr>
      <w:r>
        <w:rPr>
          <w:rFonts w:hint="eastAsia"/>
          <w:highlight w:val="none"/>
        </w:rPr>
        <w:fldChar w:fldCharType="begin"/>
      </w:r>
      <w:r>
        <w:rPr>
          <w:rFonts w:hint="eastAsia"/>
          <w:highlight w:val="none"/>
        </w:rPr>
        <w:instrText xml:space="preserve"> HYPERLINK \l _Toc16332 </w:instrText>
      </w:r>
      <w:r>
        <w:rPr>
          <w:rFonts w:hint="eastAsia"/>
          <w:highlight w:val="none"/>
        </w:rPr>
        <w:fldChar w:fldCharType="separate"/>
      </w:r>
      <w:r>
        <w:rPr>
          <w:rFonts w:hint="eastAsia"/>
          <w:highlight w:val="none"/>
          <w:lang w:val="zh-CN"/>
        </w:rPr>
        <w:t>第六章 合同草案</w:t>
      </w:r>
      <w:r>
        <w:rPr>
          <w:highlight w:val="none"/>
        </w:rPr>
        <w:tab/>
      </w:r>
      <w:r>
        <w:rPr>
          <w:highlight w:val="none"/>
        </w:rPr>
        <w:fldChar w:fldCharType="begin"/>
      </w:r>
      <w:r>
        <w:rPr>
          <w:highlight w:val="none"/>
        </w:rPr>
        <w:instrText xml:space="preserve"> PAGEREF _Toc16332 \h </w:instrText>
      </w:r>
      <w:r>
        <w:rPr>
          <w:highlight w:val="none"/>
        </w:rPr>
        <w:fldChar w:fldCharType="separate"/>
      </w:r>
      <w:r>
        <w:rPr>
          <w:highlight w:val="none"/>
        </w:rPr>
        <w:t>82</w:t>
      </w:r>
      <w:r>
        <w:rPr>
          <w:highlight w:val="none"/>
        </w:rPr>
        <w:fldChar w:fldCharType="end"/>
      </w:r>
      <w:r>
        <w:rPr>
          <w:rFonts w:hint="eastAsia"/>
          <w:highlight w:val="none"/>
        </w:rPr>
        <w:fldChar w:fldCharType="end"/>
      </w:r>
    </w:p>
    <w:p w14:paraId="143D75E7">
      <w:pPr>
        <w:pStyle w:val="24"/>
        <w:tabs>
          <w:tab w:val="right" w:leader="dot" w:pos="8306"/>
        </w:tabs>
        <w:spacing w:line="360" w:lineRule="auto"/>
        <w:rPr>
          <w:highlight w:val="none"/>
        </w:rPr>
      </w:pPr>
      <w:r>
        <w:rPr>
          <w:rFonts w:hint="eastAsia"/>
          <w:highlight w:val="none"/>
        </w:rPr>
        <w:fldChar w:fldCharType="begin"/>
      </w:r>
      <w:r>
        <w:rPr>
          <w:rFonts w:hint="eastAsia"/>
          <w:highlight w:val="none"/>
        </w:rPr>
        <w:instrText xml:space="preserve"> HYPERLINK \l _Toc4092 </w:instrText>
      </w:r>
      <w:r>
        <w:rPr>
          <w:rFonts w:hint="eastAsia"/>
          <w:highlight w:val="none"/>
        </w:rPr>
        <w:fldChar w:fldCharType="separate"/>
      </w:r>
      <w:r>
        <w:rPr>
          <w:rFonts w:hint="eastAsia"/>
          <w:highlight w:val="none"/>
        </w:rPr>
        <w:t>第七章 投标文件格式</w:t>
      </w:r>
      <w:r>
        <w:rPr>
          <w:highlight w:val="none"/>
        </w:rPr>
        <w:tab/>
      </w:r>
      <w:r>
        <w:rPr>
          <w:highlight w:val="none"/>
        </w:rPr>
        <w:fldChar w:fldCharType="begin"/>
      </w:r>
      <w:r>
        <w:rPr>
          <w:highlight w:val="none"/>
        </w:rPr>
        <w:instrText xml:space="preserve"> PAGEREF _Toc4092 \h </w:instrText>
      </w:r>
      <w:r>
        <w:rPr>
          <w:highlight w:val="none"/>
        </w:rPr>
        <w:fldChar w:fldCharType="separate"/>
      </w:r>
      <w:r>
        <w:rPr>
          <w:highlight w:val="none"/>
        </w:rPr>
        <w:t>92</w:t>
      </w:r>
      <w:r>
        <w:rPr>
          <w:highlight w:val="none"/>
        </w:rPr>
        <w:fldChar w:fldCharType="end"/>
      </w:r>
      <w:r>
        <w:rPr>
          <w:rFonts w:hint="eastAsia"/>
          <w:highlight w:val="none"/>
        </w:rPr>
        <w:fldChar w:fldCharType="end"/>
      </w:r>
    </w:p>
    <w:p w14:paraId="47F44928">
      <w:pPr>
        <w:pStyle w:val="28"/>
        <w:tabs>
          <w:tab w:val="right" w:leader="dot" w:pos="8306"/>
        </w:tabs>
        <w:spacing w:line="360" w:lineRule="auto"/>
        <w:rPr>
          <w:highlight w:val="none"/>
        </w:rPr>
      </w:pPr>
    </w:p>
    <w:p w14:paraId="50206471">
      <w:pPr>
        <w:spacing w:line="360" w:lineRule="auto"/>
        <w:rPr>
          <w:highlight w:val="none"/>
        </w:rPr>
      </w:pPr>
      <w:r>
        <w:rPr>
          <w:rFonts w:hint="eastAsia"/>
          <w:highlight w:val="none"/>
        </w:rPr>
        <w:fldChar w:fldCharType="end"/>
      </w:r>
    </w:p>
    <w:p w14:paraId="3E6543AB">
      <w:pPr>
        <w:spacing w:line="360" w:lineRule="auto"/>
        <w:rPr>
          <w:highlight w:val="none"/>
        </w:rPr>
        <w:sectPr>
          <w:headerReference r:id="rId3" w:type="default"/>
          <w:pgSz w:w="11906" w:h="16838"/>
          <w:pgMar w:top="1440" w:right="1800" w:bottom="1440" w:left="1800" w:header="851" w:footer="992" w:gutter="0"/>
          <w:pgNumType w:fmt="decimal"/>
          <w:cols w:space="425" w:num="1"/>
          <w:docGrid w:type="lines" w:linePitch="312" w:charSpace="0"/>
        </w:sectPr>
      </w:pPr>
    </w:p>
    <w:p w14:paraId="76A47F6A">
      <w:pPr>
        <w:pStyle w:val="3"/>
        <w:spacing w:line="360" w:lineRule="auto"/>
        <w:rPr>
          <w:highlight w:val="none"/>
        </w:rPr>
      </w:pPr>
      <w:bookmarkStart w:id="1" w:name="_Toc155185859"/>
      <w:bookmarkStart w:id="2" w:name="_Toc163492811"/>
      <w:bookmarkStart w:id="3" w:name="_Toc4647"/>
      <w:r>
        <w:rPr>
          <w:rFonts w:hint="eastAsia"/>
          <w:highlight w:val="none"/>
        </w:rPr>
        <w:t xml:space="preserve">第一章 </w:t>
      </w:r>
      <w:bookmarkEnd w:id="1"/>
      <w:bookmarkEnd w:id="2"/>
      <w:bookmarkStart w:id="4" w:name="_Hlk130458318"/>
      <w:r>
        <w:rPr>
          <w:rFonts w:hint="eastAsia"/>
          <w:highlight w:val="none"/>
        </w:rPr>
        <w:t>招标公告</w:t>
      </w:r>
      <w:bookmarkEnd w:id="3"/>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8187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1F5F05A">
            <w:pPr>
              <w:pStyle w:val="4"/>
              <w:spacing w:line="360" w:lineRule="auto"/>
              <w:rPr>
                <w:highlight w:val="none"/>
              </w:rPr>
            </w:pPr>
            <w:bookmarkStart w:id="5" w:name="_Toc1203"/>
            <w:bookmarkStart w:id="6" w:name="_Toc109899410"/>
            <w:bookmarkStart w:id="7" w:name="_Toc163492812"/>
            <w:bookmarkStart w:id="8" w:name="_Toc35393798"/>
            <w:bookmarkStart w:id="9" w:name="_Toc44583628"/>
            <w:bookmarkStart w:id="10" w:name="_Toc109900248"/>
            <w:bookmarkStart w:id="11" w:name="_Toc155185860"/>
            <w:bookmarkStart w:id="12" w:name="_Toc35393629"/>
            <w:bookmarkStart w:id="13" w:name="_Toc28359012"/>
            <w:bookmarkStart w:id="14" w:name="_Toc140132745"/>
            <w:bookmarkStart w:id="15" w:name="_Toc28359089"/>
            <w:bookmarkStart w:id="16" w:name="_Toc109899829"/>
            <w:r>
              <w:rPr>
                <w:rFonts w:hint="eastAsia"/>
                <w:highlight w:val="none"/>
              </w:rPr>
              <w:t>项目概况：</w:t>
            </w:r>
            <w:bookmarkEnd w:id="5"/>
          </w:p>
          <w:p w14:paraId="5ACE32AD">
            <w:pPr>
              <w:spacing w:line="360" w:lineRule="auto"/>
              <w:rPr>
                <w:highlight w:val="none"/>
              </w:rPr>
            </w:pPr>
            <w:r>
              <w:rPr>
                <w:rFonts w:hint="eastAsia"/>
                <w:highlight w:val="none"/>
                <w:shd w:val="clear" w:color="auto" w:fill="CCE8CF" w:themeFill="background1"/>
                <w:lang w:val="hr-HR"/>
              </w:rPr>
              <w:t xml:space="preserve"> </w:t>
            </w:r>
            <w:r>
              <w:rPr>
                <w:rFonts w:hint="eastAsia"/>
                <w:highlight w:val="none"/>
                <w:shd w:val="clear" w:color="auto" w:fill="CCE8CF" w:themeFill="background1"/>
                <w:lang w:val="hr-HR" w:eastAsia="zh-CN"/>
              </w:rPr>
              <w:t>新疆医科大学附属肿瘤医院调料采购项目</w:t>
            </w:r>
            <w:r>
              <w:rPr>
                <w:rFonts w:hint="eastAsia"/>
                <w:highlight w:val="none"/>
                <w:shd w:val="clear" w:color="auto" w:fill="CCE8CF" w:themeFill="background1"/>
                <w:lang w:val="hr-HR"/>
              </w:rPr>
              <w:t>招标项目的潜在投标人应在政采云平台线上获取招标文件，并于</w:t>
            </w:r>
            <w:r>
              <w:rPr>
                <w:rFonts w:hint="eastAsia"/>
                <w:highlight w:val="none"/>
                <w:shd w:val="clear" w:color="auto" w:fill="CCE8CF" w:themeFill="background1"/>
                <w:lang w:val="hr-HR" w:eastAsia="zh-CN"/>
              </w:rPr>
              <w:t>2026年</w:t>
            </w:r>
            <w:r>
              <w:rPr>
                <w:rFonts w:hint="eastAsia"/>
                <w:highlight w:val="none"/>
                <w:shd w:val="clear" w:color="auto" w:fill="CCE8CF" w:themeFill="background1"/>
                <w:lang w:val="en-US" w:eastAsia="zh-CN"/>
              </w:rPr>
              <w:t>06</w:t>
            </w:r>
            <w:r>
              <w:rPr>
                <w:rFonts w:hint="eastAsia"/>
                <w:highlight w:val="none"/>
                <w:shd w:val="clear" w:color="auto" w:fill="CCE8CF" w:themeFill="background1"/>
                <w:lang w:val="hr-HR" w:eastAsia="zh-CN"/>
              </w:rPr>
              <w:t>月</w:t>
            </w:r>
            <w:r>
              <w:rPr>
                <w:rFonts w:hint="eastAsia"/>
                <w:highlight w:val="none"/>
                <w:shd w:val="clear" w:color="auto" w:fill="CCE8CF" w:themeFill="background1"/>
                <w:lang w:val="en-US" w:eastAsia="zh-CN"/>
              </w:rPr>
              <w:t>29</w:t>
            </w:r>
            <w:r>
              <w:rPr>
                <w:rFonts w:hint="eastAsia"/>
                <w:highlight w:val="none"/>
                <w:shd w:val="clear" w:color="auto" w:fill="CCE8CF" w:themeFill="background1"/>
                <w:lang w:val="hr-HR" w:eastAsia="zh-CN"/>
              </w:rPr>
              <w:t>日</w:t>
            </w:r>
            <w:r>
              <w:rPr>
                <w:rFonts w:hint="eastAsia"/>
                <w:highlight w:val="none"/>
                <w:shd w:val="clear" w:color="auto" w:fill="CCE8CF" w:themeFill="background1"/>
                <w:lang w:val="en-US" w:eastAsia="zh-CN"/>
              </w:rPr>
              <w:t>15</w:t>
            </w:r>
            <w:r>
              <w:rPr>
                <w:rFonts w:hint="eastAsia"/>
                <w:highlight w:val="none"/>
                <w:shd w:val="clear" w:color="auto" w:fill="CCE8CF" w:themeFill="background1"/>
              </w:rPr>
              <w:t>时</w:t>
            </w:r>
            <w:r>
              <w:rPr>
                <w:rFonts w:hint="eastAsia"/>
                <w:highlight w:val="none"/>
                <w:shd w:val="clear" w:color="auto" w:fill="CCE8CF" w:themeFill="background1"/>
                <w:lang w:val="en-US" w:eastAsia="zh-CN"/>
              </w:rPr>
              <w:t>00</w:t>
            </w:r>
            <w:r>
              <w:rPr>
                <w:rFonts w:hint="eastAsia"/>
                <w:highlight w:val="none"/>
                <w:shd w:val="clear" w:color="auto" w:fill="CCE8CF" w:themeFill="background1"/>
                <w:lang w:val="hr-HR"/>
              </w:rPr>
              <w:t>分</w:t>
            </w:r>
            <w:r>
              <w:rPr>
                <w:rFonts w:hint="eastAsia"/>
                <w:highlight w:val="none"/>
                <w:shd w:val="clear" w:color="auto" w:fill="CCE8CF" w:themeFill="background1"/>
                <w:lang w:val="hr-HR"/>
              </w:rPr>
              <w:t>（北京时间）前递交投标文件。</w:t>
            </w:r>
          </w:p>
        </w:tc>
      </w:tr>
    </w:tbl>
    <w:p w14:paraId="64E07F91">
      <w:pPr>
        <w:pStyle w:val="4"/>
        <w:spacing w:line="360" w:lineRule="auto"/>
        <w:rPr>
          <w:highlight w:val="none"/>
          <w:lang w:val="hr-HR"/>
        </w:rPr>
      </w:pPr>
      <w:bookmarkStart w:id="17" w:name="_Toc27682"/>
      <w:bookmarkStart w:id="18" w:name="_Toc16486"/>
      <w:bookmarkStart w:id="19" w:name="_Toc4515"/>
      <w:bookmarkStart w:id="20" w:name="_Toc11065"/>
      <w:bookmarkStart w:id="21" w:name="_Toc2335"/>
      <w:r>
        <w:rPr>
          <w:rFonts w:hint="eastAsia"/>
          <w:highlight w:val="none"/>
          <w:lang w:val="hr-HR"/>
        </w:rPr>
        <w:t>一、项目基本情况</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17F773B7">
      <w:pPr>
        <w:pStyle w:val="41"/>
        <w:spacing w:line="360" w:lineRule="auto"/>
        <w:rPr>
          <w:highlight w:val="none"/>
        </w:rPr>
      </w:pPr>
      <w:r>
        <w:rPr>
          <w:rFonts w:hint="eastAsia"/>
          <w:highlight w:val="none"/>
          <w:lang w:val="hr-HR"/>
        </w:rPr>
        <w:t>1.项目编号：</w:t>
      </w:r>
      <w:r>
        <w:rPr>
          <w:rFonts w:hint="eastAsia"/>
          <w:highlight w:val="none"/>
        </w:rPr>
        <w:t xml:space="preserve">                         </w:t>
      </w:r>
      <w:r>
        <w:rPr>
          <w:rFonts w:hint="eastAsia"/>
          <w:highlight w:val="none"/>
          <w:lang w:val="hr-HR"/>
        </w:rPr>
        <w:t xml:space="preserve"> </w:t>
      </w:r>
    </w:p>
    <w:p w14:paraId="578E860B">
      <w:pPr>
        <w:pStyle w:val="41"/>
        <w:spacing w:line="360" w:lineRule="auto"/>
        <w:rPr>
          <w:highlight w:val="none"/>
          <w:lang w:val="hr-HR"/>
        </w:rPr>
      </w:pPr>
      <w:r>
        <w:rPr>
          <w:rFonts w:hint="eastAsia"/>
          <w:highlight w:val="none"/>
          <w:lang w:val="en-US"/>
        </w:rPr>
        <w:t>2</w:t>
      </w:r>
      <w:r>
        <w:rPr>
          <w:rFonts w:hint="eastAsia"/>
          <w:highlight w:val="none"/>
          <w:lang w:val="hr-HR"/>
        </w:rPr>
        <w:t>.项目名称：</w:t>
      </w:r>
      <w:r>
        <w:rPr>
          <w:rFonts w:hint="eastAsia"/>
          <w:highlight w:val="none"/>
          <w:shd w:val="clear" w:color="auto" w:fill="CCE8CF" w:themeFill="background1"/>
          <w:lang w:val="hr-HR" w:eastAsia="zh-CN"/>
        </w:rPr>
        <w:t>新疆医科大学附属肿瘤医院调料采购项目</w:t>
      </w:r>
    </w:p>
    <w:p w14:paraId="21A8F99D">
      <w:pPr>
        <w:pStyle w:val="41"/>
        <w:spacing w:line="360" w:lineRule="auto"/>
        <w:rPr>
          <w:highlight w:val="none"/>
          <w:lang w:val="hr-HR"/>
        </w:rPr>
      </w:pPr>
      <w:r>
        <w:rPr>
          <w:rFonts w:hint="eastAsia"/>
          <w:highlight w:val="none"/>
          <w:lang w:val="en-US"/>
        </w:rPr>
        <w:t>3</w:t>
      </w:r>
      <w:r>
        <w:rPr>
          <w:rFonts w:hint="eastAsia"/>
          <w:highlight w:val="none"/>
        </w:rPr>
        <w:t>.采购方式：公开招标</w:t>
      </w:r>
    </w:p>
    <w:p w14:paraId="1F02A817">
      <w:pPr>
        <w:pStyle w:val="41"/>
        <w:spacing w:line="360" w:lineRule="auto"/>
        <w:rPr>
          <w:highlight w:val="none"/>
        </w:rPr>
      </w:pPr>
      <w:r>
        <w:rPr>
          <w:rFonts w:hint="eastAsia"/>
          <w:highlight w:val="none"/>
          <w:lang w:val="en-US"/>
        </w:rPr>
        <w:t>4</w:t>
      </w:r>
      <w:r>
        <w:rPr>
          <w:rFonts w:hint="eastAsia"/>
          <w:highlight w:val="none"/>
        </w:rPr>
        <w:t>.</w:t>
      </w:r>
      <w:r>
        <w:rPr>
          <w:rFonts w:hint="eastAsia"/>
          <w:highlight w:val="none"/>
          <w:lang w:val="en-US"/>
        </w:rPr>
        <w:t>项目</w:t>
      </w:r>
      <w:r>
        <w:rPr>
          <w:rFonts w:hint="eastAsia"/>
          <w:highlight w:val="none"/>
        </w:rPr>
        <w:t>预算金额</w:t>
      </w:r>
      <w:r>
        <w:rPr>
          <w:rFonts w:hint="eastAsia"/>
          <w:highlight w:val="none"/>
        </w:rPr>
        <w:t>：</w:t>
      </w:r>
      <w:r>
        <w:rPr>
          <w:rFonts w:hint="eastAsia"/>
          <w:highlight w:val="none"/>
          <w:u w:val="single"/>
        </w:rPr>
        <w:t xml:space="preserve"> </w:t>
      </w:r>
      <w:r>
        <w:rPr>
          <w:rFonts w:hint="eastAsia"/>
          <w:highlight w:val="none"/>
          <w:u w:val="single"/>
          <w:lang w:val="en-US" w:eastAsia="zh-CN"/>
        </w:rPr>
        <w:t>200 万元</w:t>
      </w:r>
    </w:p>
    <w:p w14:paraId="0D80A6E3">
      <w:pPr>
        <w:pStyle w:val="41"/>
        <w:spacing w:line="360" w:lineRule="auto"/>
        <w:rPr>
          <w:highlight w:val="none"/>
          <w:lang w:val="hr-HR"/>
        </w:rPr>
      </w:pPr>
      <w:r>
        <w:rPr>
          <w:rFonts w:hint="eastAsia"/>
          <w:highlight w:val="none"/>
          <w:lang w:val="en-US"/>
        </w:rPr>
        <w:t>5</w:t>
      </w:r>
      <w:r>
        <w:rPr>
          <w:rFonts w:hint="eastAsia"/>
          <w:highlight w:val="none"/>
          <w:lang w:val="hr-HR"/>
        </w:rPr>
        <w:t>.</w:t>
      </w:r>
      <w:r>
        <w:rPr>
          <w:rFonts w:hint="eastAsia"/>
          <w:highlight w:val="none"/>
        </w:rPr>
        <w:t>最高限价</w:t>
      </w:r>
      <w:r>
        <w:rPr>
          <w:rFonts w:hint="eastAsia"/>
          <w:highlight w:val="none"/>
          <w:lang w:val="en-US"/>
        </w:rPr>
        <w:t xml:space="preserve"> </w:t>
      </w:r>
      <w:r>
        <w:rPr>
          <w:rFonts w:hint="eastAsia"/>
          <w:highlight w:val="none"/>
          <w:lang w:val="hr-HR"/>
        </w:rPr>
        <w:t>：</w:t>
      </w:r>
      <w:r>
        <w:rPr>
          <w:rFonts w:hint="eastAsia"/>
          <w:highlight w:val="none"/>
          <w:u w:val="single"/>
        </w:rPr>
        <w:t xml:space="preserve"> </w:t>
      </w:r>
      <w:r>
        <w:rPr>
          <w:rFonts w:hint="eastAsia"/>
          <w:highlight w:val="none"/>
          <w:u w:val="single"/>
          <w:lang w:val="en-US" w:eastAsia="zh-CN"/>
        </w:rPr>
        <w:t>5766.55元</w:t>
      </w:r>
    </w:p>
    <w:p w14:paraId="79A0A11D">
      <w:pPr>
        <w:pStyle w:val="41"/>
        <w:spacing w:line="360" w:lineRule="auto"/>
        <w:rPr>
          <w:highlight w:val="none"/>
          <w:lang w:val="en-US"/>
        </w:rPr>
      </w:pPr>
      <w:r>
        <w:rPr>
          <w:rFonts w:hint="eastAsia"/>
          <w:highlight w:val="none"/>
          <w:lang w:val="en-US"/>
        </w:rPr>
        <w:t>6</w:t>
      </w:r>
      <w:r>
        <w:rPr>
          <w:rFonts w:hint="eastAsia"/>
          <w:highlight w:val="none"/>
        </w:rPr>
        <w:t>.采购需求：</w:t>
      </w:r>
      <w:r>
        <w:rPr>
          <w:rFonts w:hint="eastAsia"/>
          <w:highlight w:val="none"/>
          <w:u w:val="single"/>
          <w:lang w:eastAsia="zh-CN"/>
        </w:rPr>
        <w:t>医院</w:t>
      </w:r>
      <w:r>
        <w:rPr>
          <w:rFonts w:hint="eastAsia"/>
          <w:highlight w:val="none"/>
          <w:u w:val="single"/>
        </w:rPr>
        <w:t>采购</w:t>
      </w:r>
      <w:r>
        <w:rPr>
          <w:rFonts w:hint="eastAsia"/>
          <w:highlight w:val="none"/>
          <w:u w:val="single"/>
          <w:lang w:eastAsia="zh-CN"/>
        </w:rPr>
        <w:t xml:space="preserve">调料一批  </w:t>
      </w:r>
      <w:r>
        <w:rPr>
          <w:rFonts w:hint="eastAsia"/>
          <w:highlight w:val="none"/>
        </w:rPr>
        <w:t>，具体内容详见招标文件</w:t>
      </w:r>
      <w:r>
        <w:rPr>
          <w:rFonts w:hint="default" w:cs="宋体"/>
          <w:color w:val="auto"/>
          <w:sz w:val="24"/>
          <w:highlight w:val="none"/>
          <w:lang w:val="en-US" w:eastAsia="zh-CN"/>
        </w:rPr>
        <w:t>。</w:t>
      </w:r>
      <w:r>
        <w:rPr>
          <w:highlight w:val="none"/>
        </w:rPr>
        <w:t xml:space="preserve">   </w:t>
      </w:r>
    </w:p>
    <w:p w14:paraId="59A36933">
      <w:pPr>
        <w:pStyle w:val="41"/>
        <w:spacing w:line="360" w:lineRule="auto"/>
        <w:rPr>
          <w:rFonts w:hint="eastAsia" w:cs="宋体"/>
          <w:color w:val="auto"/>
          <w:sz w:val="24"/>
          <w:highlight w:val="none"/>
          <w:u w:val="single"/>
          <w:lang w:val="en-US" w:eastAsia="zh-CN"/>
        </w:rPr>
      </w:pPr>
      <w:r>
        <w:rPr>
          <w:rFonts w:hint="eastAsia" w:ascii="宋体" w:hAnsi="宋体" w:eastAsia="宋体" w:cs="宋体"/>
          <w:color w:val="auto"/>
          <w:sz w:val="24"/>
          <w:highlight w:val="none"/>
          <w:lang w:val="en-US" w:eastAsia="zh-CN"/>
        </w:rPr>
        <w:t xml:space="preserve">7.合同履行期限： </w:t>
      </w:r>
      <w:bookmarkStart w:id="22" w:name="_Toc35393799"/>
      <w:bookmarkStart w:id="23" w:name="_Toc44583629"/>
      <w:bookmarkStart w:id="24" w:name="_Toc35393630"/>
      <w:bookmarkStart w:id="25" w:name="_Toc28359090"/>
      <w:bookmarkStart w:id="26" w:name="_Toc28359013"/>
      <w:r>
        <w:rPr>
          <w:rFonts w:hint="eastAsia" w:cs="宋体"/>
          <w:color w:val="auto"/>
          <w:sz w:val="24"/>
          <w:highlight w:val="none"/>
          <w:u w:val="single"/>
          <w:lang w:val="en-US" w:eastAsia="zh-CN"/>
        </w:rPr>
        <w:t xml:space="preserve">  壹年，自双方签字盖章后开始起算。自签订合同后，合同开始试用期3个月(包含在壹年合同有效期内),试用期不合格，甲方有权终止本合同。       </w:t>
      </w:r>
    </w:p>
    <w:p w14:paraId="571DB2E0">
      <w:pPr>
        <w:pStyle w:val="41"/>
        <w:spacing w:line="360" w:lineRule="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w:t>
      </w:r>
      <w:bookmarkStart w:id="27" w:name="_Hlk162011358"/>
      <w:r>
        <w:rPr>
          <w:rFonts w:hint="eastAsia" w:ascii="宋体" w:hAnsi="宋体" w:eastAsia="宋体" w:cs="宋体"/>
          <w:color w:val="auto"/>
          <w:sz w:val="24"/>
          <w:highlight w:val="none"/>
          <w:lang w:val="en-US" w:eastAsia="zh-CN"/>
        </w:rPr>
        <w:t>本项目是否接受联合体投标：□是</w:t>
      </w:r>
      <w:bookmarkEnd w:id="27"/>
      <w:r>
        <w:rPr>
          <w:rFonts w:hint="eastAsia" w:ascii="宋体" w:hAnsi="宋体" w:eastAsia="宋体" w:cs="宋体"/>
          <w:color w:val="auto"/>
          <w:sz w:val="24"/>
          <w:highlight w:val="none"/>
          <w:lang w:val="en-US" w:eastAsia="zh-CN"/>
        </w:rPr>
        <w:t xml:space="preserve">   </w:t>
      </w:r>
      <w:r>
        <w:rPr>
          <w:rFonts w:hint="default"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en-US" w:eastAsia="zh-CN"/>
        </w:rPr>
        <w:t>否</w:t>
      </w:r>
    </w:p>
    <w:p w14:paraId="55251A61">
      <w:pPr>
        <w:pStyle w:val="4"/>
        <w:spacing w:line="360" w:lineRule="auto"/>
        <w:rPr>
          <w:highlight w:val="none"/>
          <w:lang w:val="hr-HR"/>
        </w:rPr>
      </w:pPr>
      <w:bookmarkStart w:id="28" w:name="_Toc27911"/>
      <w:bookmarkStart w:id="29" w:name="_Toc140132746"/>
      <w:bookmarkStart w:id="30" w:name="_Toc109900249"/>
      <w:bookmarkStart w:id="31" w:name="_Toc30635"/>
      <w:bookmarkStart w:id="32" w:name="_Toc163492813"/>
      <w:bookmarkStart w:id="33" w:name="_Toc31159"/>
      <w:bookmarkStart w:id="34" w:name="_Toc155185861"/>
      <w:bookmarkStart w:id="35" w:name="_Toc10801"/>
      <w:bookmarkStart w:id="36" w:name="_Toc109899411"/>
      <w:bookmarkStart w:id="37" w:name="_Toc109899830"/>
      <w:bookmarkStart w:id="38" w:name="_Toc883"/>
      <w:r>
        <w:rPr>
          <w:rFonts w:hint="eastAsia"/>
          <w:highlight w:val="none"/>
        </w:rPr>
        <w:t>二、申请</w:t>
      </w:r>
      <w:r>
        <w:rPr>
          <w:rFonts w:hint="eastAsia"/>
          <w:highlight w:val="none"/>
          <w:lang w:val="hr-HR"/>
        </w:rPr>
        <w:t>人</w:t>
      </w:r>
      <w:r>
        <w:rPr>
          <w:rFonts w:hint="eastAsia"/>
          <w:highlight w:val="none"/>
        </w:rPr>
        <w:t>的</w:t>
      </w:r>
      <w:r>
        <w:rPr>
          <w:rFonts w:hint="eastAsia"/>
          <w:highlight w:val="none"/>
          <w:lang w:val="hr-HR"/>
        </w:rPr>
        <w:t>资格要求</w:t>
      </w:r>
      <w:bookmarkEnd w:id="22"/>
      <w:bookmarkEnd w:id="23"/>
      <w:bookmarkEnd w:id="24"/>
      <w:bookmarkEnd w:id="25"/>
      <w:bookmarkEnd w:id="26"/>
      <w:bookmarkEnd w:id="28"/>
      <w:bookmarkEnd w:id="29"/>
      <w:bookmarkEnd w:id="30"/>
      <w:bookmarkEnd w:id="31"/>
      <w:bookmarkEnd w:id="32"/>
      <w:bookmarkEnd w:id="33"/>
      <w:bookmarkEnd w:id="34"/>
      <w:bookmarkEnd w:id="35"/>
      <w:bookmarkEnd w:id="36"/>
      <w:bookmarkEnd w:id="37"/>
      <w:bookmarkEnd w:id="38"/>
    </w:p>
    <w:p w14:paraId="05FADDDC">
      <w:pPr>
        <w:spacing w:line="360" w:lineRule="auto"/>
        <w:rPr>
          <w:highlight w:val="none"/>
        </w:rPr>
      </w:pPr>
      <w:bookmarkStart w:id="39" w:name="_Toc35393800"/>
      <w:bookmarkStart w:id="40" w:name="_Toc35393631"/>
      <w:bookmarkStart w:id="41" w:name="_Toc28359014"/>
      <w:bookmarkStart w:id="42" w:name="_Toc44583630"/>
      <w:bookmarkStart w:id="43" w:name="_Toc28359091"/>
      <w:r>
        <w:rPr>
          <w:rFonts w:hint="eastAsia"/>
          <w:highlight w:val="none"/>
        </w:rPr>
        <w:t>1.满足《中华人民共和国政府采购法》第二十二条规定；</w:t>
      </w:r>
    </w:p>
    <w:p w14:paraId="11D3AC47">
      <w:pPr>
        <w:spacing w:line="360" w:lineRule="auto"/>
        <w:rPr>
          <w:highlight w:val="none"/>
        </w:rPr>
      </w:pPr>
      <w:r>
        <w:rPr>
          <w:rFonts w:hint="eastAsia"/>
          <w:highlight w:val="none"/>
        </w:rPr>
        <w:t>2.落实政府采购政策需满足的资格要求：</w:t>
      </w:r>
      <w:r>
        <w:rPr>
          <w:rFonts w:hint="eastAsia"/>
          <w:highlight w:val="none"/>
        </w:rPr>
        <w:t>本项目属于</w:t>
      </w:r>
      <w:r>
        <w:rPr>
          <w:rFonts w:hint="eastAsia"/>
          <w:highlight w:val="none"/>
          <w:lang w:eastAsia="zh-CN"/>
        </w:rPr>
        <w:t>非</w:t>
      </w:r>
      <w:r>
        <w:rPr>
          <w:rFonts w:hint="eastAsia"/>
          <w:highlight w:val="none"/>
          <w:lang w:val="en-US" w:eastAsia="zh-CN"/>
        </w:rPr>
        <w:t>专门</w:t>
      </w:r>
      <w:r>
        <w:rPr>
          <w:rFonts w:hint="eastAsia"/>
          <w:highlight w:val="none"/>
        </w:rPr>
        <w:t>面向中小企业采购项目。</w:t>
      </w:r>
    </w:p>
    <w:p w14:paraId="3821D583">
      <w:pPr>
        <w:spacing w:line="360" w:lineRule="auto"/>
        <w:rPr>
          <w:rFonts w:hint="eastAsia" w:eastAsia="宋体"/>
          <w:highlight w:val="none"/>
          <w:lang w:eastAsia="zh-CN"/>
        </w:rPr>
      </w:pPr>
      <w:r>
        <w:rPr>
          <w:rFonts w:hint="eastAsia"/>
          <w:highlight w:val="none"/>
        </w:rPr>
        <w:t>3.本项目的特定资格要求：</w:t>
      </w:r>
      <w:r>
        <w:rPr>
          <w:rFonts w:hint="eastAsia"/>
          <w:highlight w:val="none"/>
          <w:u w:val="single"/>
        </w:rPr>
        <w:t>供应商需具备有效期内的《食品经营许可证》或《食品生产许可证》或《仅销售预包装食品经营者备案回执》</w:t>
      </w:r>
      <w:r>
        <w:rPr>
          <w:rFonts w:hint="eastAsia"/>
          <w:highlight w:val="none"/>
          <w:lang w:eastAsia="zh-CN"/>
        </w:rPr>
        <w:t>；</w:t>
      </w:r>
    </w:p>
    <w:p w14:paraId="0F898118">
      <w:pPr>
        <w:pStyle w:val="41"/>
        <w:spacing w:line="360" w:lineRule="auto"/>
        <w:ind w:left="0" w:leftChars="0" w:firstLine="0" w:firstLineChars="0"/>
        <w:rPr>
          <w:highlight w:val="none"/>
        </w:rPr>
      </w:pPr>
      <w:r>
        <w:rPr>
          <w:rFonts w:hint="eastAsia"/>
          <w:highlight w:val="none"/>
        </w:rPr>
        <w:t>4. 其他资格要求：</w:t>
      </w:r>
    </w:p>
    <w:p w14:paraId="62B9E261">
      <w:pPr>
        <w:pStyle w:val="41"/>
        <w:spacing w:line="360" w:lineRule="auto"/>
        <w:rPr>
          <w:highlight w:val="none"/>
        </w:rPr>
      </w:pPr>
      <w:r>
        <w:rPr>
          <w:rFonts w:hint="eastAsia"/>
          <w:highlight w:val="none"/>
          <w:lang w:val="en-US"/>
        </w:rPr>
        <w:t>（1）</w:t>
      </w:r>
      <w:r>
        <w:rPr>
          <w:rFonts w:hint="eastAsia"/>
          <w:highlight w:val="none"/>
        </w:rPr>
        <w:t>法定代表人或</w:t>
      </w:r>
      <w:r>
        <w:rPr>
          <w:rFonts w:hint="eastAsia"/>
          <w:highlight w:val="none"/>
          <w:lang w:val="en-US"/>
        </w:rPr>
        <w:t>单位</w:t>
      </w:r>
      <w:r>
        <w:rPr>
          <w:rFonts w:hint="eastAsia"/>
          <w:highlight w:val="none"/>
        </w:rPr>
        <w:t>负责人为同一人或者存在</w:t>
      </w:r>
      <w:r>
        <w:rPr>
          <w:rFonts w:hint="eastAsia"/>
          <w:highlight w:val="none"/>
          <w:lang w:val="en-US"/>
        </w:rPr>
        <w:t>直接</w:t>
      </w:r>
      <w:r>
        <w:rPr>
          <w:rFonts w:hint="eastAsia"/>
          <w:highlight w:val="none"/>
        </w:rPr>
        <w:t>控股、管理关系的</w:t>
      </w:r>
      <w:r>
        <w:rPr>
          <w:rFonts w:hint="eastAsia"/>
          <w:highlight w:val="none"/>
          <w:lang w:val="en-US"/>
        </w:rPr>
        <w:t>不同供应商</w:t>
      </w:r>
      <w:r>
        <w:rPr>
          <w:rFonts w:hint="eastAsia"/>
          <w:highlight w:val="none"/>
        </w:rPr>
        <w:t>，不得参加同一合同项下的政府采购活动。</w:t>
      </w:r>
    </w:p>
    <w:p w14:paraId="7DC68C78">
      <w:pPr>
        <w:pStyle w:val="41"/>
        <w:spacing w:line="360" w:lineRule="auto"/>
        <w:rPr>
          <w:highlight w:val="none"/>
        </w:rPr>
      </w:pPr>
      <w:r>
        <w:rPr>
          <w:rFonts w:hint="eastAsia"/>
          <w:highlight w:val="none"/>
          <w:lang w:val="en-US"/>
        </w:rPr>
        <w:t>（2）</w:t>
      </w:r>
      <w:r>
        <w:rPr>
          <w:rFonts w:hint="eastAsia"/>
          <w:highlight w:val="none"/>
        </w:rPr>
        <w:t>除单一来源采购项目外，为采购项目提供整体设计、规范编制或者项目管理、监理、检测等服务的供应商，不得再参加该采购项目的其他采购活动。</w:t>
      </w:r>
    </w:p>
    <w:p w14:paraId="497703E0">
      <w:pPr>
        <w:pStyle w:val="41"/>
        <w:spacing w:line="360" w:lineRule="auto"/>
        <w:rPr>
          <w:highlight w:val="none"/>
        </w:rPr>
      </w:pPr>
      <w:r>
        <w:rPr>
          <w:rFonts w:hint="eastAsia"/>
          <w:highlight w:val="none"/>
          <w:lang w:val="hr-HR"/>
        </w:rPr>
        <w:t>（</w:t>
      </w:r>
      <w:r>
        <w:rPr>
          <w:rFonts w:hint="eastAsia"/>
          <w:highlight w:val="none"/>
        </w:rPr>
        <w:t>3）</w:t>
      </w:r>
      <w:r>
        <w:rPr>
          <w:rFonts w:hint="eastAsia"/>
          <w:highlight w:val="none"/>
          <w:lang w:val="hr-HR"/>
        </w:rPr>
        <w:t>供应商的信用行为：在</w:t>
      </w:r>
      <w:r>
        <w:rPr>
          <w:rFonts w:hint="eastAsia"/>
          <w:highlight w:val="none"/>
        </w:rPr>
        <w:t>资格审查阶段经查询</w:t>
      </w:r>
      <w:r>
        <w:rPr>
          <w:rFonts w:hint="eastAsia"/>
          <w:highlight w:val="none"/>
          <w:lang w:val="hr-HR"/>
        </w:rPr>
        <w:t>，</w:t>
      </w:r>
      <w:r>
        <w:rPr>
          <w:rFonts w:hint="eastAsia"/>
          <w:highlight w:val="none"/>
        </w:rPr>
        <w:t>未被列入“</w:t>
      </w:r>
      <w:r>
        <w:rPr>
          <w:rFonts w:cs="宋体"/>
          <w:szCs w:val="24"/>
          <w:highlight w:val="none"/>
        </w:rPr>
        <w:t>严重失信主体名单”</w:t>
      </w:r>
      <w:r>
        <w:rPr>
          <w:rFonts w:hint="eastAsia"/>
          <w:highlight w:val="none"/>
        </w:rPr>
        <w:t>“失信被执行人”、“重大税收违法失信主体名单”、“政府采购严重违法失信行为记录名单”</w:t>
      </w:r>
      <w:r>
        <w:rPr>
          <w:rFonts w:hint="eastAsia"/>
          <w:highlight w:val="none"/>
          <w:lang w:val="hr-HR"/>
        </w:rPr>
        <w:t>其中之一。如有以上不良信用记录</w:t>
      </w:r>
      <w:r>
        <w:rPr>
          <w:rFonts w:hint="eastAsia"/>
          <w:highlight w:val="none"/>
        </w:rPr>
        <w:t>之一的，</w:t>
      </w:r>
      <w:r>
        <w:rPr>
          <w:rFonts w:hint="eastAsia"/>
          <w:highlight w:val="none"/>
          <w:lang w:val="hr-HR"/>
        </w:rPr>
        <w:t>其</w:t>
      </w:r>
      <w:r>
        <w:rPr>
          <w:rFonts w:hint="eastAsia"/>
          <w:b/>
          <w:bCs/>
          <w:highlight w:val="none"/>
          <w:lang w:val="hr-HR"/>
        </w:rPr>
        <w:t>投标</w:t>
      </w:r>
      <w:r>
        <w:rPr>
          <w:rFonts w:hint="eastAsia"/>
          <w:b/>
          <w:bCs/>
          <w:highlight w:val="none"/>
        </w:rPr>
        <w:t>无效</w:t>
      </w:r>
      <w:r>
        <w:rPr>
          <w:rFonts w:hint="eastAsia"/>
          <w:highlight w:val="none"/>
          <w:lang w:val="hr-HR"/>
        </w:rPr>
        <w:t>。</w:t>
      </w:r>
    </w:p>
    <w:p w14:paraId="4188E161">
      <w:pPr>
        <w:pStyle w:val="4"/>
        <w:spacing w:line="360" w:lineRule="auto"/>
        <w:rPr>
          <w:highlight w:val="none"/>
          <w:lang w:val="hr-HR"/>
        </w:rPr>
      </w:pPr>
      <w:bookmarkStart w:id="44" w:name="_Toc21810"/>
      <w:bookmarkStart w:id="45" w:name="_Toc109899831"/>
      <w:bookmarkStart w:id="46" w:name="_Toc140132747"/>
      <w:bookmarkStart w:id="47" w:name="_Toc109899412"/>
      <w:bookmarkStart w:id="48" w:name="_Toc23301"/>
      <w:bookmarkStart w:id="49" w:name="_Toc27361"/>
      <w:bookmarkStart w:id="50" w:name="_Toc163492814"/>
      <w:bookmarkStart w:id="51" w:name="_Toc13839"/>
      <w:bookmarkStart w:id="52" w:name="_Toc109900250"/>
      <w:bookmarkStart w:id="53" w:name="_Toc5466"/>
      <w:bookmarkStart w:id="54" w:name="_Toc155185862"/>
      <w:r>
        <w:rPr>
          <w:rFonts w:hint="eastAsia"/>
          <w:highlight w:val="none"/>
        </w:rPr>
        <w:t>三、</w:t>
      </w:r>
      <w:r>
        <w:rPr>
          <w:rFonts w:hint="eastAsia" w:eastAsia="宋体"/>
          <w:sz w:val="28"/>
          <w:szCs w:val="28"/>
          <w:highlight w:val="none"/>
          <w:lang w:val="hr-HR"/>
        </w:rPr>
        <w:t>获取招标文件</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Pr>
          <w:rFonts w:hint="eastAsia" w:eastAsia="宋体"/>
          <w:sz w:val="28"/>
          <w:szCs w:val="28"/>
          <w:highlight w:val="none"/>
          <w:lang w:val="hr-HR"/>
        </w:rPr>
        <w:t xml:space="preserve"> </w:t>
      </w:r>
    </w:p>
    <w:p w14:paraId="14841C9D">
      <w:pPr>
        <w:pStyle w:val="41"/>
        <w:spacing w:line="360" w:lineRule="auto"/>
        <w:rPr>
          <w:highlight w:val="none"/>
          <w:lang w:val="hr-HR"/>
        </w:rPr>
      </w:pPr>
      <w:bookmarkStart w:id="55" w:name="_Hlk130457234"/>
      <w:bookmarkStart w:id="56" w:name="_Toc28359015"/>
      <w:bookmarkStart w:id="57" w:name="_Hlk130457327"/>
      <w:bookmarkStart w:id="58" w:name="_Toc35393632"/>
      <w:bookmarkStart w:id="59" w:name="_Toc28359092"/>
      <w:bookmarkStart w:id="60" w:name="_Hlk130457261"/>
      <w:bookmarkStart w:id="61" w:name="_Toc35393801"/>
      <w:r>
        <w:rPr>
          <w:rFonts w:hint="eastAsia"/>
          <w:highlight w:val="none"/>
          <w:lang w:val="hr-HR"/>
        </w:rPr>
        <w:t>1.时间</w:t>
      </w:r>
      <w:r>
        <w:rPr>
          <w:rFonts w:hint="eastAsia"/>
          <w:highlight w:val="none"/>
          <w:lang w:val="hr-HR"/>
        </w:rPr>
        <w:t>：</w:t>
      </w:r>
      <w:r>
        <w:rPr>
          <w:highlight w:val="none"/>
        </w:rPr>
        <w:t>2026</w:t>
      </w:r>
      <w:r>
        <w:rPr>
          <w:rFonts w:hint="eastAsia"/>
          <w:highlight w:val="none"/>
        </w:rPr>
        <w:t>年</w:t>
      </w:r>
      <w:r>
        <w:rPr>
          <w:rFonts w:hint="eastAsia"/>
          <w:color w:val="FF0000"/>
          <w:highlight w:val="none"/>
          <w:lang w:val="en-US" w:eastAsia="zh-CN"/>
        </w:rPr>
        <w:t>06</w:t>
      </w:r>
      <w:r>
        <w:rPr>
          <w:rFonts w:hint="eastAsia"/>
          <w:color w:val="FF0000"/>
          <w:highlight w:val="none"/>
        </w:rPr>
        <w:t>月</w:t>
      </w:r>
      <w:r>
        <w:rPr>
          <w:rFonts w:hint="eastAsia"/>
          <w:color w:val="FF0000"/>
          <w:highlight w:val="none"/>
          <w:lang w:val="en-US" w:eastAsia="zh-CN"/>
        </w:rPr>
        <w:t>08</w:t>
      </w:r>
      <w:r>
        <w:rPr>
          <w:rFonts w:hint="eastAsia"/>
          <w:color w:val="FF0000"/>
          <w:highlight w:val="none"/>
        </w:rPr>
        <w:t>日</w:t>
      </w:r>
      <w:r>
        <w:rPr>
          <w:highlight w:val="none"/>
        </w:rPr>
        <w:t>00</w:t>
      </w:r>
      <w:r>
        <w:rPr>
          <w:rFonts w:hint="eastAsia"/>
          <w:highlight w:val="none"/>
        </w:rPr>
        <w:t>时</w:t>
      </w:r>
      <w:r>
        <w:rPr>
          <w:highlight w:val="none"/>
        </w:rPr>
        <w:t>00</w:t>
      </w:r>
      <w:r>
        <w:rPr>
          <w:rFonts w:hint="eastAsia"/>
          <w:highlight w:val="none"/>
        </w:rPr>
        <w:t>分</w:t>
      </w:r>
      <w:r>
        <w:rPr>
          <w:rFonts w:hint="eastAsia"/>
          <w:highlight w:val="none"/>
          <w:lang w:val="hr-HR"/>
        </w:rPr>
        <w:t>至</w:t>
      </w:r>
      <w:r>
        <w:rPr>
          <w:highlight w:val="none"/>
          <w:lang w:val="hr-HR"/>
        </w:rPr>
        <w:t>2026</w:t>
      </w:r>
      <w:r>
        <w:rPr>
          <w:rFonts w:hint="eastAsia"/>
          <w:highlight w:val="none"/>
        </w:rPr>
        <w:t>年</w:t>
      </w:r>
      <w:r>
        <w:rPr>
          <w:rFonts w:hint="eastAsia"/>
          <w:color w:val="FF0000"/>
          <w:highlight w:val="none"/>
          <w:lang w:val="en-US" w:eastAsia="zh-CN"/>
        </w:rPr>
        <w:t>06</w:t>
      </w:r>
      <w:r>
        <w:rPr>
          <w:rFonts w:hint="eastAsia"/>
          <w:color w:val="FF0000"/>
          <w:highlight w:val="none"/>
        </w:rPr>
        <w:t>月</w:t>
      </w:r>
      <w:r>
        <w:rPr>
          <w:rFonts w:hint="eastAsia"/>
          <w:color w:val="FF0000"/>
          <w:highlight w:val="none"/>
          <w:lang w:val="en-US" w:eastAsia="zh-CN"/>
        </w:rPr>
        <w:t>15</w:t>
      </w:r>
      <w:r>
        <w:rPr>
          <w:rFonts w:hint="eastAsia"/>
          <w:color w:val="FF0000"/>
          <w:highlight w:val="none"/>
        </w:rPr>
        <w:t>日</w:t>
      </w:r>
      <w:r>
        <w:rPr>
          <w:highlight w:val="none"/>
        </w:rPr>
        <w:t>23</w:t>
      </w:r>
      <w:r>
        <w:rPr>
          <w:rFonts w:hint="eastAsia"/>
          <w:highlight w:val="none"/>
        </w:rPr>
        <w:t>时</w:t>
      </w:r>
      <w:r>
        <w:rPr>
          <w:highlight w:val="none"/>
        </w:rPr>
        <w:t>59</w:t>
      </w:r>
      <w:r>
        <w:rPr>
          <w:rFonts w:hint="eastAsia"/>
          <w:highlight w:val="none"/>
        </w:rPr>
        <w:t>分</w:t>
      </w:r>
      <w:r>
        <w:rPr>
          <w:rFonts w:hint="eastAsia"/>
          <w:highlight w:val="none"/>
          <w:lang w:val="hr-HR"/>
        </w:rPr>
        <w:t>（北京时间）。</w:t>
      </w:r>
    </w:p>
    <w:bookmarkEnd w:id="55"/>
    <w:p w14:paraId="6A927DD5">
      <w:pPr>
        <w:pStyle w:val="41"/>
        <w:spacing w:line="360" w:lineRule="auto"/>
        <w:rPr>
          <w:highlight w:val="none"/>
          <w:lang w:val="hr-HR"/>
        </w:rPr>
      </w:pPr>
      <w:r>
        <w:rPr>
          <w:rFonts w:hint="eastAsia"/>
          <w:highlight w:val="none"/>
          <w:lang w:val="hr-HR"/>
        </w:rPr>
        <w:t>2.</w:t>
      </w:r>
      <w:r>
        <w:rPr>
          <w:rFonts w:hint="eastAsia"/>
          <w:highlight w:val="none"/>
        </w:rPr>
        <w:t>地点</w:t>
      </w:r>
      <w:r>
        <w:rPr>
          <w:rFonts w:hint="eastAsia"/>
          <w:highlight w:val="none"/>
          <w:lang w:val="hr-HR"/>
        </w:rPr>
        <w:t>：</w:t>
      </w:r>
      <w:bookmarkStart w:id="62" w:name="_Hlk89807779"/>
      <w:r>
        <w:rPr>
          <w:rFonts w:hint="eastAsia"/>
          <w:highlight w:val="none"/>
          <w:lang w:val="en-US"/>
        </w:rPr>
        <w:t>政采云平台线上</w:t>
      </w:r>
      <w:r>
        <w:rPr>
          <w:rFonts w:hint="eastAsia"/>
          <w:highlight w:val="none"/>
          <w:lang w:val="hr-HR"/>
        </w:rPr>
        <w:t>（</w:t>
      </w:r>
      <w:r>
        <w:rPr>
          <w:rFonts w:hint="eastAsia"/>
          <w:highlight w:val="none"/>
          <w:lang w:val="en-US"/>
        </w:rPr>
        <w:t>网址</w:t>
      </w:r>
      <w:r>
        <w:rPr>
          <w:rFonts w:hint="eastAsia"/>
          <w:highlight w:val="none"/>
          <w:lang w:val="hr-HR"/>
        </w:rPr>
        <w:t>：https://www.zcygov.cn/）</w:t>
      </w:r>
      <w:r>
        <w:rPr>
          <w:rFonts w:hint="eastAsia"/>
          <w:highlight w:val="none"/>
        </w:rPr>
        <w:t>。</w:t>
      </w:r>
      <w:bookmarkEnd w:id="62"/>
    </w:p>
    <w:p w14:paraId="506A2F9C">
      <w:pPr>
        <w:pStyle w:val="41"/>
        <w:spacing w:line="360" w:lineRule="auto"/>
        <w:rPr>
          <w:highlight w:val="none"/>
          <w:lang w:val="hr-HR"/>
        </w:rPr>
      </w:pPr>
      <w:r>
        <w:rPr>
          <w:rFonts w:hint="eastAsia"/>
          <w:highlight w:val="none"/>
          <w:lang w:val="hr-HR"/>
        </w:rPr>
        <w:t>3.</w:t>
      </w:r>
      <w:r>
        <w:rPr>
          <w:rFonts w:hint="eastAsia"/>
          <w:highlight w:val="none"/>
        </w:rPr>
        <w:t>方式</w:t>
      </w:r>
      <w:r>
        <w:rPr>
          <w:rFonts w:hint="eastAsia"/>
          <w:highlight w:val="none"/>
          <w:lang w:val="hr-HR"/>
        </w:rPr>
        <w:t>：</w:t>
      </w:r>
      <w:r>
        <w:rPr>
          <w:rFonts w:hint="eastAsia"/>
          <w:highlight w:val="none"/>
        </w:rPr>
        <w:t>投标供应商登录政采云平台</w:t>
      </w:r>
      <w:r>
        <w:rPr>
          <w:rFonts w:hint="eastAsia"/>
          <w:highlight w:val="none"/>
          <w:lang w:val="hr-HR"/>
        </w:rPr>
        <w:t>https://www.zcygov.cn/</w:t>
      </w:r>
      <w:r>
        <w:rPr>
          <w:rFonts w:hint="eastAsia"/>
          <w:highlight w:val="none"/>
        </w:rPr>
        <w:t>在线申请</w:t>
      </w:r>
      <w:r>
        <w:rPr>
          <w:rFonts w:hint="eastAsia"/>
          <w:highlight w:val="none"/>
          <w:lang w:val="hr-HR"/>
        </w:rPr>
        <w:t>，</w:t>
      </w:r>
      <w:r>
        <w:rPr>
          <w:rFonts w:hint="eastAsia"/>
          <w:highlight w:val="none"/>
        </w:rPr>
        <w:t>免费获取电子采购文件</w:t>
      </w:r>
      <w:r>
        <w:rPr>
          <w:rFonts w:hint="eastAsia"/>
          <w:highlight w:val="none"/>
          <w:lang w:val="hr-HR"/>
        </w:rPr>
        <w:t>（</w:t>
      </w:r>
      <w:r>
        <w:rPr>
          <w:rFonts w:hint="eastAsia"/>
          <w:highlight w:val="none"/>
        </w:rPr>
        <w:t>进入</w:t>
      </w:r>
      <w:r>
        <w:rPr>
          <w:rFonts w:hint="eastAsia"/>
          <w:highlight w:val="none"/>
          <w:lang w:val="hr-HR"/>
        </w:rPr>
        <w:t>“</w:t>
      </w:r>
      <w:r>
        <w:rPr>
          <w:rFonts w:hint="eastAsia"/>
          <w:highlight w:val="none"/>
        </w:rPr>
        <w:t>项目采购</w:t>
      </w:r>
      <w:r>
        <w:rPr>
          <w:rFonts w:hint="eastAsia"/>
          <w:highlight w:val="none"/>
          <w:lang w:val="hr-HR"/>
        </w:rPr>
        <w:t>”</w:t>
      </w:r>
      <w:r>
        <w:rPr>
          <w:rFonts w:hint="eastAsia"/>
          <w:highlight w:val="none"/>
        </w:rPr>
        <w:t>应用</w:t>
      </w:r>
      <w:r>
        <w:rPr>
          <w:rFonts w:hint="eastAsia"/>
          <w:highlight w:val="none"/>
          <w:lang w:val="hr-HR"/>
        </w:rPr>
        <w:t>，</w:t>
      </w:r>
      <w:r>
        <w:rPr>
          <w:rFonts w:hint="eastAsia"/>
          <w:highlight w:val="none"/>
        </w:rPr>
        <w:t>在获取采购文件菜单中选择项目</w:t>
      </w:r>
      <w:r>
        <w:rPr>
          <w:rFonts w:hint="eastAsia"/>
          <w:highlight w:val="none"/>
          <w:lang w:val="hr-HR"/>
        </w:rPr>
        <w:t>，</w:t>
      </w:r>
      <w:r>
        <w:rPr>
          <w:rFonts w:hint="eastAsia"/>
          <w:highlight w:val="none"/>
        </w:rPr>
        <w:t>申请获取采购文件</w:t>
      </w:r>
      <w:r>
        <w:rPr>
          <w:rFonts w:hint="eastAsia"/>
          <w:highlight w:val="none"/>
          <w:lang w:val="hr-HR"/>
        </w:rPr>
        <w:t>）</w:t>
      </w:r>
      <w:r>
        <w:rPr>
          <w:rFonts w:hint="eastAsia"/>
          <w:highlight w:val="none"/>
        </w:rPr>
        <w:t>。</w:t>
      </w:r>
    </w:p>
    <w:p w14:paraId="570C5293">
      <w:pPr>
        <w:pStyle w:val="41"/>
        <w:spacing w:line="360" w:lineRule="auto"/>
        <w:rPr>
          <w:highlight w:val="none"/>
        </w:rPr>
      </w:pPr>
      <w:r>
        <w:rPr>
          <w:rFonts w:hint="eastAsia"/>
          <w:highlight w:val="none"/>
        </w:rPr>
        <w:t>4.售价：0元。</w:t>
      </w:r>
    </w:p>
    <w:bookmarkEnd w:id="56"/>
    <w:bookmarkEnd w:id="57"/>
    <w:bookmarkEnd w:id="58"/>
    <w:bookmarkEnd w:id="59"/>
    <w:bookmarkEnd w:id="60"/>
    <w:bookmarkEnd w:id="61"/>
    <w:p w14:paraId="3B806BA9">
      <w:pPr>
        <w:pStyle w:val="4"/>
        <w:spacing w:line="360" w:lineRule="auto"/>
        <w:rPr>
          <w:rFonts w:hint="eastAsia" w:eastAsia="宋体"/>
          <w:sz w:val="28"/>
          <w:szCs w:val="28"/>
          <w:highlight w:val="none"/>
          <w:lang w:val="hr-HR"/>
        </w:rPr>
      </w:pPr>
      <w:bookmarkStart w:id="63" w:name="_Toc163492815"/>
      <w:bookmarkStart w:id="64" w:name="_Toc109899413"/>
      <w:bookmarkStart w:id="65" w:name="_Toc109900251"/>
      <w:bookmarkStart w:id="66" w:name="_Toc140132748"/>
      <w:bookmarkStart w:id="67" w:name="_Toc155185863"/>
      <w:bookmarkStart w:id="68" w:name="_Toc109899832"/>
      <w:bookmarkStart w:id="69" w:name="_Toc21751"/>
      <w:bookmarkStart w:id="70" w:name="_Toc32460"/>
      <w:bookmarkStart w:id="71" w:name="_Toc1796"/>
      <w:bookmarkStart w:id="72" w:name="_Toc1642"/>
      <w:bookmarkStart w:id="73" w:name="_Toc27258"/>
      <w:r>
        <w:rPr>
          <w:rFonts w:hint="eastAsia" w:eastAsia="宋体"/>
          <w:highlight w:val="none"/>
          <w:lang w:val="hr-HR"/>
        </w:rPr>
        <w:t>四、</w:t>
      </w:r>
      <w:bookmarkEnd w:id="63"/>
      <w:bookmarkEnd w:id="64"/>
      <w:bookmarkEnd w:id="65"/>
      <w:bookmarkEnd w:id="66"/>
      <w:bookmarkEnd w:id="67"/>
      <w:bookmarkEnd w:id="68"/>
      <w:r>
        <w:rPr>
          <w:rFonts w:hint="eastAsia" w:eastAsia="宋体"/>
          <w:sz w:val="28"/>
          <w:szCs w:val="28"/>
          <w:highlight w:val="none"/>
          <w:lang w:val="hr-HR"/>
        </w:rPr>
        <w:t>提交投标文件截止时间/开标时间、递交方式和开标地点</w:t>
      </w:r>
      <w:bookmarkEnd w:id="69"/>
      <w:bookmarkEnd w:id="70"/>
      <w:bookmarkEnd w:id="71"/>
      <w:bookmarkEnd w:id="72"/>
      <w:bookmarkEnd w:id="73"/>
      <w:bookmarkStart w:id="74" w:name="_Hlk130457395"/>
      <w:bookmarkStart w:id="75" w:name="_Toc35393803"/>
      <w:bookmarkStart w:id="76" w:name="_Toc44583633"/>
      <w:bookmarkStart w:id="77" w:name="_Toc28359017"/>
      <w:bookmarkStart w:id="78" w:name="_Toc35393634"/>
      <w:bookmarkStart w:id="79" w:name="_Toc28359094"/>
    </w:p>
    <w:p w14:paraId="32E1904F">
      <w:pPr>
        <w:pStyle w:val="41"/>
        <w:spacing w:line="360" w:lineRule="auto"/>
        <w:rPr>
          <w:highlight w:val="none"/>
        </w:rPr>
      </w:pPr>
      <w:bookmarkStart w:id="80" w:name="_Toc5471"/>
      <w:bookmarkStart w:id="81" w:name="_Toc12519"/>
      <w:bookmarkStart w:id="82" w:name="_Toc8573"/>
      <w:bookmarkStart w:id="83" w:name="_Toc28855"/>
      <w:bookmarkStart w:id="84" w:name="_Toc12436"/>
      <w:r>
        <w:rPr>
          <w:rFonts w:hint="eastAsia"/>
          <w:highlight w:val="none"/>
        </w:rPr>
        <w:t>1.截止时间/开标时间：</w:t>
      </w:r>
      <w:r>
        <w:rPr>
          <w:highlight w:val="none"/>
          <w:u w:val="single"/>
          <w:lang w:val="hr-HR"/>
        </w:rPr>
        <w:t>2026</w:t>
      </w:r>
      <w:r>
        <w:rPr>
          <w:rFonts w:hint="eastAsia"/>
          <w:highlight w:val="none"/>
          <w:u w:val="single"/>
        </w:rPr>
        <w:t>年</w:t>
      </w:r>
      <w:r>
        <w:rPr>
          <w:rFonts w:hint="eastAsia"/>
          <w:color w:val="FF0000"/>
          <w:highlight w:val="none"/>
          <w:u w:val="single"/>
          <w:lang w:val="en-US" w:eastAsia="zh-CN"/>
        </w:rPr>
        <w:t>06</w:t>
      </w:r>
      <w:r>
        <w:rPr>
          <w:rFonts w:hint="eastAsia"/>
          <w:color w:val="FF0000"/>
          <w:highlight w:val="none"/>
          <w:u w:val="single"/>
        </w:rPr>
        <w:t>月</w:t>
      </w:r>
      <w:r>
        <w:rPr>
          <w:rFonts w:hint="eastAsia"/>
          <w:color w:val="FF0000"/>
          <w:highlight w:val="none"/>
          <w:u w:val="single"/>
          <w:lang w:val="en-US" w:eastAsia="zh-CN"/>
        </w:rPr>
        <w:t>29</w:t>
      </w:r>
      <w:r>
        <w:rPr>
          <w:rFonts w:hint="eastAsia"/>
          <w:color w:val="FF0000"/>
          <w:highlight w:val="none"/>
          <w:u w:val="single"/>
        </w:rPr>
        <w:t>日</w:t>
      </w:r>
      <w:r>
        <w:rPr>
          <w:rFonts w:hint="eastAsia"/>
          <w:highlight w:val="none"/>
          <w:u w:val="single"/>
          <w:lang w:val="en-US" w:eastAsia="zh-CN"/>
        </w:rPr>
        <w:t>15</w:t>
      </w:r>
      <w:r>
        <w:rPr>
          <w:rFonts w:hint="eastAsia"/>
          <w:highlight w:val="none"/>
          <w:u w:val="single"/>
        </w:rPr>
        <w:t xml:space="preserve">时 </w:t>
      </w:r>
      <w:r>
        <w:rPr>
          <w:rFonts w:hint="eastAsia"/>
          <w:highlight w:val="none"/>
          <w:u w:val="single"/>
          <w:lang w:val="en-US" w:eastAsia="zh-CN"/>
        </w:rPr>
        <w:t>00</w:t>
      </w:r>
      <w:r>
        <w:rPr>
          <w:rFonts w:hint="eastAsia"/>
          <w:highlight w:val="none"/>
          <w:u w:val="single"/>
        </w:rPr>
        <w:t>分</w:t>
      </w:r>
      <w:r>
        <w:rPr>
          <w:rFonts w:hint="eastAsia"/>
          <w:highlight w:val="none"/>
          <w:lang w:val="hr-HR"/>
        </w:rPr>
        <w:t>（北京时间）</w:t>
      </w:r>
      <w:r>
        <w:rPr>
          <w:rFonts w:hint="eastAsia"/>
          <w:highlight w:val="none"/>
        </w:rPr>
        <w:t>。</w:t>
      </w:r>
      <w:bookmarkEnd w:id="80"/>
      <w:bookmarkEnd w:id="81"/>
      <w:bookmarkEnd w:id="82"/>
      <w:bookmarkEnd w:id="83"/>
      <w:bookmarkEnd w:id="84"/>
    </w:p>
    <w:p w14:paraId="6B2A949B">
      <w:pPr>
        <w:pStyle w:val="41"/>
        <w:spacing w:line="360" w:lineRule="auto"/>
        <w:rPr>
          <w:highlight w:val="none"/>
        </w:rPr>
      </w:pPr>
      <w:r>
        <w:rPr>
          <w:rFonts w:hint="eastAsia"/>
          <w:highlight w:val="none"/>
        </w:rPr>
        <w:t>2.递交方式：</w:t>
      </w:r>
      <w:bookmarkStart w:id="85" w:name="_Hlk89807823"/>
      <w:r>
        <w:rPr>
          <w:rFonts w:hint="eastAsia"/>
          <w:highlight w:val="none"/>
        </w:rPr>
        <w:t>在新疆政府采购电子交易云平台（网址：https://www.zcygov.cn/）进入“项目采购”应用，在投标文件上传菜单中选择项目进行上传。</w:t>
      </w:r>
      <w:bookmarkEnd w:id="85"/>
    </w:p>
    <w:p w14:paraId="057C3CBF">
      <w:pPr>
        <w:pStyle w:val="41"/>
        <w:spacing w:line="360" w:lineRule="auto"/>
        <w:rPr>
          <w:highlight w:val="none"/>
        </w:rPr>
      </w:pPr>
      <w:r>
        <w:rPr>
          <w:rFonts w:hint="eastAsia"/>
          <w:highlight w:val="none"/>
        </w:rPr>
        <w:t>3.开标地点：投标人登录政采云平台https://www.zcygov.cn/，进入项目采购－开标评标－右边选择对应项目点击“进入项目”进入开标大厅。</w:t>
      </w:r>
    </w:p>
    <w:bookmarkEnd w:id="74"/>
    <w:p w14:paraId="6BCBABB1">
      <w:pPr>
        <w:pStyle w:val="4"/>
        <w:spacing w:line="360" w:lineRule="auto"/>
        <w:rPr>
          <w:highlight w:val="none"/>
          <w:lang w:val="hr-HR"/>
        </w:rPr>
      </w:pPr>
      <w:bookmarkStart w:id="86" w:name="_Toc13347"/>
      <w:bookmarkStart w:id="87" w:name="_Toc109899414"/>
      <w:bookmarkStart w:id="88" w:name="_Toc14194"/>
      <w:bookmarkStart w:id="89" w:name="_Toc155185864"/>
      <w:bookmarkStart w:id="90" w:name="_Toc20013"/>
      <w:bookmarkStart w:id="91" w:name="_Toc109900252"/>
      <w:bookmarkStart w:id="92" w:name="_Toc163492816"/>
      <w:bookmarkStart w:id="93" w:name="_Toc23037"/>
      <w:bookmarkStart w:id="94" w:name="_Toc140132749"/>
      <w:bookmarkStart w:id="95" w:name="_Toc109899833"/>
      <w:bookmarkStart w:id="96" w:name="_Toc6696"/>
      <w:r>
        <w:rPr>
          <w:rFonts w:hint="eastAsia"/>
          <w:highlight w:val="none"/>
        </w:rPr>
        <w:t>五、</w:t>
      </w:r>
      <w:r>
        <w:rPr>
          <w:rFonts w:hint="eastAsia"/>
          <w:highlight w:val="none"/>
          <w:lang w:val="hr-HR"/>
        </w:rPr>
        <w:t>公告期限</w:t>
      </w:r>
      <w:bookmarkEnd w:id="75"/>
      <w:bookmarkEnd w:id="76"/>
      <w:bookmarkEnd w:id="77"/>
      <w:bookmarkEnd w:id="78"/>
      <w:bookmarkEnd w:id="79"/>
      <w:bookmarkEnd w:id="86"/>
      <w:bookmarkEnd w:id="87"/>
      <w:bookmarkEnd w:id="88"/>
      <w:bookmarkEnd w:id="89"/>
      <w:bookmarkEnd w:id="90"/>
      <w:bookmarkEnd w:id="91"/>
      <w:bookmarkEnd w:id="92"/>
      <w:bookmarkEnd w:id="93"/>
      <w:bookmarkEnd w:id="94"/>
      <w:bookmarkEnd w:id="95"/>
      <w:bookmarkEnd w:id="96"/>
    </w:p>
    <w:p w14:paraId="41FEB11C">
      <w:pPr>
        <w:pStyle w:val="41"/>
        <w:spacing w:line="360" w:lineRule="auto"/>
        <w:rPr>
          <w:highlight w:val="none"/>
        </w:rPr>
      </w:pPr>
      <w:r>
        <w:rPr>
          <w:rFonts w:hint="eastAsia"/>
          <w:highlight w:val="none"/>
        </w:rPr>
        <w:t>自招标公告发布之日起5个工作日。</w:t>
      </w:r>
    </w:p>
    <w:p w14:paraId="3A8D5BDD">
      <w:pPr>
        <w:pStyle w:val="4"/>
        <w:spacing w:line="360" w:lineRule="auto"/>
        <w:rPr>
          <w:highlight w:val="none"/>
          <w:lang w:val="hr-HR"/>
        </w:rPr>
      </w:pPr>
      <w:bookmarkStart w:id="97" w:name="_Toc21248"/>
      <w:bookmarkStart w:id="98" w:name="_Toc35393635"/>
      <w:bookmarkStart w:id="99" w:name="_Toc7878"/>
      <w:bookmarkStart w:id="100" w:name="_Toc7635"/>
      <w:bookmarkStart w:id="101" w:name="_Toc44583634"/>
      <w:bookmarkStart w:id="102" w:name="_Toc30667"/>
      <w:bookmarkStart w:id="103" w:name="_Toc109899415"/>
      <w:bookmarkStart w:id="104" w:name="_Toc14182"/>
      <w:bookmarkStart w:id="105" w:name="_Toc109900253"/>
      <w:bookmarkStart w:id="106" w:name="_Toc35393804"/>
      <w:bookmarkStart w:id="107" w:name="_Toc163492817"/>
      <w:bookmarkStart w:id="108" w:name="_Toc155185865"/>
      <w:bookmarkStart w:id="109" w:name="_Toc109899834"/>
      <w:bookmarkStart w:id="110" w:name="_Toc140132750"/>
      <w:r>
        <w:rPr>
          <w:rFonts w:hint="eastAsia"/>
          <w:highlight w:val="none"/>
        </w:rPr>
        <w:t>六、</w:t>
      </w:r>
      <w:r>
        <w:rPr>
          <w:rFonts w:hint="eastAsia"/>
          <w:highlight w:val="none"/>
          <w:lang w:val="hr-HR"/>
        </w:rPr>
        <w:t>其他补充事宜</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2CB710E9">
      <w:pPr>
        <w:spacing w:line="360" w:lineRule="auto"/>
        <w:rPr>
          <w:highlight w:val="none"/>
        </w:rPr>
      </w:pPr>
      <w:bookmarkStart w:id="111" w:name="_Toc35393636"/>
      <w:bookmarkStart w:id="112" w:name="_Toc28359018"/>
      <w:bookmarkStart w:id="113" w:name="_Toc155185866"/>
      <w:bookmarkStart w:id="114" w:name="_Toc109900254"/>
      <w:bookmarkStart w:id="115" w:name="_Toc163492818"/>
      <w:bookmarkStart w:id="116" w:name="_Toc140132751"/>
      <w:bookmarkStart w:id="117" w:name="_Toc109899835"/>
      <w:bookmarkStart w:id="118" w:name="_Toc28359095"/>
      <w:bookmarkStart w:id="119" w:name="_Toc44583635"/>
      <w:bookmarkStart w:id="120" w:name="_Toc109899416"/>
      <w:bookmarkStart w:id="121" w:name="_Toc35393805"/>
      <w:bookmarkStart w:id="122" w:name="_Toc19771"/>
      <w:bookmarkStart w:id="123" w:name="_Toc10795"/>
      <w:bookmarkStart w:id="124" w:name="_Toc14349"/>
      <w:bookmarkStart w:id="125" w:name="_Toc22960"/>
      <w:r>
        <w:rPr>
          <w:rFonts w:hint="eastAsia"/>
          <w:highlight w:val="none"/>
        </w:rPr>
        <w:t>1、本项目实行网上投标，采用电子投标文件。</w:t>
      </w:r>
    </w:p>
    <w:p w14:paraId="1B4BDFC0">
      <w:pPr>
        <w:spacing w:line="360" w:lineRule="auto"/>
        <w:rPr>
          <w:highlight w:val="none"/>
        </w:rPr>
      </w:pPr>
      <w:r>
        <w:rPr>
          <w:rFonts w:hint="eastAsia"/>
          <w:highlight w:val="none"/>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4F6C80CE">
      <w:pPr>
        <w:spacing w:line="360" w:lineRule="auto"/>
        <w:rPr>
          <w:highlight w:val="none"/>
        </w:rPr>
      </w:pPr>
      <w:r>
        <w:rPr>
          <w:rFonts w:hint="eastAsia"/>
          <w:highlight w:val="none"/>
        </w:rPr>
        <w:t>3、供应商将政采云电子交易客户端下载、安装完成后，可通过账号密码或CA登录客户端进行投标文件的制作。在使用政采云投标客户端时，建议使用WIN7及以上操作系统。</w:t>
      </w:r>
    </w:p>
    <w:p w14:paraId="0EAFF92A">
      <w:pPr>
        <w:spacing w:line="360" w:lineRule="auto"/>
        <w:rPr>
          <w:highlight w:val="none"/>
        </w:rPr>
      </w:pPr>
      <w:r>
        <w:rPr>
          <w:rFonts w:hint="eastAsia"/>
          <w:highlight w:val="none"/>
        </w:rPr>
        <w:t>4、其他事项：①如需咨询，可联系新疆CA服务热线 0991-2819290；②供应商须注意事项：1)本项目实行电子招投标，供应商须登录政采云平台https://www.zcygov.cn/申请获取招标文件，并通过政采云电子投标客户端制作响应文件，同时自行承担与投标有关的一切费用；2）根据国办函〔2019〕41号文促进数字证书（CA）跨平台、跨部门、跨区域互认要求，政府采购云平台目前已支持包括新疆CA、翔晟CA及汇信CA等多家CA的办理及使用。供应商可通过政府采购网-办理指南—供应商—CA证书办理操作指南-进入CA办理界面，按需选择办理任意一家CA厂商的数字证书。CA证书办理操作指南链接：http://u3v.cn/5F3afc；3）客户端请至政采云平台https://www.zcygov.cn/下载专区查看，如有问题可拨打政采云客户服务热线95763进行咨询。如因供应商自身原因导致在规定时间内无法正常解密的（如：浏览器故障、未安装相关驱动、网络故障、加密CA与解密CA不一致等），采购代理机构不予异常处理，视为供应商自动弃标。4）本项目采用不见面开标，供应商须在投标截止时间前通过CA在政采云平台上传加密的电子响应文件。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474A7765">
      <w:pPr>
        <w:pStyle w:val="4"/>
        <w:spacing w:line="360" w:lineRule="auto"/>
        <w:rPr>
          <w:highlight w:val="none"/>
          <w:lang w:val="hr-HR"/>
        </w:rPr>
      </w:pPr>
      <w:bookmarkStart w:id="126" w:name="_Toc20593"/>
      <w:r>
        <w:rPr>
          <w:rFonts w:hint="eastAsia"/>
          <w:highlight w:val="none"/>
        </w:rPr>
        <w:t>七、</w:t>
      </w:r>
      <w:bookmarkEnd w:id="111"/>
      <w:bookmarkEnd w:id="112"/>
      <w:bookmarkEnd w:id="113"/>
      <w:bookmarkEnd w:id="114"/>
      <w:bookmarkEnd w:id="115"/>
      <w:bookmarkEnd w:id="116"/>
      <w:bookmarkEnd w:id="117"/>
      <w:bookmarkEnd w:id="118"/>
      <w:bookmarkEnd w:id="119"/>
      <w:bookmarkEnd w:id="120"/>
      <w:bookmarkEnd w:id="121"/>
      <w:r>
        <w:rPr>
          <w:rFonts w:hint="eastAsia"/>
          <w:highlight w:val="none"/>
          <w:lang w:val="hr-HR"/>
        </w:rPr>
        <w:t>对本次</w:t>
      </w:r>
      <w:r>
        <w:rPr>
          <w:rFonts w:hint="eastAsia"/>
          <w:highlight w:val="none"/>
        </w:rPr>
        <w:t>招标</w:t>
      </w:r>
      <w:r>
        <w:rPr>
          <w:rFonts w:hint="eastAsia"/>
          <w:highlight w:val="none"/>
          <w:lang w:val="hr-HR"/>
        </w:rPr>
        <w:t>提出询问，请按以下方式联系</w:t>
      </w:r>
      <w:bookmarkEnd w:id="122"/>
      <w:bookmarkEnd w:id="123"/>
      <w:bookmarkEnd w:id="124"/>
      <w:bookmarkEnd w:id="125"/>
      <w:bookmarkEnd w:id="126"/>
    </w:p>
    <w:p w14:paraId="2298604D">
      <w:pPr>
        <w:pStyle w:val="41"/>
        <w:spacing w:line="360" w:lineRule="auto"/>
        <w:rPr>
          <w:highlight w:val="none"/>
        </w:rPr>
      </w:pPr>
      <w:r>
        <w:rPr>
          <w:rFonts w:hint="eastAsia"/>
          <w:highlight w:val="none"/>
        </w:rPr>
        <w:t>1.采购人信息</w:t>
      </w:r>
    </w:p>
    <w:p w14:paraId="4F5A2E4F">
      <w:pPr>
        <w:pStyle w:val="41"/>
        <w:spacing w:line="360" w:lineRule="auto"/>
        <w:rPr>
          <w:rFonts w:hint="eastAsia" w:eastAsia="宋体"/>
          <w:highlight w:val="none"/>
          <w:lang w:eastAsia="zh-CN"/>
        </w:rPr>
      </w:pPr>
      <w:r>
        <w:rPr>
          <w:rFonts w:hint="eastAsia"/>
          <w:highlight w:val="none"/>
        </w:rPr>
        <w:t>名称：</w:t>
      </w:r>
      <w:r>
        <w:rPr>
          <w:rFonts w:hint="eastAsia"/>
          <w:highlight w:val="none"/>
          <w:lang w:eastAsia="zh-CN"/>
        </w:rPr>
        <w:t>新疆医科大学附属肿瘤医院</w:t>
      </w:r>
    </w:p>
    <w:p w14:paraId="3B4D77D4">
      <w:pPr>
        <w:pStyle w:val="41"/>
        <w:spacing w:line="360" w:lineRule="auto"/>
        <w:rPr>
          <w:rFonts w:hint="eastAsia" w:eastAsia="宋体"/>
          <w:highlight w:val="none"/>
          <w:lang w:eastAsia="zh-CN"/>
        </w:rPr>
      </w:pPr>
      <w:r>
        <w:rPr>
          <w:rFonts w:hint="eastAsia"/>
          <w:highlight w:val="none"/>
        </w:rPr>
        <w:t>地址：</w:t>
      </w:r>
      <w:r>
        <w:rPr>
          <w:rFonts w:hint="eastAsia"/>
          <w:highlight w:val="none"/>
          <w:lang w:eastAsia="zh-CN"/>
        </w:rPr>
        <w:t>乌鲁木齐市苏州东街789号</w:t>
      </w:r>
    </w:p>
    <w:p w14:paraId="6A2832B6">
      <w:pPr>
        <w:pStyle w:val="41"/>
        <w:spacing w:line="360" w:lineRule="auto"/>
        <w:rPr>
          <w:highlight w:val="none"/>
        </w:rPr>
      </w:pPr>
      <w:r>
        <w:rPr>
          <w:rFonts w:hint="eastAsia"/>
          <w:highlight w:val="none"/>
        </w:rPr>
        <w:t>联系人：</w:t>
      </w:r>
      <w:r>
        <w:rPr>
          <w:rFonts w:hint="eastAsia"/>
          <w:highlight w:val="none"/>
          <w:lang w:eastAsia="zh-CN"/>
        </w:rPr>
        <w:t>丁老师</w:t>
      </w:r>
      <w:r>
        <w:rPr>
          <w:rFonts w:hint="eastAsia"/>
          <w:highlight w:val="none"/>
          <w:lang w:val="en-US" w:eastAsia="zh-CN"/>
        </w:rPr>
        <w:t xml:space="preserve"> </w:t>
      </w:r>
      <w:r>
        <w:rPr>
          <w:rFonts w:hint="eastAsia"/>
          <w:highlight w:val="none"/>
        </w:rPr>
        <w:t xml:space="preserve"> </w:t>
      </w:r>
    </w:p>
    <w:p w14:paraId="71A20031">
      <w:pPr>
        <w:pStyle w:val="41"/>
        <w:spacing w:line="360" w:lineRule="auto"/>
        <w:rPr>
          <w:highlight w:val="none"/>
        </w:rPr>
      </w:pPr>
      <w:r>
        <w:rPr>
          <w:rFonts w:hint="eastAsia"/>
          <w:highlight w:val="none"/>
        </w:rPr>
        <w:t xml:space="preserve">联系方式：09917819055  </w:t>
      </w:r>
    </w:p>
    <w:p w14:paraId="54AB85BB">
      <w:pPr>
        <w:pStyle w:val="41"/>
        <w:spacing w:line="360" w:lineRule="auto"/>
        <w:rPr>
          <w:highlight w:val="none"/>
        </w:rPr>
      </w:pPr>
      <w:r>
        <w:rPr>
          <w:rFonts w:hint="eastAsia"/>
          <w:highlight w:val="none"/>
        </w:rPr>
        <w:t>2.采购代理机构信息</w:t>
      </w:r>
    </w:p>
    <w:p w14:paraId="2A177569">
      <w:pPr>
        <w:pStyle w:val="41"/>
        <w:spacing w:line="360" w:lineRule="auto"/>
        <w:rPr>
          <w:rFonts w:hint="eastAsia" w:eastAsia="宋体"/>
          <w:highlight w:val="none"/>
          <w:lang w:eastAsia="zh-CN"/>
        </w:rPr>
      </w:pPr>
      <w:r>
        <w:rPr>
          <w:rFonts w:hint="eastAsia"/>
          <w:highlight w:val="none"/>
        </w:rPr>
        <w:t>名称：</w:t>
      </w:r>
      <w:r>
        <w:rPr>
          <w:rFonts w:hint="eastAsia"/>
          <w:highlight w:val="none"/>
          <w:lang w:eastAsia="zh-CN"/>
        </w:rPr>
        <w:t>华诚博远工程咨询有限公司</w:t>
      </w:r>
    </w:p>
    <w:p w14:paraId="486C8637">
      <w:pPr>
        <w:pStyle w:val="41"/>
        <w:spacing w:line="360" w:lineRule="auto"/>
        <w:rPr>
          <w:highlight w:val="none"/>
        </w:rPr>
      </w:pPr>
      <w:r>
        <w:rPr>
          <w:rFonts w:hint="eastAsia"/>
          <w:highlight w:val="none"/>
        </w:rPr>
        <w:t>地址：</w:t>
      </w:r>
      <w:r>
        <w:rPr>
          <w:rFonts w:hint="eastAsia"/>
          <w:highlight w:val="none"/>
          <w:lang w:eastAsia="zh-CN"/>
        </w:rPr>
        <w:t>新疆乌鲁木齐市新市区鲤鱼山北路</w:t>
      </w:r>
      <w:r>
        <w:rPr>
          <w:rFonts w:hint="eastAsia"/>
          <w:highlight w:val="none"/>
          <w:lang w:val="en-US" w:eastAsia="zh-CN"/>
        </w:rPr>
        <w:t>298号领世广场1404室</w:t>
      </w:r>
    </w:p>
    <w:p w14:paraId="17E9C25E">
      <w:pPr>
        <w:pStyle w:val="41"/>
        <w:spacing w:line="360" w:lineRule="auto"/>
        <w:rPr>
          <w:rFonts w:hint="default" w:eastAsia="宋体"/>
          <w:highlight w:val="none"/>
          <w:lang w:val="en-US" w:eastAsia="zh-CN"/>
        </w:rPr>
      </w:pPr>
      <w:r>
        <w:rPr>
          <w:rFonts w:hint="eastAsia"/>
          <w:highlight w:val="none"/>
        </w:rPr>
        <w:t>联系方式：</w:t>
      </w:r>
      <w:r>
        <w:rPr>
          <w:rFonts w:hint="eastAsia"/>
          <w:highlight w:val="none"/>
          <w:lang w:val="en-US" w:eastAsia="zh-CN"/>
        </w:rPr>
        <w:t>13150328552</w:t>
      </w:r>
    </w:p>
    <w:p w14:paraId="64D1EBE7">
      <w:pPr>
        <w:pStyle w:val="41"/>
        <w:spacing w:line="360" w:lineRule="auto"/>
        <w:rPr>
          <w:highlight w:val="none"/>
        </w:rPr>
      </w:pPr>
      <w:r>
        <w:rPr>
          <w:highlight w:val="none"/>
        </w:rPr>
        <w:t>3.项目联系方式</w:t>
      </w:r>
    </w:p>
    <w:p w14:paraId="2C6DBC54">
      <w:pPr>
        <w:pStyle w:val="41"/>
        <w:spacing w:line="360" w:lineRule="auto"/>
        <w:rPr>
          <w:rFonts w:hint="eastAsia" w:eastAsia="宋体"/>
          <w:highlight w:val="none"/>
          <w:lang w:eastAsia="zh-CN"/>
        </w:rPr>
      </w:pPr>
      <w:r>
        <w:rPr>
          <w:rFonts w:hint="eastAsia"/>
          <w:highlight w:val="none"/>
        </w:rPr>
        <w:t>项目联系人：</w:t>
      </w:r>
      <w:r>
        <w:rPr>
          <w:rFonts w:hint="eastAsia"/>
          <w:highlight w:val="none"/>
          <w:lang w:eastAsia="zh-CN"/>
        </w:rPr>
        <w:t>许雪洁</w:t>
      </w:r>
    </w:p>
    <w:p w14:paraId="574C172D">
      <w:pPr>
        <w:pStyle w:val="41"/>
        <w:spacing w:line="360" w:lineRule="auto"/>
        <w:rPr>
          <w:rFonts w:hint="eastAsia" w:eastAsia="宋体"/>
          <w:highlight w:val="none"/>
          <w:lang w:eastAsia="zh-CN"/>
        </w:rPr>
      </w:pPr>
      <w:r>
        <w:rPr>
          <w:rFonts w:hint="eastAsia"/>
          <w:highlight w:val="none"/>
        </w:rPr>
        <w:t>电</w:t>
      </w:r>
      <w:r>
        <w:rPr>
          <w:highlight w:val="none"/>
        </w:rPr>
        <w:t xml:space="preserve"> 话：</w:t>
      </w:r>
      <w:r>
        <w:rPr>
          <w:rFonts w:hint="eastAsia"/>
          <w:highlight w:val="none"/>
          <w:lang w:val="en-US" w:eastAsia="zh-CN"/>
        </w:rPr>
        <w:t>13150328552</w:t>
      </w:r>
      <w:r>
        <w:rPr>
          <w:rFonts w:hint="eastAsia"/>
          <w:highlight w:val="none"/>
          <w:lang w:eastAsia="zh-CN"/>
        </w:rPr>
        <w:t xml:space="preserve"> </w:t>
      </w:r>
    </w:p>
    <w:p w14:paraId="36C66BDC">
      <w:pPr>
        <w:spacing w:line="360" w:lineRule="auto"/>
        <w:rPr>
          <w:highlight w:val="none"/>
        </w:rPr>
      </w:pPr>
    </w:p>
    <w:p w14:paraId="7233C655">
      <w:pPr>
        <w:spacing w:line="360" w:lineRule="auto"/>
        <w:rPr>
          <w:highlight w:val="none"/>
        </w:rPr>
      </w:pPr>
    </w:p>
    <w:p w14:paraId="64D7018E">
      <w:pPr>
        <w:spacing w:line="360" w:lineRule="auto"/>
        <w:rPr>
          <w:highlight w:val="none"/>
        </w:rPr>
      </w:pPr>
    </w:p>
    <w:p w14:paraId="2A02AD15">
      <w:pPr>
        <w:spacing w:line="360" w:lineRule="auto"/>
        <w:rPr>
          <w:highlight w:val="none"/>
        </w:rPr>
      </w:pPr>
    </w:p>
    <w:p w14:paraId="2F79D9A6">
      <w:pPr>
        <w:spacing w:line="360" w:lineRule="auto"/>
        <w:rPr>
          <w:highlight w:val="none"/>
        </w:rPr>
        <w:sectPr>
          <w:footerReference r:id="rId4" w:type="default"/>
          <w:pgSz w:w="11906" w:h="16838"/>
          <w:pgMar w:top="1440" w:right="1800" w:bottom="1440" w:left="1800" w:header="851" w:footer="992" w:gutter="0"/>
          <w:pgNumType w:fmt="decimal" w:start="1"/>
          <w:cols w:space="425" w:num="1"/>
          <w:docGrid w:type="lines" w:linePitch="312" w:charSpace="0"/>
        </w:sectPr>
      </w:pPr>
    </w:p>
    <w:p w14:paraId="78829C98">
      <w:pPr>
        <w:pStyle w:val="3"/>
        <w:spacing w:line="360" w:lineRule="auto"/>
        <w:rPr>
          <w:highlight w:val="none"/>
        </w:rPr>
      </w:pPr>
      <w:bookmarkStart w:id="127" w:name="_Toc163492819"/>
      <w:bookmarkStart w:id="128" w:name="_Toc5028"/>
      <w:bookmarkStart w:id="129" w:name="_Toc155185867"/>
      <w:r>
        <w:rPr>
          <w:rFonts w:hint="eastAsia"/>
          <w:highlight w:val="none"/>
        </w:rPr>
        <w:t>第二章 投标人须知</w:t>
      </w:r>
      <w:bookmarkEnd w:id="127"/>
      <w:bookmarkEnd w:id="128"/>
      <w:bookmarkEnd w:id="129"/>
    </w:p>
    <w:bookmarkEnd w:id="4"/>
    <w:p w14:paraId="1E035006">
      <w:pPr>
        <w:pStyle w:val="4"/>
        <w:spacing w:line="360" w:lineRule="auto"/>
        <w:rPr>
          <w:highlight w:val="none"/>
        </w:rPr>
      </w:pPr>
      <w:bookmarkStart w:id="130" w:name="_Toc155185868"/>
      <w:bookmarkStart w:id="131" w:name="_Toc163492820"/>
      <w:bookmarkStart w:id="132" w:name="_Toc30888"/>
      <w:r>
        <w:rPr>
          <w:rFonts w:hint="eastAsia"/>
          <w:highlight w:val="none"/>
        </w:rPr>
        <w:t>一、投标人须知前附表</w:t>
      </w:r>
      <w:bookmarkEnd w:id="130"/>
      <w:bookmarkEnd w:id="131"/>
      <w:bookmarkEnd w:id="132"/>
    </w:p>
    <w:p w14:paraId="62216648">
      <w:pPr>
        <w:pStyle w:val="41"/>
        <w:spacing w:line="360" w:lineRule="auto"/>
        <w:rPr>
          <w:highlight w:val="none"/>
          <w:lang w:val="en-US"/>
        </w:rPr>
      </w:pPr>
      <w:r>
        <w:rPr>
          <w:rFonts w:hint="eastAsia"/>
          <w:highlight w:val="none"/>
        </w:rPr>
        <w:t>投标人应仔细阅读本招标文件的第二章“投标人须知”，下面所列资料是对“投标人须知”的具体补充和说明，如有矛盾，应以本表为准。</w:t>
      </w:r>
      <w:r>
        <w:rPr>
          <w:rFonts w:hint="eastAsia"/>
          <w:highlight w:val="none"/>
          <w:lang w:val="en-US"/>
        </w:rPr>
        <w:t>标记“</w:t>
      </w:r>
      <w:r>
        <w:rPr>
          <w:rFonts w:ascii="Segoe UI Symbol" w:hAnsi="Segoe UI Symbol" w:cs="Segoe UI Symbol"/>
          <w:highlight w:val="none"/>
          <w:lang w:val="en-US"/>
        </w:rPr>
        <w:t>☑</w:t>
      </w:r>
      <w:r>
        <w:rPr>
          <w:rFonts w:hint="eastAsia" w:cs="宋体"/>
          <w:highlight w:val="none"/>
          <w:lang w:val="en-US"/>
        </w:rPr>
        <w:t>”的选项意为适用于本项目，标记“□”的选项意为不适用于本项目。</w:t>
      </w:r>
    </w:p>
    <w:tbl>
      <w:tblPr>
        <w:tblStyle w:val="33"/>
        <w:tblW w:w="9408" w:type="dxa"/>
        <w:tblInd w:w="-35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583"/>
        <w:gridCol w:w="6855"/>
      </w:tblGrid>
      <w:tr w14:paraId="5C881E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9FD3A4" w:themeFill="background1" w:themeFillShade="D9"/>
            <w:vAlign w:val="center"/>
          </w:tcPr>
          <w:p w14:paraId="78127B42">
            <w:pPr>
              <w:pStyle w:val="53"/>
              <w:spacing w:line="360" w:lineRule="auto"/>
              <w:jc w:val="center"/>
              <w:rPr>
                <w:rFonts w:cs="宋体"/>
                <w:b/>
                <w:bCs/>
                <w:szCs w:val="24"/>
                <w:highlight w:val="none"/>
              </w:rPr>
            </w:pPr>
            <w:r>
              <w:rPr>
                <w:rFonts w:hint="eastAsia" w:cs="宋体"/>
                <w:b/>
                <w:bCs/>
                <w:szCs w:val="24"/>
                <w:highlight w:val="none"/>
              </w:rPr>
              <w:t>条款号</w:t>
            </w:r>
          </w:p>
        </w:tc>
        <w:tc>
          <w:tcPr>
            <w:tcW w:w="1583" w:type="dxa"/>
            <w:tcBorders>
              <w:top w:val="single" w:color="auto" w:sz="4" w:space="0"/>
              <w:left w:val="single" w:color="auto" w:sz="4" w:space="0"/>
              <w:bottom w:val="single" w:color="auto" w:sz="4" w:space="0"/>
              <w:right w:val="single" w:color="auto" w:sz="4" w:space="0"/>
            </w:tcBorders>
            <w:shd w:val="clear" w:color="auto" w:fill="9FD3A4" w:themeFill="background1" w:themeFillShade="D9"/>
            <w:vAlign w:val="center"/>
          </w:tcPr>
          <w:p w14:paraId="255F9C10">
            <w:pPr>
              <w:pStyle w:val="53"/>
              <w:spacing w:line="360" w:lineRule="auto"/>
              <w:jc w:val="center"/>
              <w:rPr>
                <w:rFonts w:cs="宋体"/>
                <w:b/>
                <w:bCs/>
                <w:szCs w:val="24"/>
                <w:highlight w:val="none"/>
              </w:rPr>
            </w:pPr>
            <w:r>
              <w:rPr>
                <w:rFonts w:hint="eastAsia" w:cs="宋体"/>
                <w:b/>
                <w:bCs/>
                <w:szCs w:val="24"/>
                <w:highlight w:val="none"/>
              </w:rPr>
              <w:t>条款名称</w:t>
            </w:r>
          </w:p>
        </w:tc>
        <w:tc>
          <w:tcPr>
            <w:tcW w:w="6855" w:type="dxa"/>
            <w:tcBorders>
              <w:top w:val="single" w:color="auto" w:sz="4" w:space="0"/>
              <w:left w:val="single" w:color="auto" w:sz="4" w:space="0"/>
              <w:bottom w:val="single" w:color="auto" w:sz="4" w:space="0"/>
              <w:right w:val="single" w:color="auto" w:sz="4" w:space="0"/>
            </w:tcBorders>
            <w:shd w:val="clear" w:color="auto" w:fill="9FD3A4" w:themeFill="background1" w:themeFillShade="D9"/>
            <w:vAlign w:val="center"/>
          </w:tcPr>
          <w:p w14:paraId="445B447B">
            <w:pPr>
              <w:pStyle w:val="53"/>
              <w:spacing w:line="360" w:lineRule="auto"/>
              <w:jc w:val="center"/>
              <w:rPr>
                <w:rFonts w:cs="宋体"/>
                <w:b/>
                <w:bCs/>
                <w:szCs w:val="24"/>
                <w:highlight w:val="none"/>
              </w:rPr>
            </w:pPr>
            <w:r>
              <w:rPr>
                <w:rFonts w:hint="eastAsia" w:cs="宋体"/>
                <w:b/>
                <w:bCs/>
                <w:szCs w:val="24"/>
                <w:highlight w:val="none"/>
              </w:rPr>
              <w:t>内  容</w:t>
            </w:r>
          </w:p>
        </w:tc>
      </w:tr>
      <w:tr w14:paraId="242A2D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shd w:val="clear" w:color="auto" w:fill="auto"/>
            <w:vAlign w:val="center"/>
          </w:tcPr>
          <w:p w14:paraId="12C71393">
            <w:pPr>
              <w:pStyle w:val="53"/>
              <w:spacing w:line="360" w:lineRule="auto"/>
              <w:jc w:val="center"/>
              <w:rPr>
                <w:rFonts w:cs="宋体"/>
                <w:szCs w:val="24"/>
                <w:highlight w:val="none"/>
              </w:rPr>
            </w:pPr>
            <w:r>
              <w:rPr>
                <w:rFonts w:hint="eastAsia" w:cs="宋体"/>
                <w:szCs w:val="24"/>
                <w:highlight w:val="none"/>
              </w:rPr>
              <w:t>2.1</w:t>
            </w:r>
          </w:p>
        </w:tc>
        <w:tc>
          <w:tcPr>
            <w:tcW w:w="1583" w:type="dxa"/>
            <w:shd w:val="clear" w:color="auto" w:fill="auto"/>
            <w:vAlign w:val="center"/>
          </w:tcPr>
          <w:p w14:paraId="2F63CB71">
            <w:pPr>
              <w:pStyle w:val="53"/>
              <w:spacing w:line="360" w:lineRule="auto"/>
              <w:rPr>
                <w:rFonts w:cs="宋体"/>
                <w:szCs w:val="24"/>
                <w:highlight w:val="none"/>
              </w:rPr>
            </w:pPr>
            <w:r>
              <w:rPr>
                <w:rFonts w:hint="eastAsia" w:cs="宋体"/>
                <w:szCs w:val="24"/>
                <w:highlight w:val="none"/>
              </w:rPr>
              <w:t>项目名称及编号</w:t>
            </w:r>
          </w:p>
        </w:tc>
        <w:tc>
          <w:tcPr>
            <w:tcW w:w="6855" w:type="dxa"/>
            <w:shd w:val="clear" w:color="auto" w:fill="auto"/>
            <w:vAlign w:val="center"/>
          </w:tcPr>
          <w:p w14:paraId="7F150D7C">
            <w:pPr>
              <w:pStyle w:val="53"/>
              <w:spacing w:line="360" w:lineRule="auto"/>
              <w:rPr>
                <w:rFonts w:hint="default" w:eastAsia="宋体" w:cs="宋体"/>
                <w:szCs w:val="24"/>
                <w:highlight w:val="none"/>
                <w:lang w:val="en-US" w:eastAsia="zh-CN"/>
              </w:rPr>
            </w:pPr>
            <w:r>
              <w:rPr>
                <w:rFonts w:hint="eastAsia" w:cs="宋体"/>
                <w:szCs w:val="24"/>
                <w:highlight w:val="none"/>
              </w:rPr>
              <w:t>项目名称：</w:t>
            </w:r>
            <w:r>
              <w:rPr>
                <w:rFonts w:hint="eastAsia"/>
                <w:highlight w:val="none"/>
                <w:shd w:val="clear" w:color="auto" w:fill="CCE8CF" w:themeFill="background1"/>
                <w:lang w:val="hr-HR" w:eastAsia="zh-CN"/>
              </w:rPr>
              <w:t>新疆医科大学附属肿瘤医院调料采购项目</w:t>
            </w:r>
            <w:r>
              <w:rPr>
                <w:rFonts w:hint="eastAsia" w:cs="宋体"/>
                <w:szCs w:val="24"/>
                <w:highlight w:val="none"/>
              </w:rPr>
              <w:br w:type="textWrapping"/>
            </w:r>
            <w:r>
              <w:rPr>
                <w:rFonts w:hint="eastAsia" w:cs="宋体"/>
                <w:szCs w:val="24"/>
                <w:highlight w:val="none"/>
              </w:rPr>
              <w:t>项目编号：[2026]12919号</w:t>
            </w:r>
          </w:p>
        </w:tc>
      </w:tr>
      <w:tr w14:paraId="0C668A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shd w:val="clear" w:color="auto" w:fill="auto"/>
            <w:vAlign w:val="center"/>
          </w:tcPr>
          <w:p w14:paraId="4F49D8B9">
            <w:pPr>
              <w:pStyle w:val="53"/>
              <w:spacing w:line="360" w:lineRule="auto"/>
              <w:jc w:val="center"/>
              <w:rPr>
                <w:rFonts w:cs="宋体"/>
                <w:szCs w:val="24"/>
                <w:highlight w:val="none"/>
              </w:rPr>
            </w:pPr>
            <w:r>
              <w:rPr>
                <w:rFonts w:hint="eastAsia" w:cs="宋体"/>
                <w:szCs w:val="24"/>
                <w:highlight w:val="none"/>
              </w:rPr>
              <w:t>2.2</w:t>
            </w:r>
          </w:p>
        </w:tc>
        <w:tc>
          <w:tcPr>
            <w:tcW w:w="1583" w:type="dxa"/>
            <w:shd w:val="clear" w:color="auto" w:fill="auto"/>
            <w:vAlign w:val="center"/>
          </w:tcPr>
          <w:p w14:paraId="4726965F">
            <w:pPr>
              <w:pStyle w:val="53"/>
              <w:spacing w:line="360" w:lineRule="auto"/>
              <w:rPr>
                <w:rFonts w:cs="宋体"/>
                <w:szCs w:val="24"/>
                <w:highlight w:val="none"/>
              </w:rPr>
            </w:pPr>
            <w:r>
              <w:rPr>
                <w:rFonts w:hint="eastAsia" w:cs="宋体"/>
                <w:szCs w:val="24"/>
                <w:highlight w:val="none"/>
              </w:rPr>
              <w:t>采购人</w:t>
            </w:r>
          </w:p>
        </w:tc>
        <w:tc>
          <w:tcPr>
            <w:tcW w:w="6855" w:type="dxa"/>
            <w:shd w:val="clear" w:color="auto" w:fill="auto"/>
            <w:vAlign w:val="center"/>
          </w:tcPr>
          <w:p w14:paraId="0EADFFA5">
            <w:pPr>
              <w:pStyle w:val="53"/>
              <w:spacing w:line="360" w:lineRule="auto"/>
              <w:rPr>
                <w:rFonts w:hint="eastAsia" w:eastAsia="宋体" w:cs="宋体"/>
                <w:szCs w:val="24"/>
                <w:highlight w:val="none"/>
                <w:lang w:eastAsia="zh-CN"/>
              </w:rPr>
            </w:pPr>
            <w:r>
              <w:rPr>
                <w:rFonts w:hint="eastAsia" w:cs="宋体"/>
                <w:szCs w:val="24"/>
                <w:highlight w:val="none"/>
              </w:rPr>
              <w:t>名    称：</w:t>
            </w:r>
            <w:r>
              <w:rPr>
                <w:rFonts w:hint="eastAsia" w:cs="宋体"/>
                <w:szCs w:val="24"/>
                <w:highlight w:val="none"/>
                <w:lang w:eastAsia="zh-CN"/>
              </w:rPr>
              <w:t>新疆医科大学附属肿瘤医院</w:t>
            </w:r>
          </w:p>
          <w:p w14:paraId="6A2D0C7D">
            <w:pPr>
              <w:pStyle w:val="53"/>
              <w:spacing w:line="360" w:lineRule="auto"/>
              <w:rPr>
                <w:rFonts w:hint="eastAsia" w:eastAsia="宋体" w:cs="宋体"/>
                <w:szCs w:val="24"/>
                <w:highlight w:val="none"/>
                <w:lang w:eastAsia="zh-CN"/>
              </w:rPr>
            </w:pPr>
            <w:r>
              <w:rPr>
                <w:rFonts w:hint="eastAsia" w:cs="宋体"/>
                <w:szCs w:val="24"/>
                <w:highlight w:val="none"/>
              </w:rPr>
              <w:t>地    址：</w:t>
            </w:r>
            <w:r>
              <w:rPr>
                <w:rFonts w:hint="eastAsia" w:cs="宋体"/>
                <w:szCs w:val="24"/>
                <w:highlight w:val="none"/>
                <w:lang w:eastAsia="zh-CN"/>
              </w:rPr>
              <w:t>乌鲁木齐市苏州东街789号</w:t>
            </w:r>
          </w:p>
          <w:p w14:paraId="531F7ECA">
            <w:pPr>
              <w:pStyle w:val="53"/>
              <w:spacing w:line="360" w:lineRule="auto"/>
              <w:rPr>
                <w:rFonts w:cs="宋体"/>
                <w:szCs w:val="24"/>
                <w:highlight w:val="none"/>
              </w:rPr>
            </w:pPr>
            <w:r>
              <w:rPr>
                <w:rFonts w:hint="eastAsia" w:cs="宋体"/>
                <w:szCs w:val="24"/>
                <w:highlight w:val="none"/>
              </w:rPr>
              <w:t>联 系 人：</w:t>
            </w:r>
            <w:r>
              <w:rPr>
                <w:rFonts w:hint="eastAsia" w:cs="宋体"/>
                <w:szCs w:val="24"/>
                <w:highlight w:val="none"/>
                <w:lang w:eastAsia="zh-CN"/>
              </w:rPr>
              <w:t>丁</w:t>
            </w:r>
            <w:r>
              <w:rPr>
                <w:rFonts w:hint="eastAsia" w:cs="宋体"/>
                <w:szCs w:val="24"/>
                <w:highlight w:val="none"/>
              </w:rPr>
              <w:t>老师</w:t>
            </w:r>
          </w:p>
          <w:p w14:paraId="4496E6F6">
            <w:pPr>
              <w:pStyle w:val="53"/>
              <w:spacing w:line="360" w:lineRule="auto"/>
              <w:rPr>
                <w:rFonts w:cs="宋体"/>
                <w:szCs w:val="24"/>
                <w:highlight w:val="none"/>
              </w:rPr>
            </w:pPr>
            <w:r>
              <w:rPr>
                <w:rFonts w:hint="eastAsia" w:cs="宋体"/>
                <w:szCs w:val="24"/>
                <w:highlight w:val="none"/>
              </w:rPr>
              <w:t xml:space="preserve">联系电话： 09917819055 </w:t>
            </w:r>
          </w:p>
        </w:tc>
      </w:tr>
      <w:tr w14:paraId="2C9A67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shd w:val="clear" w:color="auto" w:fill="auto"/>
            <w:vAlign w:val="center"/>
          </w:tcPr>
          <w:p w14:paraId="47B75670">
            <w:pPr>
              <w:pStyle w:val="53"/>
              <w:spacing w:line="360" w:lineRule="auto"/>
              <w:jc w:val="center"/>
              <w:rPr>
                <w:rFonts w:cs="宋体"/>
                <w:szCs w:val="24"/>
                <w:highlight w:val="none"/>
              </w:rPr>
            </w:pPr>
            <w:r>
              <w:rPr>
                <w:rFonts w:hint="eastAsia" w:cs="宋体"/>
                <w:szCs w:val="24"/>
                <w:highlight w:val="none"/>
              </w:rPr>
              <w:t>2.3</w:t>
            </w:r>
          </w:p>
        </w:tc>
        <w:tc>
          <w:tcPr>
            <w:tcW w:w="1583" w:type="dxa"/>
            <w:shd w:val="clear" w:color="auto" w:fill="auto"/>
            <w:vAlign w:val="center"/>
          </w:tcPr>
          <w:p w14:paraId="5F565009">
            <w:pPr>
              <w:pStyle w:val="53"/>
              <w:spacing w:line="360" w:lineRule="auto"/>
              <w:rPr>
                <w:rFonts w:cs="宋体"/>
                <w:szCs w:val="24"/>
                <w:highlight w:val="none"/>
              </w:rPr>
            </w:pPr>
            <w:r>
              <w:rPr>
                <w:rFonts w:hint="eastAsia" w:cs="宋体"/>
                <w:szCs w:val="24"/>
                <w:highlight w:val="none"/>
              </w:rPr>
              <w:t>采购代理机构</w:t>
            </w:r>
          </w:p>
        </w:tc>
        <w:tc>
          <w:tcPr>
            <w:tcW w:w="6855" w:type="dxa"/>
            <w:shd w:val="clear" w:color="auto" w:fill="auto"/>
            <w:vAlign w:val="center"/>
          </w:tcPr>
          <w:p w14:paraId="3917C2E0">
            <w:pPr>
              <w:pStyle w:val="53"/>
              <w:spacing w:line="360" w:lineRule="auto"/>
              <w:rPr>
                <w:rFonts w:hint="eastAsia" w:eastAsia="宋体" w:cs="宋体"/>
                <w:szCs w:val="24"/>
                <w:highlight w:val="none"/>
                <w:lang w:eastAsia="zh-CN"/>
              </w:rPr>
            </w:pPr>
            <w:r>
              <w:rPr>
                <w:rFonts w:hint="eastAsia" w:cs="宋体"/>
                <w:szCs w:val="24"/>
                <w:highlight w:val="none"/>
              </w:rPr>
              <w:t>名    称：</w:t>
            </w:r>
            <w:r>
              <w:rPr>
                <w:rFonts w:hint="eastAsia" w:cs="宋体"/>
                <w:szCs w:val="24"/>
                <w:highlight w:val="none"/>
                <w:lang w:eastAsia="zh-CN"/>
              </w:rPr>
              <w:t>华诚博远工程咨询有限公司</w:t>
            </w:r>
          </w:p>
          <w:p w14:paraId="389C0198">
            <w:pPr>
              <w:pStyle w:val="53"/>
              <w:spacing w:line="360" w:lineRule="auto"/>
              <w:rPr>
                <w:rFonts w:cs="宋体"/>
                <w:szCs w:val="24"/>
                <w:highlight w:val="none"/>
              </w:rPr>
            </w:pPr>
            <w:r>
              <w:rPr>
                <w:rFonts w:hint="eastAsia" w:cs="宋体"/>
                <w:szCs w:val="24"/>
                <w:highlight w:val="none"/>
              </w:rPr>
              <w:t>地    址：</w:t>
            </w:r>
            <w:r>
              <w:rPr>
                <w:rFonts w:hint="eastAsia"/>
                <w:highlight w:val="none"/>
                <w:lang w:eastAsia="zh-CN"/>
              </w:rPr>
              <w:t>新疆乌鲁木齐市新市区鲤鱼山北路</w:t>
            </w:r>
            <w:r>
              <w:rPr>
                <w:rFonts w:hint="eastAsia"/>
                <w:highlight w:val="none"/>
                <w:lang w:val="en-US" w:eastAsia="zh-CN"/>
              </w:rPr>
              <w:t>298号领世广场1404室</w:t>
            </w:r>
          </w:p>
          <w:p w14:paraId="6AB13F2F">
            <w:pPr>
              <w:pStyle w:val="53"/>
              <w:spacing w:line="360" w:lineRule="auto"/>
              <w:rPr>
                <w:rFonts w:hint="eastAsia" w:eastAsia="宋体" w:cs="宋体"/>
                <w:szCs w:val="24"/>
                <w:highlight w:val="none"/>
                <w:lang w:eastAsia="zh-CN"/>
              </w:rPr>
            </w:pPr>
            <w:r>
              <w:rPr>
                <w:rFonts w:hint="eastAsia" w:cs="宋体"/>
                <w:szCs w:val="24"/>
                <w:highlight w:val="none"/>
              </w:rPr>
              <w:t>联 系 人：</w:t>
            </w:r>
            <w:r>
              <w:rPr>
                <w:rFonts w:hint="eastAsia" w:cs="宋体"/>
                <w:szCs w:val="24"/>
                <w:highlight w:val="none"/>
                <w:lang w:eastAsia="zh-CN"/>
              </w:rPr>
              <w:t>许雪洁</w:t>
            </w:r>
          </w:p>
          <w:p w14:paraId="29700A19">
            <w:pPr>
              <w:pStyle w:val="53"/>
              <w:spacing w:line="360" w:lineRule="auto"/>
              <w:rPr>
                <w:rFonts w:hint="default" w:eastAsia="宋体" w:cs="宋体"/>
                <w:szCs w:val="24"/>
                <w:highlight w:val="none"/>
                <w:lang w:val="en-US" w:eastAsia="zh-CN"/>
              </w:rPr>
            </w:pPr>
            <w:r>
              <w:rPr>
                <w:rFonts w:hint="eastAsia" w:cs="宋体"/>
                <w:szCs w:val="24"/>
                <w:highlight w:val="none"/>
              </w:rPr>
              <w:t>联系电话：</w:t>
            </w:r>
            <w:r>
              <w:rPr>
                <w:rFonts w:hint="eastAsia" w:cs="宋体"/>
                <w:szCs w:val="24"/>
                <w:highlight w:val="none"/>
                <w:lang w:val="en-US" w:eastAsia="zh-CN"/>
              </w:rPr>
              <w:t>13150328552</w:t>
            </w:r>
          </w:p>
          <w:p w14:paraId="3FBAD647">
            <w:pPr>
              <w:pStyle w:val="53"/>
              <w:spacing w:line="360" w:lineRule="auto"/>
              <w:rPr>
                <w:rFonts w:hint="eastAsia" w:eastAsia="宋体" w:cs="宋体"/>
                <w:szCs w:val="24"/>
                <w:highlight w:val="none"/>
                <w:lang w:val="en-US" w:eastAsia="zh-CN"/>
              </w:rPr>
            </w:pPr>
            <w:r>
              <w:rPr>
                <w:rFonts w:hint="eastAsia" w:cs="宋体"/>
                <w:szCs w:val="24"/>
                <w:highlight w:val="none"/>
              </w:rPr>
              <w:t>电子邮件：</w:t>
            </w:r>
            <w:r>
              <w:rPr>
                <w:rFonts w:hint="eastAsia" w:cs="宋体"/>
                <w:szCs w:val="24"/>
                <w:highlight w:val="none"/>
                <w:lang w:val="en-US" w:eastAsia="zh-CN"/>
              </w:rPr>
              <w:t>786187019</w:t>
            </w:r>
            <w:r>
              <w:rPr>
                <w:rFonts w:hint="eastAsia" w:cs="宋体"/>
                <w:szCs w:val="24"/>
                <w:highlight w:val="none"/>
              </w:rPr>
              <w:t>@</w:t>
            </w:r>
            <w:r>
              <w:rPr>
                <w:rFonts w:hint="eastAsia" w:cs="宋体"/>
                <w:szCs w:val="24"/>
                <w:highlight w:val="none"/>
                <w:lang w:val="en-US" w:eastAsia="zh-CN"/>
              </w:rPr>
              <w:t>qq</w:t>
            </w:r>
            <w:r>
              <w:rPr>
                <w:rFonts w:hint="eastAsia" w:cs="宋体"/>
                <w:szCs w:val="24"/>
                <w:highlight w:val="none"/>
              </w:rPr>
              <w:t>.com</w:t>
            </w:r>
            <w:r>
              <w:rPr>
                <w:rFonts w:hint="eastAsia" w:cs="宋体"/>
                <w:szCs w:val="24"/>
                <w:highlight w:val="none"/>
                <w:lang w:val="en-US" w:eastAsia="zh-CN"/>
              </w:rPr>
              <w:t>.</w:t>
            </w:r>
          </w:p>
        </w:tc>
      </w:tr>
      <w:tr w14:paraId="79F42C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shd w:val="clear" w:color="auto" w:fill="auto"/>
            <w:vAlign w:val="center"/>
          </w:tcPr>
          <w:p w14:paraId="06AF1C4B">
            <w:pPr>
              <w:pStyle w:val="53"/>
              <w:spacing w:line="360" w:lineRule="auto"/>
              <w:jc w:val="center"/>
              <w:rPr>
                <w:rFonts w:cs="宋体"/>
                <w:szCs w:val="24"/>
                <w:highlight w:val="none"/>
              </w:rPr>
            </w:pPr>
            <w:r>
              <w:rPr>
                <w:rFonts w:hint="eastAsia" w:cs="宋体"/>
                <w:szCs w:val="24"/>
                <w:highlight w:val="none"/>
              </w:rPr>
              <w:t>2</w:t>
            </w:r>
            <w:r>
              <w:rPr>
                <w:rFonts w:cs="宋体"/>
                <w:szCs w:val="24"/>
                <w:highlight w:val="none"/>
              </w:rPr>
              <w:t>.4</w:t>
            </w:r>
          </w:p>
        </w:tc>
        <w:tc>
          <w:tcPr>
            <w:tcW w:w="1583" w:type="dxa"/>
            <w:shd w:val="clear" w:color="auto" w:fill="auto"/>
            <w:vAlign w:val="center"/>
          </w:tcPr>
          <w:p w14:paraId="6F87AF9C">
            <w:pPr>
              <w:pStyle w:val="53"/>
              <w:spacing w:line="360" w:lineRule="auto"/>
              <w:rPr>
                <w:rFonts w:cs="宋体"/>
                <w:szCs w:val="24"/>
                <w:highlight w:val="none"/>
              </w:rPr>
            </w:pPr>
            <w:r>
              <w:rPr>
                <w:rFonts w:hint="eastAsia" w:cs="宋体"/>
                <w:kern w:val="0"/>
                <w:szCs w:val="24"/>
                <w:highlight w:val="none"/>
                <w:lang w:bidi="ar"/>
              </w:rPr>
              <w:t>项目概况</w:t>
            </w:r>
          </w:p>
        </w:tc>
        <w:tc>
          <w:tcPr>
            <w:tcW w:w="6855" w:type="dxa"/>
            <w:shd w:val="clear" w:color="auto" w:fill="auto"/>
            <w:vAlign w:val="center"/>
          </w:tcPr>
          <w:p w14:paraId="2DA8D806">
            <w:pPr>
              <w:pStyle w:val="53"/>
              <w:spacing w:line="360" w:lineRule="auto"/>
              <w:rPr>
                <w:rFonts w:cs="宋体"/>
                <w:szCs w:val="24"/>
                <w:highlight w:val="none"/>
              </w:rPr>
            </w:pPr>
            <w:r>
              <w:rPr>
                <w:rFonts w:hint="eastAsia" w:cs="宋体"/>
                <w:szCs w:val="24"/>
                <w:highlight w:val="none"/>
              </w:rPr>
              <w:t>1</w:t>
            </w:r>
            <w:r>
              <w:rPr>
                <w:rFonts w:cs="宋体"/>
                <w:szCs w:val="24"/>
                <w:highlight w:val="none"/>
              </w:rPr>
              <w:t>.项目名称：</w:t>
            </w:r>
            <w:r>
              <w:rPr>
                <w:rFonts w:hint="eastAsia"/>
                <w:highlight w:val="none"/>
                <w:shd w:val="clear" w:color="auto" w:fill="CCE8CF" w:themeFill="background1"/>
                <w:lang w:val="hr-HR" w:eastAsia="zh-CN"/>
              </w:rPr>
              <w:t>新疆医科大学附属肿瘤医院调料采购项目</w:t>
            </w:r>
          </w:p>
          <w:p w14:paraId="72602EBB">
            <w:pPr>
              <w:pStyle w:val="53"/>
              <w:spacing w:line="360" w:lineRule="auto"/>
              <w:rPr>
                <w:rFonts w:cs="宋体"/>
                <w:szCs w:val="24"/>
                <w:highlight w:val="none"/>
              </w:rPr>
            </w:pPr>
            <w:r>
              <w:rPr>
                <w:rFonts w:hint="eastAsia" w:cs="宋体"/>
                <w:szCs w:val="24"/>
                <w:highlight w:val="none"/>
              </w:rPr>
              <w:t>2</w:t>
            </w:r>
            <w:r>
              <w:rPr>
                <w:rFonts w:cs="宋体"/>
                <w:szCs w:val="24"/>
                <w:highlight w:val="none"/>
              </w:rPr>
              <w:t>.项目编号：</w:t>
            </w:r>
            <w:r>
              <w:rPr>
                <w:rFonts w:hint="eastAsia"/>
                <w:highlight w:val="none"/>
                <w:lang w:val="en-US" w:eastAsia="zh-CN"/>
              </w:rPr>
              <w:t>[2026]12919号</w:t>
            </w:r>
          </w:p>
          <w:p w14:paraId="544CC096">
            <w:pPr>
              <w:pStyle w:val="53"/>
              <w:spacing w:line="360" w:lineRule="auto"/>
              <w:rPr>
                <w:rFonts w:cs="宋体"/>
                <w:szCs w:val="24"/>
                <w:highlight w:val="none"/>
              </w:rPr>
            </w:pPr>
            <w:r>
              <w:rPr>
                <w:rFonts w:hint="eastAsia" w:cs="宋体"/>
                <w:szCs w:val="24"/>
                <w:highlight w:val="none"/>
              </w:rPr>
              <w:t>3</w:t>
            </w:r>
            <w:r>
              <w:rPr>
                <w:rFonts w:cs="宋体"/>
                <w:szCs w:val="24"/>
                <w:highlight w:val="none"/>
              </w:rPr>
              <w:t>.采购内容：</w:t>
            </w:r>
            <w:r>
              <w:rPr>
                <w:rFonts w:hint="eastAsia"/>
                <w:highlight w:val="none"/>
                <w:u w:val="single"/>
                <w:lang w:eastAsia="zh-CN"/>
              </w:rPr>
              <w:t>医院</w:t>
            </w:r>
            <w:r>
              <w:rPr>
                <w:rFonts w:hint="eastAsia"/>
                <w:highlight w:val="none"/>
                <w:u w:val="single"/>
              </w:rPr>
              <w:t>采购</w:t>
            </w:r>
            <w:r>
              <w:rPr>
                <w:rFonts w:hint="eastAsia"/>
                <w:highlight w:val="none"/>
                <w:u w:val="single"/>
                <w:lang w:eastAsia="zh-CN"/>
              </w:rPr>
              <w:t>调料一批</w:t>
            </w:r>
            <w:r>
              <w:rPr>
                <w:rFonts w:cs="宋体"/>
                <w:szCs w:val="24"/>
                <w:highlight w:val="none"/>
              </w:rPr>
              <w:t xml:space="preserve"> </w:t>
            </w:r>
          </w:p>
          <w:p w14:paraId="5AE411C8">
            <w:pPr>
              <w:pStyle w:val="53"/>
              <w:spacing w:line="360" w:lineRule="auto"/>
              <w:rPr>
                <w:rFonts w:hint="default" w:eastAsia="宋体" w:cs="宋体"/>
                <w:szCs w:val="24"/>
                <w:highlight w:val="none"/>
                <w:lang w:val="en-US" w:eastAsia="zh-CN"/>
              </w:rPr>
            </w:pPr>
            <w:r>
              <w:rPr>
                <w:rFonts w:hint="eastAsia" w:cs="宋体"/>
                <w:szCs w:val="24"/>
                <w:highlight w:val="none"/>
              </w:rPr>
              <w:t>4</w:t>
            </w:r>
            <w:r>
              <w:rPr>
                <w:rFonts w:cs="宋体"/>
                <w:szCs w:val="24"/>
                <w:highlight w:val="none"/>
              </w:rPr>
              <w:t>.预算（最高限价）：</w:t>
            </w:r>
            <w:r>
              <w:rPr>
                <w:rFonts w:hint="eastAsia" w:cs="宋体"/>
                <w:szCs w:val="24"/>
                <w:highlight w:val="none"/>
                <w:lang w:val="en-US" w:eastAsia="zh-CN"/>
              </w:rPr>
              <w:t>5766.55元</w:t>
            </w:r>
          </w:p>
          <w:p w14:paraId="39E04BA0">
            <w:pPr>
              <w:pStyle w:val="53"/>
              <w:spacing w:line="360" w:lineRule="auto"/>
              <w:rPr>
                <w:rFonts w:cs="宋体"/>
                <w:szCs w:val="24"/>
                <w:highlight w:val="none"/>
              </w:rPr>
            </w:pPr>
            <w:r>
              <w:rPr>
                <w:rFonts w:hint="eastAsia" w:cs="宋体"/>
                <w:szCs w:val="24"/>
                <w:highlight w:val="none"/>
              </w:rPr>
              <w:t>5</w:t>
            </w:r>
            <w:r>
              <w:rPr>
                <w:rFonts w:cs="宋体"/>
                <w:szCs w:val="24"/>
                <w:highlight w:val="none"/>
              </w:rPr>
              <w:t>.交货期</w:t>
            </w:r>
            <w:r>
              <w:rPr>
                <w:rFonts w:hint="eastAsia" w:cs="宋体"/>
                <w:szCs w:val="24"/>
                <w:highlight w:val="none"/>
              </w:rPr>
              <w:t>：</w:t>
            </w:r>
            <w:r>
              <w:rPr>
                <w:rFonts w:hint="eastAsia" w:cs="宋体"/>
                <w:color w:val="auto"/>
                <w:sz w:val="24"/>
                <w:highlight w:val="none"/>
                <w:u w:val="single"/>
                <w:lang w:val="en-US" w:eastAsia="zh-CN"/>
              </w:rPr>
              <w:t>壹年，自双方签字盖章后开始起算。自签订合同后，合同开始试用期3个月(包含在壹年合同有效期内),试用期不合格，甲方有权终止本合同。</w:t>
            </w:r>
          </w:p>
          <w:p w14:paraId="65E5584A">
            <w:pPr>
              <w:pStyle w:val="53"/>
              <w:spacing w:line="360" w:lineRule="auto"/>
              <w:rPr>
                <w:rFonts w:cs="宋体"/>
                <w:szCs w:val="24"/>
                <w:highlight w:val="none"/>
              </w:rPr>
            </w:pPr>
            <w:r>
              <w:rPr>
                <w:rFonts w:hint="eastAsia" w:cs="宋体"/>
                <w:szCs w:val="24"/>
                <w:highlight w:val="none"/>
              </w:rPr>
              <w:t>6</w:t>
            </w:r>
            <w:r>
              <w:rPr>
                <w:rFonts w:cs="宋体"/>
                <w:szCs w:val="24"/>
                <w:highlight w:val="none"/>
              </w:rPr>
              <w:t>.质保期：</w:t>
            </w:r>
            <w:r>
              <w:rPr>
                <w:rFonts w:hint="eastAsia" w:cs="宋体"/>
                <w:szCs w:val="24"/>
                <w:highlight w:val="none"/>
              </w:rPr>
              <w:t>合同内配送的货物必须为有效期内且距到期时间</w:t>
            </w:r>
            <w:r>
              <w:rPr>
                <w:rFonts w:hint="eastAsia" w:cs="宋体"/>
                <w:szCs w:val="24"/>
                <w:highlight w:val="none"/>
                <w:lang w:eastAsia="zh-CN"/>
              </w:rPr>
              <w:t>六</w:t>
            </w:r>
            <w:r>
              <w:rPr>
                <w:rFonts w:hint="eastAsia" w:cs="宋体"/>
                <w:szCs w:val="24"/>
                <w:highlight w:val="none"/>
              </w:rPr>
              <w:t>个月以上生产产品。在质量保证期内，因货物出现融化、变质、过期</w:t>
            </w:r>
            <w:r>
              <w:rPr>
                <w:rFonts w:hint="eastAsia" w:cs="宋体"/>
                <w:szCs w:val="24"/>
                <w:highlight w:val="none"/>
                <w:lang w:eastAsia="zh-CN"/>
              </w:rPr>
              <w:t>、发霉、发潮</w:t>
            </w:r>
            <w:r>
              <w:rPr>
                <w:rFonts w:hint="eastAsia" w:cs="宋体"/>
                <w:szCs w:val="24"/>
                <w:highlight w:val="none"/>
              </w:rPr>
              <w:t>及其他质量问题等现象的，乙方负责免费无条件更换，并承担因更换货物所产生的包装、运费等一切相关费用。</w:t>
            </w:r>
          </w:p>
          <w:p w14:paraId="70EDC4C5">
            <w:pPr>
              <w:pStyle w:val="53"/>
              <w:spacing w:line="360" w:lineRule="auto"/>
              <w:rPr>
                <w:rFonts w:cs="宋体"/>
                <w:szCs w:val="24"/>
                <w:highlight w:val="none"/>
              </w:rPr>
            </w:pPr>
            <w:r>
              <w:rPr>
                <w:rFonts w:hint="eastAsia" w:cs="宋体"/>
                <w:szCs w:val="24"/>
                <w:highlight w:val="none"/>
              </w:rPr>
              <w:t>7</w:t>
            </w:r>
            <w:r>
              <w:rPr>
                <w:rFonts w:cs="宋体"/>
                <w:szCs w:val="24"/>
                <w:highlight w:val="none"/>
              </w:rPr>
              <w:t>.付款方式：</w:t>
            </w:r>
            <w:r>
              <w:rPr>
                <w:rFonts w:hint="eastAsia" w:cs="宋体"/>
                <w:szCs w:val="24"/>
                <w:highlight w:val="none"/>
              </w:rPr>
              <w:t>1、甲方支付上述任何一笔款项前，乙方应提供符合甲方财务做账要求的正规增值税发票，否则，甲方有权拒付款项且不承担违约责任。</w:t>
            </w:r>
          </w:p>
          <w:p w14:paraId="3676DC26">
            <w:pPr>
              <w:pStyle w:val="53"/>
              <w:spacing w:line="360" w:lineRule="auto"/>
              <w:rPr>
                <w:rFonts w:cs="宋体"/>
                <w:szCs w:val="24"/>
                <w:highlight w:val="none"/>
              </w:rPr>
            </w:pPr>
            <w:r>
              <w:rPr>
                <w:rFonts w:hint="eastAsia" w:cs="宋体"/>
                <w:szCs w:val="24"/>
                <w:highlight w:val="none"/>
              </w:rPr>
              <w:t>2、甲乙双方签订合同之后，每</w:t>
            </w:r>
            <w:r>
              <w:rPr>
                <w:rFonts w:hint="eastAsia" w:cs="宋体"/>
                <w:szCs w:val="24"/>
                <w:highlight w:val="none"/>
                <w:lang w:eastAsia="zh-CN"/>
              </w:rPr>
              <w:t>两</w:t>
            </w:r>
            <w:r>
              <w:rPr>
                <w:rFonts w:hint="eastAsia" w:cs="宋体"/>
                <w:szCs w:val="24"/>
                <w:highlight w:val="none"/>
              </w:rPr>
              <w:t>个月为一个付款周期，以实际验收合格数量乘以固定单价进行结算。如遇节假日、甲方财务扎帐等特殊情况，结账日期依次顺延。</w:t>
            </w:r>
          </w:p>
          <w:p w14:paraId="5D9B8709">
            <w:pPr>
              <w:pStyle w:val="53"/>
              <w:spacing w:line="360" w:lineRule="auto"/>
              <w:rPr>
                <w:rFonts w:cs="宋体"/>
                <w:szCs w:val="24"/>
                <w:highlight w:val="none"/>
              </w:rPr>
            </w:pPr>
            <w:r>
              <w:rPr>
                <w:rFonts w:hint="eastAsia" w:cs="宋体"/>
                <w:szCs w:val="24"/>
                <w:highlight w:val="none"/>
              </w:rPr>
              <w:t>3、甲方通知乙方结算货款时，乙方需认真核对结算清单和送货单，双方就当次货款结算完毕且乙方开具货款正规发票后即视为乙方对该期货款结算金额认可无异议。从发票开具之日起，乙方再发现当期货款存在错算、漏算的情况，甲方不予补付任何货款，产生的损失由乙方自行承担。</w:t>
            </w:r>
          </w:p>
          <w:p w14:paraId="3E06052E">
            <w:pPr>
              <w:pStyle w:val="53"/>
              <w:spacing w:line="360" w:lineRule="auto"/>
              <w:rPr>
                <w:rFonts w:hint="eastAsia" w:eastAsia="宋体" w:cs="宋体"/>
                <w:szCs w:val="24"/>
                <w:highlight w:val="none"/>
                <w:lang w:val="en-US" w:eastAsia="zh-CN"/>
              </w:rPr>
            </w:pPr>
            <w:r>
              <w:rPr>
                <w:rFonts w:hint="eastAsia" w:cs="宋体"/>
                <w:szCs w:val="24"/>
                <w:highlight w:val="none"/>
              </w:rPr>
              <w:t>8</w:t>
            </w:r>
            <w:r>
              <w:rPr>
                <w:rFonts w:cs="宋体"/>
                <w:szCs w:val="24"/>
                <w:highlight w:val="none"/>
              </w:rPr>
              <w:t>.履约保证金：</w:t>
            </w:r>
            <w:r>
              <w:rPr>
                <w:rFonts w:hint="eastAsia" w:cs="宋体"/>
                <w:szCs w:val="24"/>
                <w:highlight w:val="none"/>
                <w:lang w:eastAsia="zh-CN"/>
              </w:rPr>
              <w:t>无</w:t>
            </w:r>
          </w:p>
        </w:tc>
      </w:tr>
      <w:tr w14:paraId="1D5186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shd w:val="clear" w:color="auto" w:fill="auto"/>
            <w:vAlign w:val="center"/>
          </w:tcPr>
          <w:p w14:paraId="35B8BE98">
            <w:pPr>
              <w:pStyle w:val="53"/>
              <w:spacing w:line="360" w:lineRule="auto"/>
              <w:jc w:val="center"/>
              <w:rPr>
                <w:rFonts w:cs="宋体"/>
                <w:szCs w:val="24"/>
                <w:highlight w:val="none"/>
              </w:rPr>
            </w:pPr>
            <w:r>
              <w:rPr>
                <w:rFonts w:hint="eastAsia" w:cs="宋体"/>
                <w:szCs w:val="24"/>
                <w:highlight w:val="none"/>
              </w:rPr>
              <w:t>2.</w:t>
            </w:r>
            <w:r>
              <w:rPr>
                <w:rFonts w:cs="宋体"/>
                <w:szCs w:val="24"/>
                <w:highlight w:val="none"/>
              </w:rPr>
              <w:t>6</w:t>
            </w:r>
          </w:p>
        </w:tc>
        <w:tc>
          <w:tcPr>
            <w:tcW w:w="1583" w:type="dxa"/>
            <w:shd w:val="clear" w:color="auto" w:fill="auto"/>
            <w:vAlign w:val="center"/>
          </w:tcPr>
          <w:p w14:paraId="52627803">
            <w:pPr>
              <w:pStyle w:val="53"/>
              <w:spacing w:line="360" w:lineRule="auto"/>
              <w:rPr>
                <w:rFonts w:cs="宋体"/>
                <w:szCs w:val="24"/>
                <w:highlight w:val="none"/>
              </w:rPr>
            </w:pPr>
            <w:r>
              <w:rPr>
                <w:rFonts w:hint="eastAsia"/>
                <w:highlight w:val="none"/>
              </w:rPr>
              <w:t>核心产品</w:t>
            </w:r>
          </w:p>
        </w:tc>
        <w:tc>
          <w:tcPr>
            <w:tcW w:w="6855" w:type="dxa"/>
            <w:shd w:val="clear" w:color="auto" w:fill="auto"/>
            <w:vAlign w:val="center"/>
          </w:tcPr>
          <w:p w14:paraId="548A9120">
            <w:pPr>
              <w:pStyle w:val="53"/>
              <w:spacing w:line="360" w:lineRule="auto"/>
              <w:rPr>
                <w:rFonts w:cs="宋体"/>
                <w:szCs w:val="24"/>
                <w:highlight w:val="none"/>
              </w:rPr>
            </w:pPr>
            <w:r>
              <w:rPr>
                <w:rFonts w:hint="eastAsia" w:cs="宋体"/>
                <w:szCs w:val="24"/>
                <w:highlight w:val="none"/>
              </w:rPr>
              <w:t>核心产品：</w:t>
            </w:r>
          </w:p>
          <w:p w14:paraId="4A207671">
            <w:pPr>
              <w:pStyle w:val="53"/>
              <w:spacing w:line="360" w:lineRule="auto"/>
              <w:rPr>
                <w:rFonts w:cs="宋体"/>
                <w:szCs w:val="24"/>
                <w:highlight w:val="none"/>
              </w:rPr>
            </w:pPr>
            <w:r>
              <w:rPr>
                <w:rFonts w:hint="eastAsia" w:cs="宋体"/>
                <w:szCs w:val="24"/>
                <w:highlight w:val="none"/>
                <w:lang w:eastAsia="zh-CN"/>
              </w:rPr>
              <w:t>□</w:t>
            </w:r>
            <w:r>
              <w:rPr>
                <w:rFonts w:hint="eastAsia" w:cs="宋体"/>
                <w:szCs w:val="24"/>
                <w:highlight w:val="none"/>
              </w:rPr>
              <w:t xml:space="preserve">本项目为单一产品采购项目，不适用。 </w:t>
            </w:r>
          </w:p>
          <w:p w14:paraId="542CD03B">
            <w:pPr>
              <w:pStyle w:val="53"/>
              <w:spacing w:line="360" w:lineRule="auto"/>
              <w:rPr>
                <w:rFonts w:hint="default" w:cs="宋体"/>
                <w:szCs w:val="24"/>
                <w:highlight w:val="none"/>
                <w:lang w:val="en-US"/>
              </w:rPr>
            </w:pPr>
            <w:r>
              <w:rPr>
                <w:rFonts w:hint="eastAsia" w:cs="宋体"/>
                <w:szCs w:val="24"/>
                <w:highlight w:val="none"/>
                <w:lang w:eastAsia="zh-CN"/>
              </w:rPr>
              <w:t>☑</w:t>
            </w:r>
            <w:r>
              <w:rPr>
                <w:rFonts w:hint="eastAsia" w:cs="宋体"/>
                <w:szCs w:val="24"/>
                <w:highlight w:val="none"/>
              </w:rPr>
              <w:t>本项目为非单一产品采购项目，核心产品</w:t>
            </w:r>
            <w:r>
              <w:rPr>
                <w:rFonts w:hint="eastAsia" w:cs="宋体"/>
                <w:szCs w:val="24"/>
                <w:highlight w:val="none"/>
                <w:lang w:val="en-US" w:eastAsia="zh-CN"/>
              </w:rPr>
              <w:t>为：</w:t>
            </w:r>
            <w:r>
              <w:rPr>
                <w:rFonts w:hint="eastAsia" w:cs="宋体"/>
                <w:szCs w:val="24"/>
                <w:highlight w:val="none"/>
                <w:u w:val="single"/>
                <w:lang w:val="en-US" w:eastAsia="zh-CN"/>
              </w:rPr>
              <w:t xml:space="preserve"> </w:t>
            </w:r>
            <w:r>
              <w:rPr>
                <w:rFonts w:hint="eastAsia" w:cs="宋体"/>
                <w:szCs w:val="24"/>
                <w:highlight w:val="none"/>
                <w:u w:val="single"/>
                <w:lang w:val="en-US" w:eastAsia="zh-CN"/>
              </w:rPr>
              <w:t xml:space="preserve">味精、鸡粉、鸡精  </w:t>
            </w:r>
          </w:p>
          <w:p w14:paraId="12D60441">
            <w:pPr>
              <w:pStyle w:val="53"/>
              <w:spacing w:line="360" w:lineRule="auto"/>
              <w:rPr>
                <w:rFonts w:hint="eastAsia" w:cs="宋体"/>
                <w:szCs w:val="24"/>
                <w:highlight w:val="none"/>
              </w:rPr>
            </w:pPr>
          </w:p>
        </w:tc>
      </w:tr>
      <w:tr w14:paraId="1936C8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85" w:hRule="atLeast"/>
        </w:trPr>
        <w:tc>
          <w:tcPr>
            <w:tcW w:w="970" w:type="dxa"/>
            <w:shd w:val="clear" w:color="auto" w:fill="auto"/>
            <w:vAlign w:val="center"/>
          </w:tcPr>
          <w:p w14:paraId="774C694C">
            <w:pPr>
              <w:pStyle w:val="53"/>
              <w:spacing w:line="360" w:lineRule="auto"/>
              <w:jc w:val="center"/>
              <w:rPr>
                <w:rFonts w:cs="宋体"/>
                <w:szCs w:val="24"/>
                <w:highlight w:val="none"/>
              </w:rPr>
            </w:pPr>
            <w:r>
              <w:rPr>
                <w:rFonts w:hint="eastAsia" w:cs="宋体"/>
                <w:szCs w:val="24"/>
                <w:highlight w:val="none"/>
              </w:rPr>
              <w:t>2.</w:t>
            </w:r>
            <w:r>
              <w:rPr>
                <w:rFonts w:cs="宋体"/>
                <w:szCs w:val="24"/>
                <w:highlight w:val="none"/>
              </w:rPr>
              <w:t>7</w:t>
            </w:r>
          </w:p>
        </w:tc>
        <w:tc>
          <w:tcPr>
            <w:tcW w:w="1583" w:type="dxa"/>
            <w:shd w:val="clear" w:color="auto" w:fill="auto"/>
            <w:vAlign w:val="center"/>
          </w:tcPr>
          <w:p w14:paraId="438D8F0A">
            <w:pPr>
              <w:spacing w:line="360" w:lineRule="auto"/>
              <w:rPr>
                <w:highlight w:val="none"/>
              </w:rPr>
            </w:pPr>
            <w:r>
              <w:rPr>
                <w:rFonts w:hint="eastAsia"/>
                <w:highlight w:val="none"/>
                <w:lang w:bidi="ar"/>
              </w:rPr>
              <w:t>科研仪器设备</w:t>
            </w:r>
          </w:p>
        </w:tc>
        <w:tc>
          <w:tcPr>
            <w:tcW w:w="6855" w:type="dxa"/>
            <w:shd w:val="clear" w:color="auto" w:fill="auto"/>
            <w:vAlign w:val="center"/>
          </w:tcPr>
          <w:p w14:paraId="5FC65EA2">
            <w:pPr>
              <w:spacing w:line="360" w:lineRule="auto"/>
              <w:rPr>
                <w:highlight w:val="none"/>
                <w:lang w:bidi="ar"/>
              </w:rPr>
            </w:pPr>
            <w:r>
              <w:rPr>
                <w:rFonts w:hint="eastAsia"/>
                <w:highlight w:val="none"/>
                <w:lang w:bidi="ar"/>
              </w:rPr>
              <w:t xml:space="preserve">是否属于科研仪器设备采购项目： </w:t>
            </w:r>
          </w:p>
          <w:p w14:paraId="3B7A0976">
            <w:pPr>
              <w:spacing w:line="360" w:lineRule="auto"/>
              <w:rPr>
                <w:highlight w:val="none"/>
                <w:lang w:bidi="ar"/>
              </w:rPr>
            </w:pPr>
            <w:r>
              <w:rPr>
                <w:rFonts w:hint="eastAsia"/>
                <w:highlight w:val="none"/>
              </w:rPr>
              <w:t>□</w:t>
            </w:r>
            <w:r>
              <w:rPr>
                <w:rFonts w:hint="eastAsia"/>
                <w:highlight w:val="none"/>
                <w:lang w:bidi="ar"/>
              </w:rPr>
              <w:t>是</w:t>
            </w:r>
          </w:p>
          <w:p w14:paraId="620E012D">
            <w:pPr>
              <w:spacing w:line="360" w:lineRule="auto"/>
              <w:rPr>
                <w:kern w:val="0"/>
                <w:highlight w:val="none"/>
                <w:lang w:bidi="ar"/>
              </w:rPr>
            </w:pPr>
            <w:r>
              <w:rPr>
                <w:rFonts w:ascii="Segoe UI Symbol" w:hAnsi="Segoe UI Symbol" w:cs="Segoe UI Symbol"/>
                <w:highlight w:val="none"/>
                <w:lang w:bidi="ar"/>
              </w:rPr>
              <w:t>☑</w:t>
            </w:r>
            <w:r>
              <w:rPr>
                <w:rFonts w:hint="eastAsia"/>
                <w:highlight w:val="none"/>
                <w:lang w:bidi="ar"/>
              </w:rPr>
              <w:t>否</w:t>
            </w:r>
          </w:p>
        </w:tc>
      </w:tr>
      <w:tr w14:paraId="69903E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85" w:hRule="atLeast"/>
        </w:trPr>
        <w:tc>
          <w:tcPr>
            <w:tcW w:w="970" w:type="dxa"/>
            <w:shd w:val="clear" w:color="auto" w:fill="auto"/>
            <w:vAlign w:val="center"/>
          </w:tcPr>
          <w:p w14:paraId="5CD667A1">
            <w:pPr>
              <w:pStyle w:val="53"/>
              <w:spacing w:line="360" w:lineRule="auto"/>
              <w:jc w:val="center"/>
              <w:rPr>
                <w:rFonts w:cs="宋体"/>
                <w:szCs w:val="24"/>
                <w:highlight w:val="none"/>
              </w:rPr>
            </w:pPr>
            <w:r>
              <w:rPr>
                <w:rFonts w:hint="eastAsia" w:cs="宋体"/>
                <w:szCs w:val="24"/>
                <w:highlight w:val="none"/>
              </w:rPr>
              <w:t>4.1</w:t>
            </w:r>
          </w:p>
        </w:tc>
        <w:tc>
          <w:tcPr>
            <w:tcW w:w="1583" w:type="dxa"/>
            <w:shd w:val="clear" w:color="auto" w:fill="auto"/>
            <w:vAlign w:val="center"/>
          </w:tcPr>
          <w:p w14:paraId="2B50C6DF">
            <w:pPr>
              <w:pStyle w:val="53"/>
              <w:spacing w:line="360" w:lineRule="auto"/>
              <w:rPr>
                <w:rFonts w:cs="宋体"/>
                <w:kern w:val="0"/>
                <w:szCs w:val="24"/>
                <w:highlight w:val="none"/>
                <w:lang w:bidi="ar"/>
              </w:rPr>
            </w:pPr>
            <w:r>
              <w:rPr>
                <w:rFonts w:hint="eastAsia" w:cs="宋体"/>
                <w:szCs w:val="24"/>
                <w:highlight w:val="none"/>
              </w:rPr>
              <w:t>投标人资格要求</w:t>
            </w:r>
          </w:p>
        </w:tc>
        <w:tc>
          <w:tcPr>
            <w:tcW w:w="6855" w:type="dxa"/>
            <w:shd w:val="clear" w:color="auto" w:fill="auto"/>
            <w:vAlign w:val="center"/>
          </w:tcPr>
          <w:p w14:paraId="2046ABF3">
            <w:pPr>
              <w:pStyle w:val="53"/>
              <w:spacing w:line="360" w:lineRule="auto"/>
              <w:rPr>
                <w:rFonts w:cs="宋体"/>
                <w:szCs w:val="24"/>
                <w:highlight w:val="none"/>
              </w:rPr>
            </w:pPr>
            <w:r>
              <w:rPr>
                <w:rFonts w:cs="宋体"/>
                <w:szCs w:val="24"/>
                <w:highlight w:val="none"/>
              </w:rPr>
              <w:t>1.供应商应具备《中华人民共和国政府采购法》第二十二条规定的条件，提供下列材料：</w:t>
            </w:r>
          </w:p>
          <w:p w14:paraId="2B76720D">
            <w:pPr>
              <w:pStyle w:val="53"/>
              <w:spacing w:line="360" w:lineRule="auto"/>
              <w:rPr>
                <w:rFonts w:cs="宋体"/>
                <w:szCs w:val="24"/>
                <w:highlight w:val="none"/>
              </w:rPr>
            </w:pPr>
            <w:r>
              <w:rPr>
                <w:rFonts w:cs="宋体"/>
                <w:szCs w:val="24"/>
                <w:highlight w:val="none"/>
              </w:rPr>
              <w:t>1）具有独立承担民事责任的能力；（投标时，提供在中华人民共和国境内注册的法人或其他组织的营业执照或事业单位法人证书或社会团体法人登记证书复印件/扫描件）</w:t>
            </w:r>
          </w:p>
          <w:p w14:paraId="6AEB8CD3">
            <w:pPr>
              <w:pStyle w:val="53"/>
              <w:spacing w:line="360" w:lineRule="auto"/>
              <w:rPr>
                <w:rFonts w:cs="宋体"/>
                <w:szCs w:val="24"/>
                <w:highlight w:val="none"/>
              </w:rPr>
            </w:pPr>
            <w:r>
              <w:rPr>
                <w:rFonts w:cs="宋体"/>
                <w:szCs w:val="24"/>
                <w:highlight w:val="none"/>
              </w:rPr>
              <w:t xml:space="preserve">2）有依法缴纳税收和社会保障资金的良好记录：（投标时，提供至本项目投标截止日前一年内任意1个月缴纳税收凭据证明材料复印件/扫描件；如依法免税的，应提供相应文件证明；提供至本项目投标截止日前一年内任意1个月缴纳社会保险的凭据证明材料复印件/扫描件；如依法不需要缴纳社会保障资金的，应提供相应文件证明） </w:t>
            </w:r>
          </w:p>
          <w:p w14:paraId="1AD12F5D">
            <w:pPr>
              <w:pStyle w:val="53"/>
              <w:spacing w:line="360" w:lineRule="auto"/>
              <w:rPr>
                <w:rFonts w:cs="宋体"/>
                <w:szCs w:val="24"/>
                <w:highlight w:val="none"/>
              </w:rPr>
            </w:pPr>
            <w:r>
              <w:rPr>
                <w:rFonts w:cs="宋体"/>
                <w:szCs w:val="24"/>
                <w:highlight w:val="none"/>
              </w:rPr>
              <w:t>3）具有良好的商业信誉和健全的财务会计制度：（投标时，若投标人成立超过一年需提供</w:t>
            </w:r>
            <w:r>
              <w:rPr>
                <w:rFonts w:hint="eastAsia" w:cs="宋体"/>
                <w:szCs w:val="24"/>
                <w:highlight w:val="none"/>
                <w:lang w:eastAsia="zh-CN"/>
              </w:rPr>
              <w:t>2024年、2025年度任意一年的财务状况报表或经第三方审计</w:t>
            </w:r>
            <w:r>
              <w:rPr>
                <w:rFonts w:cs="宋体"/>
                <w:szCs w:val="24"/>
                <w:highlight w:val="none"/>
              </w:rPr>
              <w:t xml:space="preserve">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 </w:t>
            </w:r>
          </w:p>
          <w:p w14:paraId="4BF5E077">
            <w:pPr>
              <w:pStyle w:val="53"/>
              <w:spacing w:line="360" w:lineRule="auto"/>
              <w:rPr>
                <w:rFonts w:cs="宋体"/>
                <w:szCs w:val="24"/>
                <w:highlight w:val="none"/>
              </w:rPr>
            </w:pPr>
            <w:r>
              <w:rPr>
                <w:rFonts w:cs="宋体"/>
                <w:szCs w:val="24"/>
                <w:highlight w:val="none"/>
              </w:rPr>
              <w:t>4）具有履行合同所必须的设备和专业技术能力；（投标时，供应商出具承诺函，承诺满足要求，加盖供应商公章）</w:t>
            </w:r>
          </w:p>
          <w:p w14:paraId="7DB44073">
            <w:pPr>
              <w:pStyle w:val="53"/>
              <w:spacing w:line="360" w:lineRule="auto"/>
              <w:rPr>
                <w:rFonts w:cs="宋体"/>
                <w:szCs w:val="24"/>
                <w:highlight w:val="none"/>
              </w:rPr>
            </w:pPr>
            <w:r>
              <w:rPr>
                <w:rFonts w:cs="宋体"/>
                <w:szCs w:val="24"/>
                <w:highlight w:val="none"/>
              </w:rPr>
              <w:t xml:space="preserve"> 5）参加采购活动前3年内，在经营活动中没有重大违法记录；（投标时，供应商出具承诺函，加盖供应商公章）</w:t>
            </w:r>
          </w:p>
          <w:p w14:paraId="47D4E5E5">
            <w:pPr>
              <w:pStyle w:val="53"/>
              <w:spacing w:line="360" w:lineRule="auto"/>
              <w:rPr>
                <w:rFonts w:cs="宋体"/>
                <w:szCs w:val="24"/>
                <w:highlight w:val="none"/>
              </w:rPr>
            </w:pPr>
            <w:r>
              <w:rPr>
                <w:rFonts w:hint="eastAsia" w:cs="宋体"/>
                <w:szCs w:val="24"/>
                <w:highlight w:val="none"/>
              </w:rPr>
              <w:t>注：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r>
              <w:rPr>
                <w:rFonts w:cs="宋体"/>
                <w:szCs w:val="24"/>
                <w:highlight w:val="none"/>
              </w:rPr>
              <w:t xml:space="preserve"> </w:t>
            </w:r>
          </w:p>
          <w:p w14:paraId="010FBF0D">
            <w:pPr>
              <w:pStyle w:val="53"/>
              <w:spacing w:line="360" w:lineRule="auto"/>
              <w:rPr>
                <w:rFonts w:cs="宋体"/>
                <w:szCs w:val="24"/>
                <w:highlight w:val="none"/>
              </w:rPr>
            </w:pPr>
            <w:r>
              <w:rPr>
                <w:rFonts w:cs="宋体"/>
                <w:szCs w:val="24"/>
                <w:highlight w:val="none"/>
              </w:rPr>
              <w:t>6）信用记录：供应商未被列入“信用中国”网站(www.creditchina.gov.cn)“记录严重失信主体名单、失信被执行人、重大税收违法失信主体”记录名单；不处于中国政府采购网(www.ccgp.gov.cn)“政府采购严重违法失信行为信息记录”中的禁止参加政府采购活动期间。如相关失信记录已失效，供应商需提供相关证明资料，如在上述网站查询结果均显示没有相关记录，视为没有上述不良信用记录。）。</w:t>
            </w:r>
          </w:p>
          <w:p w14:paraId="20B6B6CD">
            <w:pPr>
              <w:pStyle w:val="53"/>
              <w:spacing w:line="360" w:lineRule="auto"/>
              <w:rPr>
                <w:rFonts w:cs="宋体"/>
                <w:szCs w:val="24"/>
                <w:highlight w:val="none"/>
              </w:rPr>
            </w:pPr>
            <w:r>
              <w:rPr>
                <w:rFonts w:cs="宋体"/>
                <w:szCs w:val="24"/>
                <w:highlight w:val="none"/>
              </w:rPr>
              <w:t>7）单位负责人为同一人或者存在直接控股、管理关系的不同供应商，不得参加同一合同项下的政府采购活动。与采购人存在利害关系可能影响招标公正性的法人、其他组织或者个人，不得参加投标。</w:t>
            </w:r>
          </w:p>
          <w:p w14:paraId="4DF0D505">
            <w:pPr>
              <w:pStyle w:val="53"/>
              <w:spacing w:line="360" w:lineRule="auto"/>
              <w:rPr>
                <w:rFonts w:cs="宋体"/>
                <w:szCs w:val="24"/>
                <w:highlight w:val="none"/>
              </w:rPr>
            </w:pPr>
            <w:r>
              <w:rPr>
                <w:rFonts w:hint="eastAsia" w:cs="宋体"/>
                <w:szCs w:val="24"/>
                <w:highlight w:val="none"/>
              </w:rPr>
              <w:t>（投标时，供应商出具承诺函，加盖供应商公章）。</w:t>
            </w:r>
          </w:p>
          <w:p w14:paraId="09A11B11">
            <w:pPr>
              <w:pStyle w:val="53"/>
              <w:spacing w:line="360" w:lineRule="auto"/>
              <w:rPr>
                <w:rFonts w:cs="宋体"/>
                <w:szCs w:val="24"/>
                <w:highlight w:val="none"/>
              </w:rPr>
            </w:pPr>
            <w:r>
              <w:rPr>
                <w:rFonts w:hint="eastAsia" w:cs="宋体"/>
                <w:szCs w:val="24"/>
                <w:highlight w:val="none"/>
              </w:rPr>
              <w:t>2.落实政府采购政策需满足的资格要求：本项目属</w:t>
            </w:r>
            <w:r>
              <w:rPr>
                <w:rFonts w:hint="eastAsia" w:cs="宋体"/>
                <w:color w:val="auto"/>
                <w:szCs w:val="24"/>
                <w:highlight w:val="none"/>
              </w:rPr>
              <w:t>于</w:t>
            </w:r>
            <w:r>
              <w:rPr>
                <w:rFonts w:cs="宋体"/>
                <w:color w:val="auto"/>
                <w:szCs w:val="24"/>
                <w:highlight w:val="none"/>
              </w:rPr>
              <w:t>非专</w:t>
            </w:r>
            <w:r>
              <w:rPr>
                <w:rFonts w:cs="宋体"/>
                <w:szCs w:val="24"/>
                <w:highlight w:val="none"/>
              </w:rPr>
              <w:t>门面向中小企业采购项目。</w:t>
            </w:r>
          </w:p>
          <w:p w14:paraId="718D8B82">
            <w:pPr>
              <w:pStyle w:val="53"/>
              <w:spacing w:line="360" w:lineRule="auto"/>
              <w:rPr>
                <w:rFonts w:hint="eastAsia" w:eastAsia="宋体" w:cs="宋体"/>
                <w:szCs w:val="24"/>
                <w:highlight w:val="none"/>
                <w:lang w:eastAsia="zh-CN"/>
              </w:rPr>
            </w:pPr>
            <w:r>
              <w:rPr>
                <w:rFonts w:hint="eastAsia" w:cs="宋体"/>
                <w:szCs w:val="24"/>
                <w:highlight w:val="none"/>
              </w:rPr>
              <w:t>3.本项目的特定资格要求：</w:t>
            </w:r>
            <w:r>
              <w:rPr>
                <w:rFonts w:hint="eastAsia"/>
                <w:highlight w:val="none"/>
                <w:u w:val="single"/>
              </w:rPr>
              <w:t>供应商需具备有效期内的《食品经营许可证》或《食品生产许可证》或《仅销售预包装食品经营者备案回执》</w:t>
            </w:r>
          </w:p>
          <w:p w14:paraId="3AC1581B">
            <w:pPr>
              <w:pStyle w:val="53"/>
              <w:spacing w:line="360" w:lineRule="auto"/>
              <w:rPr>
                <w:rFonts w:cs="宋体"/>
                <w:szCs w:val="24"/>
                <w:highlight w:val="none"/>
              </w:rPr>
            </w:pPr>
            <w:r>
              <w:rPr>
                <w:rFonts w:hint="eastAsia" w:cs="宋体"/>
                <w:szCs w:val="24"/>
                <w:highlight w:val="none"/>
              </w:rPr>
              <w:t>4. 其他资格要求：</w:t>
            </w:r>
          </w:p>
          <w:p w14:paraId="7635D5FA">
            <w:pPr>
              <w:pStyle w:val="53"/>
              <w:spacing w:line="360" w:lineRule="auto"/>
              <w:rPr>
                <w:rFonts w:cs="宋体"/>
                <w:szCs w:val="24"/>
                <w:highlight w:val="none"/>
              </w:rPr>
            </w:pPr>
            <w:r>
              <w:rPr>
                <w:rFonts w:hint="eastAsia" w:cs="宋体"/>
                <w:szCs w:val="24"/>
                <w:highlight w:val="none"/>
              </w:rPr>
              <w:t>（1）法定代表人或单位负责人为同一人或者存在直接控股、管理关系的不同供应商，不得参加同一合同项下的政府采购活动。</w:t>
            </w:r>
          </w:p>
          <w:p w14:paraId="2F6F9886">
            <w:pPr>
              <w:pStyle w:val="53"/>
              <w:spacing w:line="360" w:lineRule="auto"/>
              <w:rPr>
                <w:rFonts w:cs="宋体"/>
                <w:szCs w:val="24"/>
                <w:highlight w:val="none"/>
              </w:rPr>
            </w:pPr>
            <w:r>
              <w:rPr>
                <w:rFonts w:hint="eastAsia" w:cs="宋体"/>
                <w:szCs w:val="24"/>
                <w:highlight w:val="none"/>
              </w:rPr>
              <w:t>（2）除单一来源采购项目外，为采购项目提供整体设计、规范编制或者项目管理、监理、检测等服务的供应商，不得再参加该采购项目的其他采购活动。</w:t>
            </w:r>
          </w:p>
          <w:p w14:paraId="200A46E9">
            <w:pPr>
              <w:pStyle w:val="53"/>
              <w:spacing w:line="360" w:lineRule="auto"/>
              <w:rPr>
                <w:rFonts w:cs="宋体"/>
                <w:szCs w:val="24"/>
                <w:highlight w:val="none"/>
              </w:rPr>
            </w:pPr>
            <w:r>
              <w:rPr>
                <w:rFonts w:cs="宋体"/>
                <w:szCs w:val="24"/>
                <w:highlight w:val="none"/>
              </w:rPr>
              <w:t>（</w:t>
            </w:r>
            <w:r>
              <w:rPr>
                <w:rFonts w:hint="eastAsia" w:cs="宋体"/>
                <w:szCs w:val="24"/>
                <w:highlight w:val="none"/>
                <w:lang w:val="en-US" w:eastAsia="zh-CN"/>
              </w:rPr>
              <w:t>3</w:t>
            </w:r>
            <w:r>
              <w:rPr>
                <w:rFonts w:cs="宋体"/>
                <w:szCs w:val="24"/>
                <w:highlight w:val="none"/>
              </w:rPr>
              <w:t>）本项目不接受联合体投标。</w:t>
            </w:r>
          </w:p>
        </w:tc>
      </w:tr>
      <w:tr w14:paraId="44849D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68" w:hRule="atLeast"/>
        </w:trPr>
        <w:tc>
          <w:tcPr>
            <w:tcW w:w="970" w:type="dxa"/>
            <w:vAlign w:val="center"/>
          </w:tcPr>
          <w:p w14:paraId="6E0045BC">
            <w:pPr>
              <w:pStyle w:val="53"/>
              <w:spacing w:line="360" w:lineRule="auto"/>
              <w:jc w:val="center"/>
              <w:rPr>
                <w:rFonts w:cs="宋体"/>
                <w:szCs w:val="24"/>
                <w:highlight w:val="none"/>
              </w:rPr>
            </w:pPr>
            <w:r>
              <w:rPr>
                <w:rFonts w:hint="eastAsia" w:cs="宋体"/>
                <w:szCs w:val="24"/>
                <w:highlight w:val="none"/>
              </w:rPr>
              <w:t>9.1</w:t>
            </w:r>
          </w:p>
        </w:tc>
        <w:tc>
          <w:tcPr>
            <w:tcW w:w="1583" w:type="dxa"/>
            <w:vAlign w:val="center"/>
          </w:tcPr>
          <w:p w14:paraId="505E6D0A">
            <w:pPr>
              <w:pStyle w:val="53"/>
              <w:spacing w:line="360" w:lineRule="auto"/>
              <w:rPr>
                <w:rFonts w:cs="宋体"/>
                <w:szCs w:val="24"/>
                <w:highlight w:val="none"/>
              </w:rPr>
            </w:pPr>
            <w:bookmarkStart w:id="133" w:name="_Hlk143529175"/>
            <w:r>
              <w:rPr>
                <w:rFonts w:hint="eastAsia" w:cs="宋体"/>
                <w:szCs w:val="24"/>
                <w:highlight w:val="none"/>
              </w:rPr>
              <w:t>现场考察</w:t>
            </w:r>
            <w:bookmarkEnd w:id="133"/>
          </w:p>
        </w:tc>
        <w:tc>
          <w:tcPr>
            <w:tcW w:w="6855" w:type="dxa"/>
            <w:vAlign w:val="center"/>
          </w:tcPr>
          <w:p w14:paraId="45B692C1">
            <w:pPr>
              <w:pStyle w:val="53"/>
              <w:spacing w:line="360" w:lineRule="auto"/>
              <w:rPr>
                <w:rFonts w:cs="宋体"/>
                <w:szCs w:val="24"/>
                <w:highlight w:val="none"/>
              </w:rPr>
            </w:pPr>
            <w:r>
              <w:rPr>
                <w:rFonts w:hint="eastAsia" w:cs="宋体"/>
                <w:szCs w:val="24"/>
                <w:highlight w:val="none"/>
              </w:rPr>
              <w:sym w:font="Wingdings" w:char="00FE"/>
            </w:r>
            <w:r>
              <w:rPr>
                <w:rFonts w:hint="eastAsia" w:cs="宋体"/>
                <w:szCs w:val="24"/>
                <w:highlight w:val="none"/>
              </w:rPr>
              <w:t>不组织，投标人自行前往。</w:t>
            </w:r>
          </w:p>
          <w:p w14:paraId="171CC89E">
            <w:pPr>
              <w:pStyle w:val="53"/>
              <w:spacing w:line="360" w:lineRule="auto"/>
              <w:rPr>
                <w:rFonts w:cs="宋体"/>
                <w:szCs w:val="24"/>
                <w:highlight w:val="none"/>
              </w:rPr>
            </w:pPr>
            <w:r>
              <w:rPr>
                <w:rFonts w:hint="eastAsia" w:cs="宋体"/>
                <w:szCs w:val="24"/>
                <w:highlight w:val="none"/>
              </w:rPr>
              <w:sym w:font="Wingdings" w:char="00A8"/>
            </w:r>
            <w:r>
              <w:rPr>
                <w:rFonts w:hint="eastAsia" w:cs="宋体"/>
                <w:szCs w:val="24"/>
                <w:highlight w:val="none"/>
              </w:rPr>
              <w:t>组织</w:t>
            </w:r>
          </w:p>
          <w:p w14:paraId="7C1B24EB">
            <w:pPr>
              <w:pStyle w:val="53"/>
              <w:spacing w:line="360" w:lineRule="auto"/>
              <w:ind w:firstLine="240" w:firstLineChars="100"/>
              <w:rPr>
                <w:rFonts w:cs="宋体"/>
                <w:szCs w:val="24"/>
                <w:highlight w:val="none"/>
              </w:rPr>
            </w:pPr>
            <w:r>
              <w:rPr>
                <w:rFonts w:hint="eastAsia" w:cs="宋体"/>
                <w:szCs w:val="24"/>
                <w:highlight w:val="none"/>
              </w:rPr>
              <w:t>时间：</w:t>
            </w:r>
            <w:r>
              <w:rPr>
                <w:rFonts w:hint="eastAsia" w:cs="宋体"/>
                <w:szCs w:val="24"/>
                <w:highlight w:val="none"/>
                <w:u w:val="single"/>
              </w:rPr>
              <w:t xml:space="preserve">  / </w:t>
            </w:r>
            <w:r>
              <w:rPr>
                <w:rFonts w:hint="eastAsia" w:cs="宋体"/>
                <w:szCs w:val="24"/>
                <w:highlight w:val="none"/>
              </w:rPr>
              <w:t>。</w:t>
            </w:r>
          </w:p>
          <w:p w14:paraId="0AB67C2C">
            <w:pPr>
              <w:pStyle w:val="53"/>
              <w:spacing w:line="360" w:lineRule="auto"/>
              <w:ind w:firstLine="240" w:firstLineChars="100"/>
              <w:rPr>
                <w:rFonts w:cs="宋体"/>
                <w:szCs w:val="24"/>
                <w:highlight w:val="none"/>
              </w:rPr>
            </w:pPr>
            <w:r>
              <w:rPr>
                <w:rFonts w:hint="eastAsia" w:cs="宋体"/>
                <w:szCs w:val="24"/>
                <w:highlight w:val="none"/>
              </w:rPr>
              <w:t>地点：</w:t>
            </w:r>
            <w:r>
              <w:rPr>
                <w:rFonts w:hint="eastAsia" w:cs="宋体"/>
                <w:szCs w:val="24"/>
                <w:highlight w:val="none"/>
                <w:u w:val="single"/>
              </w:rPr>
              <w:t xml:space="preserve">  /  </w:t>
            </w:r>
            <w:r>
              <w:rPr>
                <w:rFonts w:hint="eastAsia" w:cs="宋体"/>
                <w:szCs w:val="24"/>
                <w:highlight w:val="none"/>
              </w:rPr>
              <w:t>。</w:t>
            </w:r>
          </w:p>
        </w:tc>
      </w:tr>
      <w:tr w14:paraId="6C9843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35" w:hRule="atLeast"/>
        </w:trPr>
        <w:tc>
          <w:tcPr>
            <w:tcW w:w="970" w:type="dxa"/>
            <w:vAlign w:val="center"/>
          </w:tcPr>
          <w:p w14:paraId="50665D64">
            <w:pPr>
              <w:pStyle w:val="53"/>
              <w:spacing w:line="360" w:lineRule="auto"/>
              <w:jc w:val="center"/>
              <w:rPr>
                <w:rFonts w:cs="宋体"/>
                <w:szCs w:val="24"/>
                <w:highlight w:val="none"/>
              </w:rPr>
            </w:pPr>
            <w:r>
              <w:rPr>
                <w:rFonts w:hint="eastAsia" w:cs="宋体"/>
                <w:szCs w:val="24"/>
                <w:highlight w:val="none"/>
              </w:rPr>
              <w:t>9.5</w:t>
            </w:r>
          </w:p>
        </w:tc>
        <w:tc>
          <w:tcPr>
            <w:tcW w:w="1583" w:type="dxa"/>
            <w:vAlign w:val="center"/>
          </w:tcPr>
          <w:p w14:paraId="1BF7CA93">
            <w:pPr>
              <w:pStyle w:val="53"/>
              <w:spacing w:line="360" w:lineRule="auto"/>
              <w:rPr>
                <w:rFonts w:cs="宋体"/>
                <w:szCs w:val="24"/>
                <w:highlight w:val="none"/>
              </w:rPr>
            </w:pPr>
            <w:r>
              <w:rPr>
                <w:rFonts w:hint="eastAsia" w:cs="宋体"/>
                <w:szCs w:val="24"/>
                <w:highlight w:val="none"/>
              </w:rPr>
              <w:t>答疑会</w:t>
            </w:r>
          </w:p>
        </w:tc>
        <w:tc>
          <w:tcPr>
            <w:tcW w:w="6855" w:type="dxa"/>
            <w:vAlign w:val="center"/>
          </w:tcPr>
          <w:p w14:paraId="2C704AC5">
            <w:pPr>
              <w:pStyle w:val="53"/>
              <w:spacing w:line="360" w:lineRule="auto"/>
              <w:rPr>
                <w:rFonts w:cs="宋体"/>
                <w:szCs w:val="24"/>
                <w:highlight w:val="none"/>
              </w:rPr>
            </w:pPr>
            <w:r>
              <w:rPr>
                <w:rFonts w:hint="eastAsia" w:cs="宋体"/>
                <w:szCs w:val="24"/>
                <w:highlight w:val="none"/>
              </w:rPr>
              <w:sym w:font="Wingdings" w:char="00FE"/>
            </w:r>
            <w:r>
              <w:rPr>
                <w:rFonts w:hint="eastAsia" w:cs="宋体"/>
                <w:szCs w:val="24"/>
                <w:highlight w:val="none"/>
              </w:rPr>
              <w:t>不组织</w:t>
            </w:r>
          </w:p>
          <w:p w14:paraId="78DB8E60">
            <w:pPr>
              <w:pStyle w:val="53"/>
              <w:spacing w:line="360" w:lineRule="auto"/>
              <w:rPr>
                <w:rFonts w:cs="宋体"/>
                <w:szCs w:val="24"/>
                <w:highlight w:val="none"/>
              </w:rPr>
            </w:pPr>
            <w:r>
              <w:rPr>
                <w:rFonts w:hint="eastAsia" w:cs="宋体"/>
                <w:szCs w:val="24"/>
                <w:highlight w:val="none"/>
              </w:rPr>
              <w:sym w:font="Wingdings" w:char="00A8"/>
            </w:r>
            <w:r>
              <w:rPr>
                <w:rFonts w:hint="eastAsia" w:cs="宋体"/>
                <w:szCs w:val="24"/>
                <w:highlight w:val="none"/>
              </w:rPr>
              <w:t>组织</w:t>
            </w:r>
          </w:p>
          <w:p w14:paraId="49B874E4">
            <w:pPr>
              <w:pStyle w:val="53"/>
              <w:spacing w:line="360" w:lineRule="auto"/>
              <w:ind w:firstLine="240" w:firstLineChars="100"/>
              <w:rPr>
                <w:rFonts w:cs="宋体"/>
                <w:szCs w:val="24"/>
                <w:highlight w:val="none"/>
              </w:rPr>
            </w:pPr>
            <w:r>
              <w:rPr>
                <w:rFonts w:hint="eastAsia" w:cs="宋体"/>
                <w:szCs w:val="24"/>
                <w:highlight w:val="none"/>
              </w:rPr>
              <w:t>时间：</w:t>
            </w:r>
            <w:r>
              <w:rPr>
                <w:rFonts w:hint="eastAsia" w:cs="宋体"/>
                <w:szCs w:val="24"/>
                <w:highlight w:val="none"/>
                <w:u w:val="single"/>
              </w:rPr>
              <w:t xml:space="preserve"> /  </w:t>
            </w:r>
            <w:r>
              <w:rPr>
                <w:rFonts w:hint="eastAsia" w:cs="宋体"/>
                <w:szCs w:val="24"/>
                <w:highlight w:val="none"/>
              </w:rPr>
              <w:t>。</w:t>
            </w:r>
          </w:p>
          <w:p w14:paraId="7D9D2F30">
            <w:pPr>
              <w:pStyle w:val="53"/>
              <w:spacing w:line="360" w:lineRule="auto"/>
              <w:ind w:firstLine="240" w:firstLineChars="100"/>
              <w:rPr>
                <w:rFonts w:cs="宋体"/>
                <w:szCs w:val="24"/>
                <w:highlight w:val="none"/>
              </w:rPr>
            </w:pPr>
            <w:r>
              <w:rPr>
                <w:rFonts w:hint="eastAsia" w:cs="宋体"/>
                <w:szCs w:val="24"/>
                <w:highlight w:val="none"/>
              </w:rPr>
              <w:t>地点：</w:t>
            </w:r>
            <w:r>
              <w:rPr>
                <w:rFonts w:hint="eastAsia" w:cs="宋体"/>
                <w:szCs w:val="24"/>
                <w:highlight w:val="none"/>
                <w:u w:val="single"/>
              </w:rPr>
              <w:t xml:space="preserve"> /  </w:t>
            </w:r>
            <w:r>
              <w:rPr>
                <w:rFonts w:hint="eastAsia" w:cs="宋体"/>
                <w:szCs w:val="24"/>
                <w:highlight w:val="none"/>
              </w:rPr>
              <w:t>。</w:t>
            </w:r>
          </w:p>
        </w:tc>
      </w:tr>
      <w:tr w14:paraId="640C79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32C923B0">
            <w:pPr>
              <w:pStyle w:val="53"/>
              <w:spacing w:line="360" w:lineRule="auto"/>
              <w:jc w:val="center"/>
              <w:rPr>
                <w:rFonts w:cs="宋体"/>
                <w:szCs w:val="24"/>
                <w:highlight w:val="none"/>
              </w:rPr>
            </w:pPr>
            <w:r>
              <w:rPr>
                <w:rFonts w:hint="eastAsia" w:cs="宋体"/>
                <w:szCs w:val="24"/>
                <w:highlight w:val="none"/>
              </w:rPr>
              <w:t>12.1</w:t>
            </w:r>
          </w:p>
        </w:tc>
        <w:tc>
          <w:tcPr>
            <w:tcW w:w="1583" w:type="dxa"/>
            <w:vAlign w:val="center"/>
          </w:tcPr>
          <w:p w14:paraId="41A8C1D9">
            <w:pPr>
              <w:pStyle w:val="53"/>
              <w:spacing w:line="360" w:lineRule="auto"/>
              <w:rPr>
                <w:szCs w:val="24"/>
                <w:highlight w:val="none"/>
              </w:rPr>
            </w:pPr>
            <w:r>
              <w:rPr>
                <w:rFonts w:hint="eastAsia"/>
                <w:szCs w:val="24"/>
                <w:highlight w:val="none"/>
              </w:rPr>
              <w:t>询问</w:t>
            </w:r>
          </w:p>
        </w:tc>
        <w:tc>
          <w:tcPr>
            <w:tcW w:w="6855" w:type="dxa"/>
            <w:vAlign w:val="center"/>
          </w:tcPr>
          <w:p w14:paraId="6958E305">
            <w:pPr>
              <w:pStyle w:val="53"/>
              <w:spacing w:line="360" w:lineRule="auto"/>
              <w:rPr>
                <w:szCs w:val="24"/>
                <w:highlight w:val="none"/>
              </w:rPr>
            </w:pPr>
            <w:r>
              <w:rPr>
                <w:rFonts w:hint="eastAsia"/>
                <w:szCs w:val="24"/>
                <w:highlight w:val="none"/>
              </w:rPr>
              <w:t>1.方式：在投标人客户端中按照格式填写询问函，并在生成询问函后加盖电子印章提交；其他询问方式：</w:t>
            </w:r>
            <w:r>
              <w:rPr>
                <w:rFonts w:hint="eastAsia"/>
                <w:szCs w:val="24"/>
                <w:highlight w:val="none"/>
                <w:u w:val="single"/>
              </w:rPr>
              <w:t xml:space="preserve"> 电话咨询</w:t>
            </w:r>
            <w:r>
              <w:rPr>
                <w:rFonts w:hint="eastAsia"/>
                <w:szCs w:val="24"/>
                <w:highlight w:val="none"/>
              </w:rPr>
              <w:t>。</w:t>
            </w:r>
          </w:p>
          <w:p w14:paraId="4840E5CE">
            <w:pPr>
              <w:pStyle w:val="53"/>
              <w:spacing w:line="360" w:lineRule="auto"/>
              <w:rPr>
                <w:szCs w:val="24"/>
                <w:highlight w:val="none"/>
              </w:rPr>
            </w:pPr>
            <w:r>
              <w:rPr>
                <w:rFonts w:hint="eastAsia"/>
                <w:szCs w:val="24"/>
                <w:highlight w:val="none"/>
              </w:rPr>
              <w:t xml:space="preserve">2.时间要求： </w:t>
            </w:r>
            <w:r>
              <w:rPr>
                <w:rFonts w:hint="eastAsia"/>
                <w:szCs w:val="24"/>
                <w:highlight w:val="none"/>
              </w:rPr>
              <w:t>每天上午10:00 至13:30，下午15:30至19:00</w:t>
            </w:r>
            <w:r>
              <w:rPr>
                <w:rFonts w:hint="eastAsia"/>
                <w:szCs w:val="24"/>
                <w:highlight w:val="none"/>
              </w:rPr>
              <w:t>（北京时间，法定节假日除外）  。</w:t>
            </w:r>
          </w:p>
        </w:tc>
      </w:tr>
      <w:tr w14:paraId="477B96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691FB506">
            <w:pPr>
              <w:pStyle w:val="53"/>
              <w:spacing w:line="360" w:lineRule="auto"/>
              <w:jc w:val="center"/>
              <w:rPr>
                <w:rFonts w:cs="宋体"/>
                <w:szCs w:val="24"/>
                <w:highlight w:val="none"/>
              </w:rPr>
            </w:pPr>
            <w:r>
              <w:rPr>
                <w:rFonts w:hint="eastAsia" w:cs="宋体"/>
                <w:szCs w:val="24"/>
                <w:highlight w:val="none"/>
              </w:rPr>
              <w:t>14.6</w:t>
            </w:r>
          </w:p>
        </w:tc>
        <w:tc>
          <w:tcPr>
            <w:tcW w:w="1583" w:type="dxa"/>
            <w:vAlign w:val="center"/>
          </w:tcPr>
          <w:p w14:paraId="1F3826A7">
            <w:pPr>
              <w:pStyle w:val="53"/>
              <w:spacing w:line="360" w:lineRule="auto"/>
              <w:rPr>
                <w:szCs w:val="24"/>
                <w:highlight w:val="none"/>
              </w:rPr>
            </w:pPr>
            <w:r>
              <w:rPr>
                <w:rFonts w:hint="eastAsia"/>
                <w:szCs w:val="24"/>
                <w:highlight w:val="none"/>
              </w:rPr>
              <w:t>采购预算（最高限价）</w:t>
            </w:r>
          </w:p>
        </w:tc>
        <w:tc>
          <w:tcPr>
            <w:tcW w:w="6855" w:type="dxa"/>
            <w:vAlign w:val="center"/>
          </w:tcPr>
          <w:p w14:paraId="35B5D318">
            <w:pPr>
              <w:pStyle w:val="53"/>
              <w:spacing w:line="360" w:lineRule="auto"/>
              <w:rPr>
                <w:rFonts w:hint="default" w:eastAsia="宋体"/>
                <w:szCs w:val="24"/>
                <w:highlight w:val="none"/>
                <w:lang w:val="en-US" w:eastAsia="zh-CN"/>
              </w:rPr>
            </w:pPr>
            <w:r>
              <w:rPr>
                <w:rFonts w:hint="eastAsia"/>
                <w:szCs w:val="24"/>
                <w:highlight w:val="none"/>
              </w:rPr>
              <w:t>采购预算（最高限价）：</w:t>
            </w:r>
            <w:r>
              <w:rPr>
                <w:rFonts w:hint="eastAsia"/>
                <w:szCs w:val="24"/>
                <w:highlight w:val="none"/>
                <w:lang w:val="en-US" w:eastAsia="zh-CN"/>
              </w:rPr>
              <w:t xml:space="preserve"> </w:t>
            </w:r>
            <w:r>
              <w:rPr>
                <w:rFonts w:hint="eastAsia"/>
                <w:szCs w:val="24"/>
                <w:highlight w:val="none"/>
                <w:u w:val="single"/>
                <w:lang w:val="en-US" w:eastAsia="zh-CN"/>
              </w:rPr>
              <w:t xml:space="preserve"> 5766.55元 </w:t>
            </w:r>
            <w:r>
              <w:rPr>
                <w:rFonts w:hint="eastAsia"/>
                <w:szCs w:val="24"/>
                <w:highlight w:val="none"/>
                <w:u w:val="single"/>
                <w:lang w:val="en-US" w:eastAsia="zh-CN"/>
              </w:rPr>
              <w:t xml:space="preserve">   </w:t>
            </w:r>
            <w:r>
              <w:rPr>
                <w:rFonts w:hint="eastAsia"/>
                <w:szCs w:val="24"/>
                <w:highlight w:val="none"/>
                <w:lang w:val="en-US" w:eastAsia="zh-CN"/>
              </w:rPr>
              <w:t xml:space="preserve"> </w:t>
            </w:r>
          </w:p>
          <w:p w14:paraId="008FDD5B">
            <w:pPr>
              <w:pStyle w:val="53"/>
              <w:spacing w:line="360" w:lineRule="auto"/>
              <w:rPr>
                <w:szCs w:val="24"/>
                <w:highlight w:val="none"/>
              </w:rPr>
            </w:pPr>
            <w:r>
              <w:rPr>
                <w:rFonts w:hint="eastAsia" w:cs="宋体"/>
                <w:highlight w:val="none"/>
              </w:rPr>
              <w:t>供应商报价应为包括但不限于全部货品价、税费、包装费、运输、调试、安装费、装卸费、必不可少的部件等费用，以及已支付或将支付的增值税和其它税费等所有费用。</w:t>
            </w:r>
          </w:p>
        </w:tc>
      </w:tr>
      <w:tr w14:paraId="5AF54D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567B9466">
            <w:pPr>
              <w:pStyle w:val="53"/>
              <w:spacing w:line="360" w:lineRule="auto"/>
              <w:jc w:val="center"/>
              <w:rPr>
                <w:rFonts w:cs="宋体"/>
                <w:szCs w:val="24"/>
                <w:highlight w:val="none"/>
              </w:rPr>
            </w:pPr>
            <w:r>
              <w:rPr>
                <w:rFonts w:hint="eastAsia" w:cs="宋体"/>
                <w:szCs w:val="24"/>
                <w:highlight w:val="none"/>
              </w:rPr>
              <w:t>15.1</w:t>
            </w:r>
          </w:p>
        </w:tc>
        <w:tc>
          <w:tcPr>
            <w:tcW w:w="1583" w:type="dxa"/>
            <w:vAlign w:val="center"/>
          </w:tcPr>
          <w:p w14:paraId="2A9A32F7">
            <w:pPr>
              <w:pStyle w:val="53"/>
              <w:spacing w:line="360" w:lineRule="auto"/>
              <w:rPr>
                <w:rFonts w:cs="宋体"/>
                <w:szCs w:val="24"/>
                <w:highlight w:val="none"/>
              </w:rPr>
            </w:pPr>
            <w:r>
              <w:rPr>
                <w:rFonts w:hint="eastAsia" w:cs="宋体"/>
                <w:szCs w:val="24"/>
                <w:highlight w:val="none"/>
              </w:rPr>
              <w:t>投标有效期</w:t>
            </w:r>
          </w:p>
        </w:tc>
        <w:tc>
          <w:tcPr>
            <w:tcW w:w="6855" w:type="dxa"/>
            <w:vAlign w:val="center"/>
          </w:tcPr>
          <w:p w14:paraId="6826CF2D">
            <w:pPr>
              <w:pStyle w:val="53"/>
              <w:spacing w:line="360" w:lineRule="auto"/>
              <w:rPr>
                <w:rFonts w:cs="宋体"/>
                <w:szCs w:val="24"/>
                <w:highlight w:val="none"/>
              </w:rPr>
            </w:pPr>
            <w:r>
              <w:rPr>
                <w:rFonts w:hint="eastAsia" w:cs="宋体"/>
                <w:szCs w:val="24"/>
                <w:highlight w:val="none"/>
              </w:rPr>
              <w:t>投标截止时间后</w:t>
            </w:r>
            <w:r>
              <w:rPr>
                <w:rFonts w:hint="eastAsia" w:cs="宋体"/>
                <w:szCs w:val="24"/>
                <w:highlight w:val="none"/>
                <w:u w:val="single"/>
              </w:rPr>
              <w:t>90</w:t>
            </w:r>
            <w:r>
              <w:rPr>
                <w:rFonts w:hint="eastAsia" w:cs="宋体"/>
                <w:szCs w:val="24"/>
                <w:highlight w:val="none"/>
              </w:rPr>
              <w:t>日历日。</w:t>
            </w:r>
          </w:p>
        </w:tc>
      </w:tr>
      <w:tr w14:paraId="6C76DB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2E6B153D">
            <w:pPr>
              <w:pStyle w:val="53"/>
              <w:spacing w:line="360" w:lineRule="auto"/>
              <w:jc w:val="center"/>
              <w:rPr>
                <w:rFonts w:hint="eastAsia" w:cs="宋体"/>
                <w:szCs w:val="24"/>
                <w:highlight w:val="none"/>
              </w:rPr>
            </w:pPr>
            <w:r>
              <w:rPr>
                <w:rFonts w:hint="eastAsia" w:cs="宋体"/>
                <w:szCs w:val="24"/>
                <w:highlight w:val="none"/>
              </w:rPr>
              <w:t>1</w:t>
            </w:r>
            <w:r>
              <w:rPr>
                <w:rFonts w:cs="宋体"/>
                <w:szCs w:val="24"/>
                <w:highlight w:val="none"/>
              </w:rPr>
              <w:t>6.3</w:t>
            </w:r>
          </w:p>
        </w:tc>
        <w:tc>
          <w:tcPr>
            <w:tcW w:w="1583" w:type="dxa"/>
            <w:vAlign w:val="center"/>
          </w:tcPr>
          <w:p w14:paraId="60183CA0">
            <w:pPr>
              <w:pStyle w:val="53"/>
              <w:spacing w:line="360" w:lineRule="auto"/>
              <w:rPr>
                <w:rFonts w:hint="eastAsia" w:cs="宋体"/>
                <w:szCs w:val="24"/>
                <w:highlight w:val="none"/>
              </w:rPr>
            </w:pPr>
            <w:r>
              <w:rPr>
                <w:rFonts w:hint="eastAsia" w:cs="宋体"/>
                <w:szCs w:val="24"/>
                <w:highlight w:val="none"/>
              </w:rPr>
              <w:t>招标文件实质性要求的标识及非实质性要求的偏离要求</w:t>
            </w:r>
          </w:p>
        </w:tc>
        <w:tc>
          <w:tcPr>
            <w:tcW w:w="6855" w:type="dxa"/>
            <w:vAlign w:val="center"/>
          </w:tcPr>
          <w:p w14:paraId="3FF05E8A">
            <w:pPr>
              <w:pStyle w:val="53"/>
              <w:spacing w:line="360" w:lineRule="auto"/>
              <w:rPr>
                <w:rFonts w:cs="宋体"/>
                <w:szCs w:val="24"/>
                <w:highlight w:val="none"/>
              </w:rPr>
            </w:pPr>
            <w:r>
              <w:rPr>
                <w:rFonts w:hint="eastAsia" w:cs="宋体"/>
                <w:szCs w:val="24"/>
                <w:highlight w:val="none"/>
              </w:rPr>
              <w:t>（</w:t>
            </w:r>
            <w:r>
              <w:rPr>
                <w:rFonts w:cs="宋体"/>
                <w:szCs w:val="24"/>
                <w:highlight w:val="none"/>
              </w:rPr>
              <w:t>1）招标文件中标识“（</w:t>
            </w:r>
            <w:r>
              <w:rPr>
                <w:rFonts w:hint="eastAsia" w:ascii="宋体" w:hAnsi="宋体" w:eastAsia="宋体"/>
                <w:snapToGrid w:val="0"/>
                <w:color w:val="auto"/>
                <w:sz w:val="24"/>
                <w:szCs w:val="24"/>
                <w:highlight w:val="none"/>
                <w:lang w:val="zh-CN" w:eastAsia="zh-CN"/>
              </w:rPr>
              <w:t>★</w:t>
            </w:r>
            <w:r>
              <w:rPr>
                <w:rFonts w:cs="宋体"/>
                <w:szCs w:val="24"/>
                <w:highlight w:val="none"/>
              </w:rPr>
              <w:t>”的条款，均为实质性条款，投标人任何不满足实质性条款的投标均将被否决。</w:t>
            </w:r>
          </w:p>
          <w:p w14:paraId="32E4C3DA">
            <w:pPr>
              <w:pStyle w:val="53"/>
              <w:spacing w:line="360" w:lineRule="auto"/>
              <w:rPr>
                <w:rFonts w:hint="eastAsia" w:cs="宋体"/>
                <w:szCs w:val="24"/>
                <w:highlight w:val="none"/>
              </w:rPr>
            </w:pPr>
            <w:r>
              <w:rPr>
                <w:rFonts w:hint="eastAsia" w:cs="宋体"/>
                <w:szCs w:val="24"/>
                <w:highlight w:val="none"/>
              </w:rPr>
              <w:t>（</w:t>
            </w:r>
            <w:r>
              <w:rPr>
                <w:rFonts w:cs="宋体"/>
                <w:szCs w:val="24"/>
                <w:highlight w:val="none"/>
              </w:rPr>
              <w:t>2）非实质性要求的偏离要求：技术参数中重要参数（标记“</w:t>
            </w:r>
            <w:r>
              <w:rPr>
                <w:rFonts w:hint="eastAsia" w:cs="宋体"/>
                <w:szCs w:val="24"/>
                <w:highlight w:val="none"/>
              </w:rPr>
              <w:t>▲</w:t>
            </w:r>
            <w:r>
              <w:rPr>
                <w:rFonts w:cs="宋体"/>
                <w:szCs w:val="24"/>
                <w:highlight w:val="none"/>
              </w:rPr>
              <w:t>”）允许最大偏离项为</w:t>
            </w:r>
            <w:r>
              <w:rPr>
                <w:rFonts w:hint="eastAsia" w:cs="宋体"/>
                <w:szCs w:val="24"/>
                <w:highlight w:val="none"/>
              </w:rPr>
              <w:t xml:space="preserve"> </w:t>
            </w:r>
            <w:r>
              <w:rPr>
                <w:rFonts w:cs="宋体"/>
                <w:szCs w:val="24"/>
                <w:highlight w:val="none"/>
                <w:u w:val="single"/>
              </w:rPr>
              <w:t xml:space="preserve"> </w:t>
            </w:r>
            <w:r>
              <w:rPr>
                <w:rFonts w:hint="eastAsia" w:cs="宋体"/>
                <w:szCs w:val="24"/>
                <w:highlight w:val="none"/>
                <w:u w:val="single"/>
                <w:lang w:val="en-US" w:eastAsia="zh-CN"/>
              </w:rPr>
              <w:t>/</w:t>
            </w:r>
            <w:r>
              <w:rPr>
                <w:rFonts w:cs="宋体"/>
                <w:szCs w:val="24"/>
                <w:highlight w:val="none"/>
                <w:u w:val="single"/>
              </w:rPr>
              <w:t xml:space="preserve"> </w:t>
            </w:r>
            <w:r>
              <w:rPr>
                <w:rFonts w:cs="宋体"/>
                <w:szCs w:val="24"/>
                <w:highlight w:val="none"/>
              </w:rPr>
              <w:t>项，一般参数（无标记）允许最大偏离项为</w:t>
            </w:r>
            <w:r>
              <w:rPr>
                <w:rFonts w:hint="eastAsia" w:cs="宋体"/>
                <w:szCs w:val="24"/>
                <w:highlight w:val="none"/>
                <w:u w:val="single"/>
              </w:rPr>
              <w:t xml:space="preserve"> </w:t>
            </w:r>
            <w:r>
              <w:rPr>
                <w:rFonts w:hint="eastAsia" w:cs="宋体"/>
                <w:szCs w:val="24"/>
                <w:highlight w:val="none"/>
                <w:u w:val="single"/>
                <w:lang w:val="en-US" w:eastAsia="zh-CN"/>
              </w:rPr>
              <w:t>/</w:t>
            </w:r>
            <w:r>
              <w:rPr>
                <w:rFonts w:cs="宋体"/>
                <w:szCs w:val="24"/>
                <w:highlight w:val="none"/>
                <w:u w:val="single"/>
              </w:rPr>
              <w:t xml:space="preserve">  </w:t>
            </w:r>
            <w:r>
              <w:rPr>
                <w:rFonts w:cs="宋体"/>
                <w:szCs w:val="24"/>
                <w:highlight w:val="none"/>
              </w:rPr>
              <w:t>项，超过最大偏离项的，视为重大偏差，投标无效。</w:t>
            </w:r>
          </w:p>
        </w:tc>
      </w:tr>
      <w:tr w14:paraId="69CAA0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78" w:hRule="atLeast"/>
        </w:trPr>
        <w:tc>
          <w:tcPr>
            <w:tcW w:w="970" w:type="dxa"/>
            <w:vAlign w:val="center"/>
          </w:tcPr>
          <w:p w14:paraId="0ADF0F35">
            <w:pPr>
              <w:pStyle w:val="53"/>
              <w:spacing w:line="360" w:lineRule="auto"/>
              <w:jc w:val="center"/>
              <w:rPr>
                <w:rFonts w:cs="宋体"/>
                <w:szCs w:val="24"/>
                <w:highlight w:val="none"/>
              </w:rPr>
            </w:pPr>
            <w:r>
              <w:rPr>
                <w:rFonts w:hint="eastAsia" w:cs="宋体"/>
                <w:szCs w:val="24"/>
                <w:highlight w:val="none"/>
              </w:rPr>
              <w:t>17.1</w:t>
            </w:r>
          </w:p>
        </w:tc>
        <w:tc>
          <w:tcPr>
            <w:tcW w:w="1583" w:type="dxa"/>
            <w:vAlign w:val="center"/>
          </w:tcPr>
          <w:p w14:paraId="62C55010">
            <w:pPr>
              <w:pStyle w:val="53"/>
              <w:spacing w:line="360" w:lineRule="auto"/>
              <w:rPr>
                <w:rFonts w:cs="宋体"/>
                <w:szCs w:val="24"/>
                <w:highlight w:val="none"/>
              </w:rPr>
            </w:pPr>
            <w:r>
              <w:rPr>
                <w:rFonts w:hint="eastAsia" w:cs="宋体"/>
                <w:szCs w:val="24"/>
                <w:highlight w:val="none"/>
              </w:rPr>
              <w:t>投标保证金</w:t>
            </w:r>
          </w:p>
        </w:tc>
        <w:tc>
          <w:tcPr>
            <w:tcW w:w="6855" w:type="dxa"/>
            <w:vAlign w:val="center"/>
          </w:tcPr>
          <w:p w14:paraId="2EB7C92F">
            <w:pPr>
              <w:pStyle w:val="57"/>
              <w:spacing w:line="360" w:lineRule="auto"/>
              <w:rPr>
                <w:rFonts w:ascii="宋体" w:hAnsi="宋体" w:cs="宋体"/>
                <w:sz w:val="24"/>
                <w:szCs w:val="24"/>
                <w:highlight w:val="none"/>
              </w:rPr>
            </w:pPr>
            <w:r>
              <w:rPr>
                <w:rFonts w:hint="eastAsia" w:ascii="宋体" w:hAnsi="宋体" w:cs="宋体"/>
                <w:sz w:val="24"/>
                <w:szCs w:val="24"/>
                <w:highlight w:val="none"/>
              </w:rPr>
              <w:t>1.金额：</w:t>
            </w:r>
          </w:p>
          <w:p w14:paraId="3F2D783C">
            <w:pPr>
              <w:pStyle w:val="57"/>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□免收</w:t>
            </w:r>
          </w:p>
          <w:p w14:paraId="341323F9">
            <w:pPr>
              <w:pStyle w:val="57"/>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□预算金额的   %。</w:t>
            </w:r>
          </w:p>
          <w:p w14:paraId="61694906">
            <w:pPr>
              <w:pStyle w:val="57"/>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☑定额收取：人民币</w:t>
            </w:r>
            <w:r>
              <w:rPr>
                <w:rFonts w:hint="eastAsia" w:ascii="宋体" w:hAnsi="宋体" w:cs="宋体"/>
                <w:sz w:val="24"/>
                <w:szCs w:val="24"/>
                <w:highlight w:val="none"/>
                <w:u w:val="single"/>
                <w:lang w:val="en-US" w:eastAsia="zh-CN"/>
              </w:rPr>
              <w:t xml:space="preserve"> 20000 </w:t>
            </w:r>
            <w:r>
              <w:rPr>
                <w:rFonts w:hint="eastAsia" w:ascii="宋体" w:hAnsi="宋体" w:cs="宋体"/>
                <w:sz w:val="24"/>
                <w:szCs w:val="24"/>
                <w:highlight w:val="none"/>
              </w:rPr>
              <w:t>元。</w:t>
            </w:r>
          </w:p>
          <w:p w14:paraId="5B7F75DE">
            <w:pPr>
              <w:pStyle w:val="57"/>
              <w:spacing w:line="360" w:lineRule="auto"/>
              <w:rPr>
                <w:rFonts w:ascii="宋体" w:hAnsi="宋体" w:cs="宋体"/>
                <w:sz w:val="24"/>
                <w:szCs w:val="24"/>
                <w:highlight w:val="none"/>
              </w:rPr>
            </w:pPr>
            <w:r>
              <w:rPr>
                <w:rFonts w:hint="eastAsia" w:ascii="宋体" w:hAnsi="宋体" w:cs="宋体"/>
                <w:sz w:val="24"/>
                <w:szCs w:val="24"/>
                <w:highlight w:val="none"/>
              </w:rPr>
              <w:t>2.支付方式：</w:t>
            </w:r>
          </w:p>
          <w:p w14:paraId="2DC55250">
            <w:pPr>
              <w:pStyle w:val="57"/>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包括在中国注册的银行出具的银行保函、银行汇款、支票、汇票以及其他在中国注册的机构依法出具的投标保函、保险等，以银行汇款、支票、汇票等形式提交的投标保证金应当从投标人基本账户转出。</w:t>
            </w:r>
          </w:p>
          <w:p w14:paraId="3C049425">
            <w:pPr>
              <w:pStyle w:val="57"/>
              <w:spacing w:line="360" w:lineRule="auto"/>
              <w:ind w:firstLine="480" w:firstLineChars="200"/>
              <w:rPr>
                <w:rFonts w:ascii="宋体" w:hAnsi="宋体" w:cs="宋体"/>
                <w:sz w:val="24"/>
                <w:szCs w:val="24"/>
                <w:highlight w:val="none"/>
              </w:rPr>
            </w:pPr>
            <w:r>
              <w:rPr>
                <w:rFonts w:ascii="宋体" w:hAnsi="宋体" w:cs="宋体"/>
                <w:sz w:val="24"/>
                <w:szCs w:val="24"/>
                <w:highlight w:val="none"/>
              </w:rPr>
              <w:t>3.收取单位：</w:t>
            </w:r>
            <w:r>
              <w:rPr>
                <w:rFonts w:hint="eastAsia" w:ascii="宋体" w:hAnsi="宋体" w:cs="宋体"/>
                <w:sz w:val="24"/>
                <w:szCs w:val="24"/>
                <w:highlight w:val="none"/>
                <w:lang w:eastAsia="zh-CN"/>
              </w:rPr>
              <w:t>华诚博远工程咨询有限公司</w:t>
            </w:r>
            <w:r>
              <w:rPr>
                <w:rFonts w:ascii="宋体" w:hAnsi="宋体" w:cs="宋体"/>
                <w:sz w:val="24"/>
                <w:szCs w:val="24"/>
                <w:highlight w:val="none"/>
              </w:rPr>
              <w:t xml:space="preserve">新疆分公司                            </w:t>
            </w:r>
          </w:p>
          <w:p w14:paraId="24DDC83C">
            <w:pPr>
              <w:pStyle w:val="57"/>
              <w:spacing w:line="360" w:lineRule="auto"/>
              <w:ind w:firstLine="480" w:firstLineChars="200"/>
              <w:rPr>
                <w:rFonts w:ascii="宋体" w:hAnsi="宋体" w:cs="宋体"/>
                <w:sz w:val="24"/>
                <w:szCs w:val="24"/>
                <w:highlight w:val="none"/>
              </w:rPr>
            </w:pPr>
            <w:r>
              <w:rPr>
                <w:rFonts w:ascii="宋体" w:hAnsi="宋体" w:cs="宋体"/>
                <w:sz w:val="24"/>
                <w:szCs w:val="24"/>
                <w:highlight w:val="none"/>
              </w:rPr>
              <w:t>4.收取账号：</w:t>
            </w:r>
            <w:r>
              <w:rPr>
                <w:rFonts w:hint="eastAsia" w:ascii="宋体" w:hAnsi="宋体" w:cs="宋体"/>
                <w:sz w:val="24"/>
                <w:szCs w:val="24"/>
                <w:highlight w:val="none"/>
                <w:lang w:eastAsia="zh-CN"/>
              </w:rPr>
              <w:t>30014701040006436</w:t>
            </w:r>
          </w:p>
          <w:p w14:paraId="2E515D06">
            <w:pPr>
              <w:pStyle w:val="57"/>
              <w:spacing w:line="360" w:lineRule="auto"/>
              <w:ind w:firstLine="480" w:firstLineChars="200"/>
              <w:rPr>
                <w:rFonts w:hint="eastAsia" w:ascii="宋体" w:hAnsi="宋体" w:cs="宋体"/>
                <w:color w:val="auto"/>
                <w:kern w:val="0"/>
                <w:sz w:val="24"/>
                <w:szCs w:val="24"/>
                <w:highlight w:val="none"/>
              </w:rPr>
            </w:pPr>
            <w:r>
              <w:rPr>
                <w:rFonts w:ascii="宋体" w:hAnsi="宋体" w:cs="宋体"/>
                <w:sz w:val="24"/>
                <w:szCs w:val="24"/>
                <w:highlight w:val="none"/>
              </w:rPr>
              <w:t>5.开户行：</w:t>
            </w:r>
            <w:r>
              <w:rPr>
                <w:rFonts w:hint="eastAsia" w:ascii="宋体" w:hAnsi="宋体" w:cs="宋体"/>
                <w:sz w:val="24"/>
                <w:szCs w:val="24"/>
                <w:highlight w:val="none"/>
                <w:lang w:eastAsia="zh-CN"/>
              </w:rPr>
              <w:t>中国农业银行股份有限公司乌鲁木齐新民西街支行</w:t>
            </w:r>
          </w:p>
          <w:p w14:paraId="0D583D3B">
            <w:pPr>
              <w:pStyle w:val="57"/>
              <w:spacing w:line="360" w:lineRule="auto"/>
              <w:ind w:firstLine="480" w:firstLineChars="200"/>
              <w:rPr>
                <w:rFonts w:ascii="宋体" w:hAnsi="宋体" w:cs="宋体"/>
                <w:sz w:val="24"/>
                <w:szCs w:val="24"/>
                <w:highlight w:val="none"/>
              </w:rPr>
            </w:pPr>
            <w:r>
              <w:rPr>
                <w:rFonts w:hint="eastAsia" w:ascii="宋体" w:hAnsi="宋体" w:cs="宋体"/>
                <w:color w:val="auto"/>
                <w:kern w:val="0"/>
                <w:sz w:val="24"/>
                <w:szCs w:val="24"/>
                <w:highlight w:val="none"/>
                <w:lang w:val="en-US" w:eastAsia="zh-CN"/>
              </w:rPr>
              <w:t>6.行号：103881001479</w:t>
            </w:r>
            <w:r>
              <w:rPr>
                <w:rFonts w:ascii="宋体" w:hAnsi="宋体" w:cs="宋体"/>
                <w:sz w:val="24"/>
                <w:szCs w:val="24"/>
                <w:highlight w:val="none"/>
              </w:rPr>
              <w:t xml:space="preserve"> </w:t>
            </w:r>
          </w:p>
          <w:p w14:paraId="0D4ACB2E">
            <w:pPr>
              <w:pStyle w:val="57"/>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注意事项：</w:t>
            </w:r>
          </w:p>
          <w:p w14:paraId="596D1198">
            <w:pPr>
              <w:pStyle w:val="57"/>
              <w:spacing w:line="360" w:lineRule="auto"/>
              <w:ind w:firstLine="480" w:firstLineChars="200"/>
              <w:rPr>
                <w:rFonts w:ascii="宋体" w:hAnsi="宋体" w:cs="宋体"/>
                <w:sz w:val="24"/>
                <w:szCs w:val="24"/>
                <w:highlight w:val="none"/>
              </w:rPr>
            </w:pPr>
            <w:r>
              <w:rPr>
                <w:rFonts w:ascii="宋体" w:hAnsi="宋体" w:cs="宋体"/>
                <w:sz w:val="24"/>
                <w:szCs w:val="24"/>
                <w:highlight w:val="none"/>
              </w:rPr>
              <w:t>1.采用电汇或转账时，需附注：（项目编号+保证金），</w:t>
            </w:r>
            <w:r>
              <w:rPr>
                <w:rFonts w:hint="eastAsia" w:ascii="宋体" w:hAnsi="宋体" w:cs="宋体"/>
                <w:sz w:val="24"/>
                <w:szCs w:val="24"/>
                <w:highlight w:val="none"/>
              </w:rPr>
              <w:t>并于投标文件截止时间之前缴纳并到账，投标保证金单位名称必须与投标人登记的单位名称一致，不得以分公司、办事处或其他机构名义递交。（投标人须充分考虑投标保证金汇（转）出手续办理时间、在途时间、资金到账时间等，准确有效安排投标保证金提交，确保投标保证金准时或提前到达指定投标保证金账户。）</w:t>
            </w:r>
          </w:p>
          <w:p w14:paraId="0B4C6B4F">
            <w:pPr>
              <w:pStyle w:val="57"/>
              <w:spacing w:line="360" w:lineRule="auto"/>
              <w:ind w:firstLine="480" w:firstLineChars="200"/>
              <w:rPr>
                <w:rFonts w:ascii="宋体" w:hAnsi="宋体" w:cs="宋体"/>
                <w:sz w:val="24"/>
                <w:szCs w:val="24"/>
                <w:highlight w:val="none"/>
              </w:rPr>
            </w:pPr>
            <w:r>
              <w:rPr>
                <w:rFonts w:ascii="宋体" w:hAnsi="宋体" w:cs="宋体"/>
                <w:sz w:val="24"/>
                <w:szCs w:val="24"/>
                <w:highlight w:val="none"/>
              </w:rPr>
              <w:t>2.为支持和促进中小企业发展，进一步发挥政府采购政策功能，本采购项目适用于政府采购融资优惠、政采贷、电子保函相关政策，鼓励供应商使用电子保函代替现金缴纳各类保证金，在线完成保函的申请、审核、开票、出函等环节，投标企业注意区分办理保函类型，并确认投标有效期，供应商若想了解或使用相关金融服务，可登录【政府采购网】-顶部通栏【信用融资】、【办事指南】模块查看。</w:t>
            </w:r>
          </w:p>
          <w:p w14:paraId="23A7C47F">
            <w:pPr>
              <w:pStyle w:val="57"/>
              <w:spacing w:line="360" w:lineRule="auto"/>
              <w:ind w:firstLine="240" w:firstLineChars="100"/>
              <w:rPr>
                <w:rFonts w:ascii="宋体" w:hAnsi="宋体" w:cs="宋体"/>
                <w:sz w:val="24"/>
                <w:szCs w:val="24"/>
                <w:highlight w:val="none"/>
              </w:rPr>
            </w:pPr>
            <w:r>
              <w:rPr>
                <w:rFonts w:ascii="宋体" w:hAnsi="宋体" w:cs="宋体"/>
                <w:sz w:val="24"/>
                <w:szCs w:val="24"/>
                <w:highlight w:val="none"/>
              </w:rPr>
              <w:t>3</w:t>
            </w:r>
            <w:r>
              <w:rPr>
                <w:rFonts w:hint="eastAsia" w:ascii="宋体" w:hAnsi="宋体" w:cs="宋体"/>
                <w:sz w:val="24"/>
                <w:szCs w:val="24"/>
                <w:highlight w:val="none"/>
              </w:rPr>
              <w:t>.以上各类机构出具的以担保函、保证保险承担责任的方式均须满足无条件见索即付条件。</w:t>
            </w:r>
          </w:p>
          <w:p w14:paraId="30C84CED">
            <w:pPr>
              <w:pStyle w:val="57"/>
              <w:spacing w:line="360" w:lineRule="auto"/>
              <w:ind w:firstLine="240" w:firstLineChars="100"/>
              <w:rPr>
                <w:rFonts w:ascii="宋体" w:hAnsi="宋体" w:cs="宋体"/>
                <w:sz w:val="24"/>
                <w:szCs w:val="24"/>
                <w:highlight w:val="none"/>
              </w:rPr>
            </w:pPr>
            <w:r>
              <w:rPr>
                <w:rFonts w:ascii="宋体" w:hAnsi="宋体" w:cs="宋体"/>
                <w:sz w:val="24"/>
                <w:szCs w:val="24"/>
                <w:highlight w:val="none"/>
              </w:rPr>
              <w:t>4</w:t>
            </w:r>
            <w:r>
              <w:rPr>
                <w:rFonts w:hint="eastAsia" w:ascii="宋体" w:hAnsi="宋体" w:cs="宋体"/>
                <w:sz w:val="24"/>
                <w:szCs w:val="24"/>
                <w:highlight w:val="none"/>
              </w:rPr>
              <w:t>.以担保函、保证保险形式缴纳投标保证金的，受益人和收取单位须为采购人。</w:t>
            </w:r>
          </w:p>
        </w:tc>
      </w:tr>
      <w:tr w14:paraId="4E5579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03" w:hRule="atLeast"/>
        </w:trPr>
        <w:tc>
          <w:tcPr>
            <w:tcW w:w="970" w:type="dxa"/>
            <w:vAlign w:val="center"/>
          </w:tcPr>
          <w:p w14:paraId="1EB6F183">
            <w:pPr>
              <w:pStyle w:val="53"/>
              <w:spacing w:line="360" w:lineRule="auto"/>
              <w:jc w:val="center"/>
              <w:rPr>
                <w:rFonts w:cs="宋体"/>
                <w:szCs w:val="24"/>
                <w:highlight w:val="none"/>
              </w:rPr>
            </w:pPr>
            <w:r>
              <w:rPr>
                <w:rFonts w:hint="eastAsia" w:cs="宋体"/>
                <w:szCs w:val="24"/>
                <w:highlight w:val="none"/>
              </w:rPr>
              <w:t>22</w:t>
            </w:r>
          </w:p>
        </w:tc>
        <w:tc>
          <w:tcPr>
            <w:tcW w:w="1583" w:type="dxa"/>
            <w:vAlign w:val="center"/>
          </w:tcPr>
          <w:p w14:paraId="5160BEDD">
            <w:pPr>
              <w:pStyle w:val="53"/>
              <w:spacing w:line="360" w:lineRule="auto"/>
              <w:rPr>
                <w:rFonts w:cs="宋体"/>
                <w:szCs w:val="24"/>
                <w:highlight w:val="none"/>
              </w:rPr>
            </w:pPr>
            <w:r>
              <w:rPr>
                <w:rFonts w:hint="eastAsia" w:cs="宋体"/>
                <w:szCs w:val="24"/>
                <w:highlight w:val="none"/>
              </w:rPr>
              <w:t>实物样品</w:t>
            </w:r>
          </w:p>
        </w:tc>
        <w:tc>
          <w:tcPr>
            <w:tcW w:w="6855" w:type="dxa"/>
            <w:vAlign w:val="center"/>
          </w:tcPr>
          <w:p w14:paraId="49A7DB79">
            <w:pPr>
              <w:pStyle w:val="53"/>
              <w:spacing w:line="360" w:lineRule="auto"/>
              <w:rPr>
                <w:rFonts w:cs="宋体"/>
                <w:szCs w:val="24"/>
                <w:highlight w:val="none"/>
              </w:rPr>
            </w:pPr>
            <w:r>
              <w:rPr>
                <w:rFonts w:hint="eastAsia" w:cs="宋体"/>
                <w:szCs w:val="24"/>
                <w:highlight w:val="none"/>
              </w:rPr>
              <w:t xml:space="preserve">投标样品递交： </w:t>
            </w:r>
          </w:p>
          <w:p w14:paraId="4D6A0FF9">
            <w:pPr>
              <w:pStyle w:val="53"/>
              <w:spacing w:line="360" w:lineRule="auto"/>
              <w:rPr>
                <w:rFonts w:cs="宋体"/>
                <w:szCs w:val="24"/>
                <w:highlight w:val="none"/>
              </w:rPr>
            </w:pPr>
            <w:r>
              <w:rPr>
                <w:rFonts w:hint="eastAsia" w:cs="宋体"/>
                <w:szCs w:val="24"/>
                <w:highlight w:val="none"/>
                <w:lang w:eastAsia="zh-CN"/>
              </w:rPr>
              <w:t>□</w:t>
            </w:r>
            <w:r>
              <w:rPr>
                <w:rFonts w:hint="eastAsia" w:cs="宋体"/>
                <w:szCs w:val="24"/>
                <w:highlight w:val="none"/>
              </w:rPr>
              <w:t xml:space="preserve">不需要 </w:t>
            </w:r>
          </w:p>
          <w:p w14:paraId="33387AE5">
            <w:pPr>
              <w:pStyle w:val="53"/>
              <w:spacing w:line="360" w:lineRule="auto"/>
              <w:rPr>
                <w:rFonts w:cs="宋体"/>
                <w:szCs w:val="24"/>
                <w:highlight w:val="none"/>
              </w:rPr>
            </w:pPr>
            <w:r>
              <w:rPr>
                <w:rFonts w:hint="eastAsia" w:cs="宋体"/>
                <w:szCs w:val="24"/>
                <w:highlight w:val="none"/>
                <w:lang w:eastAsia="zh-CN"/>
              </w:rPr>
              <w:t>☑</w:t>
            </w:r>
            <w:r>
              <w:rPr>
                <w:rFonts w:hint="eastAsia" w:cs="宋体"/>
                <w:szCs w:val="24"/>
                <w:highlight w:val="none"/>
              </w:rPr>
              <w:t xml:space="preserve">需要，具体要求如下： </w:t>
            </w:r>
          </w:p>
          <w:p w14:paraId="16A6D658">
            <w:pPr>
              <w:pStyle w:val="53"/>
              <w:spacing w:line="360" w:lineRule="auto"/>
              <w:rPr>
                <w:rFonts w:cs="宋体"/>
                <w:szCs w:val="24"/>
                <w:highlight w:val="none"/>
              </w:rPr>
            </w:pPr>
            <w:r>
              <w:rPr>
                <w:rFonts w:hint="eastAsia" w:cs="宋体"/>
                <w:szCs w:val="24"/>
                <w:highlight w:val="none"/>
              </w:rPr>
              <w:t xml:space="preserve">  1.样品制作的标准和要求：</w:t>
            </w:r>
            <w:r>
              <w:rPr>
                <w:rFonts w:hint="eastAsia" w:cs="宋体"/>
                <w:szCs w:val="24"/>
                <w:highlight w:val="none"/>
                <w:u w:val="single"/>
              </w:rPr>
              <w:t>党参、当归、孜然、粗细辣椒面、青红花椒</w:t>
            </w:r>
            <w:r>
              <w:rPr>
                <w:rFonts w:hint="eastAsia" w:cs="宋体"/>
                <w:szCs w:val="24"/>
                <w:highlight w:val="none"/>
                <w:u w:val="single"/>
                <w:lang w:eastAsia="zh-CN"/>
              </w:rPr>
              <w:t>、小米</w:t>
            </w:r>
            <w:r>
              <w:rPr>
                <w:rFonts w:hint="eastAsia" w:cs="宋体"/>
                <w:szCs w:val="24"/>
                <w:highlight w:val="none"/>
                <w:u w:val="single"/>
              </w:rPr>
              <w:t>各二百克</w:t>
            </w:r>
            <w:r>
              <w:rPr>
                <w:rFonts w:hint="eastAsia" w:cs="宋体"/>
                <w:szCs w:val="24"/>
                <w:highlight w:val="none"/>
                <w:u w:val="single"/>
                <w:lang w:eastAsia="zh-CN"/>
              </w:rPr>
              <w:t>、</w:t>
            </w:r>
            <w:r>
              <w:rPr>
                <w:rFonts w:hint="eastAsia" w:cs="宋体"/>
                <w:szCs w:val="24"/>
                <w:highlight w:val="none"/>
                <w:u w:val="single"/>
                <w:lang w:val="en-US" w:eastAsia="zh-CN"/>
              </w:rPr>
              <w:t>木耳</w:t>
            </w:r>
            <w:r>
              <w:rPr>
                <w:rFonts w:hint="eastAsia" w:cs="宋体"/>
                <w:szCs w:val="24"/>
                <w:highlight w:val="none"/>
                <w:u w:val="single"/>
              </w:rPr>
              <w:t>（且必须是厂家真实使用的原料）</w:t>
            </w:r>
            <w:r>
              <w:rPr>
                <w:rFonts w:hint="eastAsia" w:cs="宋体"/>
                <w:szCs w:val="24"/>
                <w:highlight w:val="none"/>
              </w:rPr>
              <w:t xml:space="preserve">； </w:t>
            </w:r>
          </w:p>
          <w:p w14:paraId="11741469">
            <w:pPr>
              <w:pStyle w:val="53"/>
              <w:spacing w:line="360" w:lineRule="auto"/>
              <w:rPr>
                <w:rFonts w:cs="宋体"/>
                <w:szCs w:val="24"/>
                <w:highlight w:val="none"/>
              </w:rPr>
            </w:pPr>
            <w:r>
              <w:rPr>
                <w:rFonts w:hint="eastAsia" w:cs="宋体"/>
                <w:szCs w:val="24"/>
                <w:highlight w:val="none"/>
              </w:rPr>
              <w:t xml:space="preserve">  2.是否需要随样品提交相关检测报告： </w:t>
            </w:r>
          </w:p>
          <w:p w14:paraId="2CB2A916">
            <w:pPr>
              <w:pStyle w:val="53"/>
              <w:spacing w:line="360" w:lineRule="auto"/>
              <w:ind w:firstLine="480" w:firstLineChars="200"/>
              <w:rPr>
                <w:rFonts w:cs="宋体"/>
                <w:szCs w:val="24"/>
                <w:highlight w:val="none"/>
              </w:rPr>
            </w:pPr>
            <w:r>
              <w:rPr>
                <w:rFonts w:hint="eastAsia" w:cs="宋体"/>
                <w:szCs w:val="24"/>
                <w:highlight w:val="none"/>
                <w:lang w:eastAsia="zh-CN"/>
              </w:rPr>
              <w:t>☑</w:t>
            </w:r>
            <w:r>
              <w:rPr>
                <w:rFonts w:hint="eastAsia" w:cs="宋体"/>
                <w:szCs w:val="24"/>
                <w:highlight w:val="none"/>
              </w:rPr>
              <w:t xml:space="preserve">不需要 </w:t>
            </w:r>
          </w:p>
          <w:p w14:paraId="65F07AC2">
            <w:pPr>
              <w:pStyle w:val="53"/>
              <w:spacing w:line="360" w:lineRule="auto"/>
              <w:ind w:firstLine="480" w:firstLineChars="200"/>
              <w:rPr>
                <w:rFonts w:cs="宋体"/>
                <w:szCs w:val="24"/>
                <w:highlight w:val="none"/>
              </w:rPr>
            </w:pPr>
            <w:r>
              <w:rPr>
                <w:rFonts w:hint="eastAsia" w:cs="宋体"/>
                <w:szCs w:val="24"/>
                <w:highlight w:val="none"/>
              </w:rPr>
              <w:t xml:space="preserve">□需要 </w:t>
            </w:r>
          </w:p>
          <w:p w14:paraId="5421AF04">
            <w:pPr>
              <w:pStyle w:val="53"/>
              <w:spacing w:line="360" w:lineRule="auto"/>
              <w:ind w:firstLine="240" w:firstLineChars="100"/>
              <w:rPr>
                <w:rFonts w:cs="宋体"/>
                <w:szCs w:val="24"/>
                <w:highlight w:val="none"/>
              </w:rPr>
            </w:pPr>
            <w:r>
              <w:rPr>
                <w:rFonts w:hint="eastAsia" w:cs="宋体"/>
                <w:szCs w:val="24"/>
                <w:highlight w:val="none"/>
              </w:rPr>
              <w:t>3.样品递交要求：递交时间：</w:t>
            </w:r>
            <w:r>
              <w:rPr>
                <w:rFonts w:hint="eastAsia" w:cs="宋体"/>
                <w:szCs w:val="24"/>
                <w:highlight w:val="none"/>
                <w:u w:val="single"/>
              </w:rPr>
              <w:t xml:space="preserve"> 2026 年 06 月 29 日 15 时 00 分</w:t>
            </w:r>
            <w:r>
              <w:rPr>
                <w:rFonts w:hint="eastAsia" w:cs="宋体"/>
                <w:szCs w:val="24"/>
                <w:highlight w:val="none"/>
                <w:u w:val="single"/>
                <w:lang w:eastAsia="zh-CN"/>
              </w:rPr>
              <w:t>前</w:t>
            </w:r>
            <w:r>
              <w:rPr>
                <w:rFonts w:hint="eastAsia" w:cs="宋体"/>
                <w:szCs w:val="24"/>
                <w:highlight w:val="none"/>
                <w:u w:val="single"/>
              </w:rPr>
              <w:t xml:space="preserve"> </w:t>
            </w:r>
            <w:r>
              <w:rPr>
                <w:rFonts w:hint="eastAsia" w:cs="宋体"/>
                <w:szCs w:val="24"/>
                <w:highlight w:val="none"/>
              </w:rPr>
              <w:t xml:space="preserve"> ，</w:t>
            </w:r>
          </w:p>
          <w:p w14:paraId="276C336A">
            <w:pPr>
              <w:pStyle w:val="53"/>
              <w:spacing w:line="360" w:lineRule="auto"/>
              <w:rPr>
                <w:rFonts w:cs="宋体"/>
                <w:szCs w:val="24"/>
                <w:highlight w:val="none"/>
              </w:rPr>
            </w:pPr>
            <w:r>
              <w:rPr>
                <w:rFonts w:hint="eastAsia" w:cs="宋体"/>
                <w:szCs w:val="24"/>
                <w:highlight w:val="none"/>
              </w:rPr>
              <w:t>递交地点：</w:t>
            </w:r>
            <w:r>
              <w:rPr>
                <w:rFonts w:hint="eastAsia" w:cs="宋体"/>
                <w:szCs w:val="24"/>
                <w:highlight w:val="none"/>
                <w:u w:val="single"/>
              </w:rPr>
              <w:t xml:space="preserve"> </w:t>
            </w:r>
            <w:r>
              <w:rPr>
                <w:rFonts w:hint="eastAsia" w:cs="宋体"/>
                <w:szCs w:val="24"/>
                <w:highlight w:val="none"/>
                <w:u w:val="single"/>
                <w:lang w:eastAsia="zh-CN"/>
              </w:rPr>
              <w:t>乌鲁木齐市新市区鲤鱼山北路</w:t>
            </w:r>
            <w:r>
              <w:rPr>
                <w:rFonts w:hint="eastAsia" w:cs="宋体"/>
                <w:szCs w:val="24"/>
                <w:highlight w:val="none"/>
                <w:u w:val="single"/>
                <w:lang w:val="en-US" w:eastAsia="zh-CN"/>
              </w:rPr>
              <w:t>298号领世广场1404室</w:t>
            </w:r>
            <w:r>
              <w:rPr>
                <w:rFonts w:hint="eastAsia" w:cs="宋体"/>
                <w:szCs w:val="24"/>
                <w:highlight w:val="none"/>
                <w:u w:val="single"/>
              </w:rPr>
              <w:t xml:space="preserve">  </w:t>
            </w:r>
            <w:r>
              <w:rPr>
                <w:rFonts w:hint="eastAsia" w:cs="宋体"/>
                <w:szCs w:val="24"/>
                <w:highlight w:val="none"/>
              </w:rPr>
              <w:t xml:space="preserve">，逾期提供的样品将不予接受。 </w:t>
            </w:r>
          </w:p>
          <w:p w14:paraId="40A5E473">
            <w:pPr>
              <w:pStyle w:val="53"/>
              <w:spacing w:line="360" w:lineRule="auto"/>
              <w:rPr>
                <w:rFonts w:cs="宋体"/>
                <w:szCs w:val="24"/>
                <w:highlight w:val="none"/>
              </w:rPr>
            </w:pPr>
            <w:r>
              <w:rPr>
                <w:rFonts w:hint="eastAsia" w:cs="宋体"/>
                <w:szCs w:val="24"/>
                <w:highlight w:val="none"/>
              </w:rPr>
              <w:t xml:space="preserve">  4.未中标人样品退还：</w:t>
            </w:r>
            <w:r>
              <w:rPr>
                <w:rFonts w:hint="eastAsia" w:cs="宋体"/>
                <w:szCs w:val="24"/>
                <w:highlight w:val="none"/>
                <w:u w:val="single"/>
                <w:lang w:val="en-US" w:eastAsia="zh-CN"/>
              </w:rPr>
              <w:t>5个工作日内</w:t>
            </w:r>
            <w:r>
              <w:rPr>
                <w:rFonts w:hint="eastAsia" w:cs="宋体"/>
                <w:szCs w:val="24"/>
                <w:highlight w:val="none"/>
              </w:rPr>
              <w:t xml:space="preserve">； </w:t>
            </w:r>
          </w:p>
          <w:p w14:paraId="53C885D6">
            <w:pPr>
              <w:pStyle w:val="53"/>
              <w:spacing w:line="360" w:lineRule="auto"/>
              <w:rPr>
                <w:rFonts w:cs="宋体"/>
                <w:szCs w:val="24"/>
                <w:highlight w:val="none"/>
              </w:rPr>
            </w:pPr>
            <w:r>
              <w:rPr>
                <w:rFonts w:hint="eastAsia" w:cs="宋体"/>
                <w:szCs w:val="24"/>
                <w:highlight w:val="none"/>
              </w:rPr>
              <w:t xml:space="preserve">  5.中标人样品保管、封存及退还：</w:t>
            </w:r>
            <w:r>
              <w:rPr>
                <w:rFonts w:hint="eastAsia" w:cs="宋体"/>
                <w:szCs w:val="24"/>
                <w:highlight w:val="none"/>
                <w:u w:val="single"/>
              </w:rPr>
              <w:t>中标人的样品由采购人进行保管、封存，并作为履约验收的参考（招标文件另有规定的从其规定）。</w:t>
            </w:r>
            <w:r>
              <w:rPr>
                <w:rFonts w:hint="eastAsia" w:cs="宋体"/>
                <w:szCs w:val="24"/>
                <w:highlight w:val="none"/>
              </w:rPr>
              <w:t xml:space="preserve">； </w:t>
            </w:r>
          </w:p>
          <w:p w14:paraId="79E4C956">
            <w:pPr>
              <w:pStyle w:val="53"/>
              <w:spacing w:line="360" w:lineRule="auto"/>
              <w:rPr>
                <w:rFonts w:hint="default" w:eastAsia="宋体" w:cs="宋体"/>
                <w:szCs w:val="24"/>
                <w:highlight w:val="none"/>
                <w:lang w:val="en-US" w:eastAsia="zh-CN"/>
              </w:rPr>
            </w:pPr>
            <w:r>
              <w:rPr>
                <w:rFonts w:hint="eastAsia" w:cs="宋体"/>
                <w:szCs w:val="24"/>
                <w:highlight w:val="none"/>
              </w:rPr>
              <w:t xml:space="preserve">  6.其他要求（如有）：_</w:t>
            </w:r>
            <w:r>
              <w:rPr>
                <w:rFonts w:hint="eastAsia" w:cs="宋体"/>
                <w:szCs w:val="24"/>
                <w:highlight w:val="none"/>
                <w:u w:val="single"/>
              </w:rPr>
              <w:t>/</w:t>
            </w:r>
            <w:r>
              <w:rPr>
                <w:rFonts w:hint="eastAsia" w:cs="宋体"/>
                <w:szCs w:val="24"/>
                <w:highlight w:val="none"/>
              </w:rPr>
              <w:t xml:space="preserve">_。 </w:t>
            </w:r>
          </w:p>
        </w:tc>
      </w:tr>
      <w:tr w14:paraId="03F9E1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20B63BA5">
            <w:pPr>
              <w:pStyle w:val="53"/>
              <w:spacing w:line="360" w:lineRule="auto"/>
              <w:jc w:val="center"/>
              <w:rPr>
                <w:rFonts w:cs="宋体"/>
                <w:szCs w:val="24"/>
                <w:highlight w:val="none"/>
              </w:rPr>
            </w:pPr>
            <w:r>
              <w:rPr>
                <w:rFonts w:hint="eastAsia" w:cs="宋体"/>
                <w:szCs w:val="24"/>
                <w:highlight w:val="none"/>
              </w:rPr>
              <w:t>23.1</w:t>
            </w:r>
          </w:p>
        </w:tc>
        <w:tc>
          <w:tcPr>
            <w:tcW w:w="1583" w:type="dxa"/>
            <w:vAlign w:val="center"/>
          </w:tcPr>
          <w:p w14:paraId="5698E14B">
            <w:pPr>
              <w:pStyle w:val="53"/>
              <w:spacing w:line="360" w:lineRule="auto"/>
              <w:rPr>
                <w:rFonts w:cs="宋体"/>
                <w:szCs w:val="24"/>
                <w:highlight w:val="none"/>
              </w:rPr>
            </w:pPr>
            <w:r>
              <w:rPr>
                <w:rFonts w:hint="eastAsia" w:cs="宋体"/>
                <w:szCs w:val="24"/>
                <w:highlight w:val="none"/>
              </w:rPr>
              <w:t>演示</w:t>
            </w:r>
          </w:p>
        </w:tc>
        <w:tc>
          <w:tcPr>
            <w:tcW w:w="6855" w:type="dxa"/>
            <w:vAlign w:val="center"/>
          </w:tcPr>
          <w:p w14:paraId="0723418F">
            <w:pPr>
              <w:pStyle w:val="53"/>
              <w:spacing w:line="360" w:lineRule="auto"/>
              <w:rPr>
                <w:rFonts w:cs="宋体"/>
                <w:szCs w:val="24"/>
                <w:highlight w:val="none"/>
              </w:rPr>
            </w:pPr>
            <w:r>
              <w:rPr>
                <w:rFonts w:hint="eastAsia" w:cs="宋体"/>
                <w:szCs w:val="24"/>
                <w:highlight w:val="none"/>
              </w:rPr>
              <w:sym w:font="Wingdings" w:char="00FE"/>
            </w:r>
            <w:r>
              <w:rPr>
                <w:rFonts w:hint="eastAsia" w:cs="宋体"/>
                <w:szCs w:val="24"/>
                <w:highlight w:val="none"/>
              </w:rPr>
              <w:t>不进行</w:t>
            </w:r>
          </w:p>
          <w:p w14:paraId="1F2CA262">
            <w:pPr>
              <w:pStyle w:val="53"/>
              <w:spacing w:line="360" w:lineRule="auto"/>
              <w:rPr>
                <w:rFonts w:cs="宋体"/>
                <w:szCs w:val="24"/>
                <w:highlight w:val="none"/>
              </w:rPr>
            </w:pPr>
            <w:r>
              <w:rPr>
                <w:rFonts w:hint="eastAsia" w:cs="宋体"/>
                <w:szCs w:val="24"/>
                <w:highlight w:val="none"/>
              </w:rPr>
              <w:sym w:font="Wingdings" w:char="00A8"/>
            </w:r>
            <w:r>
              <w:rPr>
                <w:rFonts w:hint="eastAsia" w:cs="宋体"/>
                <w:szCs w:val="24"/>
                <w:highlight w:val="none"/>
              </w:rPr>
              <w:t>进行，远程线上演示/现场演示</w:t>
            </w:r>
          </w:p>
          <w:p w14:paraId="50562C81">
            <w:pPr>
              <w:pStyle w:val="53"/>
              <w:spacing w:line="360" w:lineRule="auto"/>
              <w:ind w:firstLine="240" w:firstLineChars="100"/>
              <w:rPr>
                <w:rFonts w:cs="宋体"/>
                <w:szCs w:val="24"/>
                <w:highlight w:val="none"/>
              </w:rPr>
            </w:pPr>
            <w:r>
              <w:rPr>
                <w:rFonts w:hint="eastAsia" w:cs="宋体"/>
                <w:szCs w:val="24"/>
                <w:highlight w:val="none"/>
              </w:rPr>
              <w:t>1.演示时间不得超过</w:t>
            </w:r>
            <w:r>
              <w:rPr>
                <w:rFonts w:hint="eastAsia" w:cs="宋体"/>
                <w:szCs w:val="24"/>
                <w:highlight w:val="none"/>
                <w:u w:val="single"/>
              </w:rPr>
              <w:t xml:space="preserve">   </w:t>
            </w:r>
            <w:r>
              <w:rPr>
                <w:rFonts w:hint="eastAsia" w:cs="宋体"/>
                <w:szCs w:val="24"/>
                <w:highlight w:val="none"/>
              </w:rPr>
              <w:t>分钟；</w:t>
            </w:r>
          </w:p>
          <w:p w14:paraId="6635A76E">
            <w:pPr>
              <w:pStyle w:val="53"/>
              <w:spacing w:line="360" w:lineRule="auto"/>
              <w:ind w:firstLine="240" w:firstLineChars="100"/>
              <w:rPr>
                <w:rFonts w:cs="宋体"/>
                <w:szCs w:val="24"/>
                <w:highlight w:val="none"/>
              </w:rPr>
            </w:pPr>
            <w:r>
              <w:rPr>
                <w:rFonts w:hint="eastAsia" w:cs="宋体"/>
                <w:szCs w:val="24"/>
                <w:highlight w:val="none"/>
              </w:rPr>
              <w:t>2.进行远程线上演示的，投标人应提前自行准备好演示的软硬配置环境和网络环境，做好演示的各项准备工作。因投标人自身原因无法演示或者演示效果不理想的，导致的后果由投标人自行承担；</w:t>
            </w:r>
          </w:p>
          <w:p w14:paraId="2DFDFD92">
            <w:pPr>
              <w:pStyle w:val="53"/>
              <w:spacing w:line="360" w:lineRule="auto"/>
              <w:ind w:firstLine="240" w:firstLineChars="100"/>
              <w:rPr>
                <w:rFonts w:cs="宋体"/>
                <w:szCs w:val="24"/>
                <w:highlight w:val="none"/>
              </w:rPr>
            </w:pPr>
            <w:r>
              <w:rPr>
                <w:rFonts w:hint="eastAsia" w:cs="宋体"/>
                <w:szCs w:val="24"/>
                <w:highlight w:val="none"/>
              </w:rPr>
              <w:t>3.进行现场演示的，演示人员不得超过</w:t>
            </w:r>
            <w:r>
              <w:rPr>
                <w:rFonts w:hint="eastAsia" w:cs="宋体"/>
                <w:szCs w:val="24"/>
                <w:highlight w:val="none"/>
                <w:u w:val="single"/>
              </w:rPr>
              <w:t xml:space="preserve">  </w:t>
            </w:r>
            <w:r>
              <w:rPr>
                <w:rFonts w:hint="eastAsia" w:cs="宋体"/>
                <w:szCs w:val="24"/>
                <w:highlight w:val="none"/>
              </w:rPr>
              <w:t>人，演示现场提供</w:t>
            </w:r>
            <w:r>
              <w:rPr>
                <w:rFonts w:hint="eastAsia" w:cs="宋体"/>
                <w:szCs w:val="24"/>
                <w:highlight w:val="none"/>
                <w:u w:val="single"/>
              </w:rPr>
              <w:t xml:space="preserve">       </w:t>
            </w:r>
            <w:r>
              <w:rPr>
                <w:rFonts w:hint="eastAsia" w:cs="宋体"/>
                <w:szCs w:val="24"/>
                <w:highlight w:val="none"/>
              </w:rPr>
              <w:t>。</w:t>
            </w:r>
          </w:p>
        </w:tc>
      </w:tr>
      <w:tr w14:paraId="1ACB24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93" w:hRule="atLeast"/>
        </w:trPr>
        <w:tc>
          <w:tcPr>
            <w:tcW w:w="970" w:type="dxa"/>
            <w:vAlign w:val="center"/>
          </w:tcPr>
          <w:p w14:paraId="4A8C8A1E">
            <w:pPr>
              <w:pStyle w:val="53"/>
              <w:spacing w:line="360" w:lineRule="auto"/>
              <w:jc w:val="center"/>
              <w:rPr>
                <w:rFonts w:cs="宋体"/>
                <w:szCs w:val="24"/>
                <w:highlight w:val="none"/>
              </w:rPr>
            </w:pPr>
            <w:r>
              <w:rPr>
                <w:rFonts w:hint="eastAsia" w:cs="宋体"/>
                <w:szCs w:val="24"/>
                <w:highlight w:val="none"/>
              </w:rPr>
              <w:t>25.3</w:t>
            </w:r>
          </w:p>
        </w:tc>
        <w:tc>
          <w:tcPr>
            <w:tcW w:w="1583" w:type="dxa"/>
            <w:vAlign w:val="center"/>
          </w:tcPr>
          <w:p w14:paraId="53C17B98">
            <w:pPr>
              <w:pStyle w:val="53"/>
              <w:spacing w:line="360" w:lineRule="auto"/>
              <w:rPr>
                <w:rFonts w:cs="宋体"/>
                <w:szCs w:val="24"/>
                <w:highlight w:val="none"/>
              </w:rPr>
            </w:pPr>
            <w:r>
              <w:rPr>
                <w:rFonts w:hint="eastAsia" w:cs="宋体"/>
                <w:szCs w:val="24"/>
                <w:highlight w:val="none"/>
              </w:rPr>
              <w:t>解密投标文件的时限</w:t>
            </w:r>
          </w:p>
        </w:tc>
        <w:tc>
          <w:tcPr>
            <w:tcW w:w="6855" w:type="dxa"/>
            <w:vAlign w:val="center"/>
          </w:tcPr>
          <w:p w14:paraId="77120C7E">
            <w:pPr>
              <w:pStyle w:val="53"/>
              <w:spacing w:line="360" w:lineRule="auto"/>
              <w:rPr>
                <w:rFonts w:cs="宋体"/>
                <w:szCs w:val="24"/>
                <w:highlight w:val="none"/>
              </w:rPr>
            </w:pPr>
            <w:r>
              <w:rPr>
                <w:rFonts w:hint="eastAsia" w:cs="宋体"/>
                <w:szCs w:val="24"/>
                <w:highlight w:val="none"/>
              </w:rPr>
              <w:t>不见面开标默认解密时长：</w:t>
            </w:r>
            <w:r>
              <w:rPr>
                <w:rFonts w:hint="eastAsia" w:cs="宋体"/>
                <w:szCs w:val="24"/>
                <w:highlight w:val="none"/>
                <w:u w:val="single"/>
              </w:rPr>
              <w:t xml:space="preserve">  30</w:t>
            </w:r>
            <w:r>
              <w:rPr>
                <w:rFonts w:hint="eastAsia" w:cs="宋体"/>
                <w:szCs w:val="24"/>
                <w:highlight w:val="none"/>
              </w:rPr>
              <w:t xml:space="preserve">分钟。 </w:t>
            </w:r>
          </w:p>
          <w:p w14:paraId="047DA0BB">
            <w:pPr>
              <w:pStyle w:val="53"/>
              <w:spacing w:line="360" w:lineRule="auto"/>
              <w:rPr>
                <w:rFonts w:cs="宋体"/>
                <w:szCs w:val="24"/>
                <w:highlight w:val="none"/>
              </w:rPr>
            </w:pPr>
            <w:r>
              <w:rPr>
                <w:rFonts w:hint="eastAsia" w:cs="宋体"/>
                <w:szCs w:val="24"/>
                <w:highlight w:val="none"/>
              </w:rPr>
              <w:t>除因交易平台发生故障导致投标文件无法按时解密外，投标文件未按时解密的，视为未按规定提交投标文件。</w:t>
            </w:r>
          </w:p>
        </w:tc>
      </w:tr>
      <w:tr w14:paraId="2E71DD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77" w:hRule="atLeast"/>
        </w:trPr>
        <w:tc>
          <w:tcPr>
            <w:tcW w:w="970" w:type="dxa"/>
            <w:vAlign w:val="center"/>
          </w:tcPr>
          <w:p w14:paraId="02C735DD">
            <w:pPr>
              <w:pStyle w:val="53"/>
              <w:spacing w:line="360" w:lineRule="auto"/>
              <w:jc w:val="center"/>
              <w:rPr>
                <w:rFonts w:cs="宋体"/>
                <w:szCs w:val="24"/>
                <w:highlight w:val="none"/>
              </w:rPr>
            </w:pPr>
            <w:r>
              <w:rPr>
                <w:rFonts w:hint="eastAsia" w:cs="宋体"/>
                <w:szCs w:val="24"/>
                <w:highlight w:val="none"/>
              </w:rPr>
              <w:t>29.1</w:t>
            </w:r>
          </w:p>
        </w:tc>
        <w:tc>
          <w:tcPr>
            <w:tcW w:w="1583" w:type="dxa"/>
            <w:vAlign w:val="center"/>
          </w:tcPr>
          <w:p w14:paraId="51974AA1">
            <w:pPr>
              <w:pStyle w:val="53"/>
              <w:spacing w:line="360" w:lineRule="auto"/>
              <w:rPr>
                <w:rFonts w:cs="宋体"/>
                <w:szCs w:val="24"/>
                <w:highlight w:val="none"/>
              </w:rPr>
            </w:pPr>
            <w:r>
              <w:rPr>
                <w:rFonts w:hint="eastAsia" w:cs="宋体"/>
                <w:szCs w:val="24"/>
                <w:highlight w:val="none"/>
              </w:rPr>
              <w:t>评标方法</w:t>
            </w:r>
          </w:p>
        </w:tc>
        <w:tc>
          <w:tcPr>
            <w:tcW w:w="6855" w:type="dxa"/>
            <w:vAlign w:val="center"/>
          </w:tcPr>
          <w:p w14:paraId="5E50AD06">
            <w:pPr>
              <w:pStyle w:val="53"/>
              <w:spacing w:line="360" w:lineRule="auto"/>
              <w:rPr>
                <w:rFonts w:cs="宋体"/>
                <w:szCs w:val="24"/>
                <w:highlight w:val="none"/>
              </w:rPr>
            </w:pPr>
            <w:r>
              <w:rPr>
                <w:rFonts w:hint="eastAsia" w:cs="宋体"/>
                <w:szCs w:val="24"/>
                <w:highlight w:val="none"/>
              </w:rPr>
              <w:sym w:font="Wingdings" w:char="00FE"/>
            </w:r>
            <w:r>
              <w:rPr>
                <w:rFonts w:hint="eastAsia" w:cs="宋体"/>
                <w:szCs w:val="24"/>
                <w:highlight w:val="none"/>
              </w:rPr>
              <w:t>综合评分法</w:t>
            </w:r>
          </w:p>
          <w:p w14:paraId="7BEAE380">
            <w:pPr>
              <w:pStyle w:val="53"/>
              <w:spacing w:line="360" w:lineRule="auto"/>
              <w:rPr>
                <w:rFonts w:cs="宋体"/>
                <w:szCs w:val="24"/>
                <w:highlight w:val="none"/>
              </w:rPr>
            </w:pPr>
            <w:r>
              <w:rPr>
                <w:rFonts w:hint="eastAsia" w:cs="宋体"/>
                <w:szCs w:val="24"/>
                <w:highlight w:val="none"/>
              </w:rPr>
              <w:sym w:font="Wingdings" w:char="00A8"/>
            </w:r>
            <w:r>
              <w:rPr>
                <w:rFonts w:hint="eastAsia" w:cs="宋体"/>
                <w:szCs w:val="24"/>
                <w:highlight w:val="none"/>
              </w:rPr>
              <w:t>最低评标价法</w:t>
            </w:r>
          </w:p>
        </w:tc>
      </w:tr>
      <w:tr w14:paraId="3C7C45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5" w:hRule="atLeast"/>
        </w:trPr>
        <w:tc>
          <w:tcPr>
            <w:tcW w:w="970" w:type="dxa"/>
            <w:vAlign w:val="center"/>
          </w:tcPr>
          <w:p w14:paraId="1AB3F892">
            <w:pPr>
              <w:pStyle w:val="53"/>
              <w:spacing w:line="360" w:lineRule="auto"/>
              <w:jc w:val="center"/>
              <w:rPr>
                <w:rFonts w:cs="宋体"/>
                <w:szCs w:val="24"/>
                <w:highlight w:val="none"/>
              </w:rPr>
            </w:pPr>
            <w:r>
              <w:rPr>
                <w:rFonts w:hint="eastAsia" w:cs="宋体"/>
                <w:szCs w:val="24"/>
                <w:highlight w:val="none"/>
              </w:rPr>
              <w:t>29.3</w:t>
            </w:r>
          </w:p>
        </w:tc>
        <w:tc>
          <w:tcPr>
            <w:tcW w:w="1583" w:type="dxa"/>
            <w:vAlign w:val="center"/>
          </w:tcPr>
          <w:p w14:paraId="5898BE30">
            <w:pPr>
              <w:pStyle w:val="53"/>
              <w:spacing w:line="360" w:lineRule="auto"/>
              <w:rPr>
                <w:rFonts w:cs="宋体"/>
                <w:szCs w:val="24"/>
                <w:highlight w:val="none"/>
              </w:rPr>
            </w:pPr>
            <w:r>
              <w:rPr>
                <w:rFonts w:hint="eastAsia" w:cs="宋体"/>
                <w:szCs w:val="24"/>
                <w:highlight w:val="none"/>
              </w:rPr>
              <w:t>推荐中标候选人</w:t>
            </w:r>
          </w:p>
        </w:tc>
        <w:tc>
          <w:tcPr>
            <w:tcW w:w="6855" w:type="dxa"/>
            <w:vAlign w:val="center"/>
          </w:tcPr>
          <w:p w14:paraId="724BD26A">
            <w:pPr>
              <w:pStyle w:val="53"/>
              <w:spacing w:line="360" w:lineRule="auto"/>
              <w:rPr>
                <w:rFonts w:cs="宋体"/>
                <w:szCs w:val="24"/>
                <w:highlight w:val="none"/>
              </w:rPr>
            </w:pPr>
            <w:r>
              <w:rPr>
                <w:rFonts w:hint="eastAsia" w:cs="宋体"/>
                <w:szCs w:val="24"/>
                <w:highlight w:val="none"/>
              </w:rPr>
              <w:t>中标候选人数量</w:t>
            </w:r>
            <w:r>
              <w:rPr>
                <w:rFonts w:hint="eastAsia" w:cs="宋体"/>
                <w:szCs w:val="24"/>
                <w:highlight w:val="none"/>
                <w:u w:val="single"/>
              </w:rPr>
              <w:t xml:space="preserve">  3 </w:t>
            </w:r>
            <w:r>
              <w:rPr>
                <w:rFonts w:hint="eastAsia" w:cs="宋体"/>
                <w:szCs w:val="24"/>
                <w:highlight w:val="none"/>
              </w:rPr>
              <w:t>家</w:t>
            </w:r>
          </w:p>
        </w:tc>
      </w:tr>
      <w:tr w14:paraId="34056D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13" w:hRule="atLeast"/>
        </w:trPr>
        <w:tc>
          <w:tcPr>
            <w:tcW w:w="970" w:type="dxa"/>
            <w:vAlign w:val="center"/>
          </w:tcPr>
          <w:p w14:paraId="1592862F">
            <w:pPr>
              <w:pStyle w:val="53"/>
              <w:spacing w:line="360" w:lineRule="auto"/>
              <w:jc w:val="center"/>
              <w:rPr>
                <w:rFonts w:cs="宋体"/>
                <w:szCs w:val="24"/>
                <w:highlight w:val="none"/>
              </w:rPr>
            </w:pPr>
            <w:r>
              <w:rPr>
                <w:rFonts w:hint="eastAsia" w:cs="宋体"/>
                <w:szCs w:val="24"/>
                <w:highlight w:val="none"/>
              </w:rPr>
              <w:t>30.1</w:t>
            </w:r>
          </w:p>
        </w:tc>
        <w:tc>
          <w:tcPr>
            <w:tcW w:w="1583" w:type="dxa"/>
            <w:vAlign w:val="center"/>
          </w:tcPr>
          <w:p w14:paraId="6801D7F6">
            <w:pPr>
              <w:pStyle w:val="53"/>
              <w:spacing w:line="360" w:lineRule="auto"/>
              <w:rPr>
                <w:rFonts w:cs="宋体"/>
                <w:szCs w:val="24"/>
                <w:highlight w:val="none"/>
              </w:rPr>
            </w:pPr>
            <w:r>
              <w:rPr>
                <w:rFonts w:hint="eastAsia" w:cs="宋体"/>
                <w:szCs w:val="24"/>
                <w:highlight w:val="none"/>
              </w:rPr>
              <w:t>确定中标人</w:t>
            </w:r>
          </w:p>
        </w:tc>
        <w:tc>
          <w:tcPr>
            <w:tcW w:w="6855" w:type="dxa"/>
            <w:vAlign w:val="center"/>
          </w:tcPr>
          <w:p w14:paraId="6F09A3CB">
            <w:pPr>
              <w:pStyle w:val="53"/>
              <w:spacing w:line="360" w:lineRule="auto"/>
              <w:rPr>
                <w:rFonts w:cs="宋体"/>
                <w:szCs w:val="24"/>
                <w:highlight w:val="none"/>
              </w:rPr>
            </w:pPr>
            <w:r>
              <w:rPr>
                <w:rFonts w:hint="eastAsia" w:cs="宋体"/>
                <w:szCs w:val="24"/>
                <w:highlight w:val="none"/>
              </w:rPr>
              <w:sym w:font="Wingdings" w:char="00FE"/>
            </w:r>
            <w:r>
              <w:rPr>
                <w:rFonts w:hint="eastAsia" w:cs="宋体"/>
                <w:szCs w:val="24"/>
                <w:highlight w:val="none"/>
              </w:rPr>
              <w:t>采购人按评审报告中推荐的中标候选人排序确定中标人。</w:t>
            </w:r>
          </w:p>
          <w:p w14:paraId="45E773ED">
            <w:pPr>
              <w:pStyle w:val="53"/>
              <w:spacing w:line="360" w:lineRule="auto"/>
              <w:rPr>
                <w:rFonts w:cs="宋体"/>
                <w:szCs w:val="24"/>
                <w:highlight w:val="none"/>
              </w:rPr>
            </w:pPr>
            <w:r>
              <w:rPr>
                <w:rFonts w:hint="eastAsia" w:cs="宋体"/>
                <w:szCs w:val="24"/>
                <w:highlight w:val="none"/>
              </w:rPr>
              <w:sym w:font="Wingdings" w:char="00A8"/>
            </w:r>
            <w:r>
              <w:rPr>
                <w:rFonts w:hint="eastAsia" w:cs="宋体"/>
                <w:szCs w:val="24"/>
                <w:highlight w:val="none"/>
              </w:rPr>
              <w:t>采购人委托评标委员会直接确定中标人。</w:t>
            </w:r>
          </w:p>
        </w:tc>
      </w:tr>
      <w:tr w14:paraId="14DD2F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01" w:hRule="atLeast"/>
        </w:trPr>
        <w:tc>
          <w:tcPr>
            <w:tcW w:w="970" w:type="dxa"/>
            <w:vAlign w:val="center"/>
          </w:tcPr>
          <w:p w14:paraId="74AFA5B4">
            <w:pPr>
              <w:pStyle w:val="53"/>
              <w:spacing w:line="360" w:lineRule="auto"/>
              <w:jc w:val="center"/>
              <w:rPr>
                <w:rFonts w:cs="宋体"/>
                <w:szCs w:val="24"/>
                <w:highlight w:val="none"/>
              </w:rPr>
            </w:pPr>
            <w:r>
              <w:rPr>
                <w:rFonts w:hint="eastAsia" w:cs="宋体"/>
                <w:szCs w:val="24"/>
                <w:highlight w:val="none"/>
              </w:rPr>
              <w:t>30.2</w:t>
            </w:r>
          </w:p>
          <w:p w14:paraId="1F144863">
            <w:pPr>
              <w:pStyle w:val="53"/>
              <w:spacing w:line="360" w:lineRule="auto"/>
              <w:jc w:val="center"/>
              <w:rPr>
                <w:rFonts w:cs="宋体"/>
                <w:szCs w:val="24"/>
                <w:highlight w:val="none"/>
              </w:rPr>
            </w:pPr>
            <w:r>
              <w:rPr>
                <w:rFonts w:hint="eastAsia" w:cs="宋体"/>
                <w:szCs w:val="24"/>
                <w:highlight w:val="none"/>
              </w:rPr>
              <w:t>30.3</w:t>
            </w:r>
          </w:p>
        </w:tc>
        <w:tc>
          <w:tcPr>
            <w:tcW w:w="1583" w:type="dxa"/>
            <w:vAlign w:val="center"/>
          </w:tcPr>
          <w:p w14:paraId="7D8959E4">
            <w:pPr>
              <w:pStyle w:val="53"/>
              <w:spacing w:line="360" w:lineRule="auto"/>
              <w:rPr>
                <w:rFonts w:cs="宋体"/>
                <w:szCs w:val="24"/>
                <w:highlight w:val="none"/>
              </w:rPr>
            </w:pPr>
            <w:r>
              <w:rPr>
                <w:rFonts w:hint="eastAsia" w:cs="宋体"/>
                <w:kern w:val="0"/>
                <w:szCs w:val="24"/>
                <w:highlight w:val="none"/>
                <w:lang w:bidi="ar"/>
              </w:rPr>
              <w:t>提供相同品牌产品的不同投标人确定中标候选人的规定</w:t>
            </w:r>
          </w:p>
        </w:tc>
        <w:tc>
          <w:tcPr>
            <w:tcW w:w="6855" w:type="dxa"/>
            <w:vAlign w:val="center"/>
          </w:tcPr>
          <w:p w14:paraId="3201127C">
            <w:pPr>
              <w:pStyle w:val="53"/>
              <w:spacing w:line="360" w:lineRule="auto"/>
              <w:ind w:firstLine="480" w:firstLineChars="200"/>
              <w:rPr>
                <w:rFonts w:cs="宋体"/>
                <w:kern w:val="0"/>
                <w:szCs w:val="24"/>
                <w:highlight w:val="none"/>
                <w:lang w:bidi="ar"/>
              </w:rPr>
            </w:pPr>
            <w:r>
              <w:rPr>
                <w:rFonts w:hint="eastAsia" w:cs="宋体"/>
                <w:szCs w:val="24"/>
                <w:highlight w:val="none"/>
              </w:rPr>
              <w:sym w:font="Wingdings" w:char="00FE"/>
            </w:r>
            <w:r>
              <w:rPr>
                <w:rFonts w:hint="eastAsia" w:cs="宋体"/>
                <w:kern w:val="0"/>
                <w:szCs w:val="24"/>
                <w:highlight w:val="none"/>
                <w:lang w:bidi="ar"/>
              </w:rPr>
              <w:t>综合评分法的采购项目，提供相同品牌产品且通过资格审查、符合性审查的不同投标人参加同一合同项下投标的，按一家投标人计算，评审后得分相同的，按照</w:t>
            </w:r>
            <w:r>
              <w:rPr>
                <w:rFonts w:hint="eastAsia" w:cs="宋体"/>
                <w:kern w:val="0"/>
                <w:szCs w:val="24"/>
                <w:highlight w:val="none"/>
                <w:u w:val="single"/>
                <w:lang w:bidi="ar"/>
              </w:rPr>
              <w:t xml:space="preserve"> 报价最低的 </w:t>
            </w:r>
            <w:r>
              <w:rPr>
                <w:rFonts w:hint="eastAsia" w:cs="宋体"/>
                <w:kern w:val="0"/>
                <w:szCs w:val="24"/>
                <w:highlight w:val="none"/>
                <w:lang w:bidi="ar"/>
              </w:rPr>
              <w:t>方式确定一个投标人获得中标人推荐资格，其他同品牌投标人不作为中标候选人。</w:t>
            </w:r>
          </w:p>
        </w:tc>
      </w:tr>
      <w:tr w14:paraId="2F237A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534" w:hRule="atLeast"/>
        </w:trPr>
        <w:tc>
          <w:tcPr>
            <w:tcW w:w="970" w:type="dxa"/>
            <w:vAlign w:val="center"/>
          </w:tcPr>
          <w:p w14:paraId="065721AB">
            <w:pPr>
              <w:pStyle w:val="53"/>
              <w:spacing w:line="360" w:lineRule="auto"/>
              <w:jc w:val="center"/>
              <w:rPr>
                <w:rFonts w:cs="宋体"/>
                <w:szCs w:val="24"/>
                <w:highlight w:val="none"/>
              </w:rPr>
            </w:pPr>
            <w:r>
              <w:rPr>
                <w:rFonts w:hint="eastAsia" w:cs="宋体"/>
                <w:szCs w:val="24"/>
                <w:highlight w:val="none"/>
              </w:rPr>
              <w:t>33.1</w:t>
            </w:r>
          </w:p>
        </w:tc>
        <w:tc>
          <w:tcPr>
            <w:tcW w:w="1583" w:type="dxa"/>
            <w:vAlign w:val="center"/>
          </w:tcPr>
          <w:p w14:paraId="19196DCF">
            <w:pPr>
              <w:pStyle w:val="53"/>
              <w:spacing w:line="360" w:lineRule="auto"/>
              <w:rPr>
                <w:rFonts w:cs="宋体"/>
                <w:szCs w:val="24"/>
                <w:highlight w:val="none"/>
              </w:rPr>
            </w:pPr>
            <w:r>
              <w:rPr>
                <w:rFonts w:hint="eastAsia" w:cs="宋体"/>
                <w:szCs w:val="24"/>
                <w:highlight w:val="none"/>
              </w:rPr>
              <w:t>履约保证金</w:t>
            </w:r>
          </w:p>
        </w:tc>
        <w:tc>
          <w:tcPr>
            <w:tcW w:w="6855" w:type="dxa"/>
            <w:vAlign w:val="center"/>
          </w:tcPr>
          <w:p w14:paraId="192AA84F">
            <w:pPr>
              <w:pStyle w:val="53"/>
              <w:spacing w:line="360" w:lineRule="auto"/>
              <w:rPr>
                <w:rFonts w:cs="宋体"/>
                <w:szCs w:val="24"/>
                <w:highlight w:val="none"/>
              </w:rPr>
            </w:pPr>
            <w:r>
              <w:rPr>
                <w:rFonts w:hint="eastAsia" w:cs="宋体"/>
                <w:szCs w:val="24"/>
                <w:highlight w:val="none"/>
              </w:rPr>
              <w:t xml:space="preserve"> 1.金额：</w:t>
            </w:r>
          </w:p>
          <w:p w14:paraId="2709BCC4">
            <w:pPr>
              <w:pStyle w:val="53"/>
              <w:spacing w:line="360" w:lineRule="auto"/>
              <w:ind w:firstLine="480" w:firstLineChars="200"/>
              <w:rPr>
                <w:rFonts w:cs="宋体"/>
                <w:szCs w:val="24"/>
                <w:highlight w:val="none"/>
              </w:rPr>
            </w:pPr>
            <w:r>
              <w:rPr>
                <w:rFonts w:hint="eastAsia" w:cs="宋体"/>
                <w:szCs w:val="24"/>
                <w:highlight w:val="none"/>
              </w:rPr>
              <w:t>☑免收</w:t>
            </w:r>
          </w:p>
          <w:p w14:paraId="4C76072A">
            <w:pPr>
              <w:pStyle w:val="53"/>
              <w:spacing w:line="360" w:lineRule="auto"/>
              <w:ind w:firstLine="480" w:firstLineChars="200"/>
              <w:rPr>
                <w:rFonts w:cs="宋体"/>
                <w:szCs w:val="24"/>
                <w:highlight w:val="none"/>
              </w:rPr>
            </w:pPr>
            <w:r>
              <w:rPr>
                <w:rFonts w:hint="eastAsia" w:cs="宋体"/>
                <w:szCs w:val="24"/>
                <w:highlight w:val="none"/>
              </w:rPr>
              <w:t xml:space="preserve">□合同价的 </w:t>
            </w:r>
            <w:r>
              <w:rPr>
                <w:rFonts w:hint="eastAsia" w:cs="宋体"/>
                <w:szCs w:val="24"/>
                <w:highlight w:val="none"/>
                <w:u w:val="single"/>
              </w:rPr>
              <w:t>/</w:t>
            </w:r>
            <w:r>
              <w:rPr>
                <w:rFonts w:hint="eastAsia" w:cs="宋体"/>
                <w:szCs w:val="24"/>
                <w:highlight w:val="none"/>
              </w:rPr>
              <w:t>%</w:t>
            </w:r>
          </w:p>
          <w:p w14:paraId="52420D54">
            <w:pPr>
              <w:pStyle w:val="53"/>
              <w:spacing w:line="360" w:lineRule="auto"/>
              <w:ind w:firstLine="480" w:firstLineChars="200"/>
              <w:rPr>
                <w:rFonts w:cs="宋体"/>
                <w:szCs w:val="24"/>
                <w:highlight w:val="none"/>
              </w:rPr>
            </w:pPr>
            <w:r>
              <w:rPr>
                <w:rFonts w:hint="eastAsia" w:cs="宋体"/>
                <w:szCs w:val="24"/>
                <w:highlight w:val="none"/>
              </w:rPr>
              <w:t>□定额收取：人民币</w:t>
            </w:r>
            <w:r>
              <w:rPr>
                <w:rFonts w:hint="eastAsia" w:cs="宋体"/>
                <w:szCs w:val="24"/>
                <w:highlight w:val="none"/>
                <w:u w:val="single"/>
              </w:rPr>
              <w:t>/</w:t>
            </w:r>
            <w:r>
              <w:rPr>
                <w:rFonts w:hint="eastAsia" w:cs="宋体"/>
                <w:szCs w:val="24"/>
                <w:highlight w:val="none"/>
              </w:rPr>
              <w:t>元</w:t>
            </w:r>
          </w:p>
          <w:p w14:paraId="1F64A386">
            <w:pPr>
              <w:pStyle w:val="53"/>
              <w:spacing w:line="360" w:lineRule="auto"/>
              <w:rPr>
                <w:rFonts w:cs="宋体"/>
                <w:szCs w:val="24"/>
                <w:highlight w:val="none"/>
              </w:rPr>
            </w:pPr>
            <w:r>
              <w:rPr>
                <w:rFonts w:hint="eastAsia" w:cs="宋体"/>
                <w:szCs w:val="24"/>
                <w:highlight w:val="none"/>
              </w:rPr>
              <w:t xml:space="preserve"> 2.支付方式：投标人可自主选择以支票、汇票、本票、电汇、转账、网银、保函等非现金形式缴纳或提交保证金。</w:t>
            </w:r>
          </w:p>
          <w:p w14:paraId="5C4DC61E">
            <w:pPr>
              <w:pStyle w:val="53"/>
              <w:spacing w:line="360" w:lineRule="auto"/>
              <w:rPr>
                <w:rFonts w:cs="宋体"/>
                <w:szCs w:val="24"/>
                <w:highlight w:val="none"/>
              </w:rPr>
            </w:pPr>
            <w:r>
              <w:rPr>
                <w:rFonts w:hint="eastAsia" w:cs="宋体"/>
                <w:szCs w:val="24"/>
                <w:highlight w:val="none"/>
              </w:rPr>
              <w:t xml:space="preserve"> 3.保函有效期：自合同生效之日起至合同约定的中标或成交供应商主要义务履行完毕  </w:t>
            </w:r>
          </w:p>
          <w:p w14:paraId="306765F5">
            <w:pPr>
              <w:pStyle w:val="53"/>
              <w:spacing w:line="360" w:lineRule="auto"/>
              <w:rPr>
                <w:rFonts w:cs="宋体"/>
                <w:szCs w:val="24"/>
                <w:highlight w:val="none"/>
              </w:rPr>
            </w:pPr>
            <w:r>
              <w:rPr>
                <w:rFonts w:hint="eastAsia" w:cs="宋体"/>
                <w:szCs w:val="24"/>
                <w:highlight w:val="none"/>
              </w:rPr>
              <w:t xml:space="preserve">4.缴纳时间：中标或成交供应商应在合同签订前3个工作日内向采购人提交履约保证金；                          </w:t>
            </w:r>
          </w:p>
          <w:p w14:paraId="58B1184E">
            <w:pPr>
              <w:pStyle w:val="53"/>
              <w:spacing w:line="360" w:lineRule="auto"/>
              <w:rPr>
                <w:rFonts w:cs="宋体"/>
                <w:szCs w:val="24"/>
                <w:highlight w:val="none"/>
              </w:rPr>
            </w:pPr>
            <w:r>
              <w:rPr>
                <w:rFonts w:hint="eastAsia" w:cs="宋体"/>
                <w:szCs w:val="24"/>
                <w:highlight w:val="none"/>
              </w:rPr>
              <w:t xml:space="preserve">5.退还时间：中标或成交供应商合同主要义务履行完毕后，采购人按合同约定及时退还 </w:t>
            </w:r>
          </w:p>
          <w:p w14:paraId="4257257E">
            <w:pPr>
              <w:pStyle w:val="53"/>
              <w:spacing w:line="360" w:lineRule="auto"/>
              <w:rPr>
                <w:rFonts w:cs="宋体"/>
                <w:szCs w:val="24"/>
                <w:highlight w:val="none"/>
              </w:rPr>
            </w:pPr>
            <w:r>
              <w:rPr>
                <w:rFonts w:hint="eastAsia" w:cs="宋体"/>
                <w:szCs w:val="24"/>
                <w:highlight w:val="none"/>
              </w:rPr>
              <w:t xml:space="preserve"> 5.退还时间：              </w:t>
            </w:r>
          </w:p>
          <w:p w14:paraId="234A03FD">
            <w:pPr>
              <w:pStyle w:val="53"/>
              <w:spacing w:line="360" w:lineRule="auto"/>
              <w:rPr>
                <w:rFonts w:cs="宋体"/>
                <w:b/>
                <w:bCs/>
                <w:szCs w:val="24"/>
                <w:highlight w:val="none"/>
              </w:rPr>
            </w:pPr>
            <w:r>
              <w:rPr>
                <w:rFonts w:hint="eastAsia" w:cs="宋体"/>
                <w:b/>
                <w:bCs/>
                <w:szCs w:val="24"/>
                <w:highlight w:val="none"/>
              </w:rPr>
              <w:t>注意事项：</w:t>
            </w:r>
          </w:p>
          <w:p w14:paraId="2F046010">
            <w:pPr>
              <w:pStyle w:val="53"/>
              <w:spacing w:line="360" w:lineRule="auto"/>
              <w:rPr>
                <w:rFonts w:cs="宋体"/>
                <w:szCs w:val="24"/>
                <w:highlight w:val="none"/>
              </w:rPr>
            </w:pPr>
            <w:r>
              <w:rPr>
                <w:rFonts w:hint="eastAsia" w:cs="宋体"/>
                <w:szCs w:val="24"/>
                <w:highlight w:val="none"/>
              </w:rPr>
              <w:t xml:space="preserve">  1.以上各类机构出具的以担保函、保证保险承担责任的方式均须满足无条件见索即付条件。</w:t>
            </w:r>
          </w:p>
          <w:p w14:paraId="6F518BC0">
            <w:pPr>
              <w:pStyle w:val="53"/>
              <w:spacing w:line="360" w:lineRule="auto"/>
              <w:rPr>
                <w:rFonts w:cs="宋体"/>
                <w:szCs w:val="24"/>
                <w:highlight w:val="none"/>
              </w:rPr>
            </w:pPr>
            <w:r>
              <w:rPr>
                <w:rFonts w:hint="eastAsia" w:cs="宋体"/>
                <w:szCs w:val="24"/>
                <w:highlight w:val="none"/>
              </w:rPr>
              <w:t xml:space="preserve">  2.以担保函、保证保险形式缴纳履约保证金的，受益人和收取单位须为采购人。</w:t>
            </w:r>
          </w:p>
          <w:p w14:paraId="4C4A2C5A">
            <w:pPr>
              <w:pStyle w:val="53"/>
              <w:spacing w:line="360" w:lineRule="auto"/>
              <w:rPr>
                <w:rFonts w:cs="宋体"/>
                <w:szCs w:val="24"/>
                <w:highlight w:val="none"/>
              </w:rPr>
            </w:pPr>
          </w:p>
          <w:p w14:paraId="7249A07D">
            <w:pPr>
              <w:pStyle w:val="53"/>
              <w:spacing w:line="360" w:lineRule="auto"/>
              <w:rPr>
                <w:rFonts w:cs="宋体"/>
                <w:szCs w:val="24"/>
                <w:highlight w:val="none"/>
              </w:rPr>
            </w:pPr>
            <w:r>
              <w:rPr>
                <w:rFonts w:hint="eastAsia" w:cs="宋体"/>
                <w:szCs w:val="24"/>
                <w:highlight w:val="none"/>
              </w:rPr>
              <w:t>在中标投标人与采购人签订合同前递交，中标投标人可以支票、汇票、本票或保险公司、担保公司等金融机构出具的电子保函等非现金形式提交，建议优先使用政采云电子保函，具体办理流程详见新疆政府采购网《新疆维吾尔自治区政府采购电子保函工作方案》。投标人以电子保函形式缴纳履约保证金的，应通过“新疆政府采购网”的“电子保函”模块申请购买。</w:t>
            </w:r>
          </w:p>
        </w:tc>
      </w:tr>
      <w:tr w14:paraId="2E13CA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037" w:hRule="atLeast"/>
        </w:trPr>
        <w:tc>
          <w:tcPr>
            <w:tcW w:w="970" w:type="dxa"/>
            <w:vAlign w:val="center"/>
          </w:tcPr>
          <w:p w14:paraId="247703D2">
            <w:pPr>
              <w:pStyle w:val="53"/>
              <w:spacing w:line="360" w:lineRule="auto"/>
              <w:jc w:val="center"/>
              <w:rPr>
                <w:rFonts w:cs="宋体"/>
                <w:szCs w:val="24"/>
                <w:highlight w:val="none"/>
              </w:rPr>
            </w:pPr>
            <w:r>
              <w:rPr>
                <w:rFonts w:hint="eastAsia" w:cs="宋体"/>
                <w:szCs w:val="24"/>
                <w:highlight w:val="none"/>
              </w:rPr>
              <w:t>34.5</w:t>
            </w:r>
          </w:p>
        </w:tc>
        <w:tc>
          <w:tcPr>
            <w:tcW w:w="1583" w:type="dxa"/>
            <w:vAlign w:val="center"/>
          </w:tcPr>
          <w:p w14:paraId="13E3EA36">
            <w:pPr>
              <w:pStyle w:val="53"/>
              <w:spacing w:line="360" w:lineRule="auto"/>
              <w:rPr>
                <w:rFonts w:cs="宋体"/>
                <w:szCs w:val="24"/>
                <w:highlight w:val="none"/>
              </w:rPr>
            </w:pPr>
            <w:r>
              <w:rPr>
                <w:rFonts w:hint="eastAsia" w:cs="宋体"/>
                <w:szCs w:val="24"/>
                <w:highlight w:val="none"/>
              </w:rPr>
              <w:t>中标后分包</w:t>
            </w:r>
          </w:p>
        </w:tc>
        <w:tc>
          <w:tcPr>
            <w:tcW w:w="6855" w:type="dxa"/>
            <w:vAlign w:val="center"/>
          </w:tcPr>
          <w:p w14:paraId="38E28DA2">
            <w:pPr>
              <w:pStyle w:val="53"/>
              <w:spacing w:line="360" w:lineRule="auto"/>
              <w:rPr>
                <w:rFonts w:cs="宋体"/>
                <w:szCs w:val="24"/>
                <w:highlight w:val="none"/>
              </w:rPr>
            </w:pPr>
            <w:r>
              <w:rPr>
                <w:rFonts w:hint="eastAsia" w:cs="宋体"/>
                <w:szCs w:val="24"/>
                <w:highlight w:val="none"/>
              </w:rPr>
              <w:t xml:space="preserve">本项目的非主体、非关键性工作是否允许分包： </w:t>
            </w:r>
          </w:p>
          <w:p w14:paraId="0E473B9C">
            <w:pPr>
              <w:pStyle w:val="53"/>
              <w:spacing w:line="360" w:lineRule="auto"/>
              <w:ind w:firstLine="480" w:firstLineChars="200"/>
              <w:rPr>
                <w:rFonts w:cs="宋体"/>
                <w:szCs w:val="24"/>
                <w:highlight w:val="none"/>
              </w:rPr>
            </w:pPr>
            <w:r>
              <w:rPr>
                <w:rFonts w:hint="eastAsia" w:cs="宋体"/>
                <w:szCs w:val="24"/>
                <w:highlight w:val="none"/>
              </w:rPr>
              <w:t xml:space="preserve">☑不允许 </w:t>
            </w:r>
          </w:p>
          <w:p w14:paraId="63E0D552">
            <w:pPr>
              <w:pStyle w:val="53"/>
              <w:spacing w:line="360" w:lineRule="auto"/>
              <w:ind w:firstLine="480" w:firstLineChars="200"/>
              <w:rPr>
                <w:rFonts w:cs="宋体"/>
                <w:szCs w:val="24"/>
                <w:highlight w:val="none"/>
              </w:rPr>
            </w:pPr>
            <w:r>
              <w:rPr>
                <w:rFonts w:hint="eastAsia" w:cs="宋体"/>
                <w:szCs w:val="24"/>
                <w:highlight w:val="none"/>
              </w:rPr>
              <w:t xml:space="preserve">□允许，具体要求： </w:t>
            </w:r>
          </w:p>
          <w:p w14:paraId="04641696">
            <w:pPr>
              <w:pStyle w:val="53"/>
              <w:spacing w:line="360" w:lineRule="auto"/>
              <w:rPr>
                <w:rFonts w:cs="宋体"/>
                <w:szCs w:val="24"/>
                <w:highlight w:val="none"/>
              </w:rPr>
            </w:pPr>
            <w:r>
              <w:rPr>
                <w:rFonts w:hint="eastAsia" w:cs="宋体"/>
                <w:szCs w:val="24"/>
                <w:highlight w:val="none"/>
              </w:rPr>
              <w:t xml:space="preserve">     1.可以分包履行的具体内容：_</w:t>
            </w:r>
            <w:r>
              <w:rPr>
                <w:rFonts w:hint="eastAsia" w:cs="宋体"/>
                <w:szCs w:val="24"/>
                <w:highlight w:val="none"/>
                <w:u w:val="single"/>
              </w:rPr>
              <w:t>/</w:t>
            </w:r>
            <w:r>
              <w:rPr>
                <w:rFonts w:hint="eastAsia" w:cs="宋体"/>
                <w:szCs w:val="24"/>
                <w:highlight w:val="none"/>
              </w:rPr>
              <w:t xml:space="preserve">__； </w:t>
            </w:r>
          </w:p>
          <w:p w14:paraId="5002DD5E">
            <w:pPr>
              <w:pStyle w:val="53"/>
              <w:spacing w:line="360" w:lineRule="auto"/>
              <w:rPr>
                <w:rFonts w:cs="宋体"/>
                <w:szCs w:val="24"/>
                <w:highlight w:val="none"/>
              </w:rPr>
            </w:pPr>
            <w:r>
              <w:rPr>
                <w:rFonts w:hint="eastAsia" w:cs="宋体"/>
                <w:szCs w:val="24"/>
                <w:highlight w:val="none"/>
              </w:rPr>
              <w:t xml:space="preserve">     2.允许分包的金额或者比例：_</w:t>
            </w:r>
            <w:r>
              <w:rPr>
                <w:rFonts w:hint="eastAsia" w:cs="宋体"/>
                <w:szCs w:val="24"/>
                <w:highlight w:val="none"/>
                <w:u w:val="single"/>
              </w:rPr>
              <w:t>/</w:t>
            </w:r>
            <w:r>
              <w:rPr>
                <w:rFonts w:hint="eastAsia" w:cs="宋体"/>
                <w:szCs w:val="24"/>
                <w:highlight w:val="none"/>
              </w:rPr>
              <w:t xml:space="preserve">__； </w:t>
            </w:r>
          </w:p>
          <w:p w14:paraId="1BD50188">
            <w:pPr>
              <w:pStyle w:val="53"/>
              <w:spacing w:line="360" w:lineRule="auto"/>
              <w:rPr>
                <w:rFonts w:cs="宋体"/>
                <w:szCs w:val="24"/>
                <w:highlight w:val="none"/>
              </w:rPr>
            </w:pPr>
            <w:r>
              <w:rPr>
                <w:rFonts w:hint="eastAsia" w:cs="宋体"/>
                <w:szCs w:val="24"/>
                <w:highlight w:val="none"/>
              </w:rPr>
              <w:t xml:space="preserve">     3.其他要求：_</w:t>
            </w:r>
            <w:r>
              <w:rPr>
                <w:rFonts w:hint="eastAsia" w:cs="宋体"/>
                <w:szCs w:val="24"/>
                <w:highlight w:val="none"/>
                <w:u w:val="single"/>
              </w:rPr>
              <w:t>/</w:t>
            </w:r>
            <w:r>
              <w:rPr>
                <w:rFonts w:hint="eastAsia" w:cs="宋体"/>
                <w:szCs w:val="24"/>
                <w:highlight w:val="none"/>
              </w:rPr>
              <w:t xml:space="preserve">_。 </w:t>
            </w:r>
          </w:p>
        </w:tc>
      </w:tr>
      <w:tr w14:paraId="1768B0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10F1F4B">
            <w:pPr>
              <w:pStyle w:val="53"/>
              <w:spacing w:line="360" w:lineRule="auto"/>
              <w:jc w:val="center"/>
              <w:rPr>
                <w:rFonts w:cs="宋体"/>
                <w:szCs w:val="24"/>
                <w:highlight w:val="none"/>
              </w:rPr>
            </w:pPr>
            <w:r>
              <w:rPr>
                <w:rFonts w:hint="eastAsia" w:cs="宋体"/>
                <w:szCs w:val="24"/>
                <w:highlight w:val="none"/>
              </w:rPr>
              <w:t>35.1</w:t>
            </w:r>
          </w:p>
        </w:tc>
        <w:tc>
          <w:tcPr>
            <w:tcW w:w="1583" w:type="dxa"/>
            <w:vAlign w:val="center"/>
          </w:tcPr>
          <w:p w14:paraId="2B7A6D74">
            <w:pPr>
              <w:pStyle w:val="53"/>
              <w:spacing w:line="360" w:lineRule="auto"/>
              <w:rPr>
                <w:szCs w:val="24"/>
                <w:highlight w:val="none"/>
              </w:rPr>
            </w:pPr>
            <w:r>
              <w:rPr>
                <w:rFonts w:hint="eastAsia"/>
                <w:szCs w:val="24"/>
                <w:highlight w:val="none"/>
              </w:rPr>
              <w:t>质疑</w:t>
            </w:r>
          </w:p>
        </w:tc>
        <w:tc>
          <w:tcPr>
            <w:tcW w:w="6855" w:type="dxa"/>
            <w:vAlign w:val="center"/>
          </w:tcPr>
          <w:p w14:paraId="01ACBEE5">
            <w:pPr>
              <w:pStyle w:val="61"/>
              <w:autoSpaceDE w:val="0"/>
              <w:autoSpaceDN w:val="0"/>
              <w:adjustRightInd w:val="0"/>
              <w:spacing w:line="360" w:lineRule="auto"/>
              <w:jc w:val="left"/>
              <w:rPr>
                <w:rFonts w:ascii="宋体" w:hAnsi="宋体" w:cs="宋体"/>
                <w:sz w:val="24"/>
                <w:highlight w:val="none"/>
                <w:lang w:val="zh-CN"/>
              </w:rPr>
            </w:pPr>
            <w:r>
              <w:rPr>
                <w:rFonts w:hint="eastAsia" w:ascii="宋体" w:hAnsi="宋体" w:cs="宋体"/>
                <w:sz w:val="24"/>
                <w:highlight w:val="none"/>
                <w:lang w:val="zh-CN"/>
              </w:rPr>
              <w:t>递交方式：</w:t>
            </w:r>
            <w:r>
              <w:rPr>
                <w:rFonts w:hint="eastAsia" w:ascii="宋体" w:hAnsi="宋体" w:cs="宋体"/>
                <w:sz w:val="24"/>
                <w:highlight w:val="none"/>
              </w:rPr>
              <w:t>纸质版盖章质疑函原件递交至采购代理公司</w:t>
            </w:r>
            <w:r>
              <w:rPr>
                <w:rFonts w:hint="eastAsia" w:ascii="宋体" w:hAnsi="宋体" w:cs="宋体"/>
                <w:sz w:val="24"/>
                <w:highlight w:val="none"/>
                <w:lang w:val="zh-CN"/>
              </w:rPr>
              <w:t xml:space="preserve">              </w:t>
            </w:r>
          </w:p>
          <w:p w14:paraId="6D8993A3">
            <w:pPr>
              <w:pStyle w:val="61"/>
              <w:autoSpaceDE w:val="0"/>
              <w:autoSpaceDN w:val="0"/>
              <w:adjustRightInd w:val="0"/>
              <w:spacing w:line="360" w:lineRule="auto"/>
              <w:jc w:val="left"/>
              <w:rPr>
                <w:rFonts w:ascii="宋体" w:hAnsi="宋体" w:cs="宋体"/>
                <w:sz w:val="24"/>
                <w:highlight w:val="none"/>
                <w:lang w:val="zh-CN"/>
              </w:rPr>
            </w:pPr>
            <w:r>
              <w:rPr>
                <w:rFonts w:hint="eastAsia" w:ascii="宋体" w:hAnsi="宋体" w:cs="宋体"/>
                <w:sz w:val="24"/>
                <w:highlight w:val="none"/>
                <w:lang w:val="zh-CN"/>
              </w:rPr>
              <w:t>接收部门：</w:t>
            </w:r>
            <w:r>
              <w:rPr>
                <w:rFonts w:hint="eastAsia" w:ascii="宋体" w:hAnsi="宋体" w:cs="宋体"/>
                <w:sz w:val="24"/>
                <w:highlight w:val="none"/>
                <w:lang w:eastAsia="zh-CN"/>
              </w:rPr>
              <w:t>华诚博远工程咨询有限公司</w:t>
            </w:r>
          </w:p>
          <w:p w14:paraId="5CADA3DA">
            <w:pPr>
              <w:pStyle w:val="61"/>
              <w:autoSpaceDE w:val="0"/>
              <w:autoSpaceDN w:val="0"/>
              <w:adjustRightInd w:val="0"/>
              <w:spacing w:line="360" w:lineRule="auto"/>
              <w:jc w:val="left"/>
              <w:rPr>
                <w:rFonts w:hint="default" w:ascii="宋体" w:hAnsi="宋体" w:eastAsia="宋体" w:cs="宋体"/>
                <w:sz w:val="24"/>
                <w:highlight w:val="none"/>
                <w:lang w:val="en-US" w:eastAsia="zh-CN"/>
              </w:rPr>
            </w:pPr>
            <w:r>
              <w:rPr>
                <w:rFonts w:hint="eastAsia" w:ascii="宋体" w:hAnsi="宋体" w:cs="宋体"/>
                <w:sz w:val="24"/>
                <w:highlight w:val="none"/>
                <w:lang w:val="zh-CN"/>
              </w:rPr>
              <w:t>联系电话：</w:t>
            </w:r>
            <w:r>
              <w:rPr>
                <w:rFonts w:hint="eastAsia" w:ascii="宋体" w:hAnsi="宋体" w:cs="宋体"/>
                <w:sz w:val="24"/>
                <w:highlight w:val="none"/>
                <w:lang w:val="en-US" w:eastAsia="zh-CN"/>
              </w:rPr>
              <w:t>13150328552</w:t>
            </w:r>
          </w:p>
          <w:p w14:paraId="5A72DF0C">
            <w:pPr>
              <w:pStyle w:val="61"/>
              <w:autoSpaceDE w:val="0"/>
              <w:autoSpaceDN w:val="0"/>
              <w:adjustRightInd w:val="0"/>
              <w:spacing w:line="360" w:lineRule="auto"/>
              <w:jc w:val="left"/>
              <w:rPr>
                <w:rFonts w:hint="eastAsia" w:ascii="宋体" w:hAnsi="宋体" w:eastAsia="宋体" w:cs="宋体"/>
                <w:kern w:val="0"/>
                <w:sz w:val="24"/>
                <w:highlight w:val="none"/>
                <w:lang w:eastAsia="zh-CN"/>
              </w:rPr>
            </w:pPr>
            <w:r>
              <w:rPr>
                <w:rFonts w:hint="eastAsia" w:ascii="宋体" w:hAnsi="宋体" w:cs="宋体"/>
                <w:sz w:val="24"/>
                <w:highlight w:val="none"/>
                <w:lang w:val="zh-CN"/>
              </w:rPr>
              <w:t>通讯地址：</w:t>
            </w:r>
            <w:r>
              <w:rPr>
                <w:rFonts w:hint="eastAsia" w:ascii="宋体" w:hAnsi="宋体" w:cs="宋体"/>
                <w:sz w:val="24"/>
                <w:highlight w:val="none"/>
                <w:lang w:val="zh-CN" w:eastAsia="zh-CN"/>
              </w:rPr>
              <w:t>乌鲁木齐市新市区鲤鱼山北路298号领世广场1404室</w:t>
            </w:r>
          </w:p>
          <w:p w14:paraId="15A788A4">
            <w:pPr>
              <w:pStyle w:val="61"/>
              <w:autoSpaceDE w:val="0"/>
              <w:autoSpaceDN w:val="0"/>
              <w:adjustRightInd w:val="0"/>
              <w:spacing w:line="360" w:lineRule="auto"/>
              <w:jc w:val="left"/>
              <w:rPr>
                <w:rFonts w:ascii="宋体" w:hAnsi="宋体" w:cs="宋体"/>
                <w:sz w:val="24"/>
                <w:highlight w:val="none"/>
                <w:lang w:val="zh-CN"/>
              </w:rPr>
            </w:pPr>
            <w:r>
              <w:rPr>
                <w:rFonts w:hint="eastAsia" w:ascii="宋体" w:hAnsi="宋体" w:cs="宋体"/>
                <w:sz w:val="24"/>
                <w:highlight w:val="none"/>
                <w:lang w:val="zh-CN"/>
              </w:rPr>
              <w:t>供应商提出质疑时，应提交质疑函和必要的证明材料，供应商在法定质疑期内应一次性提出针对同一采购程序环节的质疑。</w:t>
            </w:r>
          </w:p>
        </w:tc>
      </w:tr>
      <w:tr w14:paraId="3D7347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04" w:hRule="atLeast"/>
        </w:trPr>
        <w:tc>
          <w:tcPr>
            <w:tcW w:w="970" w:type="dxa"/>
            <w:vAlign w:val="center"/>
          </w:tcPr>
          <w:p w14:paraId="5AFC3883">
            <w:pPr>
              <w:pStyle w:val="53"/>
              <w:spacing w:line="360" w:lineRule="auto"/>
              <w:jc w:val="center"/>
              <w:rPr>
                <w:rFonts w:cs="宋体"/>
                <w:szCs w:val="24"/>
                <w:highlight w:val="none"/>
              </w:rPr>
            </w:pPr>
            <w:r>
              <w:rPr>
                <w:rFonts w:hint="eastAsia" w:cs="宋体"/>
                <w:szCs w:val="24"/>
                <w:highlight w:val="none"/>
              </w:rPr>
              <w:t>38.1</w:t>
            </w:r>
          </w:p>
        </w:tc>
        <w:tc>
          <w:tcPr>
            <w:tcW w:w="1583" w:type="dxa"/>
            <w:vAlign w:val="center"/>
          </w:tcPr>
          <w:p w14:paraId="784226FD">
            <w:pPr>
              <w:pStyle w:val="53"/>
              <w:spacing w:line="360" w:lineRule="auto"/>
              <w:rPr>
                <w:szCs w:val="24"/>
                <w:highlight w:val="none"/>
              </w:rPr>
            </w:pPr>
            <w:r>
              <w:rPr>
                <w:rFonts w:hint="eastAsia"/>
                <w:szCs w:val="24"/>
                <w:highlight w:val="none"/>
              </w:rPr>
              <w:t>采购代理服务费</w:t>
            </w:r>
          </w:p>
        </w:tc>
        <w:tc>
          <w:tcPr>
            <w:tcW w:w="6855" w:type="dxa"/>
            <w:vAlign w:val="center"/>
          </w:tcPr>
          <w:p w14:paraId="31D17168">
            <w:pPr>
              <w:spacing w:line="360" w:lineRule="auto"/>
              <w:rPr>
                <w:szCs w:val="24"/>
                <w:highlight w:val="none"/>
              </w:rPr>
            </w:pPr>
            <w:r>
              <w:rPr>
                <w:rFonts w:hint="eastAsia"/>
                <w:szCs w:val="24"/>
                <w:highlight w:val="none"/>
              </w:rPr>
              <w:t>一、代理服务费</w:t>
            </w:r>
          </w:p>
          <w:p w14:paraId="395EAA93">
            <w:pPr>
              <w:spacing w:line="360" w:lineRule="auto"/>
              <w:rPr>
                <w:szCs w:val="24"/>
                <w:highlight w:val="none"/>
              </w:rPr>
            </w:pPr>
            <w:r>
              <w:rPr>
                <w:rFonts w:hint="eastAsia"/>
                <w:szCs w:val="24"/>
                <w:highlight w:val="none"/>
              </w:rPr>
              <w:t>1、本项目招标代理服务费</w:t>
            </w:r>
            <w:r>
              <w:rPr>
                <w:rFonts w:hint="eastAsia"/>
                <w:szCs w:val="24"/>
                <w:highlight w:val="none"/>
                <w:lang w:val="en-US" w:eastAsia="zh-CN"/>
              </w:rPr>
              <w:t>参照</w:t>
            </w:r>
            <w:r>
              <w:rPr>
                <w:rFonts w:hint="eastAsia"/>
                <w:szCs w:val="24"/>
                <w:highlight w:val="none"/>
              </w:rPr>
              <w:t>《招标代理服务收费管理暂行办法》计价格[2002]1980号文件（发改办价格[2003]857号文件）及财库[2018]2号文件计算的招标代理服务费下浮50%由中标人向招标代理支付。</w:t>
            </w:r>
          </w:p>
          <w:p w14:paraId="00984766">
            <w:pPr>
              <w:spacing w:line="360" w:lineRule="auto"/>
              <w:rPr>
                <w:szCs w:val="24"/>
                <w:highlight w:val="none"/>
              </w:rPr>
            </w:pPr>
            <w:r>
              <w:rPr>
                <w:rFonts w:hint="eastAsia"/>
                <w:szCs w:val="24"/>
                <w:highlight w:val="none"/>
              </w:rPr>
              <w:t>2、招标代理服务费按照</w:t>
            </w:r>
            <w:r>
              <w:rPr>
                <w:rFonts w:hint="eastAsia"/>
                <w:szCs w:val="24"/>
                <w:highlight w:val="none"/>
                <w:lang w:eastAsia="zh-CN"/>
              </w:rPr>
              <w:t>项目预算金额</w:t>
            </w:r>
            <w:r>
              <w:rPr>
                <w:rFonts w:hint="eastAsia"/>
                <w:szCs w:val="24"/>
                <w:highlight w:val="none"/>
              </w:rPr>
              <w:t>为基数计取，中标人不再支付其他任何费用和款项。</w:t>
            </w:r>
          </w:p>
          <w:p w14:paraId="67C4CA8F">
            <w:pPr>
              <w:spacing w:line="360" w:lineRule="auto"/>
              <w:rPr>
                <w:szCs w:val="24"/>
                <w:highlight w:val="none"/>
              </w:rPr>
            </w:pPr>
            <w:r>
              <w:rPr>
                <w:rFonts w:hint="eastAsia"/>
                <w:szCs w:val="24"/>
                <w:highlight w:val="none"/>
              </w:rPr>
              <w:t>3、具体费用详见本项目中标结果公告中第六条“代理服务收费标准及金额”</w:t>
            </w:r>
          </w:p>
          <w:p w14:paraId="274E5F57">
            <w:pPr>
              <w:spacing w:line="360" w:lineRule="auto"/>
              <w:rPr>
                <w:szCs w:val="24"/>
                <w:highlight w:val="none"/>
              </w:rPr>
            </w:pPr>
            <w:r>
              <w:rPr>
                <w:rFonts w:hint="eastAsia"/>
                <w:szCs w:val="24"/>
                <w:highlight w:val="none"/>
              </w:rPr>
              <w:t>二、付款方式</w:t>
            </w:r>
          </w:p>
          <w:p w14:paraId="31D5416E">
            <w:pPr>
              <w:spacing w:line="360" w:lineRule="auto"/>
              <w:rPr>
                <w:szCs w:val="24"/>
                <w:highlight w:val="none"/>
              </w:rPr>
            </w:pPr>
            <w:r>
              <w:rPr>
                <w:rFonts w:hint="eastAsia"/>
                <w:szCs w:val="24"/>
                <w:highlight w:val="none"/>
              </w:rPr>
              <w:t>1、根据国家发改委《关于招标代理服务费有关问题的通知》（发改办[2003]857号文件）第二条，将计价格[2002]1980号第十条中“招标代理服务实行谁委托谁付费”，修改为“招标代理服务费就由招标人支付”，招标人、招标代理机构与投标人另有约定的，根据财库[2018]2号文件从其约定的要求，经各方一致同意，招标代理服务费由中标人向招标代理支付，采购人不承担付款义务。</w:t>
            </w:r>
          </w:p>
          <w:p w14:paraId="5571CBCB">
            <w:pPr>
              <w:spacing w:line="360" w:lineRule="auto"/>
              <w:rPr>
                <w:szCs w:val="24"/>
                <w:highlight w:val="none"/>
              </w:rPr>
            </w:pPr>
            <w:r>
              <w:rPr>
                <w:rFonts w:hint="eastAsia"/>
                <w:szCs w:val="24"/>
                <w:highlight w:val="none"/>
              </w:rPr>
              <w:t>2、中标人于中标公示发布后7个工作日内一次性向招标代理公司支付代理服务费。</w:t>
            </w:r>
          </w:p>
          <w:p w14:paraId="6AFC97FB">
            <w:pPr>
              <w:spacing w:line="360" w:lineRule="auto"/>
              <w:rPr>
                <w:szCs w:val="24"/>
                <w:highlight w:val="none"/>
              </w:rPr>
            </w:pPr>
            <w:r>
              <w:rPr>
                <w:rFonts w:hint="eastAsia"/>
                <w:szCs w:val="24"/>
                <w:highlight w:val="none"/>
              </w:rPr>
              <w:t>三、责任认定</w:t>
            </w:r>
          </w:p>
          <w:p w14:paraId="765C60F1">
            <w:pPr>
              <w:spacing w:line="360" w:lineRule="auto"/>
              <w:rPr>
                <w:szCs w:val="24"/>
                <w:highlight w:val="none"/>
              </w:rPr>
            </w:pPr>
            <w:r>
              <w:rPr>
                <w:rFonts w:hint="eastAsia"/>
                <w:szCs w:val="24"/>
                <w:highlight w:val="none"/>
              </w:rPr>
              <w:t>1、中标人应如实向招标代理公司履行付款义务，中标人的付款金额以前款约定的协议金额为限；因中标人不能向招标代理公司按时付款所发生的一切法律纠纷均与采购人无关，如因此导致采购人承担责任或造成损失，采购人有权向其全额追偿。</w:t>
            </w:r>
          </w:p>
          <w:p w14:paraId="3891894F">
            <w:pPr>
              <w:spacing w:line="360" w:lineRule="auto"/>
              <w:rPr>
                <w:szCs w:val="24"/>
                <w:highlight w:val="none"/>
              </w:rPr>
            </w:pPr>
            <w:r>
              <w:rPr>
                <w:rFonts w:hint="eastAsia"/>
                <w:szCs w:val="24"/>
                <w:highlight w:val="none"/>
              </w:rPr>
              <w:t>2、协议履行过程中，招标代理公司不得以中标人未支付本协议约定的招标代理费用为由，拒绝向中标人发放中标通知书，在协议履行期间因此产生的法律纠纷及争议均由招标代理公司与中标人自行解决，与采购人无关。</w:t>
            </w:r>
          </w:p>
        </w:tc>
      </w:tr>
      <w:tr w14:paraId="41B7E1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27" w:hRule="atLeast"/>
        </w:trPr>
        <w:tc>
          <w:tcPr>
            <w:tcW w:w="970" w:type="dxa"/>
            <w:vAlign w:val="center"/>
          </w:tcPr>
          <w:p w14:paraId="7245951E">
            <w:pPr>
              <w:pStyle w:val="53"/>
              <w:spacing w:line="360" w:lineRule="auto"/>
              <w:jc w:val="center"/>
              <w:rPr>
                <w:rFonts w:cs="宋体"/>
                <w:szCs w:val="24"/>
                <w:highlight w:val="none"/>
              </w:rPr>
            </w:pPr>
            <w:r>
              <w:rPr>
                <w:rFonts w:hint="eastAsia" w:cs="宋体"/>
                <w:szCs w:val="24"/>
                <w:highlight w:val="none"/>
              </w:rPr>
              <w:t>41.1</w:t>
            </w:r>
          </w:p>
        </w:tc>
        <w:tc>
          <w:tcPr>
            <w:tcW w:w="1583" w:type="dxa"/>
            <w:vAlign w:val="center"/>
          </w:tcPr>
          <w:p w14:paraId="3A75A0CC">
            <w:pPr>
              <w:pStyle w:val="53"/>
              <w:spacing w:line="360" w:lineRule="auto"/>
              <w:jc w:val="center"/>
              <w:rPr>
                <w:rFonts w:cs="宋体"/>
                <w:szCs w:val="24"/>
                <w:highlight w:val="none"/>
              </w:rPr>
            </w:pPr>
            <w:r>
              <w:rPr>
                <w:rFonts w:hint="eastAsia" w:cs="宋体"/>
                <w:szCs w:val="24"/>
                <w:highlight w:val="none"/>
              </w:rPr>
              <w:t>支持本国产品政策</w:t>
            </w:r>
          </w:p>
        </w:tc>
        <w:tc>
          <w:tcPr>
            <w:tcW w:w="6855" w:type="dxa"/>
            <w:vAlign w:val="center"/>
          </w:tcPr>
          <w:p w14:paraId="58B44E04">
            <w:pPr>
              <w:widowControl w:val="0"/>
              <w:spacing w:line="360" w:lineRule="auto"/>
              <w:jc w:val="both"/>
              <w:rPr>
                <w:rFonts w:ascii="Calibri" w:hAnsi="Calibri" w:cs="Times New Roman"/>
                <w:szCs w:val="24"/>
                <w:highlight w:val="none"/>
              </w:rPr>
            </w:pPr>
            <w:r>
              <w:rPr>
                <w:rFonts w:hint="eastAsia" w:ascii="Calibri" w:hAnsi="Calibri" w:cs="Times New Roman"/>
                <w:szCs w:val="24"/>
                <w:highlight w:val="none"/>
              </w:rPr>
              <w:t>1</w:t>
            </w:r>
            <w:r>
              <w:rPr>
                <w:rFonts w:ascii="Calibri" w:hAnsi="Calibri" w:cs="Times New Roman"/>
                <w:szCs w:val="24"/>
                <w:highlight w:val="none"/>
              </w:rPr>
              <w:t>.</w:t>
            </w:r>
            <w:r>
              <w:rPr>
                <w:rFonts w:hint="eastAsia" w:ascii="Calibri" w:hAnsi="Calibri" w:cs="Times New Roman"/>
                <w:szCs w:val="24"/>
                <w:highlight w:val="none"/>
              </w:rPr>
              <w:t>支持本国产品：</w:t>
            </w:r>
          </w:p>
          <w:p w14:paraId="3B402E3E">
            <w:pPr>
              <w:widowControl w:val="0"/>
              <w:spacing w:line="360" w:lineRule="auto"/>
              <w:jc w:val="both"/>
              <w:rPr>
                <w:rFonts w:ascii="Calibri" w:hAnsi="Calibri" w:cs="Times New Roman"/>
                <w:szCs w:val="24"/>
                <w:highlight w:val="none"/>
              </w:rPr>
            </w:pPr>
            <w:r>
              <w:rPr>
                <w:rFonts w:hint="eastAsia" w:cs="宋体"/>
                <w:szCs w:val="24"/>
                <w:highlight w:val="none"/>
              </w:rPr>
              <w:sym w:font="Wingdings" w:char="00FE"/>
            </w:r>
            <w:r>
              <w:rPr>
                <w:rFonts w:hint="eastAsia" w:ascii="Calibri" w:hAnsi="Calibri" w:cs="Times New Roman"/>
                <w:szCs w:val="24"/>
                <w:highlight w:val="none"/>
              </w:rPr>
              <w:t>适用，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3EC4F5E">
            <w:pPr>
              <w:widowControl w:val="0"/>
              <w:spacing w:line="360" w:lineRule="auto"/>
              <w:jc w:val="both"/>
              <w:rPr>
                <w:rFonts w:ascii="Calibri" w:hAnsi="Calibri" w:cs="Times New Roman"/>
                <w:szCs w:val="24"/>
                <w:highlight w:val="none"/>
              </w:rPr>
            </w:pPr>
            <w:r>
              <w:rPr>
                <w:rFonts w:hint="eastAsia" w:ascii="Calibri" w:hAnsi="Calibri" w:cs="Times New Roman"/>
                <w:szCs w:val="24"/>
                <w:highlight w:val="none"/>
              </w:rPr>
              <w:t>□不适用</w:t>
            </w:r>
          </w:p>
          <w:p w14:paraId="6DCC2C92">
            <w:pPr>
              <w:widowControl w:val="0"/>
              <w:spacing w:line="360" w:lineRule="auto"/>
              <w:jc w:val="both"/>
              <w:rPr>
                <w:highlight w:val="none"/>
              </w:rPr>
            </w:pPr>
            <w:r>
              <w:rPr>
                <w:rFonts w:hint="eastAsia" w:ascii="Calibri" w:hAnsi="Calibri" w:cs="Times New Roman"/>
                <w:szCs w:val="24"/>
                <w:highlight w:val="none"/>
              </w:rPr>
              <w:t>2</w:t>
            </w:r>
            <w:r>
              <w:rPr>
                <w:rFonts w:ascii="Calibri" w:hAnsi="Calibri" w:cs="Times New Roman"/>
                <w:szCs w:val="24"/>
                <w:highlight w:val="none"/>
              </w:rPr>
              <w:t>.</w:t>
            </w:r>
            <w:r>
              <w:rPr>
                <w:rFonts w:hint="eastAsia"/>
                <w:highlight w:val="none"/>
              </w:rPr>
              <w:t xml:space="preserve"> 政策使用情形：</w:t>
            </w:r>
          </w:p>
          <w:p w14:paraId="1951E0A1">
            <w:pPr>
              <w:widowControl w:val="0"/>
              <w:spacing w:line="360" w:lineRule="auto"/>
              <w:jc w:val="both"/>
              <w:rPr>
                <w:szCs w:val="24"/>
                <w:highlight w:val="none"/>
              </w:rPr>
            </w:pPr>
            <w:r>
              <w:rPr>
                <w:rFonts w:hint="eastAsia" w:ascii="Calibri" w:hAnsi="Calibri" w:cs="Times New Roman"/>
                <w:szCs w:val="24"/>
                <w:highlight w:val="none"/>
              </w:rPr>
              <w:t>根据国务院办公厅关于在政府采购中实施本国产品标准及相关政策的通知（国办发〔</w:t>
            </w:r>
            <w:r>
              <w:rPr>
                <w:rFonts w:ascii="Calibri" w:hAnsi="Calibri" w:cs="Times New Roman"/>
                <w:szCs w:val="24"/>
                <w:highlight w:val="none"/>
              </w:rPr>
              <w:t>2025〕34号）要求，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w:t>
            </w:r>
            <w:r>
              <w:rPr>
                <w:rFonts w:hint="eastAsia" w:ascii="Calibri" w:hAnsi="Calibri" w:cs="Times New Roman"/>
                <w:szCs w:val="24"/>
                <w:highlight w:val="none"/>
              </w:rPr>
              <w:t>价格参与评审。供应商对其提供的产品出具《关于符合本国产品标准的声明函》（格式详见第七章</w:t>
            </w:r>
            <w:r>
              <w:rPr>
                <w:rFonts w:ascii="Calibri" w:hAnsi="Calibri" w:cs="Times New Roman"/>
                <w:szCs w:val="24"/>
                <w:highlight w:val="none"/>
              </w:rPr>
              <w:t xml:space="preserve"> 投标文件格式）或财政部会同有关部门规定的有关证明文件，《声明函》或有关证明文件符合要求的，该产品视为本国产品。</w:t>
            </w:r>
          </w:p>
        </w:tc>
      </w:tr>
      <w:tr w14:paraId="1A8144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42" w:hRule="atLeast"/>
        </w:trPr>
        <w:tc>
          <w:tcPr>
            <w:tcW w:w="970" w:type="dxa"/>
            <w:vAlign w:val="center"/>
          </w:tcPr>
          <w:p w14:paraId="3C7EFBE8">
            <w:pPr>
              <w:pStyle w:val="53"/>
              <w:spacing w:line="360" w:lineRule="auto"/>
              <w:jc w:val="center"/>
              <w:rPr>
                <w:rFonts w:cs="宋体"/>
                <w:szCs w:val="24"/>
                <w:highlight w:val="none"/>
              </w:rPr>
            </w:pPr>
            <w:r>
              <w:rPr>
                <w:rFonts w:hint="eastAsia" w:cs="宋体"/>
                <w:szCs w:val="24"/>
                <w:highlight w:val="none"/>
              </w:rPr>
              <w:t>41.2</w:t>
            </w:r>
          </w:p>
        </w:tc>
        <w:tc>
          <w:tcPr>
            <w:tcW w:w="1583" w:type="dxa"/>
            <w:vAlign w:val="center"/>
          </w:tcPr>
          <w:p w14:paraId="51D05088">
            <w:pPr>
              <w:pStyle w:val="53"/>
              <w:spacing w:line="360" w:lineRule="auto"/>
              <w:rPr>
                <w:rFonts w:cs="宋体"/>
                <w:szCs w:val="24"/>
                <w:highlight w:val="none"/>
              </w:rPr>
            </w:pPr>
            <w:r>
              <w:rPr>
                <w:rFonts w:hint="eastAsia" w:cs="宋体"/>
                <w:szCs w:val="24"/>
                <w:highlight w:val="none"/>
                <w:lang w:val="zh-CN"/>
              </w:rPr>
              <w:t>是否接受进口产品</w:t>
            </w:r>
          </w:p>
        </w:tc>
        <w:tc>
          <w:tcPr>
            <w:tcW w:w="6855" w:type="dxa"/>
            <w:vAlign w:val="center"/>
          </w:tcPr>
          <w:p w14:paraId="5F8786E8">
            <w:pPr>
              <w:pStyle w:val="53"/>
              <w:spacing w:line="360" w:lineRule="auto"/>
              <w:rPr>
                <w:rFonts w:cs="宋体"/>
                <w:szCs w:val="24"/>
                <w:highlight w:val="none"/>
              </w:rPr>
            </w:pPr>
            <w:r>
              <w:rPr>
                <w:rFonts w:hint="eastAsia" w:cs="宋体"/>
                <w:szCs w:val="24"/>
                <w:highlight w:val="none"/>
              </w:rPr>
              <w:sym w:font="Wingdings" w:char="00FE"/>
            </w:r>
            <w:r>
              <w:rPr>
                <w:rFonts w:hint="eastAsia" w:cs="宋体"/>
                <w:szCs w:val="24"/>
                <w:highlight w:val="none"/>
              </w:rPr>
              <w:t>不接受</w:t>
            </w:r>
          </w:p>
          <w:p w14:paraId="4FF8F163">
            <w:pPr>
              <w:pStyle w:val="53"/>
              <w:spacing w:line="360" w:lineRule="auto"/>
              <w:rPr>
                <w:rFonts w:cs="宋体"/>
                <w:szCs w:val="24"/>
                <w:highlight w:val="none"/>
              </w:rPr>
            </w:pPr>
            <w:r>
              <w:rPr>
                <w:rFonts w:hint="eastAsia" w:cs="宋体"/>
                <w:szCs w:val="24"/>
                <w:highlight w:val="none"/>
              </w:rPr>
              <w:sym w:font="Wingdings" w:char="00A8"/>
            </w:r>
            <w:r>
              <w:rPr>
                <w:rFonts w:hint="eastAsia" w:cs="宋体"/>
                <w:szCs w:val="24"/>
                <w:highlight w:val="none"/>
                <w:lang w:val="zh-CN"/>
              </w:rPr>
              <w:t>接受</w:t>
            </w:r>
          </w:p>
        </w:tc>
      </w:tr>
      <w:tr w14:paraId="5C4CE4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29" w:hRule="atLeast"/>
        </w:trPr>
        <w:tc>
          <w:tcPr>
            <w:tcW w:w="970" w:type="dxa"/>
            <w:shd w:val="clear" w:color="auto" w:fill="auto"/>
            <w:vAlign w:val="center"/>
          </w:tcPr>
          <w:p w14:paraId="15B3EF66">
            <w:pPr>
              <w:pStyle w:val="53"/>
              <w:spacing w:line="360" w:lineRule="auto"/>
              <w:jc w:val="center"/>
              <w:rPr>
                <w:rFonts w:cs="宋体"/>
                <w:szCs w:val="24"/>
                <w:highlight w:val="none"/>
              </w:rPr>
            </w:pPr>
            <w:r>
              <w:rPr>
                <w:rFonts w:hint="eastAsia" w:cs="宋体"/>
                <w:szCs w:val="24"/>
                <w:highlight w:val="none"/>
              </w:rPr>
              <w:t>42</w:t>
            </w:r>
          </w:p>
        </w:tc>
        <w:tc>
          <w:tcPr>
            <w:tcW w:w="1583" w:type="dxa"/>
            <w:shd w:val="clear" w:color="auto" w:fill="auto"/>
            <w:vAlign w:val="center"/>
          </w:tcPr>
          <w:p w14:paraId="00DC7B3D">
            <w:pPr>
              <w:pStyle w:val="53"/>
              <w:spacing w:line="360" w:lineRule="auto"/>
              <w:rPr>
                <w:szCs w:val="24"/>
                <w:highlight w:val="none"/>
              </w:rPr>
            </w:pPr>
            <w:r>
              <w:rPr>
                <w:rFonts w:hint="eastAsia"/>
                <w:szCs w:val="24"/>
                <w:highlight w:val="none"/>
              </w:rPr>
              <w:t>支持中小企业政策</w:t>
            </w:r>
            <w:r>
              <w:rPr>
                <w:rStyle w:val="36"/>
                <w:rFonts w:hint="eastAsia" w:cs="宋体"/>
                <w:szCs w:val="24"/>
                <w:highlight w:val="none"/>
              </w:rPr>
              <w:t>（非专门面向中小企业采购项目适用）</w:t>
            </w:r>
          </w:p>
        </w:tc>
        <w:tc>
          <w:tcPr>
            <w:tcW w:w="6855" w:type="dxa"/>
            <w:shd w:val="clear" w:color="auto" w:fill="auto"/>
            <w:vAlign w:val="center"/>
          </w:tcPr>
          <w:p w14:paraId="1CC235FA">
            <w:pPr>
              <w:pStyle w:val="74"/>
              <w:spacing w:before="0" w:beforeAutospacing="0" w:after="0" w:afterAutospacing="0" w:line="360" w:lineRule="auto"/>
              <w:jc w:val="left"/>
              <w:rPr>
                <w:b w:val="0"/>
                <w:color w:val="auto"/>
                <w:sz w:val="24"/>
                <w:szCs w:val="24"/>
                <w:highlight w:val="none"/>
              </w:rPr>
            </w:pPr>
            <w:r>
              <w:rPr>
                <w:rFonts w:hint="eastAsia"/>
                <w:b w:val="0"/>
                <w:color w:val="auto"/>
                <w:sz w:val="24"/>
                <w:szCs w:val="24"/>
                <w:highlight w:val="none"/>
              </w:rPr>
              <w:t>1.小型和微型企业价格扣除：</w:t>
            </w:r>
            <w:r>
              <w:rPr>
                <w:rFonts w:hint="eastAsia"/>
                <w:b w:val="0"/>
                <w:color w:val="auto"/>
                <w:sz w:val="24"/>
                <w:szCs w:val="24"/>
                <w:highlight w:val="none"/>
                <w:u w:val="single"/>
              </w:rPr>
              <w:t xml:space="preserve">  </w:t>
            </w:r>
            <w:r>
              <w:rPr>
                <w:rFonts w:hint="eastAsia"/>
                <w:b w:val="0"/>
                <w:color w:val="auto"/>
                <w:sz w:val="24"/>
                <w:szCs w:val="24"/>
                <w:highlight w:val="none"/>
                <w:u w:val="single"/>
                <w:lang w:val="en-US" w:eastAsia="zh-CN"/>
              </w:rPr>
              <w:t>10%</w:t>
            </w:r>
            <w:r>
              <w:rPr>
                <w:rFonts w:hint="eastAsia"/>
                <w:b w:val="0"/>
                <w:color w:val="auto"/>
                <w:sz w:val="24"/>
                <w:szCs w:val="24"/>
                <w:highlight w:val="none"/>
                <w:u w:val="single"/>
              </w:rPr>
              <w:t xml:space="preserve">   </w:t>
            </w:r>
            <w:r>
              <w:rPr>
                <w:rFonts w:hint="eastAsia"/>
                <w:b w:val="0"/>
                <w:color w:val="auto"/>
                <w:sz w:val="24"/>
                <w:szCs w:val="24"/>
                <w:highlight w:val="none"/>
              </w:rPr>
              <w:t>。</w:t>
            </w:r>
          </w:p>
          <w:p w14:paraId="39974B9B">
            <w:pPr>
              <w:pStyle w:val="74"/>
              <w:spacing w:before="0" w:beforeAutospacing="0" w:after="0" w:afterAutospacing="0" w:line="360" w:lineRule="auto"/>
              <w:jc w:val="left"/>
              <w:rPr>
                <w:b w:val="0"/>
                <w:color w:val="auto"/>
                <w:sz w:val="24"/>
                <w:szCs w:val="24"/>
                <w:highlight w:val="none"/>
              </w:rPr>
            </w:pPr>
            <w:r>
              <w:rPr>
                <w:rFonts w:hint="eastAsia"/>
                <w:b w:val="0"/>
                <w:color w:val="auto"/>
                <w:sz w:val="24"/>
                <w:szCs w:val="24"/>
                <w:highlight w:val="none"/>
              </w:rPr>
              <w:t>2.监狱企业价格扣除：同小型和微型企业。</w:t>
            </w:r>
          </w:p>
          <w:p w14:paraId="3A23FADA">
            <w:pPr>
              <w:pStyle w:val="74"/>
              <w:spacing w:before="0" w:beforeAutospacing="0" w:after="0" w:afterAutospacing="0" w:line="360" w:lineRule="auto"/>
              <w:jc w:val="left"/>
              <w:rPr>
                <w:b w:val="0"/>
                <w:color w:val="auto"/>
                <w:sz w:val="24"/>
                <w:szCs w:val="24"/>
                <w:highlight w:val="none"/>
              </w:rPr>
            </w:pPr>
            <w:r>
              <w:rPr>
                <w:rFonts w:hint="eastAsia"/>
                <w:b w:val="0"/>
                <w:color w:val="auto"/>
                <w:sz w:val="24"/>
                <w:szCs w:val="24"/>
                <w:highlight w:val="none"/>
              </w:rPr>
              <w:t>3.残疾人福利性单位价格扣除：同小型和微型企业。</w:t>
            </w:r>
          </w:p>
          <w:p w14:paraId="7762BB1D">
            <w:pPr>
              <w:pStyle w:val="74"/>
              <w:spacing w:before="0" w:beforeAutospacing="0" w:after="0" w:afterAutospacing="0" w:line="360" w:lineRule="auto"/>
              <w:jc w:val="left"/>
              <w:rPr>
                <w:b w:val="0"/>
                <w:color w:val="auto"/>
                <w:sz w:val="24"/>
                <w:szCs w:val="24"/>
                <w:highlight w:val="none"/>
              </w:rPr>
            </w:pPr>
            <w:r>
              <w:rPr>
                <w:rFonts w:hint="eastAsia"/>
                <w:b w:val="0"/>
                <w:color w:val="auto"/>
                <w:sz w:val="24"/>
                <w:szCs w:val="24"/>
                <w:highlight w:val="none"/>
              </w:rPr>
              <w:t>4.符合条件的联合体价格扣除：</w:t>
            </w:r>
            <w:r>
              <w:rPr>
                <w:rFonts w:hint="eastAsia"/>
                <w:b w:val="0"/>
                <w:color w:val="auto"/>
                <w:sz w:val="24"/>
                <w:szCs w:val="24"/>
                <w:highlight w:val="none"/>
                <w:u w:val="single"/>
              </w:rPr>
              <w:t xml:space="preserve">  /  </w:t>
            </w:r>
            <w:r>
              <w:rPr>
                <w:rFonts w:hint="eastAsia"/>
                <w:b w:val="0"/>
                <w:color w:val="auto"/>
                <w:sz w:val="24"/>
                <w:szCs w:val="24"/>
                <w:highlight w:val="none"/>
              </w:rPr>
              <w:t xml:space="preserve"> 。</w:t>
            </w:r>
          </w:p>
          <w:p w14:paraId="56FC8EC8">
            <w:pPr>
              <w:pStyle w:val="74"/>
              <w:spacing w:before="0" w:beforeAutospacing="0" w:after="0" w:afterAutospacing="0" w:line="360" w:lineRule="auto"/>
              <w:jc w:val="left"/>
              <w:rPr>
                <w:b w:val="0"/>
                <w:color w:val="auto"/>
                <w:sz w:val="24"/>
                <w:szCs w:val="24"/>
                <w:highlight w:val="none"/>
              </w:rPr>
            </w:pPr>
            <w:r>
              <w:rPr>
                <w:rFonts w:hint="eastAsia"/>
                <w:b w:val="0"/>
                <w:color w:val="auto"/>
                <w:sz w:val="24"/>
                <w:szCs w:val="24"/>
                <w:highlight w:val="none"/>
              </w:rPr>
              <w:t>5.符合条件的向小微企业分包的大中型企业价格扣除：</w:t>
            </w:r>
            <w:r>
              <w:rPr>
                <w:rFonts w:hint="eastAsia"/>
                <w:b w:val="0"/>
                <w:color w:val="auto"/>
                <w:sz w:val="24"/>
                <w:szCs w:val="24"/>
                <w:highlight w:val="none"/>
                <w:u w:val="single"/>
              </w:rPr>
              <w:t>/</w:t>
            </w:r>
            <w:r>
              <w:rPr>
                <w:rFonts w:hint="eastAsia"/>
                <w:b w:val="0"/>
                <w:color w:val="auto"/>
                <w:sz w:val="24"/>
                <w:szCs w:val="24"/>
                <w:highlight w:val="none"/>
              </w:rPr>
              <w:t>。（允许大中型企业向小微企业分包的项目适用）</w:t>
            </w:r>
          </w:p>
        </w:tc>
      </w:tr>
      <w:tr w14:paraId="2B7283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29" w:hRule="atLeast"/>
        </w:trPr>
        <w:tc>
          <w:tcPr>
            <w:tcW w:w="970" w:type="dxa"/>
            <w:shd w:val="clear" w:color="auto" w:fill="auto"/>
            <w:vAlign w:val="center"/>
          </w:tcPr>
          <w:p w14:paraId="5C48AB3D">
            <w:pPr>
              <w:pStyle w:val="53"/>
              <w:spacing w:line="360" w:lineRule="auto"/>
              <w:jc w:val="center"/>
              <w:rPr>
                <w:rFonts w:cs="宋体"/>
                <w:szCs w:val="24"/>
                <w:highlight w:val="none"/>
              </w:rPr>
            </w:pPr>
            <w:r>
              <w:rPr>
                <w:rFonts w:hint="eastAsia" w:cs="宋体"/>
                <w:szCs w:val="24"/>
                <w:highlight w:val="none"/>
              </w:rPr>
              <w:t>42.5</w:t>
            </w:r>
          </w:p>
        </w:tc>
        <w:tc>
          <w:tcPr>
            <w:tcW w:w="1583" w:type="dxa"/>
            <w:shd w:val="clear" w:color="auto" w:fill="auto"/>
            <w:vAlign w:val="center"/>
          </w:tcPr>
          <w:p w14:paraId="6257F90C">
            <w:pPr>
              <w:pStyle w:val="53"/>
              <w:spacing w:line="360" w:lineRule="auto"/>
              <w:rPr>
                <w:szCs w:val="24"/>
                <w:highlight w:val="none"/>
              </w:rPr>
            </w:pPr>
            <w:r>
              <w:rPr>
                <w:rFonts w:hint="eastAsia"/>
                <w:szCs w:val="24"/>
                <w:highlight w:val="none"/>
              </w:rPr>
              <w:t>标的所属行业</w:t>
            </w:r>
          </w:p>
          <w:p w14:paraId="7DA0D7F5">
            <w:pPr>
              <w:pStyle w:val="53"/>
              <w:spacing w:line="360" w:lineRule="auto"/>
              <w:rPr>
                <w:szCs w:val="24"/>
                <w:highlight w:val="none"/>
              </w:rPr>
            </w:pPr>
            <w:r>
              <w:rPr>
                <w:rStyle w:val="36"/>
                <w:rFonts w:hint="eastAsia" w:cs="宋体"/>
                <w:szCs w:val="24"/>
                <w:highlight w:val="none"/>
              </w:rPr>
              <w:t>参照后附《工信部联企业〔2011〕300号》</w:t>
            </w:r>
          </w:p>
        </w:tc>
        <w:tc>
          <w:tcPr>
            <w:tcW w:w="6855" w:type="dxa"/>
            <w:shd w:val="clear" w:color="auto" w:fill="auto"/>
            <w:vAlign w:val="center"/>
          </w:tcPr>
          <w:p w14:paraId="474C8DF6">
            <w:pPr>
              <w:spacing w:line="360" w:lineRule="auto"/>
              <w:rPr>
                <w:color w:val="auto"/>
                <w:szCs w:val="24"/>
                <w:highlight w:val="none"/>
              </w:rPr>
            </w:pPr>
            <w:r>
              <w:rPr>
                <w:rFonts w:hint="eastAsia"/>
                <w:color w:val="auto"/>
                <w:szCs w:val="24"/>
                <w:highlight w:val="none"/>
                <w:lang w:bidi="ar"/>
              </w:rPr>
              <w:t xml:space="preserve">本项目采购标的对应的中小企业划分标准所属行业： </w:t>
            </w:r>
          </w:p>
          <w:tbl>
            <w:tblPr>
              <w:tblStyle w:val="34"/>
              <w:tblW w:w="6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1824"/>
              <w:gridCol w:w="3245"/>
            </w:tblGrid>
            <w:tr w14:paraId="7CCEE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6AFBE980">
                  <w:pPr>
                    <w:spacing w:line="360" w:lineRule="auto"/>
                    <w:rPr>
                      <w:color w:val="auto"/>
                      <w:szCs w:val="24"/>
                      <w:highlight w:val="none"/>
                      <w:lang w:bidi="ar"/>
                    </w:rPr>
                  </w:pPr>
                  <w:r>
                    <w:rPr>
                      <w:rFonts w:hint="eastAsia"/>
                      <w:color w:val="auto"/>
                      <w:szCs w:val="24"/>
                      <w:highlight w:val="none"/>
                      <w:lang w:bidi="ar"/>
                    </w:rPr>
                    <w:t>包号</w:t>
                  </w:r>
                </w:p>
              </w:tc>
              <w:tc>
                <w:tcPr>
                  <w:tcW w:w="1824" w:type="dxa"/>
                  <w:vAlign w:val="center"/>
                </w:tcPr>
                <w:p w14:paraId="4A761E2A">
                  <w:pPr>
                    <w:spacing w:line="360" w:lineRule="auto"/>
                    <w:rPr>
                      <w:color w:val="auto"/>
                      <w:szCs w:val="24"/>
                      <w:highlight w:val="none"/>
                      <w:lang w:bidi="ar"/>
                    </w:rPr>
                  </w:pPr>
                  <w:r>
                    <w:rPr>
                      <w:rFonts w:hint="eastAsia"/>
                      <w:color w:val="auto"/>
                      <w:szCs w:val="24"/>
                      <w:highlight w:val="none"/>
                      <w:lang w:bidi="ar"/>
                    </w:rPr>
                    <w:t>标的名称</w:t>
                  </w:r>
                </w:p>
              </w:tc>
              <w:tc>
                <w:tcPr>
                  <w:tcW w:w="3245" w:type="dxa"/>
                  <w:vAlign w:val="center"/>
                </w:tcPr>
                <w:p w14:paraId="2B65CC85">
                  <w:pPr>
                    <w:spacing w:line="360" w:lineRule="auto"/>
                    <w:rPr>
                      <w:color w:val="auto"/>
                      <w:szCs w:val="24"/>
                      <w:highlight w:val="none"/>
                      <w:lang w:bidi="ar"/>
                    </w:rPr>
                  </w:pPr>
                  <w:r>
                    <w:rPr>
                      <w:rFonts w:hint="eastAsia"/>
                      <w:color w:val="auto"/>
                      <w:szCs w:val="24"/>
                      <w:highlight w:val="none"/>
                      <w:lang w:bidi="ar"/>
                    </w:rPr>
                    <w:t>中小企业划分标准所属行业</w:t>
                  </w:r>
                </w:p>
              </w:tc>
            </w:tr>
            <w:tr w14:paraId="33A82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087" w:type="dxa"/>
                  <w:vAlign w:val="center"/>
                </w:tcPr>
                <w:p w14:paraId="719E109B">
                  <w:pPr>
                    <w:spacing w:line="360" w:lineRule="auto"/>
                    <w:rPr>
                      <w:rFonts w:hint="eastAsia" w:eastAsia="宋体"/>
                      <w:color w:val="auto"/>
                      <w:szCs w:val="24"/>
                      <w:highlight w:val="none"/>
                      <w:lang w:val="en-US" w:eastAsia="zh-CN" w:bidi="ar"/>
                    </w:rPr>
                  </w:pPr>
                  <w:r>
                    <w:rPr>
                      <w:rFonts w:hint="eastAsia"/>
                      <w:color w:val="auto"/>
                      <w:szCs w:val="24"/>
                      <w:highlight w:val="none"/>
                      <w:lang w:val="en-US" w:eastAsia="zh-CN" w:bidi="ar"/>
                    </w:rPr>
                    <w:t>1</w:t>
                  </w:r>
                </w:p>
              </w:tc>
              <w:tc>
                <w:tcPr>
                  <w:tcW w:w="1824" w:type="dxa"/>
                  <w:vAlign w:val="center"/>
                </w:tcPr>
                <w:p w14:paraId="473FD2B6">
                  <w:pPr>
                    <w:spacing w:line="360" w:lineRule="auto"/>
                    <w:rPr>
                      <w:rFonts w:hint="default" w:eastAsia="宋体"/>
                      <w:color w:val="auto"/>
                      <w:szCs w:val="24"/>
                      <w:highlight w:val="none"/>
                      <w:lang w:val="en-US" w:eastAsia="zh-CN" w:bidi="ar"/>
                    </w:rPr>
                  </w:pPr>
                  <w:r>
                    <w:rPr>
                      <w:rFonts w:hint="default" w:eastAsia="宋体"/>
                      <w:color w:val="auto"/>
                      <w:szCs w:val="24"/>
                      <w:highlight w:val="none"/>
                      <w:lang w:val="en-US" w:eastAsia="zh-CN" w:bidi="ar"/>
                    </w:rPr>
                    <w:t>具体内容详见采购需求，投标人请按采购标的名称逐一填写中小企业声明函</w:t>
                  </w:r>
                </w:p>
              </w:tc>
              <w:tc>
                <w:tcPr>
                  <w:tcW w:w="3245" w:type="dxa"/>
                  <w:vAlign w:val="center"/>
                </w:tcPr>
                <w:p w14:paraId="5D080819">
                  <w:pPr>
                    <w:spacing w:line="360" w:lineRule="auto"/>
                    <w:jc w:val="center"/>
                    <w:rPr>
                      <w:rFonts w:hint="eastAsia" w:eastAsia="宋体"/>
                      <w:color w:val="auto"/>
                      <w:szCs w:val="24"/>
                      <w:highlight w:val="none"/>
                      <w:lang w:val="en-US" w:eastAsia="zh-CN" w:bidi="ar"/>
                    </w:rPr>
                  </w:pPr>
                  <w:r>
                    <w:rPr>
                      <w:rFonts w:hint="eastAsia"/>
                      <w:color w:val="auto"/>
                      <w:szCs w:val="24"/>
                      <w:highlight w:val="none"/>
                      <w:lang w:val="en-US" w:eastAsia="zh-CN" w:bidi="ar"/>
                    </w:rPr>
                    <w:t>工业</w:t>
                  </w:r>
                </w:p>
              </w:tc>
            </w:tr>
          </w:tbl>
          <w:p w14:paraId="602A52D8">
            <w:pPr>
              <w:autoSpaceDE w:val="0"/>
              <w:autoSpaceDN w:val="0"/>
              <w:adjustRightInd w:val="0"/>
              <w:spacing w:line="360" w:lineRule="auto"/>
              <w:textAlignment w:val="baseline"/>
              <w:rPr>
                <w:rFonts w:cs="Times New Roman"/>
                <w:color w:val="auto"/>
                <w:kern w:val="0"/>
                <w:szCs w:val="24"/>
                <w:highlight w:val="none"/>
              </w:rPr>
            </w:pPr>
            <w:r>
              <w:rPr>
                <w:rFonts w:cs="Times New Roman"/>
                <w:color w:val="auto"/>
                <w:kern w:val="0"/>
                <w:szCs w:val="24"/>
                <w:highlight w:val="none"/>
              </w:rPr>
              <w:t>本项目采购标的属于</w:t>
            </w:r>
            <w:r>
              <w:rPr>
                <w:rFonts w:hint="eastAsia" w:cs="Times New Roman"/>
                <w:color w:val="auto"/>
                <w:kern w:val="0"/>
                <w:szCs w:val="24"/>
                <w:highlight w:val="none"/>
              </w:rPr>
              <w:t>工业</w:t>
            </w:r>
            <w:r>
              <w:rPr>
                <w:rFonts w:cs="Times New Roman"/>
                <w:color w:val="auto"/>
                <w:kern w:val="0"/>
                <w:sz w:val="32"/>
                <w:szCs w:val="24"/>
                <w:highlight w:val="none"/>
              </w:rPr>
              <w:t>。</w:t>
            </w:r>
            <w:r>
              <w:rPr>
                <w:rFonts w:hint="eastAsia" w:cs="Times New Roman"/>
                <w:color w:val="auto"/>
                <w:kern w:val="0"/>
                <w:szCs w:val="24"/>
                <w:highlight w:val="none"/>
              </w:rPr>
              <w:t>企业规模类型根据《中小企业划型标准规定》（工信部联企业[2011]300号）确定：</w:t>
            </w:r>
          </w:p>
          <w:p w14:paraId="3AF51A25">
            <w:pPr>
              <w:autoSpaceDE w:val="0"/>
              <w:autoSpaceDN w:val="0"/>
              <w:adjustRightInd w:val="0"/>
              <w:spacing w:line="360" w:lineRule="auto"/>
              <w:textAlignment w:val="baseline"/>
              <w:rPr>
                <w:rFonts w:cs="Times New Roman"/>
                <w:color w:val="auto"/>
                <w:kern w:val="0"/>
                <w:szCs w:val="24"/>
                <w:highlight w:val="none"/>
              </w:rPr>
            </w:pPr>
            <w:r>
              <w:rPr>
                <w:color w:val="auto"/>
                <w:highlight w:val="none"/>
              </w:rPr>
              <w:t>（二）工业。从业人员 1000 人以下或营业收入 40000 万元以下的为中小微型企业。其中，从业人员 300 人及以上，且营业收入 2000 万元及以上的为中型企业；从业人员 20 人及以上，且营业收入 300 万元及以上的为小型企业；从业人员 20 人以下或营业收入 300 万元以下的为微型企业。</w:t>
            </w:r>
          </w:p>
          <w:p w14:paraId="07783328">
            <w:pPr>
              <w:spacing w:line="360" w:lineRule="auto"/>
              <w:rPr>
                <w:rFonts w:cs="Times New Roman"/>
                <w:color w:val="auto"/>
                <w:szCs w:val="24"/>
                <w:highlight w:val="none"/>
              </w:rPr>
            </w:pPr>
            <w:r>
              <w:rPr>
                <w:rFonts w:hint="eastAsia" w:cs="Times New Roman"/>
                <w:color w:val="auto"/>
                <w:szCs w:val="24"/>
                <w:highlight w:val="none"/>
              </w:rPr>
              <w:t>温馨提示：</w:t>
            </w:r>
          </w:p>
          <w:p w14:paraId="50661EC2">
            <w:pPr>
              <w:spacing w:line="360" w:lineRule="auto"/>
              <w:rPr>
                <w:color w:val="auto"/>
                <w:highlight w:val="none"/>
              </w:rPr>
            </w:pPr>
            <w:r>
              <w:rPr>
                <w:rFonts w:hint="eastAsia" w:cs="Times New Roman"/>
                <w:bCs/>
                <w:color w:val="auto"/>
                <w:szCs w:val="24"/>
                <w:highlight w:val="none"/>
              </w:rPr>
              <w:t>1、为方便广大中小企业识别企业规模类型，</w:t>
            </w:r>
            <w:r>
              <w:rPr>
                <w:rFonts w:hint="eastAsia" w:cs="Times New Roman"/>
                <w:bCs/>
                <w:color w:val="auto"/>
                <w:szCs w:val="24"/>
                <w:highlight w:val="none"/>
                <w:u w:val="single"/>
              </w:rPr>
              <w:t>工业和信息化部组织开发了中小企业规模类型自测小程序，在国务院客户端和工业和信息化部网站上均有链接，</w:t>
            </w:r>
            <w:r>
              <w:rPr>
                <w:rFonts w:hint="eastAsia" w:cs="Times New Roman"/>
                <w:bCs/>
                <w:color w:val="auto"/>
                <w:szCs w:val="24"/>
                <w:highlight w:val="none"/>
              </w:rPr>
              <w:t>供应商填写所属的行业和指标数据可自动生成企业规模类型测试结果</w:t>
            </w:r>
            <w:r>
              <w:rPr>
                <w:rFonts w:hint="eastAsia" w:cs="Times New Roman"/>
                <w:b/>
                <w:bCs/>
                <w:color w:val="auto"/>
                <w:szCs w:val="24"/>
                <w:highlight w:val="none"/>
              </w:rPr>
              <w:t>。</w:t>
            </w:r>
          </w:p>
        </w:tc>
      </w:tr>
      <w:tr w14:paraId="7F3D18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25" w:hRule="atLeast"/>
        </w:trPr>
        <w:tc>
          <w:tcPr>
            <w:tcW w:w="970" w:type="dxa"/>
            <w:shd w:val="clear" w:color="auto" w:fill="auto"/>
            <w:vAlign w:val="center"/>
          </w:tcPr>
          <w:p w14:paraId="09442DCE">
            <w:pPr>
              <w:pStyle w:val="53"/>
              <w:spacing w:line="360" w:lineRule="auto"/>
              <w:jc w:val="center"/>
              <w:rPr>
                <w:rFonts w:cs="宋体"/>
                <w:szCs w:val="24"/>
                <w:highlight w:val="none"/>
              </w:rPr>
            </w:pPr>
            <w:r>
              <w:rPr>
                <w:rFonts w:hint="eastAsia" w:cs="宋体"/>
                <w:szCs w:val="24"/>
                <w:highlight w:val="none"/>
              </w:rPr>
              <w:t>43.5</w:t>
            </w:r>
          </w:p>
        </w:tc>
        <w:tc>
          <w:tcPr>
            <w:tcW w:w="1583" w:type="dxa"/>
            <w:shd w:val="clear" w:color="auto" w:fill="auto"/>
            <w:vAlign w:val="center"/>
          </w:tcPr>
          <w:p w14:paraId="30BE8B8E">
            <w:pPr>
              <w:pStyle w:val="53"/>
              <w:spacing w:line="360" w:lineRule="auto"/>
              <w:rPr>
                <w:rFonts w:cs="宋体"/>
                <w:szCs w:val="24"/>
                <w:highlight w:val="none"/>
              </w:rPr>
            </w:pPr>
            <w:r>
              <w:rPr>
                <w:rFonts w:hint="eastAsia" w:cs="宋体"/>
                <w:szCs w:val="24"/>
                <w:highlight w:val="none"/>
              </w:rPr>
              <w:t>优先采购创新节能环保产品</w:t>
            </w:r>
          </w:p>
        </w:tc>
        <w:tc>
          <w:tcPr>
            <w:tcW w:w="6855" w:type="dxa"/>
            <w:shd w:val="clear" w:color="auto" w:fill="auto"/>
            <w:vAlign w:val="center"/>
          </w:tcPr>
          <w:p w14:paraId="7DE1A589">
            <w:pPr>
              <w:pStyle w:val="53"/>
              <w:spacing w:line="360" w:lineRule="auto"/>
              <w:rPr>
                <w:rFonts w:cs="宋体"/>
                <w:szCs w:val="24"/>
                <w:highlight w:val="none"/>
              </w:rPr>
            </w:pPr>
            <w:r>
              <w:rPr>
                <w:rFonts w:hint="eastAsia" w:cs="宋体"/>
                <w:szCs w:val="24"/>
                <w:highlight w:val="none"/>
              </w:rPr>
              <w:t>所投产品纳入创新产品应用示范推荐目录内企业、所投产品获得节能产品或环境标志产品认证证书的供应商给予</w:t>
            </w:r>
            <w:r>
              <w:rPr>
                <w:rFonts w:hint="eastAsia" w:cs="宋体"/>
                <w:szCs w:val="24"/>
                <w:highlight w:val="none"/>
                <w:u w:val="single"/>
              </w:rPr>
              <w:t xml:space="preserve">  /  </w:t>
            </w:r>
            <w:r>
              <w:rPr>
                <w:rFonts w:hint="eastAsia" w:cs="宋体"/>
                <w:szCs w:val="24"/>
                <w:highlight w:val="none"/>
              </w:rPr>
              <w:t>评审优惠。</w:t>
            </w:r>
          </w:p>
        </w:tc>
      </w:tr>
      <w:tr w14:paraId="063232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379" w:hRule="atLeast"/>
        </w:trPr>
        <w:tc>
          <w:tcPr>
            <w:tcW w:w="970" w:type="dxa"/>
            <w:tcBorders>
              <w:right w:val="single" w:color="auto" w:sz="4" w:space="0"/>
            </w:tcBorders>
            <w:vAlign w:val="center"/>
          </w:tcPr>
          <w:p w14:paraId="508C11A2">
            <w:pPr>
              <w:pStyle w:val="53"/>
              <w:spacing w:line="360" w:lineRule="auto"/>
              <w:jc w:val="center"/>
              <w:rPr>
                <w:rFonts w:cs="宋体"/>
                <w:szCs w:val="24"/>
                <w:highlight w:val="none"/>
              </w:rPr>
            </w:pPr>
            <w:r>
              <w:rPr>
                <w:rFonts w:hint="eastAsia" w:cs="宋体"/>
                <w:szCs w:val="24"/>
                <w:highlight w:val="none"/>
              </w:rPr>
              <w:t>47.1</w:t>
            </w:r>
          </w:p>
        </w:tc>
        <w:tc>
          <w:tcPr>
            <w:tcW w:w="1583" w:type="dxa"/>
            <w:tcBorders>
              <w:left w:val="single" w:color="auto" w:sz="4" w:space="0"/>
              <w:right w:val="single" w:color="auto" w:sz="4" w:space="0"/>
            </w:tcBorders>
            <w:vAlign w:val="center"/>
          </w:tcPr>
          <w:p w14:paraId="22600EA8">
            <w:pPr>
              <w:pStyle w:val="53"/>
              <w:spacing w:line="360" w:lineRule="auto"/>
              <w:rPr>
                <w:rFonts w:cs="宋体"/>
                <w:szCs w:val="24"/>
                <w:highlight w:val="none"/>
              </w:rPr>
            </w:pPr>
            <w:r>
              <w:rPr>
                <w:rFonts w:hint="eastAsia" w:cs="宋体"/>
                <w:szCs w:val="24"/>
                <w:highlight w:val="none"/>
              </w:rPr>
              <w:t>政府采购</w:t>
            </w:r>
          </w:p>
          <w:p w14:paraId="5DC8AE0E">
            <w:pPr>
              <w:pStyle w:val="53"/>
              <w:spacing w:line="360" w:lineRule="auto"/>
              <w:rPr>
                <w:rFonts w:cs="宋体"/>
                <w:szCs w:val="24"/>
                <w:highlight w:val="none"/>
              </w:rPr>
            </w:pPr>
            <w:r>
              <w:rPr>
                <w:rFonts w:hint="eastAsia" w:cs="宋体"/>
                <w:szCs w:val="24"/>
                <w:highlight w:val="none"/>
              </w:rPr>
              <w:t>合同融资政策</w:t>
            </w:r>
          </w:p>
        </w:tc>
        <w:tc>
          <w:tcPr>
            <w:tcW w:w="6855" w:type="dxa"/>
            <w:tcBorders>
              <w:left w:val="single" w:color="auto" w:sz="4" w:space="0"/>
            </w:tcBorders>
            <w:vAlign w:val="center"/>
          </w:tcPr>
          <w:p w14:paraId="303D597F">
            <w:pPr>
              <w:pStyle w:val="53"/>
              <w:spacing w:line="360" w:lineRule="auto"/>
              <w:rPr>
                <w:rFonts w:cs="宋体"/>
                <w:szCs w:val="24"/>
                <w:highlight w:val="none"/>
              </w:rPr>
            </w:pPr>
            <w:r>
              <w:rPr>
                <w:rFonts w:hint="eastAsia" w:cs="宋体"/>
                <w:szCs w:val="24"/>
                <w:highlight w:val="none"/>
              </w:rPr>
              <w:t xml:space="preserve">  1.有融资需求的成交人在获得政府采购成交通知书后，即可向开展“政采贷”业务的金融机构提出申请，金融机构依据政府采购成交通知书和政府采购合同，为中小微企业提供融资服务。</w:t>
            </w:r>
          </w:p>
          <w:p w14:paraId="3A727AB0">
            <w:pPr>
              <w:pStyle w:val="53"/>
              <w:spacing w:line="360" w:lineRule="auto"/>
              <w:rPr>
                <w:rFonts w:cs="宋体"/>
                <w:szCs w:val="24"/>
                <w:highlight w:val="none"/>
              </w:rPr>
            </w:pPr>
            <w:r>
              <w:rPr>
                <w:rFonts w:hint="eastAsia" w:cs="宋体"/>
                <w:szCs w:val="24"/>
                <w:highlight w:val="none"/>
              </w:rPr>
              <w:t>渠道和方式：详见新疆政府采购网。</w:t>
            </w:r>
          </w:p>
          <w:p w14:paraId="1D711CF6">
            <w:pPr>
              <w:pStyle w:val="53"/>
              <w:spacing w:line="360" w:lineRule="auto"/>
              <w:ind w:firstLine="240" w:firstLineChars="100"/>
              <w:rPr>
                <w:rFonts w:cs="宋体"/>
                <w:szCs w:val="24"/>
                <w:highlight w:val="none"/>
              </w:rPr>
            </w:pPr>
            <w:r>
              <w:rPr>
                <w:rFonts w:hint="eastAsia" w:cs="宋体"/>
                <w:szCs w:val="24"/>
                <w:highlight w:val="none"/>
              </w:rPr>
              <w:t>2.为支持和促进中小企业发展，进一步发挥政府采购政策功能，本采购项目适用于政府采购融资优惠、政采贷、电子保函相关政策，鼓励投标人使用电子保函代替现金缴纳各类保证金，在线完成保函的申请、审核、开票、出函等环节，投标企业注意区分办理保函类型，并确认投标有效期，投标人若想了解或使用相关金融服务，可登录【政府采购网】-顶部通栏【信用融资】、【办事指南】模块查看。</w:t>
            </w:r>
          </w:p>
        </w:tc>
      </w:tr>
      <w:tr w14:paraId="466BE0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602" w:hRule="atLeast"/>
        </w:trPr>
        <w:tc>
          <w:tcPr>
            <w:tcW w:w="970" w:type="dxa"/>
            <w:vMerge w:val="restart"/>
            <w:tcBorders>
              <w:right w:val="single" w:color="auto" w:sz="4" w:space="0"/>
            </w:tcBorders>
            <w:vAlign w:val="center"/>
          </w:tcPr>
          <w:p w14:paraId="5D0268BB">
            <w:pPr>
              <w:pStyle w:val="53"/>
              <w:spacing w:line="360" w:lineRule="auto"/>
              <w:jc w:val="center"/>
              <w:rPr>
                <w:rFonts w:cs="宋体"/>
                <w:szCs w:val="24"/>
                <w:highlight w:val="none"/>
              </w:rPr>
            </w:pPr>
            <w:r>
              <w:rPr>
                <w:rFonts w:hint="eastAsia" w:cs="宋体"/>
                <w:szCs w:val="24"/>
                <w:highlight w:val="none"/>
              </w:rPr>
              <w:t>48.1</w:t>
            </w:r>
          </w:p>
        </w:tc>
        <w:tc>
          <w:tcPr>
            <w:tcW w:w="1583" w:type="dxa"/>
            <w:vMerge w:val="restart"/>
            <w:tcBorders>
              <w:right w:val="single" w:color="auto" w:sz="4" w:space="0"/>
            </w:tcBorders>
            <w:vAlign w:val="center"/>
          </w:tcPr>
          <w:p w14:paraId="019C7EEF">
            <w:pPr>
              <w:pStyle w:val="53"/>
              <w:spacing w:line="360" w:lineRule="auto"/>
              <w:rPr>
                <w:rFonts w:cs="宋体"/>
                <w:szCs w:val="24"/>
                <w:highlight w:val="none"/>
              </w:rPr>
            </w:pPr>
            <w:r>
              <w:rPr>
                <w:rFonts w:hint="eastAsia" w:cs="宋体"/>
                <w:szCs w:val="24"/>
                <w:highlight w:val="none"/>
              </w:rPr>
              <w:t>需要补充的其他内容</w:t>
            </w:r>
          </w:p>
        </w:tc>
        <w:tc>
          <w:tcPr>
            <w:tcW w:w="6855" w:type="dxa"/>
            <w:tcBorders>
              <w:left w:val="single" w:color="auto" w:sz="4" w:space="0"/>
            </w:tcBorders>
            <w:vAlign w:val="center"/>
          </w:tcPr>
          <w:p w14:paraId="78670794">
            <w:pPr>
              <w:pStyle w:val="53"/>
              <w:spacing w:line="360" w:lineRule="auto"/>
              <w:rPr>
                <w:szCs w:val="24"/>
                <w:highlight w:val="none"/>
              </w:rPr>
            </w:pPr>
            <w:r>
              <w:rPr>
                <w:rFonts w:hint="eastAsia" w:cs="宋体"/>
                <w:szCs w:val="24"/>
                <w:highlight w:val="none"/>
              </w:rPr>
              <w:t>1.在开标截止时间后，采购人/采购代理机构将通过信用中国、中国政府采购网查询各供应商的信誉情况，对严重失信主体、列入失信被执行人、重大税收违法失信主体、政府采购严重违法失信行为记录名单及其他不符合《中华人民共和国政府采购法》第二十二条规定条件的供应商，其投标文件将被拒绝。</w:t>
            </w:r>
          </w:p>
        </w:tc>
      </w:tr>
      <w:tr w14:paraId="1EA5C4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545" w:hRule="atLeast"/>
        </w:trPr>
        <w:tc>
          <w:tcPr>
            <w:tcW w:w="970" w:type="dxa"/>
            <w:vMerge w:val="continue"/>
            <w:tcBorders>
              <w:right w:val="single" w:color="auto" w:sz="4" w:space="0"/>
            </w:tcBorders>
            <w:vAlign w:val="center"/>
          </w:tcPr>
          <w:p w14:paraId="472C3BB8">
            <w:pPr>
              <w:pStyle w:val="53"/>
              <w:spacing w:line="360" w:lineRule="auto"/>
              <w:jc w:val="center"/>
              <w:rPr>
                <w:rFonts w:cs="宋体"/>
                <w:szCs w:val="24"/>
                <w:highlight w:val="none"/>
              </w:rPr>
            </w:pPr>
          </w:p>
        </w:tc>
        <w:tc>
          <w:tcPr>
            <w:tcW w:w="1583" w:type="dxa"/>
            <w:vMerge w:val="continue"/>
            <w:tcBorders>
              <w:right w:val="single" w:color="auto" w:sz="4" w:space="0"/>
            </w:tcBorders>
            <w:vAlign w:val="center"/>
          </w:tcPr>
          <w:p w14:paraId="2170190C">
            <w:pPr>
              <w:pStyle w:val="53"/>
              <w:spacing w:line="360" w:lineRule="auto"/>
              <w:rPr>
                <w:rFonts w:cs="宋体"/>
                <w:szCs w:val="24"/>
                <w:highlight w:val="none"/>
              </w:rPr>
            </w:pPr>
          </w:p>
        </w:tc>
        <w:tc>
          <w:tcPr>
            <w:tcW w:w="6855" w:type="dxa"/>
            <w:tcBorders>
              <w:left w:val="single" w:color="auto" w:sz="4" w:space="0"/>
            </w:tcBorders>
            <w:vAlign w:val="center"/>
          </w:tcPr>
          <w:p w14:paraId="2DE13BF9">
            <w:pPr>
              <w:pStyle w:val="53"/>
              <w:spacing w:line="360" w:lineRule="auto"/>
              <w:rPr>
                <w:rFonts w:cs="宋体"/>
                <w:szCs w:val="24"/>
                <w:highlight w:val="none"/>
              </w:rPr>
            </w:pPr>
            <w:r>
              <w:rPr>
                <w:rFonts w:hint="eastAsia" w:cs="宋体"/>
                <w:szCs w:val="24"/>
                <w:highlight w:val="none"/>
              </w:rPr>
              <w:t>2.异常低价情形认定</w:t>
            </w:r>
          </w:p>
          <w:p w14:paraId="52410CDE">
            <w:pPr>
              <w:pStyle w:val="53"/>
              <w:spacing w:line="360" w:lineRule="auto"/>
              <w:rPr>
                <w:rFonts w:cs="宋体"/>
                <w:szCs w:val="24"/>
                <w:highlight w:val="none"/>
              </w:rPr>
            </w:pPr>
            <w:r>
              <w:rPr>
                <w:rFonts w:hint="eastAsia" w:cs="宋体"/>
                <w:szCs w:val="24"/>
                <w:highlight w:val="none"/>
              </w:rPr>
              <w:t>政府采购评审中出现下列情形之一的，评审委员会应当启动异常低价投标（响应）审查程序：</w:t>
            </w:r>
          </w:p>
          <w:p w14:paraId="09B9FE6D">
            <w:pPr>
              <w:pStyle w:val="53"/>
              <w:spacing w:line="360" w:lineRule="auto"/>
              <w:rPr>
                <w:rFonts w:cs="宋体"/>
                <w:szCs w:val="24"/>
                <w:highlight w:val="none"/>
              </w:rPr>
            </w:pPr>
            <w:r>
              <w:rPr>
                <w:rFonts w:hint="eastAsia" w:cs="宋体"/>
                <w:szCs w:val="24"/>
                <w:highlight w:val="none"/>
              </w:rPr>
              <w:t>（1）投标（响应）报价低于全部通过符合性审查供应商投标（响应）报价平均值50%的，即投标（响应）报价&lt;全部通过符合性审查供应商投标（响应）报价平均值×50%；</w:t>
            </w:r>
          </w:p>
          <w:p w14:paraId="52ABADBD">
            <w:pPr>
              <w:pStyle w:val="53"/>
              <w:spacing w:line="360" w:lineRule="auto"/>
              <w:rPr>
                <w:rFonts w:cs="宋体"/>
                <w:szCs w:val="24"/>
                <w:highlight w:val="none"/>
              </w:rPr>
            </w:pPr>
            <w:r>
              <w:rPr>
                <w:rFonts w:hint="eastAsia" w:cs="宋体"/>
                <w:szCs w:val="24"/>
                <w:highlight w:val="none"/>
              </w:rPr>
              <w:t>（2）投标（响应）报价低于通过符合性审查的次低报价供应商投标（响应）报价50%的，即投标（响应）报价&lt;通过符合性审查的次低报价供应商投标（响应）报价×50%；</w:t>
            </w:r>
          </w:p>
          <w:p w14:paraId="332B3264">
            <w:pPr>
              <w:pStyle w:val="53"/>
              <w:spacing w:line="360" w:lineRule="auto"/>
              <w:rPr>
                <w:rFonts w:cs="宋体"/>
                <w:szCs w:val="24"/>
                <w:highlight w:val="none"/>
              </w:rPr>
            </w:pPr>
            <w:r>
              <w:rPr>
                <w:rFonts w:hint="eastAsia" w:cs="宋体"/>
                <w:szCs w:val="24"/>
                <w:highlight w:val="none"/>
              </w:rPr>
              <w:t>（3）投标（响应）报价低于采购项目最高限价45%的，即投标（响应）报价&lt;采购项目最高限价×45%；</w:t>
            </w:r>
          </w:p>
          <w:p w14:paraId="6435267E">
            <w:pPr>
              <w:pStyle w:val="53"/>
              <w:spacing w:line="360" w:lineRule="auto"/>
              <w:rPr>
                <w:rFonts w:hint="eastAsia" w:cs="宋体"/>
                <w:szCs w:val="24"/>
                <w:highlight w:val="none"/>
              </w:rPr>
            </w:pPr>
            <w:r>
              <w:rPr>
                <w:rFonts w:hint="eastAsia" w:cs="宋体"/>
                <w:szCs w:val="24"/>
                <w:highlight w:val="none"/>
              </w:rPr>
              <w:t>（4）评审委员会基于专业判断，认为供应商报价过低，有可能影响产品质量或者不能诚信履约的其他情形。</w:t>
            </w:r>
          </w:p>
          <w:p w14:paraId="4C8065E5">
            <w:pPr>
              <w:pStyle w:val="53"/>
              <w:spacing w:line="360" w:lineRule="auto"/>
              <w:ind w:firstLine="240" w:firstLineChars="100"/>
              <w:rPr>
                <w:rFonts w:cs="宋体"/>
                <w:highlight w:val="none"/>
              </w:rPr>
            </w:pPr>
            <w:r>
              <w:rPr>
                <w:rFonts w:hint="eastAsia" w:cs="宋体"/>
                <w:highlight w:val="none"/>
              </w:rPr>
              <w:t>采购人可以结合具体项目实际情况，提高上述第</w:t>
            </w:r>
            <w:r>
              <w:rPr>
                <w:rFonts w:cs="宋体"/>
                <w:highlight w:val="none"/>
              </w:rPr>
              <w:t>1项至第3项中启动异常低价投标（响应）审查的数值标准，但是最高不得超过65%。</w:t>
            </w:r>
          </w:p>
          <w:p w14:paraId="417954FC">
            <w:pPr>
              <w:pStyle w:val="53"/>
              <w:spacing w:line="360" w:lineRule="auto"/>
              <w:rPr>
                <w:rFonts w:hint="eastAsia" w:cs="宋体"/>
                <w:szCs w:val="24"/>
                <w:highlight w:val="none"/>
              </w:rPr>
            </w:pPr>
            <w:r>
              <w:rPr>
                <w:rFonts w:cs="宋体"/>
                <w:highlight w:val="none"/>
              </w:rPr>
              <w:t>本项目启动异常低价投标（响应）审查的数值标准详见以上描述。</w:t>
            </w:r>
          </w:p>
        </w:tc>
      </w:tr>
      <w:tr w14:paraId="00952C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vMerge w:val="continue"/>
            <w:tcBorders>
              <w:right w:val="single" w:color="auto" w:sz="4" w:space="0"/>
            </w:tcBorders>
            <w:vAlign w:val="center"/>
          </w:tcPr>
          <w:p w14:paraId="6ED53375">
            <w:pPr>
              <w:pStyle w:val="53"/>
              <w:spacing w:line="360" w:lineRule="auto"/>
              <w:jc w:val="center"/>
              <w:rPr>
                <w:rFonts w:cs="宋体"/>
                <w:szCs w:val="24"/>
                <w:highlight w:val="none"/>
              </w:rPr>
            </w:pPr>
          </w:p>
        </w:tc>
        <w:tc>
          <w:tcPr>
            <w:tcW w:w="1583" w:type="dxa"/>
            <w:vMerge w:val="continue"/>
            <w:tcBorders>
              <w:right w:val="single" w:color="auto" w:sz="4" w:space="0"/>
            </w:tcBorders>
            <w:vAlign w:val="center"/>
          </w:tcPr>
          <w:p w14:paraId="10A6D429">
            <w:pPr>
              <w:pStyle w:val="53"/>
              <w:spacing w:line="360" w:lineRule="auto"/>
              <w:rPr>
                <w:rFonts w:cs="宋体"/>
                <w:szCs w:val="24"/>
                <w:highlight w:val="none"/>
              </w:rPr>
            </w:pPr>
          </w:p>
        </w:tc>
        <w:tc>
          <w:tcPr>
            <w:tcW w:w="6855" w:type="dxa"/>
            <w:tcBorders>
              <w:left w:val="single" w:color="auto" w:sz="4" w:space="0"/>
            </w:tcBorders>
            <w:shd w:val="clear" w:color="auto" w:fill="auto"/>
            <w:vAlign w:val="center"/>
          </w:tcPr>
          <w:p w14:paraId="040310AC">
            <w:pPr>
              <w:pStyle w:val="78"/>
              <w:spacing w:line="360" w:lineRule="auto"/>
              <w:rPr>
                <w:rFonts w:ascii="宋体" w:hAnsi="宋体"/>
                <w:sz w:val="24"/>
                <w:szCs w:val="24"/>
                <w:highlight w:val="none"/>
              </w:rPr>
            </w:pPr>
            <w:r>
              <w:rPr>
                <w:rFonts w:hint="eastAsia" w:ascii="宋体" w:hAnsi="宋体"/>
                <w:sz w:val="24"/>
                <w:szCs w:val="24"/>
                <w:highlight w:val="none"/>
              </w:rPr>
              <w:t>3.注意事项：</w:t>
            </w:r>
          </w:p>
          <w:p w14:paraId="3060AFD3">
            <w:pPr>
              <w:pStyle w:val="78"/>
              <w:spacing w:line="360" w:lineRule="auto"/>
              <w:rPr>
                <w:rFonts w:ascii="宋体" w:hAnsi="宋体"/>
                <w:sz w:val="24"/>
                <w:szCs w:val="24"/>
                <w:highlight w:val="none"/>
              </w:rPr>
            </w:pPr>
            <w:r>
              <w:rPr>
                <w:rFonts w:hint="eastAsia" w:ascii="宋体" w:hAnsi="宋体"/>
                <w:sz w:val="24"/>
                <w:szCs w:val="24"/>
                <w:highlight w:val="none"/>
              </w:rPr>
              <w:t>电子标书加盖印章的两种方式:一种为电子章；另一种为纸质版盖章后扫描，两种方式的任意一种在评审时均予认可。</w:t>
            </w:r>
          </w:p>
          <w:p w14:paraId="2F3405E8">
            <w:pPr>
              <w:pStyle w:val="53"/>
              <w:spacing w:line="360" w:lineRule="auto"/>
              <w:rPr>
                <w:rFonts w:cs="宋体"/>
                <w:b/>
                <w:bCs/>
                <w:szCs w:val="24"/>
                <w:highlight w:val="none"/>
              </w:rPr>
            </w:pPr>
            <w:r>
              <w:rPr>
                <w:rFonts w:hint="eastAsia" w:cs="宋体"/>
                <w:bCs/>
                <w:szCs w:val="24"/>
                <w:highlight w:val="none"/>
              </w:rPr>
              <w:t>供应商在上传电子响应文件时，需在“商务技术响应文件”中按响应文件格式要求上传完整的响应文件（从封面开始至最后一页）。</w:t>
            </w:r>
          </w:p>
        </w:tc>
      </w:tr>
      <w:tr w14:paraId="548BC7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408" w:type="dxa"/>
            <w:gridSpan w:val="3"/>
            <w:vAlign w:val="center"/>
          </w:tcPr>
          <w:p w14:paraId="2F10B18F">
            <w:pPr>
              <w:pStyle w:val="53"/>
              <w:spacing w:line="360" w:lineRule="auto"/>
              <w:rPr>
                <w:rFonts w:cs="宋体"/>
                <w:szCs w:val="24"/>
                <w:highlight w:val="none"/>
              </w:rPr>
            </w:pPr>
            <w:r>
              <w:rPr>
                <w:rFonts w:hint="eastAsia" w:cs="宋体"/>
                <w:szCs w:val="24"/>
                <w:highlight w:val="none"/>
              </w:rPr>
              <w:t>备注：</w:t>
            </w:r>
          </w:p>
          <w:p w14:paraId="1C73D7FC">
            <w:pPr>
              <w:pStyle w:val="53"/>
              <w:spacing w:line="360" w:lineRule="auto"/>
              <w:rPr>
                <w:rFonts w:cs="宋体"/>
                <w:szCs w:val="24"/>
                <w:highlight w:val="none"/>
              </w:rPr>
            </w:pPr>
            <w:r>
              <w:rPr>
                <w:rFonts w:hint="eastAsia" w:cs="宋体"/>
                <w:szCs w:val="24"/>
                <w:highlight w:val="none"/>
              </w:rPr>
              <w:t>1. 除本招标文件另有规定外，招标文件中出现的类似于“近三年”或“前三年”、“近五年”或“前五年”均指递交投标文件截止时间之前三年或前五年，以此类推。如：递交投标文件时间为  年  月  日，则“近三年”是指  年  月  日至  年  月  日。</w:t>
            </w:r>
          </w:p>
          <w:p w14:paraId="550B46D2">
            <w:pPr>
              <w:pStyle w:val="53"/>
              <w:spacing w:line="360" w:lineRule="auto"/>
              <w:rPr>
                <w:rFonts w:cs="宋体"/>
                <w:szCs w:val="24"/>
                <w:highlight w:val="none"/>
              </w:rPr>
            </w:pPr>
            <w:r>
              <w:rPr>
                <w:rFonts w:hint="eastAsia" w:cs="宋体"/>
                <w:szCs w:val="24"/>
                <w:highlight w:val="none"/>
              </w:rPr>
              <w:t>2. 本招标文件所称的“以上”、“以下”、“内”、“以内”，包括本数；所称的“不足”，不包括本数。</w:t>
            </w:r>
          </w:p>
        </w:tc>
      </w:tr>
    </w:tbl>
    <w:p w14:paraId="1FAB2D8A">
      <w:pPr>
        <w:spacing w:line="360" w:lineRule="auto"/>
        <w:rPr>
          <w:highlight w:val="none"/>
        </w:rPr>
      </w:pPr>
      <w:r>
        <w:rPr>
          <w:highlight w:val="none"/>
        </w:rPr>
        <w:br w:type="page"/>
      </w:r>
    </w:p>
    <w:p w14:paraId="5A782D71">
      <w:pPr>
        <w:pStyle w:val="4"/>
        <w:spacing w:line="360" w:lineRule="auto"/>
        <w:rPr>
          <w:highlight w:val="none"/>
        </w:rPr>
      </w:pPr>
      <w:bookmarkStart w:id="134" w:name="_Toc155185869"/>
      <w:bookmarkStart w:id="135" w:name="_Toc163492821"/>
      <w:bookmarkStart w:id="136" w:name="_Toc23095"/>
      <w:r>
        <w:rPr>
          <w:rFonts w:hint="eastAsia"/>
          <w:highlight w:val="none"/>
        </w:rPr>
        <w:t>二、投标人须知</w:t>
      </w:r>
      <w:bookmarkEnd w:id="134"/>
      <w:bookmarkEnd w:id="135"/>
      <w:bookmarkEnd w:id="136"/>
    </w:p>
    <w:p w14:paraId="0AC8A88B">
      <w:pPr>
        <w:pStyle w:val="5"/>
        <w:spacing w:line="360" w:lineRule="auto"/>
        <w:rPr>
          <w:highlight w:val="none"/>
        </w:rPr>
      </w:pPr>
      <w:bookmarkStart w:id="137" w:name="_Toc155185870"/>
      <w:bookmarkStart w:id="138" w:name="_Toc163492822"/>
      <w:r>
        <w:rPr>
          <w:rFonts w:hint="eastAsia"/>
          <w:highlight w:val="none"/>
        </w:rPr>
        <w:t>（一）总则</w:t>
      </w:r>
      <w:bookmarkEnd w:id="137"/>
      <w:bookmarkEnd w:id="138"/>
    </w:p>
    <w:p w14:paraId="72EAAC37">
      <w:pPr>
        <w:pStyle w:val="6"/>
        <w:spacing w:line="360" w:lineRule="auto"/>
        <w:rPr>
          <w:highlight w:val="none"/>
        </w:rPr>
      </w:pPr>
      <w:bookmarkStart w:id="139" w:name="_Toc109900050"/>
      <w:bookmarkStart w:id="140" w:name="_Toc163492823"/>
      <w:bookmarkStart w:id="141" w:name="_Toc155095689"/>
      <w:bookmarkStart w:id="142" w:name="_Toc109900469"/>
      <w:bookmarkStart w:id="143" w:name="_Toc109897532"/>
      <w:bookmarkStart w:id="144" w:name="_Toc31233"/>
      <w:bookmarkStart w:id="145" w:name="_Toc109899631"/>
      <w:r>
        <w:rPr>
          <w:rFonts w:hint="eastAsia"/>
          <w:highlight w:val="none"/>
        </w:rPr>
        <w:t>1.适用范围</w:t>
      </w:r>
      <w:bookmarkEnd w:id="139"/>
      <w:bookmarkEnd w:id="140"/>
      <w:bookmarkEnd w:id="141"/>
      <w:bookmarkEnd w:id="142"/>
      <w:bookmarkEnd w:id="143"/>
      <w:bookmarkEnd w:id="144"/>
      <w:bookmarkEnd w:id="145"/>
    </w:p>
    <w:p w14:paraId="0AD75D3C">
      <w:pPr>
        <w:pStyle w:val="41"/>
        <w:spacing w:line="360" w:lineRule="auto"/>
        <w:rPr>
          <w:snapToGrid w:val="0"/>
          <w:highlight w:val="none"/>
        </w:rPr>
      </w:pPr>
      <w:r>
        <w:rPr>
          <w:rFonts w:hint="eastAsia"/>
          <w:snapToGrid w:val="0"/>
          <w:highlight w:val="none"/>
        </w:rPr>
        <w:t>1.1本招标文件仅适用于本项目的采购活动。</w:t>
      </w:r>
    </w:p>
    <w:p w14:paraId="6E144820">
      <w:pPr>
        <w:pStyle w:val="6"/>
        <w:spacing w:line="360" w:lineRule="auto"/>
        <w:rPr>
          <w:highlight w:val="none"/>
        </w:rPr>
      </w:pPr>
      <w:bookmarkStart w:id="146" w:name="_Toc163492824"/>
      <w:r>
        <w:rPr>
          <w:rFonts w:hint="eastAsia"/>
          <w:highlight w:val="none"/>
        </w:rPr>
        <w:t>2.基本定义</w:t>
      </w:r>
      <w:bookmarkEnd w:id="146"/>
    </w:p>
    <w:p w14:paraId="60C39EAD">
      <w:pPr>
        <w:pStyle w:val="41"/>
        <w:spacing w:line="360" w:lineRule="auto"/>
        <w:rPr>
          <w:highlight w:val="none"/>
        </w:rPr>
      </w:pPr>
      <w:r>
        <w:rPr>
          <w:rFonts w:hint="eastAsia"/>
          <w:highlight w:val="none"/>
        </w:rPr>
        <w:t>根据《中华人民共和国政府采购法》及其实施条例等有关法律、法规和规章的规定，制定本招标文件。</w:t>
      </w:r>
    </w:p>
    <w:p w14:paraId="40ABB1F8">
      <w:pPr>
        <w:pStyle w:val="41"/>
        <w:spacing w:line="360" w:lineRule="auto"/>
        <w:rPr>
          <w:highlight w:val="none"/>
        </w:rPr>
      </w:pPr>
      <w:r>
        <w:rPr>
          <w:rFonts w:hint="eastAsia"/>
          <w:highlight w:val="none"/>
        </w:rPr>
        <w:t>2.1项目名称及编号：</w:t>
      </w:r>
      <w:r>
        <w:rPr>
          <w:rFonts w:hint="eastAsia"/>
          <w:highlight w:val="none"/>
          <w:lang w:val="en-US"/>
        </w:rPr>
        <w:t>见</w:t>
      </w:r>
      <w:r>
        <w:rPr>
          <w:rFonts w:hint="eastAsia"/>
          <w:highlight w:val="none"/>
        </w:rPr>
        <w:t>“投标人须知前附表”</w:t>
      </w:r>
      <w:r>
        <w:rPr>
          <w:rFonts w:hint="eastAsia"/>
          <w:highlight w:val="none"/>
          <w:lang w:val="en-US"/>
        </w:rPr>
        <w:t>。</w:t>
      </w:r>
    </w:p>
    <w:p w14:paraId="38762F3C">
      <w:pPr>
        <w:spacing w:line="360" w:lineRule="auto"/>
        <w:rPr>
          <w:highlight w:val="none"/>
        </w:rPr>
      </w:pPr>
      <w:r>
        <w:rPr>
          <w:rFonts w:hint="eastAsia"/>
          <w:highlight w:val="none"/>
        </w:rPr>
        <w:t>2.2采购人：</w:t>
      </w:r>
      <w:r>
        <w:rPr>
          <w:rFonts w:hint="eastAsia"/>
          <w:highlight w:val="none"/>
          <w:lang w:bidi="ar"/>
        </w:rPr>
        <w:t>指依法进行政府采购的国家机关、事业单位、团体组织</w:t>
      </w:r>
      <w:r>
        <w:rPr>
          <w:rFonts w:hint="eastAsia"/>
          <w:highlight w:val="none"/>
        </w:rPr>
        <w:t>。</w:t>
      </w:r>
    </w:p>
    <w:p w14:paraId="33538EDA">
      <w:pPr>
        <w:spacing w:line="360" w:lineRule="auto"/>
        <w:rPr>
          <w:highlight w:val="none"/>
        </w:rPr>
      </w:pPr>
      <w:r>
        <w:rPr>
          <w:rFonts w:hint="eastAsia"/>
          <w:highlight w:val="none"/>
        </w:rPr>
        <w:t>2.3采购代理机构：</w:t>
      </w:r>
      <w:r>
        <w:rPr>
          <w:rFonts w:hint="eastAsia"/>
          <w:highlight w:val="none"/>
          <w:lang w:bidi="ar"/>
        </w:rPr>
        <w:t>指依法进行政府采购的国家机关、事业单位、团体组织</w:t>
      </w:r>
      <w:r>
        <w:rPr>
          <w:rFonts w:hint="eastAsia"/>
          <w:highlight w:val="none"/>
        </w:rPr>
        <w:t>委托的采购代理机构。</w:t>
      </w:r>
    </w:p>
    <w:p w14:paraId="00D734DF">
      <w:pPr>
        <w:pStyle w:val="41"/>
        <w:spacing w:line="360" w:lineRule="auto"/>
        <w:rPr>
          <w:highlight w:val="none"/>
        </w:rPr>
      </w:pPr>
      <w:r>
        <w:rPr>
          <w:rFonts w:hint="eastAsia"/>
          <w:highlight w:val="none"/>
        </w:rPr>
        <w:t>2.4</w:t>
      </w:r>
      <w:r>
        <w:rPr>
          <w:highlight w:val="none"/>
          <w:lang w:val="en-US"/>
        </w:rPr>
        <w:t>项目概况：</w:t>
      </w:r>
      <w:r>
        <w:rPr>
          <w:rFonts w:hint="eastAsia"/>
          <w:highlight w:val="none"/>
          <w:lang w:val="en-US"/>
        </w:rPr>
        <w:t>见</w:t>
      </w:r>
      <w:r>
        <w:rPr>
          <w:rFonts w:hint="eastAsia"/>
          <w:highlight w:val="none"/>
        </w:rPr>
        <w:t>“投标人须知前附表”</w:t>
      </w:r>
    </w:p>
    <w:p w14:paraId="3B362472">
      <w:pPr>
        <w:pStyle w:val="41"/>
        <w:spacing w:line="360" w:lineRule="auto"/>
        <w:rPr>
          <w:highlight w:val="none"/>
          <w:lang w:val="en-US"/>
        </w:rPr>
      </w:pPr>
      <w:r>
        <w:rPr>
          <w:rFonts w:hint="eastAsia"/>
          <w:highlight w:val="none"/>
          <w:lang w:val="en-US"/>
        </w:rPr>
        <w:t>2.5</w:t>
      </w:r>
      <w:r>
        <w:rPr>
          <w:rFonts w:hint="eastAsia"/>
          <w:highlight w:val="none"/>
        </w:rPr>
        <w:t>政府采购监督管理部门：各级人民政府财政部门是负责政府采购监督管理的部门，依法履行对政府采购活动的监督管理职责。各级人民政府其他有关部门依法履行与政府采购活动有关的监督管理职责。</w:t>
      </w:r>
    </w:p>
    <w:p w14:paraId="4EC23E1F">
      <w:pPr>
        <w:pStyle w:val="41"/>
        <w:spacing w:line="360" w:lineRule="auto"/>
        <w:rPr>
          <w:highlight w:val="none"/>
        </w:rPr>
      </w:pPr>
      <w:r>
        <w:rPr>
          <w:rFonts w:hint="eastAsia"/>
          <w:highlight w:val="none"/>
        </w:rPr>
        <w:t>2.6核心产品见“投标人须知前附表”。</w:t>
      </w:r>
    </w:p>
    <w:p w14:paraId="5AC98EE7">
      <w:pPr>
        <w:pStyle w:val="41"/>
        <w:spacing w:line="360" w:lineRule="auto"/>
        <w:rPr>
          <w:highlight w:val="none"/>
        </w:rPr>
      </w:pPr>
      <w:r>
        <w:rPr>
          <w:rFonts w:hint="eastAsia"/>
          <w:highlight w:val="none"/>
        </w:rPr>
        <w:t>2</w:t>
      </w:r>
      <w:r>
        <w:rPr>
          <w:highlight w:val="none"/>
        </w:rPr>
        <w:t>.7</w:t>
      </w:r>
      <w:r>
        <w:rPr>
          <w:rFonts w:hint="eastAsia"/>
          <w:highlight w:val="none"/>
        </w:rPr>
        <w:t>是否属于</w:t>
      </w:r>
      <w:r>
        <w:rPr>
          <w:rFonts w:ascii="FZShuSong-Z01" w:hAnsi="FZShuSong-Z01" w:cs="FZShuSong-Z01"/>
          <w:kern w:val="0"/>
          <w:szCs w:val="24"/>
          <w:highlight w:val="none"/>
          <w:lang w:bidi="ar"/>
        </w:rPr>
        <w:t>科研仪器设备</w:t>
      </w:r>
      <w:r>
        <w:rPr>
          <w:rFonts w:hint="eastAsia" w:ascii="FZShuSong-Z01" w:hAnsi="FZShuSong-Z01" w:cs="FZShuSong-Z01"/>
          <w:kern w:val="0"/>
          <w:szCs w:val="24"/>
          <w:highlight w:val="none"/>
          <w:lang w:bidi="ar"/>
        </w:rPr>
        <w:t>采购</w:t>
      </w:r>
      <w:r>
        <w:rPr>
          <w:rFonts w:hint="eastAsia"/>
          <w:highlight w:val="none"/>
        </w:rPr>
        <w:t>见“投标人须知前附表”。</w:t>
      </w:r>
    </w:p>
    <w:p w14:paraId="4BF3CBAF">
      <w:pPr>
        <w:pStyle w:val="41"/>
        <w:spacing w:line="360" w:lineRule="auto"/>
        <w:rPr>
          <w:highlight w:val="none"/>
        </w:rPr>
      </w:pPr>
      <w:r>
        <w:rPr>
          <w:rFonts w:hint="eastAsia"/>
          <w:iCs w:val="0"/>
          <w:highlight w:val="none"/>
        </w:rPr>
        <w:t>2.</w:t>
      </w:r>
      <w:r>
        <w:rPr>
          <w:iCs w:val="0"/>
          <w:highlight w:val="none"/>
        </w:rPr>
        <w:t>8</w:t>
      </w:r>
      <w:r>
        <w:rPr>
          <w:rFonts w:hint="eastAsia"/>
          <w:highlight w:val="none"/>
        </w:rPr>
        <w:t>投标人</w:t>
      </w:r>
      <w:r>
        <w:rPr>
          <w:rFonts w:hint="eastAsia"/>
          <w:iCs w:val="0"/>
          <w:highlight w:val="none"/>
        </w:rPr>
        <w:t>（也称“供应商”、“申请人”）：指向采购人提供货物、工程或者服务的法人、其他组织或者自然人。</w:t>
      </w:r>
      <w:r>
        <w:rPr>
          <w:rFonts w:hint="eastAsia"/>
          <w:highlight w:val="none"/>
        </w:rPr>
        <w:t>分支机构不得参加政府采购活动，但银行、保险、石油石化、电力、电信等有行业特殊情况的除外。</w:t>
      </w:r>
      <w:r>
        <w:rPr>
          <w:highlight w:val="none"/>
        </w:rPr>
        <w:t>本项目的投标人须满足以下条件：</w:t>
      </w:r>
    </w:p>
    <w:p w14:paraId="3E69703E">
      <w:pPr>
        <w:pStyle w:val="41"/>
        <w:spacing w:line="360" w:lineRule="auto"/>
        <w:rPr>
          <w:highlight w:val="none"/>
        </w:rPr>
      </w:pPr>
      <w:r>
        <w:rPr>
          <w:rFonts w:hint="eastAsia"/>
          <w:highlight w:val="none"/>
        </w:rPr>
        <w:t>2.</w:t>
      </w:r>
      <w:r>
        <w:rPr>
          <w:highlight w:val="none"/>
        </w:rPr>
        <w:t>8.</w:t>
      </w:r>
      <w:r>
        <w:rPr>
          <w:rFonts w:hint="eastAsia"/>
          <w:highlight w:val="none"/>
        </w:rPr>
        <w:t>1</w:t>
      </w:r>
      <w:r>
        <w:rPr>
          <w:highlight w:val="none"/>
        </w:rPr>
        <w:t>具备《中华人民共和国政府采购法》第二十二条规定的</w:t>
      </w:r>
      <w:r>
        <w:rPr>
          <w:rFonts w:hint="eastAsia"/>
          <w:highlight w:val="none"/>
        </w:rPr>
        <w:t>条件</w:t>
      </w:r>
      <w:r>
        <w:rPr>
          <w:highlight w:val="none"/>
        </w:rPr>
        <w:t>，遵守本项目采购人本级和上级财政部门政府采购的有关规定。</w:t>
      </w:r>
    </w:p>
    <w:p w14:paraId="6999C769">
      <w:pPr>
        <w:pStyle w:val="41"/>
        <w:spacing w:line="360" w:lineRule="auto"/>
        <w:rPr>
          <w:highlight w:val="none"/>
        </w:rPr>
      </w:pPr>
      <w:r>
        <w:rPr>
          <w:rFonts w:hint="eastAsia"/>
          <w:highlight w:val="none"/>
        </w:rPr>
        <w:t>2.</w:t>
      </w:r>
      <w:r>
        <w:rPr>
          <w:highlight w:val="none"/>
        </w:rPr>
        <w:t>8</w:t>
      </w:r>
      <w:r>
        <w:rPr>
          <w:rFonts w:hint="eastAsia"/>
          <w:highlight w:val="none"/>
        </w:rPr>
        <w:t>.2以招标公告中发布的方式依法获得了本项目的招标文件。</w:t>
      </w:r>
    </w:p>
    <w:p w14:paraId="5F23F580">
      <w:pPr>
        <w:pStyle w:val="41"/>
        <w:spacing w:line="360" w:lineRule="auto"/>
        <w:rPr>
          <w:highlight w:val="none"/>
        </w:rPr>
      </w:pPr>
      <w:r>
        <w:rPr>
          <w:rFonts w:hint="eastAsia"/>
          <w:highlight w:val="none"/>
        </w:rPr>
        <w:t>2.</w:t>
      </w:r>
      <w:r>
        <w:rPr>
          <w:highlight w:val="none"/>
        </w:rPr>
        <w:t>8</w:t>
      </w:r>
      <w:r>
        <w:rPr>
          <w:rFonts w:hint="eastAsia"/>
          <w:highlight w:val="none"/>
        </w:rPr>
        <w:t>.3符合本招标文件规定并参加投标的供应商。</w:t>
      </w:r>
    </w:p>
    <w:p w14:paraId="505FFEB6">
      <w:pPr>
        <w:pStyle w:val="41"/>
        <w:spacing w:line="360" w:lineRule="auto"/>
        <w:rPr>
          <w:highlight w:val="none"/>
        </w:rPr>
      </w:pPr>
      <w:r>
        <w:rPr>
          <w:rFonts w:hint="eastAsia"/>
          <w:highlight w:val="none"/>
        </w:rPr>
        <w:t>2.</w:t>
      </w:r>
      <w:r>
        <w:rPr>
          <w:highlight w:val="none"/>
        </w:rPr>
        <w:t>9</w:t>
      </w:r>
      <w:r>
        <w:rPr>
          <w:rFonts w:hint="eastAsia"/>
          <w:iCs w:val="0"/>
          <w:highlight w:val="none"/>
        </w:rPr>
        <w:t>潜在</w:t>
      </w:r>
      <w:r>
        <w:rPr>
          <w:rFonts w:hint="eastAsia"/>
          <w:highlight w:val="none"/>
        </w:rPr>
        <w:t>投标人</w:t>
      </w:r>
      <w:r>
        <w:rPr>
          <w:rFonts w:hint="eastAsia"/>
          <w:iCs w:val="0"/>
          <w:highlight w:val="none"/>
        </w:rPr>
        <w:t>、潜在供应商：指</w:t>
      </w:r>
      <w:r>
        <w:rPr>
          <w:rFonts w:hint="eastAsia"/>
          <w:highlight w:val="none"/>
        </w:rPr>
        <w:t>符合本招标文件规定的供应商。</w:t>
      </w:r>
    </w:p>
    <w:p w14:paraId="3B747576">
      <w:pPr>
        <w:pStyle w:val="6"/>
        <w:spacing w:line="360" w:lineRule="auto"/>
        <w:rPr>
          <w:highlight w:val="none"/>
        </w:rPr>
      </w:pPr>
      <w:bookmarkStart w:id="147" w:name="_Toc140132758"/>
      <w:bookmarkStart w:id="148" w:name="_Toc163492825"/>
      <w:r>
        <w:rPr>
          <w:rFonts w:hint="eastAsia"/>
          <w:highlight w:val="none"/>
        </w:rPr>
        <w:t>3.资金来源</w:t>
      </w:r>
      <w:bookmarkEnd w:id="147"/>
      <w:bookmarkEnd w:id="148"/>
    </w:p>
    <w:p w14:paraId="62A70D8E">
      <w:pPr>
        <w:pStyle w:val="41"/>
        <w:spacing w:line="360" w:lineRule="auto"/>
        <w:rPr>
          <w:highlight w:val="none"/>
        </w:rPr>
      </w:pPr>
      <w:r>
        <w:rPr>
          <w:rFonts w:hint="eastAsia"/>
          <w:highlight w:val="none"/>
        </w:rPr>
        <w:t>3.1资金来源：</w:t>
      </w:r>
      <w:r>
        <w:rPr>
          <w:rFonts w:hint="eastAsia"/>
          <w:highlight w:val="none"/>
          <w:lang w:val="en-US"/>
        </w:rPr>
        <w:t>为财政性资金即</w:t>
      </w:r>
      <w:r>
        <w:rPr>
          <w:rFonts w:hint="eastAsia"/>
          <w:highlight w:val="none"/>
        </w:rPr>
        <w:t>纳入预算管理的资金。以财政性资金作为还款来源的借贷资金，视同财政性资金。财政性资金与非财政性资金无法分割采购的，统一适用《中华人民共和国政府采购法》及其实施条例。</w:t>
      </w:r>
    </w:p>
    <w:p w14:paraId="424FA6EA">
      <w:pPr>
        <w:pStyle w:val="6"/>
        <w:spacing w:line="360" w:lineRule="auto"/>
        <w:rPr>
          <w:highlight w:val="none"/>
        </w:rPr>
      </w:pPr>
      <w:bookmarkStart w:id="149" w:name="_Toc140132760"/>
      <w:bookmarkStart w:id="150" w:name="_Toc163492826"/>
      <w:r>
        <w:rPr>
          <w:rFonts w:hint="eastAsia"/>
          <w:highlight w:val="none"/>
        </w:rPr>
        <w:t>4.投标人资格要求</w:t>
      </w:r>
      <w:bookmarkEnd w:id="149"/>
      <w:bookmarkEnd w:id="150"/>
    </w:p>
    <w:p w14:paraId="5E6FF283">
      <w:pPr>
        <w:pStyle w:val="41"/>
        <w:spacing w:line="360" w:lineRule="auto"/>
        <w:rPr>
          <w:highlight w:val="none"/>
        </w:rPr>
      </w:pPr>
      <w:r>
        <w:rPr>
          <w:rFonts w:hint="eastAsia"/>
          <w:highlight w:val="none"/>
        </w:rPr>
        <w:t>4.1投标人资格要求：见“</w:t>
      </w:r>
      <w:r>
        <w:rPr>
          <w:rFonts w:hint="eastAsia"/>
          <w:highlight w:val="none"/>
          <w:lang w:val="en-US"/>
        </w:rPr>
        <w:t>第一章 招标公告</w:t>
      </w:r>
      <w:r>
        <w:rPr>
          <w:rFonts w:hint="eastAsia"/>
          <w:highlight w:val="none"/>
        </w:rPr>
        <w:t>”；</w:t>
      </w:r>
    </w:p>
    <w:p w14:paraId="09E84051">
      <w:pPr>
        <w:pStyle w:val="41"/>
        <w:spacing w:line="360" w:lineRule="auto"/>
        <w:rPr>
          <w:highlight w:val="none"/>
        </w:rPr>
      </w:pPr>
      <w:r>
        <w:rPr>
          <w:rFonts w:hint="eastAsia"/>
          <w:highlight w:val="none"/>
          <w:lang w:val="en-US"/>
        </w:rPr>
        <w:t>4</w:t>
      </w:r>
      <w:r>
        <w:rPr>
          <w:rFonts w:hint="eastAsia"/>
          <w:highlight w:val="none"/>
        </w:rPr>
        <w:t>.</w:t>
      </w:r>
      <w:r>
        <w:rPr>
          <w:rFonts w:hint="eastAsia"/>
          <w:highlight w:val="none"/>
          <w:lang w:val="en-US"/>
        </w:rPr>
        <w:t>2</w:t>
      </w:r>
      <w:r>
        <w:rPr>
          <w:rFonts w:hint="eastAsia"/>
          <w:highlight w:val="none"/>
        </w:rPr>
        <w:t>“</w:t>
      </w:r>
      <w:r>
        <w:rPr>
          <w:rFonts w:hint="eastAsia"/>
          <w:highlight w:val="none"/>
          <w:lang w:val="en-US"/>
        </w:rPr>
        <w:t>第一章 招标公告</w:t>
      </w:r>
      <w:r>
        <w:rPr>
          <w:rFonts w:hint="eastAsia"/>
          <w:highlight w:val="none"/>
        </w:rPr>
        <w:t>”规定接受联合体投标的，还应遵守以下规定：</w:t>
      </w:r>
    </w:p>
    <w:p w14:paraId="6E533180">
      <w:pPr>
        <w:pStyle w:val="41"/>
        <w:spacing w:line="360" w:lineRule="auto"/>
        <w:rPr>
          <w:highlight w:val="none"/>
        </w:rPr>
      </w:pPr>
      <w:r>
        <w:rPr>
          <w:rFonts w:hint="eastAsia"/>
          <w:highlight w:val="none"/>
          <w:lang w:val="en-US"/>
        </w:rPr>
        <w:t>4</w:t>
      </w:r>
      <w:r>
        <w:rPr>
          <w:rFonts w:hint="eastAsia"/>
          <w:highlight w:val="none"/>
        </w:rPr>
        <w:t>.</w:t>
      </w:r>
      <w:r>
        <w:rPr>
          <w:rFonts w:hint="eastAsia"/>
          <w:highlight w:val="none"/>
          <w:lang w:val="en-US"/>
        </w:rPr>
        <w:t>2.</w:t>
      </w:r>
      <w:r>
        <w:rPr>
          <w:rFonts w:hint="eastAsia"/>
          <w:highlight w:val="none"/>
        </w:rPr>
        <w:t>1两个以上的自然人、法人或者其他组织可以组成一个联合体，以一个</w:t>
      </w:r>
      <w:r>
        <w:rPr>
          <w:rFonts w:hint="eastAsia"/>
          <w:highlight w:val="none"/>
          <w:lang w:val="en-US"/>
        </w:rPr>
        <w:t>投标人</w:t>
      </w:r>
      <w:r>
        <w:rPr>
          <w:rFonts w:hint="eastAsia"/>
          <w:highlight w:val="none"/>
        </w:rPr>
        <w:t>的身份共同参加政府采购。以联合体形式进行政府采购的，参加联合体的供应商均应当具备《中华人民共和国政府采购法》第二十二条规定的条件。</w:t>
      </w:r>
    </w:p>
    <w:p w14:paraId="6F3A21D7">
      <w:pPr>
        <w:pStyle w:val="41"/>
        <w:spacing w:line="360" w:lineRule="auto"/>
        <w:rPr>
          <w:highlight w:val="none"/>
        </w:rPr>
      </w:pPr>
      <w:r>
        <w:rPr>
          <w:rFonts w:hint="eastAsia"/>
          <w:highlight w:val="none"/>
          <w:lang w:val="en-US"/>
        </w:rPr>
        <w:t>4</w:t>
      </w:r>
      <w:r>
        <w:rPr>
          <w:rFonts w:hint="eastAsia"/>
          <w:highlight w:val="none"/>
        </w:rPr>
        <w:t>.</w:t>
      </w:r>
      <w:r>
        <w:rPr>
          <w:rFonts w:hint="eastAsia"/>
          <w:highlight w:val="none"/>
          <w:lang w:val="en-US"/>
        </w:rPr>
        <w:t>2.2</w:t>
      </w:r>
      <w:r>
        <w:rPr>
          <w:rFonts w:hint="eastAsia"/>
          <w:highlight w:val="none"/>
        </w:rPr>
        <w:t>联合体各方应按招标文件提供的格式签订联合</w:t>
      </w:r>
      <w:r>
        <w:rPr>
          <w:rFonts w:hint="eastAsia"/>
          <w:highlight w:val="none"/>
          <w:lang w:val="en-US"/>
        </w:rPr>
        <w:t>体</w:t>
      </w:r>
      <w:r>
        <w:rPr>
          <w:rFonts w:hint="eastAsia"/>
          <w:highlight w:val="none"/>
        </w:rPr>
        <w:t>协议</w:t>
      </w:r>
      <w:r>
        <w:rPr>
          <w:rFonts w:hint="eastAsia"/>
          <w:highlight w:val="none"/>
          <w:lang w:val="en-US"/>
        </w:rPr>
        <w:t>书</w:t>
      </w:r>
      <w:r>
        <w:rPr>
          <w:rFonts w:hint="eastAsia"/>
          <w:highlight w:val="none"/>
        </w:rPr>
        <w:t>，明确约定联合体各方承担的工作和相应的责任，并将联合</w:t>
      </w:r>
      <w:r>
        <w:rPr>
          <w:rFonts w:hint="eastAsia"/>
          <w:highlight w:val="none"/>
          <w:lang w:val="en-US"/>
        </w:rPr>
        <w:t>体</w:t>
      </w:r>
      <w:r>
        <w:rPr>
          <w:rFonts w:hint="eastAsia"/>
          <w:highlight w:val="none"/>
        </w:rPr>
        <w:t>协议</w:t>
      </w:r>
      <w:r>
        <w:rPr>
          <w:rFonts w:hint="eastAsia"/>
          <w:highlight w:val="none"/>
          <w:lang w:val="en-US"/>
        </w:rPr>
        <w:t>书</w:t>
      </w:r>
      <w:r>
        <w:rPr>
          <w:rFonts w:hint="eastAsia"/>
          <w:highlight w:val="none"/>
        </w:rPr>
        <w:t>作为投标文件的一部分提交，该协议书对联合</w:t>
      </w:r>
      <w:r>
        <w:rPr>
          <w:rFonts w:hint="eastAsia"/>
          <w:highlight w:val="none"/>
          <w:lang w:val="en-US"/>
        </w:rPr>
        <w:t>体所有成员</w:t>
      </w:r>
      <w:r>
        <w:rPr>
          <w:rFonts w:hint="eastAsia"/>
          <w:highlight w:val="none"/>
        </w:rPr>
        <w:t>均具有法律约束力。</w:t>
      </w:r>
    </w:p>
    <w:p w14:paraId="24F2EE3B">
      <w:pPr>
        <w:pStyle w:val="41"/>
        <w:spacing w:line="360" w:lineRule="auto"/>
        <w:rPr>
          <w:highlight w:val="none"/>
        </w:rPr>
      </w:pPr>
      <w:r>
        <w:rPr>
          <w:rFonts w:hint="eastAsia"/>
          <w:highlight w:val="none"/>
          <w:lang w:val="en-US"/>
        </w:rPr>
        <w:t>4.2.3</w:t>
      </w:r>
      <w:r>
        <w:rPr>
          <w:rFonts w:hint="eastAsia"/>
          <w:highlight w:val="none"/>
        </w:rPr>
        <w:t>联合体中有同类资质的供应商按照联合体分工承担相同工作的，应当按照资质等级较低的供应商确定资质等级。</w:t>
      </w:r>
    </w:p>
    <w:p w14:paraId="3B204801">
      <w:pPr>
        <w:pStyle w:val="41"/>
        <w:spacing w:line="360" w:lineRule="auto"/>
        <w:rPr>
          <w:highlight w:val="none"/>
        </w:rPr>
      </w:pPr>
      <w:r>
        <w:rPr>
          <w:rFonts w:hint="eastAsia"/>
          <w:highlight w:val="none"/>
          <w:lang w:val="en-US"/>
        </w:rPr>
        <w:t>4.2</w:t>
      </w:r>
      <w:r>
        <w:rPr>
          <w:rFonts w:hint="eastAsia"/>
          <w:highlight w:val="none"/>
        </w:rPr>
        <w:t>.</w:t>
      </w:r>
      <w:r>
        <w:rPr>
          <w:rFonts w:hint="eastAsia"/>
          <w:highlight w:val="none"/>
          <w:lang w:val="en-US"/>
        </w:rPr>
        <w:t>4</w:t>
      </w:r>
      <w:r>
        <w:rPr>
          <w:rFonts w:hint="eastAsia"/>
          <w:highlight w:val="none"/>
        </w:rPr>
        <w:t>以联合体形式参加政府采购活动的，联合体各方不得再单独参加或者与其他供应商另外组成联合体参加</w:t>
      </w:r>
      <w:r>
        <w:rPr>
          <w:rFonts w:hint="eastAsia"/>
          <w:highlight w:val="none"/>
          <w:lang w:val="en-US"/>
        </w:rPr>
        <w:t>同一合同项下的</w:t>
      </w:r>
      <w:r>
        <w:rPr>
          <w:rFonts w:hint="eastAsia"/>
          <w:highlight w:val="none"/>
        </w:rPr>
        <w:t>投标，否则相关投标将被认定为</w:t>
      </w:r>
      <w:r>
        <w:rPr>
          <w:rFonts w:hint="eastAsia"/>
          <w:b/>
          <w:bCs/>
          <w:highlight w:val="none"/>
        </w:rPr>
        <w:t>投标无效</w:t>
      </w:r>
      <w:r>
        <w:rPr>
          <w:rFonts w:hint="eastAsia"/>
          <w:highlight w:val="none"/>
        </w:rPr>
        <w:t>。</w:t>
      </w:r>
    </w:p>
    <w:p w14:paraId="505F07EF">
      <w:pPr>
        <w:pStyle w:val="41"/>
        <w:spacing w:line="360" w:lineRule="auto"/>
        <w:rPr>
          <w:highlight w:val="none"/>
        </w:rPr>
      </w:pPr>
      <w:r>
        <w:rPr>
          <w:rFonts w:hint="eastAsia"/>
          <w:highlight w:val="none"/>
          <w:lang w:val="en-US"/>
        </w:rPr>
        <w:t>4.2</w:t>
      </w:r>
      <w:r>
        <w:rPr>
          <w:rFonts w:hint="eastAsia"/>
          <w:highlight w:val="none"/>
        </w:rPr>
        <w:t>.5大中型企业、其他自然人、法人或者非法人组织与小型、微型企业组成联合体共同参加投标</w:t>
      </w:r>
      <w:r>
        <w:rPr>
          <w:rFonts w:hint="eastAsia"/>
          <w:highlight w:val="none"/>
          <w:lang w:val="en-US"/>
        </w:rPr>
        <w:t>的</w:t>
      </w:r>
      <w:r>
        <w:rPr>
          <w:rFonts w:hint="eastAsia"/>
          <w:highlight w:val="none"/>
        </w:rPr>
        <w:t>，联合</w:t>
      </w:r>
      <w:r>
        <w:rPr>
          <w:rFonts w:hint="eastAsia"/>
          <w:highlight w:val="none"/>
          <w:lang w:val="en-US"/>
        </w:rPr>
        <w:t>体</w:t>
      </w:r>
      <w:r>
        <w:rPr>
          <w:rFonts w:hint="eastAsia"/>
          <w:highlight w:val="none"/>
        </w:rPr>
        <w:t>协议</w:t>
      </w:r>
      <w:r>
        <w:rPr>
          <w:rFonts w:hint="eastAsia"/>
          <w:highlight w:val="none"/>
          <w:lang w:val="en-US"/>
        </w:rPr>
        <w:t>书</w:t>
      </w:r>
      <w:r>
        <w:rPr>
          <w:rFonts w:hint="eastAsia"/>
          <w:highlight w:val="none"/>
        </w:rPr>
        <w:t>中应写明小型、微型企业的合同金额占到联合</w:t>
      </w:r>
      <w:r>
        <w:rPr>
          <w:rFonts w:hint="eastAsia"/>
          <w:highlight w:val="none"/>
          <w:lang w:val="en-US"/>
        </w:rPr>
        <w:t>体</w:t>
      </w:r>
      <w:r>
        <w:rPr>
          <w:rFonts w:hint="eastAsia"/>
          <w:highlight w:val="none"/>
        </w:rPr>
        <w:t>投标</w:t>
      </w:r>
      <w:r>
        <w:rPr>
          <w:rFonts w:hint="eastAsia"/>
          <w:highlight w:val="none"/>
          <w:lang w:val="en-US"/>
        </w:rPr>
        <w:t>合同</w:t>
      </w:r>
      <w:r>
        <w:rPr>
          <w:rFonts w:hint="eastAsia"/>
          <w:highlight w:val="none"/>
        </w:rPr>
        <w:t>总金额的比例。</w:t>
      </w:r>
    </w:p>
    <w:p w14:paraId="405D4394">
      <w:pPr>
        <w:pStyle w:val="41"/>
        <w:spacing w:line="360" w:lineRule="auto"/>
        <w:rPr>
          <w:highlight w:val="none"/>
        </w:rPr>
      </w:pPr>
      <w:r>
        <w:rPr>
          <w:rFonts w:hint="eastAsia"/>
          <w:highlight w:val="none"/>
        </w:rPr>
        <w:t>4.2</w:t>
      </w:r>
      <w:r>
        <w:rPr>
          <w:rFonts w:hint="eastAsia"/>
          <w:highlight w:val="none"/>
          <w:lang w:val="en-US"/>
        </w:rPr>
        <w:t>.6</w:t>
      </w:r>
      <w:r>
        <w:rPr>
          <w:rFonts w:hint="eastAsia"/>
          <w:highlight w:val="none"/>
        </w:rPr>
        <w:t>联合体中标</w:t>
      </w:r>
      <w:r>
        <w:rPr>
          <w:rFonts w:hint="eastAsia"/>
          <w:highlight w:val="none"/>
          <w:lang w:val="en-US"/>
        </w:rPr>
        <w:t>的</w:t>
      </w:r>
      <w:r>
        <w:rPr>
          <w:rFonts w:hint="eastAsia"/>
          <w:highlight w:val="none"/>
        </w:rPr>
        <w:t>，</w:t>
      </w:r>
      <w:r>
        <w:rPr>
          <w:rFonts w:hint="eastAsia"/>
          <w:highlight w:val="none"/>
          <w:lang w:val="en-US"/>
        </w:rPr>
        <w:t>采购</w:t>
      </w:r>
      <w:r>
        <w:rPr>
          <w:rFonts w:hint="eastAsia"/>
          <w:highlight w:val="none"/>
        </w:rPr>
        <w:t>合同应由</w:t>
      </w:r>
      <w:r>
        <w:rPr>
          <w:rFonts w:hint="eastAsia"/>
          <w:highlight w:val="none"/>
          <w:lang w:val="en-US"/>
        </w:rPr>
        <w:t>联合体</w:t>
      </w:r>
      <w:r>
        <w:rPr>
          <w:rFonts w:hint="eastAsia"/>
          <w:highlight w:val="none"/>
        </w:rPr>
        <w:t>各成员的合法授权代表签字</w:t>
      </w:r>
      <w:r>
        <w:rPr>
          <w:rFonts w:hint="eastAsia"/>
          <w:highlight w:val="none"/>
          <w:lang w:val="en-US"/>
        </w:rPr>
        <w:t>及</w:t>
      </w:r>
      <w:r>
        <w:rPr>
          <w:rFonts w:hint="eastAsia"/>
          <w:highlight w:val="none"/>
        </w:rPr>
        <w:t>加盖</w:t>
      </w:r>
      <w:r>
        <w:rPr>
          <w:rFonts w:hint="eastAsia"/>
          <w:highlight w:val="none"/>
          <w:lang w:val="en-US"/>
        </w:rPr>
        <w:t>联合体</w:t>
      </w:r>
      <w:r>
        <w:rPr>
          <w:rFonts w:hint="eastAsia"/>
          <w:highlight w:val="none"/>
        </w:rPr>
        <w:t>各成员公章，</w:t>
      </w:r>
      <w:r>
        <w:rPr>
          <w:rFonts w:hint="eastAsia"/>
          <w:highlight w:val="none"/>
          <w:lang w:val="en-US"/>
        </w:rPr>
        <w:t>并</w:t>
      </w:r>
      <w:r>
        <w:rPr>
          <w:rFonts w:hint="eastAsia"/>
          <w:highlight w:val="none"/>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7A13F12D">
      <w:pPr>
        <w:pStyle w:val="41"/>
        <w:spacing w:line="360" w:lineRule="auto"/>
        <w:rPr>
          <w:highlight w:val="none"/>
        </w:rPr>
      </w:pPr>
      <w:r>
        <w:rPr>
          <w:rFonts w:hint="eastAsia"/>
          <w:highlight w:val="none"/>
        </w:rPr>
        <w:t>4.2</w:t>
      </w:r>
      <w:r>
        <w:rPr>
          <w:rFonts w:hint="eastAsia"/>
          <w:highlight w:val="none"/>
          <w:lang w:val="en-US"/>
        </w:rPr>
        <w:t>.7</w:t>
      </w:r>
      <w:r>
        <w:rPr>
          <w:rFonts w:hint="eastAsia"/>
          <w:highlight w:val="none"/>
        </w:rPr>
        <w:t>联合体或其成员不得将其在合同项下的权利或义务全部或部分转让给第三人，有关分包事项须事先取得采购</w:t>
      </w:r>
      <w:r>
        <w:rPr>
          <w:rFonts w:hint="eastAsia"/>
          <w:highlight w:val="none"/>
          <w:lang w:val="en-US"/>
        </w:rPr>
        <w:t>人</w:t>
      </w:r>
      <w:r>
        <w:rPr>
          <w:rFonts w:hint="eastAsia"/>
          <w:highlight w:val="none"/>
        </w:rPr>
        <w:t>书面同意并且须遵守相关法律、法规、本次招标的全部相关规定。</w:t>
      </w:r>
    </w:p>
    <w:p w14:paraId="5C541B3D">
      <w:pPr>
        <w:pStyle w:val="41"/>
        <w:spacing w:line="360" w:lineRule="auto"/>
        <w:rPr>
          <w:highlight w:val="none"/>
        </w:rPr>
      </w:pPr>
      <w:r>
        <w:rPr>
          <w:rFonts w:hint="eastAsia"/>
          <w:highlight w:val="none"/>
        </w:rPr>
        <w:t>4.2.8对联合体投标的其他资格要求见“第一章 招标公告”中的“二、申请人的资格要求”。</w:t>
      </w:r>
    </w:p>
    <w:p w14:paraId="1C91A91C">
      <w:pPr>
        <w:pStyle w:val="6"/>
        <w:spacing w:line="360" w:lineRule="auto"/>
        <w:rPr>
          <w:highlight w:val="none"/>
        </w:rPr>
      </w:pPr>
      <w:bookmarkStart w:id="151" w:name="_Toc163492827"/>
      <w:r>
        <w:rPr>
          <w:rFonts w:hint="eastAsia"/>
          <w:highlight w:val="none"/>
        </w:rPr>
        <w:t>5.费用承担</w:t>
      </w:r>
      <w:bookmarkEnd w:id="151"/>
    </w:p>
    <w:p w14:paraId="00F70057">
      <w:pPr>
        <w:pStyle w:val="41"/>
        <w:spacing w:line="360" w:lineRule="auto"/>
        <w:rPr>
          <w:highlight w:val="none"/>
        </w:rPr>
      </w:pPr>
      <w:r>
        <w:rPr>
          <w:rFonts w:hint="eastAsia"/>
          <w:highlight w:val="none"/>
        </w:rPr>
        <w:t>5.1不论投标的结果如何，投标人应承担所有与准备和参加投标有关的费用。</w:t>
      </w:r>
    </w:p>
    <w:p w14:paraId="041F0A72">
      <w:pPr>
        <w:pStyle w:val="6"/>
        <w:spacing w:line="360" w:lineRule="auto"/>
        <w:rPr>
          <w:highlight w:val="none"/>
        </w:rPr>
      </w:pPr>
      <w:bookmarkStart w:id="152" w:name="_Toc140132761"/>
      <w:bookmarkStart w:id="153" w:name="_Toc163492828"/>
      <w:r>
        <w:rPr>
          <w:rFonts w:hint="eastAsia"/>
          <w:highlight w:val="none"/>
        </w:rPr>
        <w:t>6.保密</w:t>
      </w:r>
      <w:bookmarkEnd w:id="152"/>
      <w:bookmarkEnd w:id="153"/>
    </w:p>
    <w:p w14:paraId="59D1B9CD">
      <w:pPr>
        <w:pStyle w:val="41"/>
        <w:spacing w:line="360" w:lineRule="auto"/>
        <w:rPr>
          <w:highlight w:val="none"/>
        </w:rPr>
      </w:pPr>
      <w:r>
        <w:rPr>
          <w:rFonts w:hint="eastAsia"/>
          <w:highlight w:val="none"/>
        </w:rPr>
        <w:t>6.1</w:t>
      </w:r>
      <w:r>
        <w:rPr>
          <w:rFonts w:hint="eastAsia"/>
          <w:highlight w:val="none"/>
          <w:lang w:val="en-US"/>
        </w:rPr>
        <w:t xml:space="preserve"> </w:t>
      </w:r>
      <w:r>
        <w:rPr>
          <w:rFonts w:hint="eastAsia"/>
          <w:highlight w:val="none"/>
        </w:rPr>
        <w:t>参与招标投标活动的各方应对招标文件和投标文件中的商业和技术等秘密保密，否则应承担相应的法律责任。</w:t>
      </w:r>
    </w:p>
    <w:p w14:paraId="565D8234">
      <w:pPr>
        <w:pStyle w:val="58"/>
        <w:spacing w:line="360" w:lineRule="auto"/>
        <w:ind w:firstLine="480" w:firstLineChars="200"/>
        <w:rPr>
          <w:rFonts w:ascii="宋体" w:hAnsi="宋体" w:eastAsia="宋体" w:cs="宋体"/>
          <w:kern w:val="2"/>
          <w:sz w:val="24"/>
          <w:szCs w:val="22"/>
          <w:highlight w:val="none"/>
        </w:rPr>
      </w:pPr>
      <w:r>
        <w:rPr>
          <w:rFonts w:hint="eastAsia" w:ascii="宋体" w:hAnsi="宋体" w:eastAsia="宋体" w:cs="宋体"/>
          <w:kern w:val="2"/>
          <w:sz w:val="24"/>
          <w:szCs w:val="22"/>
          <w:highlight w:val="none"/>
        </w:rPr>
        <w:t>6.2 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044BF4F8">
      <w:pPr>
        <w:pStyle w:val="58"/>
        <w:spacing w:line="360" w:lineRule="auto"/>
        <w:ind w:firstLine="480" w:firstLineChars="200"/>
        <w:rPr>
          <w:rFonts w:ascii="宋体" w:hAnsi="宋体" w:eastAsia="宋体" w:cs="宋体"/>
          <w:kern w:val="2"/>
          <w:sz w:val="24"/>
          <w:szCs w:val="22"/>
          <w:highlight w:val="none"/>
        </w:rPr>
      </w:pPr>
      <w:r>
        <w:rPr>
          <w:rFonts w:hint="eastAsia" w:ascii="宋体" w:hAnsi="宋体" w:eastAsia="宋体" w:cs="宋体"/>
          <w:kern w:val="2"/>
          <w:sz w:val="24"/>
          <w:szCs w:val="22"/>
          <w:highlight w:val="none"/>
        </w:rPr>
        <w:t>6.3 采购代理机构有权将投标人提供的所有资料向有关政府部门或评审投标文件的有关人员披露。</w:t>
      </w:r>
    </w:p>
    <w:p w14:paraId="4BAA1C74">
      <w:pPr>
        <w:pStyle w:val="58"/>
        <w:spacing w:line="360" w:lineRule="auto"/>
        <w:ind w:firstLine="480" w:firstLineChars="200"/>
        <w:rPr>
          <w:rFonts w:ascii="宋体" w:hAnsi="宋体" w:eastAsia="宋体" w:cs="宋体"/>
          <w:kern w:val="2"/>
          <w:sz w:val="24"/>
          <w:szCs w:val="22"/>
          <w:highlight w:val="none"/>
        </w:rPr>
      </w:pPr>
      <w:r>
        <w:rPr>
          <w:rFonts w:hint="eastAsia" w:ascii="宋体" w:hAnsi="宋体" w:eastAsia="宋体" w:cs="宋体"/>
          <w:kern w:val="2"/>
          <w:sz w:val="24"/>
          <w:szCs w:val="22"/>
          <w:highlight w:val="none"/>
        </w:rPr>
        <w:t>6.4 各级人民政府财政部门对政府采购活动进行监督检查，有权查阅、复制有关文件、资料，相关单位和人员应当予以配合。</w:t>
      </w:r>
    </w:p>
    <w:p w14:paraId="6ACB699D">
      <w:pPr>
        <w:pStyle w:val="6"/>
        <w:spacing w:line="360" w:lineRule="auto"/>
        <w:rPr>
          <w:highlight w:val="none"/>
        </w:rPr>
      </w:pPr>
      <w:bookmarkStart w:id="154" w:name="_Toc140132762"/>
      <w:bookmarkStart w:id="155" w:name="_Toc163492829"/>
      <w:r>
        <w:rPr>
          <w:rFonts w:hint="eastAsia"/>
          <w:highlight w:val="none"/>
        </w:rPr>
        <w:t>7.语言文字</w:t>
      </w:r>
      <w:bookmarkEnd w:id="154"/>
      <w:bookmarkEnd w:id="155"/>
    </w:p>
    <w:p w14:paraId="4FB98826">
      <w:pPr>
        <w:pStyle w:val="41"/>
        <w:spacing w:line="360" w:lineRule="auto"/>
        <w:rPr>
          <w:highlight w:val="none"/>
        </w:rPr>
      </w:pPr>
      <w:r>
        <w:rPr>
          <w:rFonts w:hint="eastAsia"/>
          <w:highlight w:val="none"/>
        </w:rPr>
        <w:t>7.1招标投标过程文件使用的语言文字为中文。专用术语使用外文的，应附有中文注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68DE8C2B">
      <w:pPr>
        <w:pStyle w:val="6"/>
        <w:spacing w:line="360" w:lineRule="auto"/>
        <w:rPr>
          <w:highlight w:val="none"/>
        </w:rPr>
      </w:pPr>
      <w:bookmarkStart w:id="156" w:name="_Toc163492830"/>
      <w:bookmarkStart w:id="157" w:name="_Toc140132763"/>
      <w:r>
        <w:rPr>
          <w:rFonts w:hint="eastAsia"/>
          <w:highlight w:val="none"/>
        </w:rPr>
        <w:t>8.计量单位</w:t>
      </w:r>
      <w:bookmarkEnd w:id="156"/>
      <w:bookmarkEnd w:id="157"/>
    </w:p>
    <w:p w14:paraId="4B0D6021">
      <w:pPr>
        <w:pStyle w:val="41"/>
        <w:spacing w:line="360" w:lineRule="auto"/>
        <w:rPr>
          <w:highlight w:val="none"/>
        </w:rPr>
      </w:pPr>
      <w:r>
        <w:rPr>
          <w:rFonts w:hint="eastAsia"/>
          <w:highlight w:val="none"/>
        </w:rPr>
        <w:t>8.1所有计量均采用中华人民共和国法定计量单位。</w:t>
      </w:r>
    </w:p>
    <w:p w14:paraId="1496EDC0">
      <w:pPr>
        <w:pStyle w:val="6"/>
        <w:spacing w:line="360" w:lineRule="auto"/>
        <w:rPr>
          <w:highlight w:val="none"/>
        </w:rPr>
      </w:pPr>
      <w:bookmarkStart w:id="158" w:name="_Toc140132764"/>
      <w:bookmarkStart w:id="159" w:name="_Toc163492831"/>
      <w:r>
        <w:rPr>
          <w:rFonts w:hint="eastAsia"/>
          <w:highlight w:val="none"/>
        </w:rPr>
        <w:t>9.现场考察和答疑会</w:t>
      </w:r>
      <w:bookmarkEnd w:id="158"/>
      <w:bookmarkEnd w:id="159"/>
    </w:p>
    <w:p w14:paraId="0E08189E">
      <w:pPr>
        <w:pStyle w:val="41"/>
        <w:spacing w:line="360" w:lineRule="auto"/>
        <w:rPr>
          <w:highlight w:val="none"/>
        </w:rPr>
      </w:pPr>
      <w:bookmarkStart w:id="160" w:name="_Hlk143529198"/>
      <w:r>
        <w:rPr>
          <w:rFonts w:hint="eastAsia"/>
          <w:highlight w:val="none"/>
        </w:rPr>
        <w:t xml:space="preserve">9.1 “投标人须知前附表”规定组织现场考察的，采购代理机构按“投标人须知前附表”规定的时间、地点组织投标人项目现场考察。 </w:t>
      </w:r>
    </w:p>
    <w:p w14:paraId="762DB366">
      <w:pPr>
        <w:pStyle w:val="41"/>
        <w:spacing w:line="360" w:lineRule="auto"/>
        <w:rPr>
          <w:highlight w:val="none"/>
        </w:rPr>
      </w:pPr>
      <w:r>
        <w:rPr>
          <w:rFonts w:hint="eastAsia"/>
          <w:highlight w:val="none"/>
        </w:rPr>
        <w:t>9.2 投标人现场考察发生的费用自理。</w:t>
      </w:r>
    </w:p>
    <w:p w14:paraId="37C684BC">
      <w:pPr>
        <w:pStyle w:val="41"/>
        <w:spacing w:line="360" w:lineRule="auto"/>
        <w:rPr>
          <w:highlight w:val="none"/>
        </w:rPr>
      </w:pPr>
      <w:r>
        <w:rPr>
          <w:rFonts w:hint="eastAsia"/>
          <w:highlight w:val="none"/>
        </w:rPr>
        <w:t>9.3 在现场考察中，因投标人自身原因发生的人员伤亡和财产损失，由投标人自行负责。</w:t>
      </w:r>
    </w:p>
    <w:p w14:paraId="4ED1AEFF">
      <w:pPr>
        <w:pStyle w:val="41"/>
        <w:spacing w:line="360" w:lineRule="auto"/>
        <w:rPr>
          <w:highlight w:val="none"/>
        </w:rPr>
      </w:pPr>
      <w:r>
        <w:rPr>
          <w:rFonts w:hint="eastAsia"/>
          <w:highlight w:val="none"/>
        </w:rPr>
        <w:t>9.4 采购人在现场考察中介绍的项目场地和相关的周边环境情况，仅供投标人在编制投标文件时参考，采购人和采购代理机构不对投标人据此作出的判断和决策负责。</w:t>
      </w:r>
    </w:p>
    <w:p w14:paraId="034A9222">
      <w:pPr>
        <w:pStyle w:val="41"/>
        <w:spacing w:line="360" w:lineRule="auto"/>
        <w:rPr>
          <w:highlight w:val="none"/>
        </w:rPr>
      </w:pPr>
      <w:r>
        <w:rPr>
          <w:rFonts w:hint="eastAsia"/>
          <w:highlight w:val="none"/>
        </w:rPr>
        <w:t>9.5 “投标人须知前附表”规定召开答疑会的，采购代理机构按“投标人须知前附表”规定的时间和地点召开答疑会，澄清投标人提出的问题。</w:t>
      </w:r>
    </w:p>
    <w:p w14:paraId="2DA01DC4">
      <w:pPr>
        <w:pStyle w:val="41"/>
        <w:spacing w:line="360" w:lineRule="auto"/>
        <w:rPr>
          <w:highlight w:val="none"/>
        </w:rPr>
      </w:pPr>
      <w:r>
        <w:rPr>
          <w:rFonts w:hint="eastAsia"/>
          <w:highlight w:val="none"/>
        </w:rPr>
        <w:t>9.6 由于未参加现场考察或未参加标前答疑会而导致对项目实际情况不了解，影响投标文件编制、投标报价准确性、综合因素响应不全面等问题的，由投标人自行承担不利评审后果。</w:t>
      </w:r>
    </w:p>
    <w:bookmarkEnd w:id="160"/>
    <w:p w14:paraId="4D29C25F">
      <w:pPr>
        <w:pStyle w:val="6"/>
        <w:spacing w:line="360" w:lineRule="auto"/>
        <w:rPr>
          <w:highlight w:val="none"/>
        </w:rPr>
      </w:pPr>
      <w:bookmarkStart w:id="161" w:name="_Toc155185858"/>
      <w:bookmarkStart w:id="162" w:name="_Toc163492833"/>
      <w:bookmarkStart w:id="163" w:name="_Toc155185871"/>
      <w:r>
        <w:rPr>
          <w:rFonts w:hint="eastAsia"/>
          <w:highlight w:val="none"/>
        </w:rPr>
        <w:t>10.电子投标说明</w:t>
      </w:r>
      <w:bookmarkEnd w:id="161"/>
      <w:bookmarkEnd w:id="162"/>
      <w:r>
        <w:rPr>
          <w:rFonts w:hint="eastAsia"/>
          <w:highlight w:val="none"/>
        </w:rPr>
        <w:t xml:space="preserve">   </w:t>
      </w:r>
    </w:p>
    <w:p w14:paraId="02CFA653">
      <w:pPr>
        <w:pStyle w:val="41"/>
        <w:spacing w:line="360" w:lineRule="auto"/>
        <w:rPr>
          <w:highlight w:val="none"/>
          <w:lang w:val="en-US"/>
        </w:rPr>
      </w:pPr>
      <w:r>
        <w:rPr>
          <w:rFonts w:hint="eastAsia"/>
          <w:highlight w:val="none"/>
          <w:lang w:val="en-US"/>
        </w:rPr>
        <w:t xml:space="preserve">10.1 </w:t>
      </w:r>
      <w:r>
        <w:rPr>
          <w:rFonts w:hint="eastAsia"/>
          <w:highlight w:val="none"/>
        </w:rPr>
        <w:t>本次采购采用电子交易方式</w:t>
      </w:r>
      <w:r>
        <w:rPr>
          <w:rFonts w:hint="eastAsia"/>
          <w:highlight w:val="none"/>
          <w:lang w:val="en-US"/>
        </w:rPr>
        <w:t>，</w:t>
      </w:r>
      <w:r>
        <w:rPr>
          <w:rFonts w:hint="eastAsia"/>
          <w:highlight w:val="none"/>
        </w:rPr>
        <w:t>电子交易平台为</w:t>
      </w:r>
      <w:r>
        <w:rPr>
          <w:rFonts w:hint="eastAsia"/>
          <w:highlight w:val="none"/>
          <w:lang w:val="en-US"/>
        </w:rPr>
        <w:t>新疆政府采购电子交易云</w:t>
      </w:r>
      <w:r>
        <w:rPr>
          <w:rFonts w:hint="eastAsia"/>
          <w:highlight w:val="none"/>
        </w:rPr>
        <w:t>平台</w:t>
      </w:r>
      <w:r>
        <w:rPr>
          <w:rFonts w:hint="eastAsia"/>
          <w:highlight w:val="none"/>
          <w:lang w:val="hr-HR"/>
        </w:rPr>
        <w:t>（</w:t>
      </w:r>
      <w:r>
        <w:rPr>
          <w:rFonts w:hint="eastAsia"/>
          <w:highlight w:val="none"/>
        </w:rPr>
        <w:t>网址</w:t>
      </w:r>
      <w:r>
        <w:rPr>
          <w:rFonts w:hint="eastAsia"/>
          <w:highlight w:val="none"/>
          <w:lang w:val="hr-HR"/>
        </w:rPr>
        <w:t>：https://www.zcygov.cn/）</w:t>
      </w:r>
      <w:r>
        <w:rPr>
          <w:rFonts w:hint="eastAsia"/>
          <w:highlight w:val="none"/>
        </w:rPr>
        <w:t>。投标人参与本项目电子交易活动前，应</w:t>
      </w:r>
      <w:r>
        <w:rPr>
          <w:rFonts w:hint="eastAsia"/>
          <w:highlight w:val="none"/>
          <w:lang w:val="en-US"/>
        </w:rPr>
        <w:t>在</w:t>
      </w:r>
      <w:r>
        <w:rPr>
          <w:rFonts w:hint="eastAsia"/>
          <w:highlight w:val="none"/>
        </w:rPr>
        <w:t>政</w:t>
      </w:r>
      <w:r>
        <w:rPr>
          <w:rFonts w:hint="eastAsia"/>
          <w:highlight w:val="none"/>
          <w:lang w:val="en-US"/>
        </w:rPr>
        <w:t>采云</w:t>
      </w:r>
      <w:r>
        <w:rPr>
          <w:rFonts w:hint="eastAsia"/>
          <w:highlight w:val="none"/>
        </w:rPr>
        <w:t>平台</w:t>
      </w:r>
      <w:r>
        <w:rPr>
          <w:rFonts w:hint="eastAsia"/>
          <w:highlight w:val="none"/>
          <w:lang w:val="en-US"/>
        </w:rPr>
        <w:t>上</w:t>
      </w:r>
      <w:r>
        <w:rPr>
          <w:rFonts w:hint="eastAsia"/>
          <w:highlight w:val="none"/>
        </w:rPr>
        <w:t>注册</w:t>
      </w:r>
      <w:r>
        <w:rPr>
          <w:rFonts w:hint="eastAsia"/>
          <w:highlight w:val="none"/>
          <w:lang w:val="en-US"/>
        </w:rPr>
        <w:t>供应商账号</w:t>
      </w:r>
      <w:r>
        <w:rPr>
          <w:rFonts w:hint="eastAsia"/>
          <w:highlight w:val="none"/>
        </w:rPr>
        <w:t>。编制电子</w:t>
      </w:r>
      <w:r>
        <w:rPr>
          <w:rFonts w:hint="eastAsia"/>
          <w:highlight w:val="none"/>
          <w:lang w:val="en-US"/>
        </w:rPr>
        <w:t>投标</w:t>
      </w:r>
      <w:r>
        <w:rPr>
          <w:rFonts w:hint="eastAsia"/>
          <w:highlight w:val="none"/>
        </w:rPr>
        <w:t>文件前还需</w:t>
      </w:r>
      <w:r>
        <w:rPr>
          <w:rFonts w:hint="eastAsia"/>
          <w:highlight w:val="none"/>
          <w:lang w:val="en-US"/>
        </w:rPr>
        <w:t>申领CA证书并绑定账号。投标人应充分考虑完成平台注册、申领CA证书等所需的时间。</w:t>
      </w:r>
      <w:r>
        <w:rPr>
          <w:rFonts w:hint="eastAsia"/>
          <w:highlight w:val="none"/>
        </w:rPr>
        <w:t>潜在投标人领取文件须提前完成注册、CA证书和电子签章申领和绑定、下载“投标客户端”。因未办理CA数字证书、CA证书故障、操作不当等原因造成无法投标或投标失败等后果由投标人自行承担。</w:t>
      </w:r>
      <w:r>
        <w:rPr>
          <w:rFonts w:hint="eastAsia"/>
          <w:highlight w:val="none"/>
          <w:lang w:val="en-US"/>
        </w:rPr>
        <w:t>投标人</w:t>
      </w:r>
      <w:r>
        <w:rPr>
          <w:rFonts w:hint="eastAsia"/>
          <w:highlight w:val="none"/>
        </w:rPr>
        <w:t>登录新疆政府采购网“供应商注册”—“新疆生产建设新疆政府采购供应商入驻登记”—“立即登记”进行自助注册绑定。</w:t>
      </w:r>
    </w:p>
    <w:p w14:paraId="5CF1CE1B">
      <w:pPr>
        <w:pStyle w:val="41"/>
        <w:spacing w:line="360" w:lineRule="auto"/>
        <w:rPr>
          <w:highlight w:val="none"/>
        </w:rPr>
      </w:pPr>
      <w:r>
        <w:rPr>
          <w:rFonts w:hint="eastAsia"/>
          <w:highlight w:val="none"/>
          <w:lang w:val="en-US"/>
        </w:rPr>
        <w:t>10.</w:t>
      </w:r>
      <w:r>
        <w:rPr>
          <w:rFonts w:hint="eastAsia"/>
          <w:highlight w:val="none"/>
        </w:rPr>
        <w:t>2</w:t>
      </w:r>
      <w:r>
        <w:rPr>
          <w:rFonts w:hint="eastAsia"/>
          <w:highlight w:val="none"/>
          <w:lang w:val="en-US"/>
        </w:rPr>
        <w:t xml:space="preserve"> </w:t>
      </w:r>
      <w:r>
        <w:rPr>
          <w:rFonts w:hint="eastAsia"/>
          <w:highlight w:val="none"/>
        </w:rPr>
        <w:t>投标人将</w:t>
      </w:r>
      <w:r>
        <w:rPr>
          <w:rFonts w:hint="eastAsia"/>
          <w:highlight w:val="none"/>
          <w:lang w:val="en-US"/>
        </w:rPr>
        <w:t>新疆政府采购电子交易云</w:t>
      </w:r>
      <w:r>
        <w:rPr>
          <w:rFonts w:hint="eastAsia"/>
          <w:highlight w:val="none"/>
        </w:rPr>
        <w:t>平台电子交易客户端下载、安装完成后，可通过账号密码或CA登录客户端进行投标文件制作。在使用政采云“投标客户端”时，建议使用WIN7及以上操作系统。</w:t>
      </w:r>
      <w:r>
        <w:rPr>
          <w:rFonts w:hint="eastAsia"/>
          <w:highlight w:val="none"/>
          <w:lang w:val="en-US"/>
        </w:rPr>
        <w:t>投标人</w:t>
      </w:r>
      <w:r>
        <w:rPr>
          <w:rFonts w:hint="eastAsia"/>
          <w:highlight w:val="none"/>
        </w:rPr>
        <w:t>登录新疆政府采购网“下载专区”—“电子招投标客户端下载”下载相关客户端，如有问题可拨打政采云客户服务热线95763进行咨询。</w:t>
      </w:r>
    </w:p>
    <w:p w14:paraId="0776D8A1">
      <w:pPr>
        <w:pStyle w:val="41"/>
        <w:spacing w:line="360" w:lineRule="auto"/>
        <w:rPr>
          <w:highlight w:val="none"/>
        </w:rPr>
      </w:pPr>
      <w:r>
        <w:rPr>
          <w:rFonts w:hint="eastAsia"/>
          <w:highlight w:val="none"/>
          <w:lang w:val="en-US"/>
        </w:rPr>
        <w:t>10.</w:t>
      </w:r>
      <w:r>
        <w:rPr>
          <w:rFonts w:hint="eastAsia"/>
          <w:highlight w:val="none"/>
        </w:rPr>
        <w:t>3</w:t>
      </w:r>
      <w:r>
        <w:rPr>
          <w:rFonts w:hint="eastAsia"/>
          <w:highlight w:val="none"/>
          <w:lang w:val="en-US"/>
        </w:rPr>
        <w:t xml:space="preserve"> </w:t>
      </w:r>
      <w:r>
        <w:rPr>
          <w:rFonts w:hint="eastAsia"/>
          <w:highlight w:val="none"/>
        </w:rPr>
        <w:t>加密的电子投标文件应在投标文件递交截止时间前通过政采云平台上传完成。逾期上传或者未上传指定地点的投标文件，不予受理。</w:t>
      </w:r>
    </w:p>
    <w:p w14:paraId="34FFD806">
      <w:pPr>
        <w:pStyle w:val="41"/>
        <w:spacing w:line="360" w:lineRule="auto"/>
        <w:rPr>
          <w:highlight w:val="none"/>
        </w:rPr>
      </w:pPr>
      <w:r>
        <w:rPr>
          <w:rFonts w:hint="eastAsia"/>
          <w:highlight w:val="none"/>
          <w:lang w:val="en-US"/>
        </w:rPr>
        <w:t>10.</w:t>
      </w:r>
      <w:r>
        <w:rPr>
          <w:rFonts w:hint="eastAsia"/>
          <w:highlight w:val="none"/>
        </w:rPr>
        <w:t>4</w:t>
      </w:r>
      <w:r>
        <w:rPr>
          <w:rFonts w:hint="eastAsia"/>
          <w:highlight w:val="none"/>
          <w:lang w:val="en-US"/>
        </w:rPr>
        <w:t xml:space="preserve"> </w:t>
      </w:r>
      <w:r>
        <w:rPr>
          <w:rFonts w:hint="eastAsia"/>
          <w:highlight w:val="none"/>
        </w:rPr>
        <w:t>投标人在开标前须提前配置好电脑</w:t>
      </w:r>
      <w:r>
        <w:rPr>
          <w:rFonts w:hint="eastAsia"/>
          <w:highlight w:val="none"/>
          <w:lang w:val="en-US"/>
        </w:rPr>
        <w:t>及</w:t>
      </w:r>
      <w:r>
        <w:rPr>
          <w:rFonts w:hint="eastAsia"/>
          <w:highlight w:val="none"/>
        </w:rPr>
        <w:t>浏览器，开标时请使用制作加密电子投标文件的CA锁进行解密及报价确认。本项目投标文件解密时间</w:t>
      </w:r>
      <w:r>
        <w:rPr>
          <w:rFonts w:hint="eastAsia"/>
          <w:highlight w:val="none"/>
          <w:lang w:val="en-US"/>
        </w:rPr>
        <w:t>详见“投标人须知前附表”</w:t>
      </w:r>
      <w:r>
        <w:rPr>
          <w:rFonts w:hint="eastAsia"/>
          <w:highlight w:val="none"/>
        </w:rPr>
        <w:t>，如因自身原因导致无法正常解密，后果由投标人自行承担。</w:t>
      </w:r>
    </w:p>
    <w:p w14:paraId="648EBD36">
      <w:pPr>
        <w:pStyle w:val="41"/>
        <w:spacing w:line="360" w:lineRule="auto"/>
        <w:rPr>
          <w:highlight w:val="none"/>
        </w:rPr>
      </w:pPr>
      <w:r>
        <w:rPr>
          <w:rFonts w:hint="eastAsia"/>
          <w:highlight w:val="none"/>
          <w:lang w:val="en-US"/>
        </w:rPr>
        <w:t>10.</w:t>
      </w:r>
      <w:r>
        <w:rPr>
          <w:rFonts w:hint="eastAsia"/>
          <w:highlight w:val="none"/>
        </w:rPr>
        <w:t>5</w:t>
      </w:r>
      <w:r>
        <w:rPr>
          <w:rFonts w:hint="eastAsia"/>
          <w:highlight w:val="none"/>
          <w:lang w:val="en-US"/>
        </w:rPr>
        <w:t xml:space="preserve"> </w:t>
      </w:r>
      <w:r>
        <w:rPr>
          <w:rFonts w:hint="eastAsia"/>
          <w:highlight w:val="none"/>
        </w:rPr>
        <w:t>如遇“</w:t>
      </w:r>
      <w:r>
        <w:rPr>
          <w:rFonts w:hint="eastAsia"/>
          <w:highlight w:val="none"/>
          <w:lang w:val="en-US"/>
        </w:rPr>
        <w:t>新疆政府采购电子交易云</w:t>
      </w:r>
      <w:r>
        <w:rPr>
          <w:rFonts w:hint="eastAsia"/>
          <w:highlight w:val="none"/>
        </w:rPr>
        <w:t>平台</w:t>
      </w:r>
      <w:r>
        <w:rPr>
          <w:rFonts w:hint="eastAsia"/>
          <w:highlight w:val="none"/>
          <w:lang w:val="hr-HR"/>
        </w:rPr>
        <w:t>（</w:t>
      </w:r>
      <w:r>
        <w:rPr>
          <w:rFonts w:hint="eastAsia"/>
          <w:highlight w:val="none"/>
        </w:rPr>
        <w:t>网址</w:t>
      </w:r>
      <w:r>
        <w:rPr>
          <w:rFonts w:hint="eastAsia"/>
          <w:highlight w:val="none"/>
          <w:lang w:val="hr-HR"/>
        </w:rPr>
        <w:t>：https://www.zcygov.cn/）</w:t>
      </w:r>
      <w:r>
        <w:rPr>
          <w:rFonts w:hint="eastAsia"/>
          <w:highlight w:val="none"/>
        </w:rPr>
        <w:t>”电子交易规则调整，以最新要求为准。</w:t>
      </w:r>
    </w:p>
    <w:p w14:paraId="54CB150F">
      <w:pPr>
        <w:pStyle w:val="41"/>
        <w:spacing w:line="360" w:lineRule="auto"/>
        <w:rPr>
          <w:highlight w:val="none"/>
        </w:rPr>
      </w:pPr>
      <w:r>
        <w:rPr>
          <w:rFonts w:hint="eastAsia"/>
          <w:highlight w:val="none"/>
        </w:rPr>
        <w:t>10.6 电子交易系统咨询：投标人应当充分考虑到电子投标可能会发生的各种问题和风险，特别是投标文件签署、提交等问题，可按照“第一章 招标公告”的联系方式咨询相关人员。</w:t>
      </w:r>
    </w:p>
    <w:p w14:paraId="11726F99">
      <w:pPr>
        <w:pStyle w:val="41"/>
        <w:spacing w:line="360" w:lineRule="auto"/>
        <w:rPr>
          <w:highlight w:val="none"/>
        </w:rPr>
      </w:pPr>
      <w:r>
        <w:rPr>
          <w:rFonts w:hint="eastAsia"/>
          <w:highlight w:val="none"/>
        </w:rPr>
        <w:t>10.7 由于本项目采用电子招标方式，潜在投标人的名单将在提交投标文件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7C4C5D02">
      <w:pPr>
        <w:pStyle w:val="5"/>
        <w:spacing w:line="360" w:lineRule="auto"/>
        <w:rPr>
          <w:highlight w:val="none"/>
        </w:rPr>
      </w:pPr>
      <w:bookmarkStart w:id="164" w:name="_Toc163492834"/>
      <w:r>
        <w:rPr>
          <w:rFonts w:hint="eastAsia"/>
          <w:highlight w:val="none"/>
        </w:rPr>
        <w:t>（二）招标文件</w:t>
      </w:r>
      <w:bookmarkEnd w:id="163"/>
      <w:bookmarkEnd w:id="164"/>
    </w:p>
    <w:p w14:paraId="61F4106C">
      <w:pPr>
        <w:pStyle w:val="6"/>
        <w:spacing w:line="360" w:lineRule="auto"/>
        <w:rPr>
          <w:highlight w:val="none"/>
        </w:rPr>
      </w:pPr>
      <w:bookmarkStart w:id="165" w:name="_Toc140132768"/>
      <w:bookmarkStart w:id="166" w:name="_Toc163492835"/>
      <w:r>
        <w:rPr>
          <w:rFonts w:hint="eastAsia"/>
          <w:highlight w:val="none"/>
        </w:rPr>
        <w:t>11.招标文件的组成</w:t>
      </w:r>
      <w:bookmarkEnd w:id="165"/>
      <w:bookmarkEnd w:id="166"/>
    </w:p>
    <w:p w14:paraId="5C259E22">
      <w:pPr>
        <w:pStyle w:val="41"/>
        <w:spacing w:line="360" w:lineRule="auto"/>
        <w:rPr>
          <w:highlight w:val="none"/>
        </w:rPr>
      </w:pPr>
      <w:r>
        <w:rPr>
          <w:highlight w:val="none"/>
        </w:rPr>
        <w:t>1</w:t>
      </w:r>
      <w:r>
        <w:rPr>
          <w:rFonts w:hint="eastAsia"/>
          <w:highlight w:val="none"/>
        </w:rPr>
        <w:t>1.1本招标文件包括下列文件及根据本章第9款、第</w:t>
      </w:r>
      <w:r>
        <w:rPr>
          <w:highlight w:val="none"/>
        </w:rPr>
        <w:t>1</w:t>
      </w:r>
      <w:r>
        <w:rPr>
          <w:rFonts w:hint="eastAsia"/>
          <w:highlight w:val="none"/>
        </w:rPr>
        <w:t>2款对招标文件所作的澄清或者修改。</w:t>
      </w:r>
    </w:p>
    <w:p w14:paraId="1A89BF46">
      <w:pPr>
        <w:spacing w:line="360" w:lineRule="auto"/>
        <w:rPr>
          <w:highlight w:val="none"/>
        </w:rPr>
      </w:pPr>
      <w:r>
        <w:rPr>
          <w:rFonts w:hint="eastAsia"/>
          <w:highlight w:val="none"/>
        </w:rPr>
        <w:t>第一章 招标公告</w:t>
      </w:r>
    </w:p>
    <w:p w14:paraId="328B44DA">
      <w:pPr>
        <w:spacing w:line="360" w:lineRule="auto"/>
        <w:rPr>
          <w:highlight w:val="none"/>
        </w:rPr>
      </w:pPr>
      <w:r>
        <w:rPr>
          <w:rFonts w:hint="eastAsia"/>
          <w:highlight w:val="none"/>
        </w:rPr>
        <w:t>第二章 投标人须知</w:t>
      </w:r>
    </w:p>
    <w:p w14:paraId="68FA1346">
      <w:pPr>
        <w:spacing w:line="360" w:lineRule="auto"/>
        <w:rPr>
          <w:highlight w:val="none"/>
        </w:rPr>
      </w:pPr>
      <w:r>
        <w:rPr>
          <w:rFonts w:hint="eastAsia"/>
          <w:highlight w:val="none"/>
        </w:rPr>
        <w:t>第三章 采购需求</w:t>
      </w:r>
    </w:p>
    <w:p w14:paraId="69057458">
      <w:pPr>
        <w:spacing w:line="360" w:lineRule="auto"/>
        <w:rPr>
          <w:highlight w:val="none"/>
        </w:rPr>
      </w:pPr>
      <w:r>
        <w:rPr>
          <w:rFonts w:hint="eastAsia"/>
          <w:highlight w:val="none"/>
        </w:rPr>
        <w:t>第四章 资格审查</w:t>
      </w:r>
    </w:p>
    <w:p w14:paraId="0DFDB378">
      <w:pPr>
        <w:spacing w:line="360" w:lineRule="auto"/>
        <w:rPr>
          <w:highlight w:val="none"/>
        </w:rPr>
      </w:pPr>
      <w:r>
        <w:rPr>
          <w:rFonts w:hint="eastAsia"/>
          <w:highlight w:val="none"/>
        </w:rPr>
        <w:t>第五章 评标方法及标准</w:t>
      </w:r>
    </w:p>
    <w:p w14:paraId="71952187">
      <w:pPr>
        <w:spacing w:line="360" w:lineRule="auto"/>
        <w:rPr>
          <w:highlight w:val="none"/>
        </w:rPr>
      </w:pPr>
      <w:r>
        <w:rPr>
          <w:rFonts w:hint="eastAsia"/>
          <w:highlight w:val="none"/>
        </w:rPr>
        <w:t>第六章 合同草案</w:t>
      </w:r>
    </w:p>
    <w:p w14:paraId="1B3B5D24">
      <w:pPr>
        <w:spacing w:line="360" w:lineRule="auto"/>
        <w:rPr>
          <w:highlight w:val="none"/>
        </w:rPr>
      </w:pPr>
      <w:r>
        <w:rPr>
          <w:rFonts w:hint="eastAsia"/>
          <w:highlight w:val="none"/>
        </w:rPr>
        <w:t>第七章 投标文件的格式</w:t>
      </w:r>
    </w:p>
    <w:p w14:paraId="2C4F6896">
      <w:pPr>
        <w:pStyle w:val="6"/>
        <w:spacing w:line="360" w:lineRule="auto"/>
        <w:rPr>
          <w:highlight w:val="none"/>
        </w:rPr>
      </w:pPr>
      <w:bookmarkStart w:id="167" w:name="_Toc163492836"/>
      <w:bookmarkStart w:id="168" w:name="_Toc140132769"/>
      <w:r>
        <w:rPr>
          <w:rFonts w:hint="eastAsia"/>
          <w:highlight w:val="none"/>
        </w:rPr>
        <w:t>12.招标文件的询问、澄清或者修改</w:t>
      </w:r>
      <w:bookmarkEnd w:id="167"/>
      <w:bookmarkEnd w:id="168"/>
    </w:p>
    <w:p w14:paraId="6C80C1B7">
      <w:pPr>
        <w:pStyle w:val="41"/>
        <w:spacing w:line="360" w:lineRule="auto"/>
        <w:rPr>
          <w:highlight w:val="none"/>
        </w:rPr>
      </w:pPr>
      <w:r>
        <w:rPr>
          <w:rFonts w:hint="eastAsia"/>
          <w:highlight w:val="none"/>
        </w:rPr>
        <w:t>12</w:t>
      </w:r>
      <w:r>
        <w:rPr>
          <w:highlight w:val="none"/>
        </w:rPr>
        <w:t>.</w:t>
      </w:r>
      <w:r>
        <w:rPr>
          <w:rFonts w:hint="eastAsia"/>
          <w:highlight w:val="none"/>
        </w:rPr>
        <w:t>1</w:t>
      </w:r>
      <w:r>
        <w:rPr>
          <w:highlight w:val="none"/>
        </w:rPr>
        <w:t>投标人如对招标文件内容有疑问，须在</w:t>
      </w:r>
      <w:r>
        <w:rPr>
          <w:rFonts w:hint="eastAsia"/>
          <w:highlight w:val="none"/>
        </w:rPr>
        <w:t>“</w:t>
      </w:r>
      <w:r>
        <w:rPr>
          <w:highlight w:val="none"/>
        </w:rPr>
        <w:t>投标人须知前附表</w:t>
      </w:r>
      <w:r>
        <w:rPr>
          <w:rFonts w:hint="eastAsia"/>
          <w:highlight w:val="none"/>
        </w:rPr>
        <w:t>”</w:t>
      </w:r>
      <w:r>
        <w:rPr>
          <w:highlight w:val="none"/>
        </w:rPr>
        <w:t>规定的</w:t>
      </w:r>
      <w:r>
        <w:rPr>
          <w:rFonts w:hint="eastAsia"/>
          <w:highlight w:val="none"/>
        </w:rPr>
        <w:t>询问方式和</w:t>
      </w:r>
      <w:r>
        <w:rPr>
          <w:highlight w:val="none"/>
        </w:rPr>
        <w:t>时间提交给</w:t>
      </w:r>
      <w:r>
        <w:rPr>
          <w:rFonts w:hint="eastAsia"/>
          <w:highlight w:val="none"/>
        </w:rPr>
        <w:t>采购人或</w:t>
      </w:r>
      <w:r>
        <w:rPr>
          <w:highlight w:val="none"/>
        </w:rPr>
        <w:t>采购代理机构。</w:t>
      </w:r>
    </w:p>
    <w:p w14:paraId="11D789E9">
      <w:pPr>
        <w:pStyle w:val="41"/>
        <w:spacing w:line="360" w:lineRule="auto"/>
        <w:rPr>
          <w:highlight w:val="none"/>
        </w:rPr>
      </w:pPr>
      <w:r>
        <w:rPr>
          <w:rFonts w:hint="eastAsia"/>
          <w:highlight w:val="none"/>
        </w:rPr>
        <w:t>12</w:t>
      </w:r>
      <w:r>
        <w:rPr>
          <w:highlight w:val="none"/>
        </w:rPr>
        <w:t>.</w:t>
      </w:r>
      <w:r>
        <w:rPr>
          <w:rFonts w:hint="eastAsia"/>
          <w:highlight w:val="none"/>
        </w:rPr>
        <w:t>2采购人可主动地或在答复投标人提出的询问时对招标文件进行澄清与修改。</w:t>
      </w:r>
      <w:r>
        <w:rPr>
          <w:highlight w:val="none"/>
        </w:rPr>
        <w:t>采购代理机构将</w:t>
      </w:r>
      <w:r>
        <w:rPr>
          <w:rFonts w:hint="eastAsia"/>
          <w:highlight w:val="none"/>
        </w:rPr>
        <w:t>在新疆政府采购云平台以发布更正公告的方式澄清或修改招标文件，更正公告的</w:t>
      </w:r>
      <w:r>
        <w:rPr>
          <w:highlight w:val="none"/>
        </w:rPr>
        <w:t>内容</w:t>
      </w:r>
      <w:r>
        <w:rPr>
          <w:rFonts w:hint="eastAsia"/>
          <w:highlight w:val="none"/>
        </w:rPr>
        <w:t>作</w:t>
      </w:r>
      <w:r>
        <w:rPr>
          <w:highlight w:val="none"/>
        </w:rPr>
        <w:t>为招标文件</w:t>
      </w:r>
      <w:r>
        <w:rPr>
          <w:rFonts w:hint="eastAsia"/>
          <w:highlight w:val="none"/>
        </w:rPr>
        <w:t>的</w:t>
      </w:r>
      <w:r>
        <w:rPr>
          <w:highlight w:val="none"/>
        </w:rPr>
        <w:t>组成部分，对投标人起约束作用</w:t>
      </w:r>
      <w:r>
        <w:rPr>
          <w:rFonts w:hint="eastAsia"/>
          <w:highlight w:val="none"/>
        </w:rPr>
        <w:t>。投标人应主动上网查询。采购代理机构不承担投标人未及时关注相关信息引发的相关责任。</w:t>
      </w:r>
    </w:p>
    <w:p w14:paraId="54248E0E">
      <w:pPr>
        <w:pStyle w:val="41"/>
        <w:spacing w:line="360" w:lineRule="auto"/>
        <w:rPr>
          <w:highlight w:val="none"/>
        </w:rPr>
      </w:pPr>
      <w:r>
        <w:rPr>
          <w:highlight w:val="none"/>
        </w:rPr>
        <w:t>1</w:t>
      </w:r>
      <w:r>
        <w:rPr>
          <w:rFonts w:hint="eastAsia"/>
          <w:highlight w:val="none"/>
        </w:rPr>
        <w:t>2.3 招标文件的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7E483B6B">
      <w:pPr>
        <w:pStyle w:val="41"/>
        <w:spacing w:line="360" w:lineRule="auto"/>
        <w:rPr>
          <w:highlight w:val="none"/>
        </w:rPr>
      </w:pPr>
      <w:r>
        <w:rPr>
          <w:rFonts w:hint="eastAsia"/>
          <w:highlight w:val="none"/>
        </w:rPr>
        <w:t>12.4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48FCB56B">
      <w:pPr>
        <w:pStyle w:val="41"/>
        <w:spacing w:line="360" w:lineRule="auto"/>
        <w:rPr>
          <w:highlight w:val="none"/>
        </w:rPr>
      </w:pPr>
      <w:r>
        <w:rPr>
          <w:rFonts w:hint="eastAsia"/>
          <w:highlight w:val="none"/>
        </w:rPr>
        <w:t>12.5</w:t>
      </w:r>
      <w:r>
        <w:rPr>
          <w:highlight w:val="none"/>
        </w:rPr>
        <w:t>对于没有提出</w:t>
      </w:r>
      <w:r>
        <w:rPr>
          <w:rFonts w:hint="eastAsia"/>
          <w:highlight w:val="none"/>
        </w:rPr>
        <w:t>疑问</w:t>
      </w:r>
      <w:r>
        <w:rPr>
          <w:highlight w:val="none"/>
        </w:rPr>
        <w:t>又参与了</w:t>
      </w:r>
      <w:r>
        <w:rPr>
          <w:rFonts w:hint="eastAsia"/>
          <w:highlight w:val="none"/>
        </w:rPr>
        <w:t>本</w:t>
      </w:r>
      <w:r>
        <w:rPr>
          <w:highlight w:val="none"/>
        </w:rPr>
        <w:t>项目投标的</w:t>
      </w:r>
      <w:r>
        <w:rPr>
          <w:rFonts w:hint="eastAsia"/>
          <w:highlight w:val="none"/>
        </w:rPr>
        <w:t>投标人</w:t>
      </w:r>
      <w:r>
        <w:rPr>
          <w:highlight w:val="none"/>
        </w:rPr>
        <w:t>将被视为完全认同</w:t>
      </w:r>
      <w:r>
        <w:rPr>
          <w:rFonts w:hint="eastAsia"/>
          <w:highlight w:val="none"/>
        </w:rPr>
        <w:t>本</w:t>
      </w:r>
      <w:r>
        <w:rPr>
          <w:highlight w:val="none"/>
        </w:rPr>
        <w:t>招标文件（含</w:t>
      </w:r>
      <w:r>
        <w:rPr>
          <w:rFonts w:hint="eastAsia"/>
          <w:highlight w:val="none"/>
        </w:rPr>
        <w:t>更正公告的</w:t>
      </w:r>
      <w:r>
        <w:rPr>
          <w:highlight w:val="none"/>
        </w:rPr>
        <w:t>内容）</w:t>
      </w:r>
      <w:r>
        <w:rPr>
          <w:rFonts w:hint="eastAsia"/>
          <w:highlight w:val="none"/>
        </w:rPr>
        <w:t>。</w:t>
      </w:r>
    </w:p>
    <w:p w14:paraId="40106DA8">
      <w:pPr>
        <w:pStyle w:val="41"/>
        <w:spacing w:line="360" w:lineRule="auto"/>
        <w:rPr>
          <w:highlight w:val="none"/>
        </w:rPr>
      </w:pPr>
      <w:r>
        <w:rPr>
          <w:highlight w:val="none"/>
        </w:rPr>
        <w:t>1</w:t>
      </w:r>
      <w:r>
        <w:rPr>
          <w:rFonts w:hint="eastAsia"/>
          <w:highlight w:val="none"/>
          <w:lang w:val="en-US"/>
        </w:rPr>
        <w:t>2</w:t>
      </w:r>
      <w:r>
        <w:rPr>
          <w:highlight w:val="none"/>
        </w:rPr>
        <w:t>.</w:t>
      </w:r>
      <w:r>
        <w:rPr>
          <w:rFonts w:hint="eastAsia"/>
          <w:highlight w:val="none"/>
          <w:lang w:val="en-US"/>
        </w:rPr>
        <w:t>6</w:t>
      </w:r>
      <w:r>
        <w:rPr>
          <w:rFonts w:hint="eastAsia"/>
          <w:highlight w:val="none"/>
        </w:rPr>
        <w:t xml:space="preserve"> </w:t>
      </w:r>
      <w:r>
        <w:rPr>
          <w:rFonts w:hint="eastAsia" w:cs="仿宋_GB2312"/>
          <w:szCs w:val="24"/>
          <w:highlight w:val="none"/>
          <w:lang w:val="en-US"/>
        </w:rPr>
        <w:t>“</w:t>
      </w:r>
      <w:r>
        <w:rPr>
          <w:rFonts w:hint="eastAsia" w:cs="仿宋_GB2312"/>
          <w:szCs w:val="24"/>
          <w:highlight w:val="none"/>
        </w:rPr>
        <w:t>投标人须知”所称“</w:t>
      </w:r>
      <w:r>
        <w:rPr>
          <w:rFonts w:hint="eastAsia"/>
          <w:highlight w:val="none"/>
        </w:rPr>
        <w:t>书面形式</w:t>
      </w:r>
      <w:r>
        <w:rPr>
          <w:rFonts w:hint="eastAsia" w:cs="仿宋_GB2312"/>
          <w:szCs w:val="24"/>
          <w:highlight w:val="none"/>
        </w:rPr>
        <w:t>”</w:t>
      </w:r>
      <w:r>
        <w:rPr>
          <w:rFonts w:hint="eastAsia"/>
          <w:highlight w:val="none"/>
        </w:rPr>
        <w:t>包括系统消息、政府采购</w:t>
      </w:r>
      <w:r>
        <w:rPr>
          <w:rFonts w:hint="eastAsia"/>
          <w:highlight w:val="none"/>
          <w:lang w:val="en-US"/>
        </w:rPr>
        <w:t>云平台</w:t>
      </w:r>
      <w:r>
        <w:rPr>
          <w:rFonts w:hint="eastAsia"/>
          <w:highlight w:val="none"/>
        </w:rPr>
        <w:t>发布的公告。</w:t>
      </w:r>
    </w:p>
    <w:p w14:paraId="51312FE6">
      <w:pPr>
        <w:pStyle w:val="58"/>
        <w:spacing w:line="360" w:lineRule="auto"/>
        <w:ind w:firstLine="480" w:firstLineChars="200"/>
        <w:rPr>
          <w:rFonts w:ascii="宋体" w:hAnsi="宋体" w:eastAsia="宋体" w:cs="宋体"/>
          <w:kern w:val="2"/>
          <w:sz w:val="24"/>
          <w:szCs w:val="22"/>
          <w:highlight w:val="none"/>
        </w:rPr>
      </w:pPr>
      <w:r>
        <w:rPr>
          <w:rFonts w:hint="eastAsia" w:ascii="宋体" w:hAnsi="宋体" w:eastAsia="宋体" w:cs="宋体"/>
          <w:kern w:val="2"/>
          <w:sz w:val="24"/>
          <w:szCs w:val="22"/>
          <w:highlight w:val="none"/>
        </w:rPr>
        <w:t>12.7当招标文件的澄清、修改及其他答复等就同一内容的表述不一致时，以最后发布的内容为准。</w:t>
      </w:r>
    </w:p>
    <w:p w14:paraId="215EFC91">
      <w:pPr>
        <w:pStyle w:val="5"/>
        <w:spacing w:line="360" w:lineRule="auto"/>
        <w:rPr>
          <w:highlight w:val="none"/>
        </w:rPr>
      </w:pPr>
      <w:bookmarkStart w:id="169" w:name="_Toc163492837"/>
      <w:bookmarkStart w:id="170" w:name="_Toc155185872"/>
      <w:r>
        <w:rPr>
          <w:rFonts w:hint="eastAsia"/>
          <w:highlight w:val="none"/>
        </w:rPr>
        <w:t>（三）投标文件</w:t>
      </w:r>
      <w:bookmarkEnd w:id="169"/>
      <w:bookmarkEnd w:id="170"/>
    </w:p>
    <w:p w14:paraId="3EA99C15">
      <w:pPr>
        <w:pStyle w:val="6"/>
        <w:spacing w:line="360" w:lineRule="auto"/>
        <w:rPr>
          <w:highlight w:val="none"/>
        </w:rPr>
      </w:pPr>
      <w:bookmarkStart w:id="171" w:name="_Toc163492838"/>
      <w:r>
        <w:rPr>
          <w:rFonts w:hint="eastAsia"/>
          <w:highlight w:val="none"/>
        </w:rPr>
        <w:t>13.投标文件的组成</w:t>
      </w:r>
      <w:bookmarkEnd w:id="171"/>
    </w:p>
    <w:p w14:paraId="3D9219C4">
      <w:pPr>
        <w:pStyle w:val="58"/>
        <w:spacing w:line="360" w:lineRule="auto"/>
        <w:ind w:firstLine="480" w:firstLineChars="200"/>
        <w:rPr>
          <w:rFonts w:ascii="宋体" w:hAnsi="宋体" w:eastAsia="宋体" w:cs="宋体"/>
          <w:kern w:val="2"/>
          <w:sz w:val="24"/>
          <w:szCs w:val="22"/>
          <w:highlight w:val="none"/>
        </w:rPr>
      </w:pPr>
      <w:bookmarkStart w:id="172" w:name="_Toc140132772"/>
      <w:bookmarkStart w:id="173" w:name="_Toc163492839"/>
      <w:r>
        <w:rPr>
          <w:rFonts w:hint="eastAsia" w:ascii="宋体" w:hAnsi="宋体" w:eastAsia="宋体" w:cs="宋体"/>
          <w:kern w:val="2"/>
          <w:sz w:val="24"/>
          <w:szCs w:val="22"/>
          <w:highlight w:val="none"/>
        </w:rPr>
        <w:t>13.1投标人应完整地按招标文件提供的投标文件格式及要求编写投标文件，具体内容详见“第七章 投标文件格式”的相关内容。</w:t>
      </w:r>
    </w:p>
    <w:p w14:paraId="52CFA8D0">
      <w:pPr>
        <w:pStyle w:val="58"/>
        <w:spacing w:line="360" w:lineRule="auto"/>
        <w:ind w:firstLine="480" w:firstLineChars="200"/>
        <w:rPr>
          <w:rFonts w:ascii="宋体" w:hAnsi="宋体" w:eastAsia="宋体" w:cs="宋体"/>
          <w:kern w:val="2"/>
          <w:sz w:val="24"/>
          <w:szCs w:val="22"/>
          <w:highlight w:val="none"/>
        </w:rPr>
      </w:pPr>
      <w:r>
        <w:rPr>
          <w:rFonts w:hint="eastAsia" w:ascii="宋体" w:hAnsi="宋体" w:eastAsia="宋体" w:cs="宋体"/>
          <w:kern w:val="2"/>
          <w:sz w:val="24"/>
          <w:szCs w:val="22"/>
          <w:highlight w:val="none"/>
        </w:rPr>
        <w:t>13.2投标人应提交招标文件要求的证明文件，证明其投标内容符合招标文件规定，该证明文件是投标文件的一部分。证明文件形式可以是文字资料、图纸和数据</w:t>
      </w:r>
      <w:bookmarkStart w:id="174" w:name="_Hlk11703583"/>
      <w:r>
        <w:rPr>
          <w:rFonts w:hint="eastAsia" w:ascii="宋体" w:hAnsi="宋体" w:eastAsia="宋体" w:cs="宋体"/>
          <w:kern w:val="2"/>
          <w:sz w:val="24"/>
          <w:szCs w:val="22"/>
          <w:highlight w:val="none"/>
        </w:rPr>
        <w:t>等。</w:t>
      </w:r>
    </w:p>
    <w:bookmarkEnd w:id="174"/>
    <w:p w14:paraId="46274C03">
      <w:pPr>
        <w:pStyle w:val="58"/>
        <w:spacing w:line="360" w:lineRule="auto"/>
        <w:ind w:firstLine="480" w:firstLineChars="200"/>
        <w:rPr>
          <w:rFonts w:ascii="宋体" w:hAnsi="宋体" w:eastAsia="宋体" w:cs="宋体"/>
          <w:kern w:val="2"/>
          <w:sz w:val="24"/>
          <w:szCs w:val="22"/>
          <w:highlight w:val="none"/>
        </w:rPr>
      </w:pPr>
      <w:r>
        <w:rPr>
          <w:rFonts w:hint="eastAsia" w:ascii="宋体" w:hAnsi="宋体" w:eastAsia="宋体" w:cs="宋体"/>
          <w:kern w:val="2"/>
          <w:sz w:val="24"/>
          <w:szCs w:val="22"/>
          <w:highlight w:val="none"/>
        </w:rPr>
        <w:t>13.3为保证公平公正，除非本招标文件另有规定或说明，投标人对同一项目投标时，不得同时提供备选投标方案。</w:t>
      </w:r>
    </w:p>
    <w:p w14:paraId="4C859BF7">
      <w:pPr>
        <w:pStyle w:val="6"/>
        <w:spacing w:line="360" w:lineRule="auto"/>
        <w:rPr>
          <w:highlight w:val="none"/>
        </w:rPr>
      </w:pPr>
      <w:r>
        <w:rPr>
          <w:rFonts w:hint="eastAsia"/>
          <w:highlight w:val="none"/>
        </w:rPr>
        <w:t>14.投标报价</w:t>
      </w:r>
      <w:bookmarkEnd w:id="172"/>
      <w:bookmarkEnd w:id="173"/>
    </w:p>
    <w:p w14:paraId="5B926B66">
      <w:pPr>
        <w:pStyle w:val="41"/>
        <w:spacing w:line="360" w:lineRule="auto"/>
        <w:rPr>
          <w:snapToGrid w:val="0"/>
          <w:highlight w:val="none"/>
        </w:rPr>
      </w:pPr>
      <w:r>
        <w:rPr>
          <w:snapToGrid w:val="0"/>
          <w:highlight w:val="none"/>
        </w:rPr>
        <w:t>1</w:t>
      </w:r>
      <w:r>
        <w:rPr>
          <w:rFonts w:hint="eastAsia"/>
          <w:snapToGrid w:val="0"/>
          <w:highlight w:val="none"/>
        </w:rPr>
        <w:t>4.1 投标人的报价均应以人民币进行报价。</w:t>
      </w:r>
    </w:p>
    <w:p w14:paraId="3ACB019F">
      <w:pPr>
        <w:pStyle w:val="41"/>
        <w:spacing w:line="360" w:lineRule="auto"/>
        <w:rPr>
          <w:snapToGrid w:val="0"/>
          <w:highlight w:val="none"/>
        </w:rPr>
      </w:pPr>
      <w:r>
        <w:rPr>
          <w:snapToGrid w:val="0"/>
          <w:highlight w:val="none"/>
        </w:rPr>
        <w:t>1</w:t>
      </w:r>
      <w:r>
        <w:rPr>
          <w:rFonts w:hint="eastAsia"/>
          <w:snapToGrid w:val="0"/>
          <w:highlight w:val="none"/>
        </w:rPr>
        <w:t>4.2 投标人应按照本招标文件规定的报价方式进行报价，投标报价中不得包含招标文件要求以外的内容，也不得缺漏招标文件所要求的内容，否则其</w:t>
      </w:r>
      <w:r>
        <w:rPr>
          <w:rFonts w:hint="eastAsia"/>
          <w:b/>
          <w:bCs/>
          <w:snapToGrid w:val="0"/>
          <w:highlight w:val="none"/>
        </w:rPr>
        <w:t>投标无效</w:t>
      </w:r>
      <w:r>
        <w:rPr>
          <w:rFonts w:hint="eastAsia"/>
          <w:snapToGrid w:val="0"/>
          <w:highlight w:val="none"/>
        </w:rPr>
        <w:t>。</w:t>
      </w:r>
    </w:p>
    <w:p w14:paraId="3B3C1D2E">
      <w:pPr>
        <w:pStyle w:val="41"/>
        <w:spacing w:line="360" w:lineRule="auto"/>
        <w:rPr>
          <w:highlight w:val="none"/>
        </w:rPr>
      </w:pPr>
      <w:r>
        <w:rPr>
          <w:rFonts w:hint="eastAsia"/>
          <w:highlight w:val="none"/>
        </w:rPr>
        <w:t>投标人的报价应包括为完成本项目所发生的一切费用和税费，采购人将不再支付报价以外的任何费用。只要投报了一个确定数额的总价，无论分项价格是否全部填报了相应的金额或免费字样，该报价应被视为已包含但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2080BCE9">
      <w:pPr>
        <w:pStyle w:val="11"/>
        <w:spacing w:line="360" w:lineRule="auto"/>
        <w:ind w:firstLine="480"/>
        <w:rPr>
          <w:highlight w:val="none"/>
        </w:rPr>
      </w:pPr>
      <w:r>
        <w:rPr>
          <w:rFonts w:hint="eastAsia"/>
          <w:highlight w:val="none"/>
        </w:rPr>
        <w:t xml:space="preserve">投标人的报价应包括但不限于下列内容： </w:t>
      </w:r>
    </w:p>
    <w:p w14:paraId="7863C417">
      <w:pPr>
        <w:pStyle w:val="11"/>
        <w:spacing w:line="360" w:lineRule="auto"/>
        <w:ind w:firstLine="480"/>
        <w:rPr>
          <w:highlight w:val="none"/>
        </w:rPr>
      </w:pPr>
      <w:r>
        <w:rPr>
          <w:rFonts w:hint="eastAsia" w:ascii="宋体" w:hAnsi="宋体"/>
          <w:snapToGrid w:val="0"/>
          <w:szCs w:val="24"/>
          <w:highlight w:val="none"/>
        </w:rPr>
        <w:t>14.2.1 投标货物及标准附件、备品备件、专用工具等的出厂价（包括已在中</w:t>
      </w:r>
      <w:r>
        <w:rPr>
          <w:rFonts w:hint="eastAsia"/>
          <w:highlight w:val="none"/>
        </w:rPr>
        <w:t xml:space="preserve">国国内的进口货物完税后的仓库交货价、展室交货价或货架交货价）和运至最终目的地的运输费和保险费，安装调试、检验、技术服务、培训、质量保证、售后服务、税费等； </w:t>
      </w:r>
    </w:p>
    <w:p w14:paraId="4C4E8EE2">
      <w:pPr>
        <w:pStyle w:val="11"/>
        <w:spacing w:line="360" w:lineRule="auto"/>
        <w:ind w:firstLine="480"/>
        <w:rPr>
          <w:snapToGrid w:val="0"/>
          <w:highlight w:val="none"/>
        </w:rPr>
      </w:pPr>
      <w:r>
        <w:rPr>
          <w:rFonts w:hint="eastAsia"/>
          <w:snapToGrid w:val="0"/>
          <w:highlight w:val="none"/>
        </w:rPr>
        <w:t>14.2.2 按照招标文件要求完成本项目的全部相关费用。</w:t>
      </w:r>
    </w:p>
    <w:p w14:paraId="6331CAB3">
      <w:pPr>
        <w:spacing w:line="360" w:lineRule="auto"/>
        <w:rPr>
          <w:snapToGrid w:val="0"/>
          <w:highlight w:val="none"/>
          <w:lang w:val="zh-CN"/>
        </w:rPr>
      </w:pPr>
      <w:r>
        <w:rPr>
          <w:snapToGrid w:val="0"/>
          <w:highlight w:val="none"/>
        </w:rPr>
        <w:t>1</w:t>
      </w:r>
      <w:r>
        <w:rPr>
          <w:rFonts w:hint="eastAsia"/>
          <w:snapToGrid w:val="0"/>
          <w:highlight w:val="none"/>
        </w:rPr>
        <w:t xml:space="preserve">4.3 </w:t>
      </w:r>
      <w:r>
        <w:rPr>
          <w:rFonts w:hint="eastAsia"/>
          <w:highlight w:val="none"/>
        </w:rPr>
        <w:t>投标人须严格按照分项报价表规定的内容填写货物单价以及其他事项。</w:t>
      </w:r>
      <w:r>
        <w:rPr>
          <w:rFonts w:hint="eastAsia"/>
          <w:snapToGrid w:val="0"/>
          <w:highlight w:val="none"/>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w:t>
      </w:r>
      <w:r>
        <w:rPr>
          <w:rFonts w:hint="eastAsia"/>
          <w:snapToGrid w:val="0"/>
          <w:highlight w:val="none"/>
        </w:rPr>
        <w:t>缴</w:t>
      </w:r>
      <w:r>
        <w:rPr>
          <w:rFonts w:hint="eastAsia"/>
          <w:snapToGrid w:val="0"/>
          <w:highlight w:val="none"/>
          <w:lang w:val="zh-CN"/>
        </w:rPr>
        <w:t>纳的费用都应包括在投标人提交的投标报价中。</w:t>
      </w:r>
    </w:p>
    <w:p w14:paraId="0DEA50E6">
      <w:pPr>
        <w:spacing w:line="360" w:lineRule="auto"/>
        <w:rPr>
          <w:snapToGrid w:val="0"/>
          <w:highlight w:val="none"/>
        </w:rPr>
      </w:pPr>
      <w:r>
        <w:rPr>
          <w:snapToGrid w:val="0"/>
          <w:highlight w:val="none"/>
        </w:rPr>
        <w:t>1</w:t>
      </w:r>
      <w:r>
        <w:rPr>
          <w:rFonts w:hint="eastAsia"/>
          <w:snapToGrid w:val="0"/>
          <w:highlight w:val="none"/>
        </w:rPr>
        <w:t>4.4 投标人在投标文件中注明免费的项目将视为包含在投标报价中。</w:t>
      </w:r>
    </w:p>
    <w:p w14:paraId="432AEFA9">
      <w:pPr>
        <w:pStyle w:val="11"/>
        <w:spacing w:line="360" w:lineRule="auto"/>
        <w:ind w:firstLine="480"/>
        <w:rPr>
          <w:highlight w:val="none"/>
        </w:rPr>
      </w:pPr>
      <w:r>
        <w:rPr>
          <w:snapToGrid w:val="0"/>
          <w:szCs w:val="24"/>
          <w:highlight w:val="none"/>
        </w:rPr>
        <w:t>1</w:t>
      </w:r>
      <w:r>
        <w:rPr>
          <w:rFonts w:hint="eastAsia"/>
          <w:snapToGrid w:val="0"/>
          <w:szCs w:val="24"/>
          <w:highlight w:val="none"/>
        </w:rPr>
        <w:t>4.5 每一种采购内容只允许有一个报价，否则其</w:t>
      </w:r>
      <w:r>
        <w:rPr>
          <w:rFonts w:hint="eastAsia"/>
          <w:b/>
          <w:bCs/>
          <w:snapToGrid w:val="0"/>
          <w:szCs w:val="24"/>
          <w:highlight w:val="none"/>
        </w:rPr>
        <w:t>投标无效</w:t>
      </w:r>
      <w:r>
        <w:rPr>
          <w:rFonts w:hint="eastAsia"/>
          <w:snapToGrid w:val="0"/>
          <w:szCs w:val="24"/>
          <w:highlight w:val="none"/>
        </w:rPr>
        <w:t>。</w:t>
      </w:r>
      <w:r>
        <w:rPr>
          <w:rFonts w:hint="eastAsia"/>
          <w:highlight w:val="none"/>
        </w:rPr>
        <w:t>除非招标文件另有规定，不接受可选择或可调整的投标方案和报价，任何有选择的或可调整的投标方案和报价将被视为非实质性响应招标文件，其</w:t>
      </w:r>
      <w:r>
        <w:rPr>
          <w:rFonts w:hint="eastAsia"/>
          <w:b/>
          <w:bCs/>
          <w:snapToGrid w:val="0"/>
          <w:szCs w:val="24"/>
          <w:highlight w:val="none"/>
        </w:rPr>
        <w:t>投标无效</w:t>
      </w:r>
      <w:r>
        <w:rPr>
          <w:rFonts w:hint="eastAsia"/>
          <w:highlight w:val="none"/>
        </w:rPr>
        <w:t>。</w:t>
      </w:r>
    </w:p>
    <w:p w14:paraId="05BE3F80">
      <w:pPr>
        <w:pStyle w:val="41"/>
        <w:spacing w:line="360" w:lineRule="auto"/>
        <w:rPr>
          <w:highlight w:val="none"/>
        </w:rPr>
      </w:pPr>
      <w:r>
        <w:rPr>
          <w:highlight w:val="none"/>
        </w:rPr>
        <w:t>1</w:t>
      </w:r>
      <w:r>
        <w:rPr>
          <w:rFonts w:hint="eastAsia"/>
          <w:highlight w:val="none"/>
        </w:rPr>
        <w:t>4</w:t>
      </w:r>
      <w:r>
        <w:rPr>
          <w:highlight w:val="none"/>
        </w:rPr>
        <w:t>.</w:t>
      </w:r>
      <w:r>
        <w:rPr>
          <w:rFonts w:hint="eastAsia"/>
          <w:highlight w:val="none"/>
        </w:rPr>
        <w:t>6 投标报价不得超过“第一章 招标公告”中规定的最高投标限价或者预算金额，否则</w:t>
      </w:r>
      <w:r>
        <w:rPr>
          <w:highlight w:val="none"/>
        </w:rPr>
        <w:t>评标委员会将</w:t>
      </w:r>
      <w:r>
        <w:rPr>
          <w:rFonts w:hint="eastAsia"/>
          <w:highlight w:val="none"/>
        </w:rPr>
        <w:t>对</w:t>
      </w:r>
      <w:r>
        <w:rPr>
          <w:highlight w:val="none"/>
        </w:rPr>
        <w:t>其</w:t>
      </w:r>
      <w:r>
        <w:rPr>
          <w:rFonts w:hint="eastAsia"/>
          <w:highlight w:val="none"/>
        </w:rPr>
        <w:t>作</w:t>
      </w:r>
      <w:r>
        <w:rPr>
          <w:rFonts w:hint="eastAsia"/>
          <w:b/>
          <w:bCs/>
          <w:highlight w:val="none"/>
        </w:rPr>
        <w:t>无效</w:t>
      </w:r>
      <w:r>
        <w:rPr>
          <w:b/>
          <w:bCs/>
          <w:highlight w:val="none"/>
        </w:rPr>
        <w:t>投标</w:t>
      </w:r>
      <w:r>
        <w:rPr>
          <w:rFonts w:hint="eastAsia"/>
          <w:b/>
          <w:bCs/>
          <w:highlight w:val="none"/>
        </w:rPr>
        <w:t>处理</w:t>
      </w:r>
      <w:r>
        <w:rPr>
          <w:highlight w:val="none"/>
        </w:rPr>
        <w:t>。</w:t>
      </w:r>
    </w:p>
    <w:p w14:paraId="762C7026">
      <w:pPr>
        <w:pStyle w:val="58"/>
        <w:spacing w:line="360" w:lineRule="auto"/>
        <w:ind w:firstLine="480" w:firstLineChars="200"/>
        <w:rPr>
          <w:rFonts w:ascii="宋体" w:hAnsi="宋体" w:eastAsia="宋体" w:cs="宋体"/>
          <w:kern w:val="2"/>
          <w:sz w:val="24"/>
          <w:szCs w:val="22"/>
          <w:highlight w:val="none"/>
        </w:rPr>
      </w:pPr>
      <w:r>
        <w:rPr>
          <w:rFonts w:hint="eastAsia" w:ascii="宋体" w:hAnsi="宋体" w:eastAsia="宋体" w:cs="宋体"/>
          <w:kern w:val="2"/>
          <w:sz w:val="24"/>
          <w:szCs w:val="22"/>
          <w:highlight w:val="none"/>
        </w:rPr>
        <w:t>14.7 投标人对投标报价若有说明应在投标文件中显著处注明。</w:t>
      </w:r>
    </w:p>
    <w:p w14:paraId="322D0111">
      <w:pPr>
        <w:pStyle w:val="58"/>
        <w:spacing w:line="360" w:lineRule="auto"/>
        <w:ind w:firstLine="480" w:firstLineChars="200"/>
        <w:rPr>
          <w:rFonts w:ascii="宋体" w:hAnsi="宋体" w:eastAsia="宋体" w:cs="宋体"/>
          <w:kern w:val="2"/>
          <w:sz w:val="24"/>
          <w:szCs w:val="22"/>
          <w:highlight w:val="none"/>
        </w:rPr>
      </w:pPr>
      <w:r>
        <w:rPr>
          <w:rFonts w:hint="eastAsia" w:ascii="宋体" w:hAnsi="宋体" w:eastAsia="宋体" w:cs="宋体"/>
          <w:kern w:val="2"/>
          <w:sz w:val="24"/>
          <w:szCs w:val="22"/>
          <w:highlight w:val="none"/>
        </w:rPr>
        <w:t>除政策性文件规定以外，投标人所报价格在合同实施期间不因市场变化因素而变动。</w:t>
      </w:r>
    </w:p>
    <w:p w14:paraId="652CDE21">
      <w:pPr>
        <w:pStyle w:val="58"/>
        <w:spacing w:line="360" w:lineRule="auto"/>
        <w:ind w:firstLine="480" w:firstLineChars="200"/>
        <w:rPr>
          <w:rFonts w:ascii="宋体" w:hAnsi="宋体" w:eastAsia="宋体" w:cs="宋体"/>
          <w:kern w:val="2"/>
          <w:sz w:val="24"/>
          <w:szCs w:val="22"/>
          <w:highlight w:val="none"/>
        </w:rPr>
      </w:pPr>
      <w:r>
        <w:rPr>
          <w:rFonts w:hint="eastAsia" w:ascii="宋体" w:hAnsi="宋体" w:eastAsia="宋体" w:cs="宋体"/>
          <w:kern w:val="2"/>
          <w:sz w:val="24"/>
          <w:szCs w:val="22"/>
          <w:highlight w:val="none"/>
        </w:rPr>
        <w:t>14.8 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22CD8025">
      <w:pPr>
        <w:pStyle w:val="58"/>
        <w:spacing w:line="360" w:lineRule="auto"/>
        <w:ind w:firstLine="480" w:firstLineChars="200"/>
        <w:rPr>
          <w:rFonts w:ascii="宋体" w:hAnsi="宋体" w:eastAsia="宋体" w:cs="宋体"/>
          <w:kern w:val="2"/>
          <w:sz w:val="24"/>
          <w:szCs w:val="22"/>
          <w:highlight w:val="none"/>
        </w:rPr>
      </w:pPr>
      <w:r>
        <w:rPr>
          <w:rFonts w:hint="eastAsia" w:ascii="宋体" w:hAnsi="宋体" w:eastAsia="宋体" w:cs="宋体"/>
          <w:kern w:val="2"/>
          <w:sz w:val="24"/>
          <w:szCs w:val="22"/>
          <w:highlight w:val="none"/>
        </w:rPr>
        <w:t>14.9 最低报价不能作为中标的保证。</w:t>
      </w:r>
    </w:p>
    <w:p w14:paraId="28F3E0CE">
      <w:pPr>
        <w:pStyle w:val="41"/>
        <w:spacing w:line="360" w:lineRule="auto"/>
        <w:rPr>
          <w:highlight w:val="none"/>
        </w:rPr>
      </w:pPr>
      <w:r>
        <w:rPr>
          <w:rFonts w:hint="eastAsia"/>
          <w:highlight w:val="none"/>
        </w:rPr>
        <w:t>14.10</w:t>
      </w:r>
      <w:r>
        <w:rPr>
          <w:rFonts w:hint="eastAsia"/>
          <w:highlight w:val="none"/>
          <w:lang w:bidi="ar"/>
        </w:rPr>
        <w:t>采购人</w:t>
      </w:r>
      <w:r>
        <w:rPr>
          <w:rFonts w:hint="eastAsia"/>
          <w:highlight w:val="none"/>
        </w:rPr>
        <w:t>不得</w:t>
      </w:r>
      <w:r>
        <w:rPr>
          <w:rFonts w:hint="eastAsia"/>
          <w:highlight w:val="none"/>
          <w:lang w:bidi="ar"/>
        </w:rPr>
        <w:t>向投标人索要或者接受其给予的赠品、回扣或者与采购无关的其他商品、服务。</w:t>
      </w:r>
    </w:p>
    <w:p w14:paraId="4E71F840">
      <w:pPr>
        <w:pStyle w:val="6"/>
        <w:spacing w:line="360" w:lineRule="auto"/>
        <w:rPr>
          <w:highlight w:val="none"/>
        </w:rPr>
      </w:pPr>
      <w:bookmarkStart w:id="175" w:name="_Toc163492840"/>
      <w:bookmarkStart w:id="176" w:name="_Toc140132773"/>
      <w:r>
        <w:rPr>
          <w:rFonts w:hint="eastAsia"/>
          <w:highlight w:val="none"/>
        </w:rPr>
        <w:t>15.投标有效期</w:t>
      </w:r>
      <w:bookmarkEnd w:id="175"/>
      <w:bookmarkEnd w:id="176"/>
    </w:p>
    <w:p w14:paraId="61A6D665">
      <w:pPr>
        <w:pStyle w:val="41"/>
        <w:spacing w:line="360" w:lineRule="auto"/>
        <w:rPr>
          <w:highlight w:val="none"/>
        </w:rPr>
      </w:pPr>
      <w:r>
        <w:rPr>
          <w:highlight w:val="none"/>
        </w:rPr>
        <w:t>1</w:t>
      </w:r>
      <w:r>
        <w:rPr>
          <w:rFonts w:hint="eastAsia"/>
          <w:highlight w:val="none"/>
        </w:rPr>
        <w:t xml:space="preserve">5.1 </w:t>
      </w:r>
      <w:r>
        <w:rPr>
          <w:rFonts w:ascii="Arial" w:hAnsi="Arial" w:cs="Arial"/>
          <w:kern w:val="0"/>
          <w:szCs w:val="21"/>
          <w:highlight w:val="none"/>
          <w:lang w:val="en"/>
        </w:rPr>
        <w:t>投标有</w:t>
      </w:r>
      <w:r>
        <w:rPr>
          <w:highlight w:val="none"/>
        </w:rPr>
        <w:t>效期</w:t>
      </w:r>
      <w:r>
        <w:rPr>
          <w:rFonts w:hint="eastAsia"/>
          <w:highlight w:val="none"/>
        </w:rPr>
        <w:t xml:space="preserve">见“第二章 </w:t>
      </w:r>
      <w:r>
        <w:rPr>
          <w:highlight w:val="none"/>
        </w:rPr>
        <w:t>投标人须知前附表</w:t>
      </w:r>
      <w:r>
        <w:rPr>
          <w:rFonts w:hint="eastAsia"/>
          <w:highlight w:val="none"/>
        </w:rPr>
        <w:t>”，投标人承诺的投标有效期少于招标文件规定期限的，其投标无效。</w:t>
      </w:r>
    </w:p>
    <w:p w14:paraId="3D8ED931">
      <w:pPr>
        <w:pStyle w:val="41"/>
        <w:spacing w:line="360" w:lineRule="auto"/>
        <w:rPr>
          <w:highlight w:val="none"/>
        </w:rPr>
      </w:pPr>
      <w:r>
        <w:rPr>
          <w:rFonts w:hint="eastAsia"/>
          <w:highlight w:val="none"/>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537E4D03">
      <w:pPr>
        <w:pStyle w:val="41"/>
        <w:spacing w:line="360" w:lineRule="auto"/>
        <w:rPr>
          <w:highlight w:val="none"/>
        </w:rPr>
      </w:pPr>
      <w:r>
        <w:rPr>
          <w:highlight w:val="none"/>
        </w:rPr>
        <w:t>1</w:t>
      </w:r>
      <w:r>
        <w:rPr>
          <w:rFonts w:hint="eastAsia"/>
          <w:highlight w:val="none"/>
        </w:rPr>
        <w:t>5</w:t>
      </w:r>
      <w:r>
        <w:rPr>
          <w:highlight w:val="none"/>
        </w:rPr>
        <w:t>.</w:t>
      </w:r>
      <w:r>
        <w:rPr>
          <w:rFonts w:hint="eastAsia"/>
          <w:highlight w:val="none"/>
        </w:rPr>
        <w:t>3</w:t>
      </w:r>
      <w:r>
        <w:rPr>
          <w:highlight w:val="none"/>
        </w:rPr>
        <w:t>特殊情况下，在原</w:t>
      </w:r>
      <w:r>
        <w:rPr>
          <w:rFonts w:hint="eastAsia"/>
          <w:highlight w:val="none"/>
        </w:rPr>
        <w:t>投标文件</w:t>
      </w:r>
      <w:r>
        <w:rPr>
          <w:highlight w:val="none"/>
        </w:rPr>
        <w:t>有效期截止之前，采购代理机构或采购人可要求</w:t>
      </w:r>
      <w:r>
        <w:rPr>
          <w:rFonts w:hint="eastAsia"/>
          <w:highlight w:val="none"/>
        </w:rPr>
        <w:t>投标人</w:t>
      </w:r>
      <w:r>
        <w:rPr>
          <w:highlight w:val="none"/>
        </w:rPr>
        <w:t>延长</w:t>
      </w:r>
      <w:r>
        <w:rPr>
          <w:rFonts w:hint="eastAsia"/>
          <w:highlight w:val="none"/>
        </w:rPr>
        <w:t>投标</w:t>
      </w:r>
      <w:r>
        <w:rPr>
          <w:highlight w:val="none"/>
        </w:rPr>
        <w:t>有效期。需要延长</w:t>
      </w:r>
      <w:r>
        <w:rPr>
          <w:rFonts w:hint="eastAsia"/>
          <w:highlight w:val="none"/>
        </w:rPr>
        <w:t>投标</w:t>
      </w:r>
      <w:r>
        <w:rPr>
          <w:highlight w:val="none"/>
        </w:rPr>
        <w:t>有效期时，采购代理机构或采购人将以书面形式通知所有</w:t>
      </w:r>
      <w:r>
        <w:rPr>
          <w:rFonts w:hint="eastAsia"/>
          <w:highlight w:val="none"/>
        </w:rPr>
        <w:t>投标人</w:t>
      </w:r>
      <w:r>
        <w:rPr>
          <w:highlight w:val="none"/>
        </w:rPr>
        <w:t>，</w:t>
      </w:r>
      <w:r>
        <w:rPr>
          <w:rFonts w:hint="eastAsia"/>
          <w:highlight w:val="none"/>
        </w:rPr>
        <w:t>投标人</w:t>
      </w:r>
      <w:r>
        <w:rPr>
          <w:highlight w:val="none"/>
        </w:rPr>
        <w:t>应以书面形式答复是否同意延长</w:t>
      </w:r>
      <w:r>
        <w:rPr>
          <w:rFonts w:hint="eastAsia"/>
          <w:highlight w:val="none"/>
        </w:rPr>
        <w:t>投标</w:t>
      </w:r>
      <w:r>
        <w:rPr>
          <w:highlight w:val="none"/>
        </w:rPr>
        <w:t>有效期。</w:t>
      </w:r>
    </w:p>
    <w:p w14:paraId="5C0ECBB3">
      <w:pPr>
        <w:pStyle w:val="41"/>
        <w:spacing w:line="360" w:lineRule="auto"/>
        <w:rPr>
          <w:highlight w:val="none"/>
        </w:rPr>
      </w:pPr>
      <w:r>
        <w:rPr>
          <w:highlight w:val="none"/>
        </w:rPr>
        <w:t>1</w:t>
      </w:r>
      <w:r>
        <w:rPr>
          <w:rFonts w:hint="eastAsia"/>
          <w:highlight w:val="none"/>
        </w:rPr>
        <w:t>5</w:t>
      </w:r>
      <w:r>
        <w:rPr>
          <w:highlight w:val="none"/>
        </w:rPr>
        <w:t>.</w:t>
      </w:r>
      <w:r>
        <w:rPr>
          <w:rFonts w:hint="eastAsia"/>
          <w:highlight w:val="none"/>
        </w:rPr>
        <w:t>4投标人</w:t>
      </w:r>
      <w:r>
        <w:rPr>
          <w:highlight w:val="none"/>
        </w:rPr>
        <w:t>同意延长的，</w:t>
      </w:r>
      <w:r>
        <w:rPr>
          <w:rFonts w:hint="eastAsia"/>
          <w:highlight w:val="none"/>
        </w:rPr>
        <w:t>其投标保证金的有效期也相应延长，但</w:t>
      </w:r>
      <w:r>
        <w:rPr>
          <w:highlight w:val="none"/>
        </w:rPr>
        <w:t>不得要求或被允许修改或撤销其</w:t>
      </w:r>
      <w:r>
        <w:rPr>
          <w:rFonts w:hint="eastAsia"/>
          <w:highlight w:val="none"/>
        </w:rPr>
        <w:t>投标文件</w:t>
      </w:r>
      <w:r>
        <w:rPr>
          <w:highlight w:val="none"/>
        </w:rPr>
        <w:t>；</w:t>
      </w:r>
      <w:r>
        <w:rPr>
          <w:rFonts w:hint="eastAsia"/>
          <w:highlight w:val="none"/>
        </w:rPr>
        <w:t>投标人</w:t>
      </w:r>
      <w:r>
        <w:rPr>
          <w:highlight w:val="none"/>
        </w:rPr>
        <w:t>拒绝延长的，其</w:t>
      </w:r>
      <w:r>
        <w:rPr>
          <w:rFonts w:hint="eastAsia"/>
          <w:highlight w:val="none"/>
        </w:rPr>
        <w:t>投标文件</w:t>
      </w:r>
      <w:r>
        <w:rPr>
          <w:highlight w:val="none"/>
        </w:rPr>
        <w:t>在原</w:t>
      </w:r>
      <w:r>
        <w:rPr>
          <w:rFonts w:hint="eastAsia"/>
          <w:highlight w:val="none"/>
        </w:rPr>
        <w:t>投标</w:t>
      </w:r>
      <w:r>
        <w:rPr>
          <w:highlight w:val="none"/>
        </w:rPr>
        <w:t>有效期满后将不再有效</w:t>
      </w:r>
      <w:r>
        <w:rPr>
          <w:rFonts w:hint="eastAsia"/>
          <w:highlight w:val="none"/>
        </w:rPr>
        <w:t>，但其提交的投标保证金可予以退还</w:t>
      </w:r>
      <w:r>
        <w:rPr>
          <w:highlight w:val="none"/>
        </w:rPr>
        <w:t>。</w:t>
      </w:r>
    </w:p>
    <w:p w14:paraId="528ACC4B">
      <w:pPr>
        <w:pStyle w:val="6"/>
        <w:spacing w:line="360" w:lineRule="auto"/>
        <w:rPr>
          <w:highlight w:val="none"/>
        </w:rPr>
      </w:pPr>
      <w:bookmarkStart w:id="177" w:name="_Toc140132774"/>
      <w:bookmarkStart w:id="178" w:name="_Toc163492841"/>
      <w:r>
        <w:rPr>
          <w:rFonts w:hint="eastAsia"/>
          <w:highlight w:val="none"/>
        </w:rPr>
        <w:t>16.投标文件的编制</w:t>
      </w:r>
      <w:bookmarkEnd w:id="177"/>
      <w:bookmarkEnd w:id="178"/>
    </w:p>
    <w:p w14:paraId="2DA78DF0">
      <w:pPr>
        <w:pStyle w:val="41"/>
        <w:spacing w:line="360" w:lineRule="auto"/>
        <w:rPr>
          <w:highlight w:val="none"/>
        </w:rPr>
      </w:pPr>
      <w:r>
        <w:rPr>
          <w:highlight w:val="none"/>
        </w:rPr>
        <w:t>1</w:t>
      </w:r>
      <w:r>
        <w:rPr>
          <w:rFonts w:hint="eastAsia"/>
          <w:highlight w:val="none"/>
        </w:rPr>
        <w:t>6.1投标文件应在</w:t>
      </w:r>
      <w:r>
        <w:rPr>
          <w:rFonts w:hint="eastAsia" w:cs="宋体"/>
          <w:highlight w:val="none"/>
        </w:rPr>
        <w:t>“</w:t>
      </w:r>
      <w:r>
        <w:rPr>
          <w:rFonts w:hint="eastAsia"/>
          <w:highlight w:val="none"/>
        </w:rPr>
        <w:t>投标客户端”中进行编制，在投标文件中要求加盖印章的，除有特殊说明之外，可使用电子签章签署。</w:t>
      </w:r>
    </w:p>
    <w:p w14:paraId="456D1715">
      <w:pPr>
        <w:pStyle w:val="41"/>
        <w:spacing w:line="360" w:lineRule="auto"/>
        <w:rPr>
          <w:highlight w:val="none"/>
        </w:rPr>
      </w:pPr>
      <w:r>
        <w:rPr>
          <w:highlight w:val="none"/>
        </w:rPr>
        <w:t>1</w:t>
      </w:r>
      <w:r>
        <w:rPr>
          <w:rFonts w:hint="eastAsia"/>
          <w:highlight w:val="none"/>
          <w:lang w:val="en-US"/>
        </w:rPr>
        <w:t>6</w:t>
      </w:r>
      <w:r>
        <w:rPr>
          <w:rFonts w:hint="eastAsia"/>
          <w:highlight w:val="none"/>
        </w:rPr>
        <w:t>.</w:t>
      </w:r>
      <w:bookmarkStart w:id="179" w:name="_Hlk143528557"/>
      <w:r>
        <w:rPr>
          <w:highlight w:val="none"/>
        </w:rPr>
        <w:t>2</w:t>
      </w:r>
      <w:r>
        <w:rPr>
          <w:rFonts w:hint="eastAsia"/>
          <w:highlight w:val="none"/>
        </w:rPr>
        <w:t>投标人在</w:t>
      </w:r>
      <w:r>
        <w:rPr>
          <w:rFonts w:hint="eastAsia" w:cs="宋体"/>
          <w:szCs w:val="24"/>
          <w:highlight w:val="none"/>
        </w:rPr>
        <w:t>“</w:t>
      </w:r>
      <w:r>
        <w:rPr>
          <w:rFonts w:hint="eastAsia" w:cs="仿宋_GB2312"/>
          <w:szCs w:val="24"/>
          <w:highlight w:val="none"/>
          <w:lang w:val="en-US"/>
        </w:rPr>
        <w:t>投标</w:t>
      </w:r>
      <w:r>
        <w:rPr>
          <w:rFonts w:hint="eastAsia" w:cs="仿宋_GB2312"/>
          <w:szCs w:val="24"/>
          <w:highlight w:val="none"/>
        </w:rPr>
        <w:t>客户端”</w:t>
      </w:r>
      <w:r>
        <w:rPr>
          <w:rFonts w:hint="eastAsia"/>
          <w:highlight w:val="none"/>
        </w:rPr>
        <w:t>中按照</w:t>
      </w:r>
      <w:r>
        <w:rPr>
          <w:rFonts w:hint="eastAsia" w:cs="宋体"/>
          <w:szCs w:val="24"/>
          <w:highlight w:val="none"/>
        </w:rPr>
        <w:t>“</w:t>
      </w:r>
      <w:r>
        <w:rPr>
          <w:rFonts w:hint="eastAsia" w:cs="仿宋_GB2312"/>
          <w:szCs w:val="24"/>
          <w:highlight w:val="none"/>
          <w:lang w:val="en-US"/>
        </w:rPr>
        <w:t>投标</w:t>
      </w:r>
      <w:r>
        <w:rPr>
          <w:rFonts w:hint="eastAsia" w:cs="仿宋_GB2312"/>
          <w:szCs w:val="24"/>
          <w:highlight w:val="none"/>
        </w:rPr>
        <w:t>客户端”</w:t>
      </w:r>
      <w:r>
        <w:rPr>
          <w:rFonts w:hint="eastAsia"/>
          <w:highlight w:val="none"/>
        </w:rPr>
        <w:t>中的格式要求填写响应内容后，生成投标文件。投标人须按照招标文件的要求使用电子签章对要求加盖印章的部分逐一进行签章。</w:t>
      </w:r>
      <w:bookmarkEnd w:id="179"/>
    </w:p>
    <w:p w14:paraId="6D0ED04B">
      <w:pPr>
        <w:pStyle w:val="41"/>
        <w:spacing w:line="360" w:lineRule="auto"/>
        <w:rPr>
          <w:highlight w:val="none"/>
        </w:rPr>
      </w:pPr>
      <w:r>
        <w:rPr>
          <w:rFonts w:hint="eastAsia"/>
          <w:highlight w:val="none"/>
        </w:rPr>
        <w:t>1</w:t>
      </w:r>
      <w:r>
        <w:rPr>
          <w:rFonts w:hint="eastAsia"/>
          <w:highlight w:val="none"/>
          <w:lang w:val="en-US"/>
        </w:rPr>
        <w:t>6</w:t>
      </w:r>
      <w:r>
        <w:rPr>
          <w:rFonts w:hint="eastAsia"/>
          <w:highlight w:val="none"/>
        </w:rPr>
        <w:t>.</w:t>
      </w:r>
      <w:r>
        <w:rPr>
          <w:rFonts w:hint="eastAsia"/>
          <w:highlight w:val="none"/>
          <w:lang w:val="en-US"/>
        </w:rPr>
        <w:t>3</w:t>
      </w:r>
      <w:r>
        <w:rPr>
          <w:rFonts w:hint="eastAsia"/>
          <w:highlight w:val="none"/>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b/>
          <w:bCs/>
          <w:highlight w:val="none"/>
        </w:rPr>
        <w:t>导致</w:t>
      </w:r>
      <w:r>
        <w:rPr>
          <w:rFonts w:hint="eastAsia"/>
          <w:b/>
          <w:bCs/>
          <w:highlight w:val="none"/>
          <w:lang w:val="en-US"/>
        </w:rPr>
        <w:t>其</w:t>
      </w:r>
      <w:r>
        <w:rPr>
          <w:rFonts w:hint="eastAsia"/>
          <w:b/>
          <w:bCs/>
          <w:highlight w:val="none"/>
        </w:rPr>
        <w:t>投标</w:t>
      </w:r>
      <w:r>
        <w:rPr>
          <w:rFonts w:hint="eastAsia"/>
          <w:b/>
          <w:bCs/>
          <w:highlight w:val="none"/>
          <w:lang w:val="en-US"/>
        </w:rPr>
        <w:t>无效</w:t>
      </w:r>
      <w:r>
        <w:rPr>
          <w:rFonts w:hint="eastAsia"/>
          <w:highlight w:val="none"/>
        </w:rPr>
        <w:t>。</w:t>
      </w:r>
    </w:p>
    <w:p w14:paraId="6904BD97">
      <w:pPr>
        <w:pStyle w:val="41"/>
        <w:spacing w:line="360" w:lineRule="auto"/>
        <w:rPr>
          <w:highlight w:val="none"/>
        </w:rPr>
      </w:pPr>
      <w:r>
        <w:rPr>
          <w:rFonts w:hint="eastAsia"/>
          <w:highlight w:val="none"/>
        </w:rPr>
        <w:t>1</w:t>
      </w:r>
      <w:r>
        <w:rPr>
          <w:rFonts w:hint="eastAsia"/>
          <w:highlight w:val="none"/>
          <w:lang w:val="en-US"/>
        </w:rPr>
        <w:t>6</w:t>
      </w:r>
      <w:r>
        <w:rPr>
          <w:rFonts w:hint="eastAsia"/>
          <w:highlight w:val="none"/>
        </w:rPr>
        <w:t>.</w:t>
      </w:r>
      <w:r>
        <w:rPr>
          <w:rFonts w:hint="eastAsia"/>
          <w:highlight w:val="none"/>
          <w:lang w:val="en-US"/>
        </w:rPr>
        <w:t>4</w:t>
      </w:r>
      <w:r>
        <w:rPr>
          <w:rFonts w:hint="eastAsia"/>
          <w:highlight w:val="none"/>
        </w:rPr>
        <w:t>投标文件须严格按照</w:t>
      </w:r>
      <w:r>
        <w:rPr>
          <w:rFonts w:hint="eastAsia"/>
          <w:highlight w:val="none"/>
          <w:lang w:val="en-US"/>
        </w:rPr>
        <w:t>本</w:t>
      </w:r>
      <w:r>
        <w:rPr>
          <w:rFonts w:hint="eastAsia"/>
          <w:highlight w:val="none"/>
        </w:rPr>
        <w:t>招标文件第</w:t>
      </w:r>
      <w:r>
        <w:rPr>
          <w:rFonts w:hint="eastAsia"/>
          <w:highlight w:val="none"/>
          <w:lang w:val="en-US"/>
        </w:rPr>
        <w:t>七章</w:t>
      </w:r>
      <w:r>
        <w:rPr>
          <w:rFonts w:hint="eastAsia"/>
          <w:highlight w:val="none"/>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4AEBEB27">
      <w:pPr>
        <w:pStyle w:val="41"/>
        <w:spacing w:line="360" w:lineRule="auto"/>
        <w:rPr>
          <w:highlight w:val="none"/>
        </w:rPr>
      </w:pPr>
      <w:r>
        <w:rPr>
          <w:rFonts w:hint="eastAsia"/>
          <w:highlight w:val="none"/>
        </w:rPr>
        <w:t>16.5货物的技术参数有具体数值要求的，且招标文件要求投标人提供响应产品彩页、检验检测报告、厂家使用说明书等证明材料，则投标人在技术参数响应表中须标注产品实际参数数值，照搬照抄招标文件参数、不注明实际数值者</w:t>
      </w:r>
      <w:r>
        <w:rPr>
          <w:rFonts w:hint="eastAsia"/>
          <w:b/>
          <w:bCs/>
          <w:highlight w:val="none"/>
        </w:rPr>
        <w:t>视为未响应</w:t>
      </w:r>
      <w:r>
        <w:rPr>
          <w:rFonts w:hint="eastAsia"/>
          <w:highlight w:val="none"/>
        </w:rPr>
        <w:t>。</w:t>
      </w:r>
    </w:p>
    <w:p w14:paraId="5B139B37">
      <w:pPr>
        <w:pStyle w:val="41"/>
        <w:spacing w:line="360" w:lineRule="auto"/>
        <w:rPr>
          <w:highlight w:val="none"/>
        </w:rPr>
      </w:pPr>
      <w:r>
        <w:rPr>
          <w:rFonts w:hint="eastAsia"/>
          <w:highlight w:val="none"/>
        </w:rPr>
        <w:t>1</w:t>
      </w:r>
      <w:r>
        <w:rPr>
          <w:rFonts w:hint="eastAsia"/>
          <w:highlight w:val="none"/>
          <w:lang w:val="en-US"/>
        </w:rPr>
        <w:t>6</w:t>
      </w:r>
      <w:r>
        <w:rPr>
          <w:rFonts w:hint="eastAsia"/>
          <w:highlight w:val="none"/>
        </w:rPr>
        <w:t>.</w:t>
      </w:r>
      <w:r>
        <w:rPr>
          <w:rFonts w:hint="eastAsia"/>
          <w:highlight w:val="none"/>
          <w:lang w:val="en-US"/>
        </w:rPr>
        <w:t>6</w:t>
      </w:r>
      <w:r>
        <w:rPr>
          <w:rFonts w:hint="eastAsia"/>
          <w:highlight w:val="none"/>
        </w:rPr>
        <w:t>开标一览表为在开标</w:t>
      </w:r>
      <w:r>
        <w:rPr>
          <w:rFonts w:hint="eastAsia"/>
          <w:highlight w:val="none"/>
          <w:lang w:val="en-US"/>
        </w:rPr>
        <w:t>时</w:t>
      </w:r>
      <w:r>
        <w:rPr>
          <w:rFonts w:hint="eastAsia"/>
          <w:highlight w:val="none"/>
        </w:rPr>
        <w:t>唱标的内容，要求按格式统一填写，不得自行增减内容。</w:t>
      </w:r>
    </w:p>
    <w:p w14:paraId="75168A5B">
      <w:pPr>
        <w:pStyle w:val="41"/>
        <w:spacing w:line="360" w:lineRule="auto"/>
        <w:rPr>
          <w:highlight w:val="none"/>
        </w:rPr>
      </w:pPr>
      <w:r>
        <w:rPr>
          <w:rFonts w:hint="eastAsia"/>
          <w:highlight w:val="none"/>
        </w:rPr>
        <w:t>1</w:t>
      </w:r>
      <w:r>
        <w:rPr>
          <w:rFonts w:hint="eastAsia"/>
          <w:highlight w:val="none"/>
          <w:lang w:val="en-US"/>
        </w:rPr>
        <w:t>6</w:t>
      </w:r>
      <w:r>
        <w:rPr>
          <w:rFonts w:hint="eastAsia"/>
          <w:highlight w:val="none"/>
        </w:rPr>
        <w:t>.</w:t>
      </w:r>
      <w:r>
        <w:rPr>
          <w:rFonts w:hint="eastAsia"/>
          <w:highlight w:val="none"/>
          <w:lang w:val="en-US"/>
        </w:rPr>
        <w:t>7</w:t>
      </w:r>
      <w:r>
        <w:rPr>
          <w:rFonts w:hint="eastAsia"/>
          <w:highlight w:val="none"/>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highlight w:val="none"/>
          <w:lang w:val="en-US"/>
        </w:rPr>
        <w:t>按</w:t>
      </w:r>
      <w:r>
        <w:rPr>
          <w:rFonts w:hint="eastAsia"/>
          <w:b/>
          <w:bCs/>
          <w:highlight w:val="none"/>
          <w:lang w:val="en-US"/>
        </w:rPr>
        <w:t>无效投标</w:t>
      </w:r>
      <w:r>
        <w:rPr>
          <w:rFonts w:hint="eastAsia"/>
          <w:highlight w:val="none"/>
        </w:rPr>
        <w:t>处理。</w:t>
      </w:r>
    </w:p>
    <w:p w14:paraId="1C5D829A">
      <w:pPr>
        <w:pStyle w:val="41"/>
        <w:spacing w:line="360" w:lineRule="auto"/>
        <w:rPr>
          <w:highlight w:val="none"/>
        </w:rPr>
      </w:pPr>
      <w:r>
        <w:rPr>
          <w:rFonts w:hint="eastAsia"/>
          <w:highlight w:val="none"/>
        </w:rPr>
        <w:t>1</w:t>
      </w:r>
      <w:r>
        <w:rPr>
          <w:rFonts w:hint="eastAsia"/>
          <w:highlight w:val="none"/>
          <w:lang w:val="en-US"/>
        </w:rPr>
        <w:t>6</w:t>
      </w:r>
      <w:r>
        <w:rPr>
          <w:rFonts w:hint="eastAsia"/>
          <w:highlight w:val="none"/>
        </w:rPr>
        <w:t>.</w:t>
      </w:r>
      <w:r>
        <w:rPr>
          <w:rFonts w:hint="eastAsia"/>
          <w:highlight w:val="none"/>
          <w:lang w:val="en-US"/>
        </w:rPr>
        <w:t>8</w:t>
      </w:r>
      <w:r>
        <w:rPr>
          <w:rFonts w:hint="eastAsia"/>
          <w:highlight w:val="none"/>
        </w:rPr>
        <w:t>投标人必须保证投标文件所提供的全部资料真实可靠，并接受采购</w:t>
      </w:r>
      <w:r>
        <w:rPr>
          <w:rFonts w:hint="eastAsia"/>
          <w:highlight w:val="none"/>
          <w:lang w:val="en-US"/>
        </w:rPr>
        <w:t>人、采购</w:t>
      </w:r>
      <w:r>
        <w:rPr>
          <w:rFonts w:hint="eastAsia"/>
          <w:highlight w:val="none"/>
        </w:rPr>
        <w:t>代理机构或评标委员会对其中任何资料进一步审查的要求。</w:t>
      </w:r>
    </w:p>
    <w:p w14:paraId="3BDDFBFF">
      <w:pPr>
        <w:pStyle w:val="41"/>
        <w:spacing w:line="360" w:lineRule="auto"/>
        <w:rPr>
          <w:highlight w:val="none"/>
        </w:rPr>
      </w:pPr>
      <w:r>
        <w:rPr>
          <w:rFonts w:hint="eastAsia"/>
          <w:highlight w:val="none"/>
        </w:rPr>
        <w:t>1</w:t>
      </w:r>
      <w:r>
        <w:rPr>
          <w:rFonts w:hint="eastAsia"/>
          <w:highlight w:val="none"/>
          <w:lang w:val="en-US"/>
        </w:rPr>
        <w:t>6</w:t>
      </w:r>
      <w:r>
        <w:rPr>
          <w:rFonts w:hint="eastAsia"/>
          <w:highlight w:val="none"/>
        </w:rPr>
        <w:t>.</w:t>
      </w:r>
      <w:r>
        <w:rPr>
          <w:rFonts w:hint="eastAsia"/>
          <w:highlight w:val="none"/>
          <w:lang w:val="en-US"/>
        </w:rPr>
        <w:t>9</w:t>
      </w:r>
      <w:r>
        <w:rPr>
          <w:rFonts w:hint="eastAsia"/>
          <w:highlight w:val="none"/>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b/>
          <w:bCs/>
          <w:highlight w:val="none"/>
        </w:rPr>
        <w:t>无效投标</w:t>
      </w:r>
      <w:r>
        <w:rPr>
          <w:rFonts w:hint="eastAsia"/>
          <w:highlight w:val="none"/>
        </w:rPr>
        <w:t>处理。</w:t>
      </w:r>
    </w:p>
    <w:p w14:paraId="4A95421A">
      <w:pPr>
        <w:pStyle w:val="41"/>
        <w:spacing w:line="360" w:lineRule="auto"/>
        <w:rPr>
          <w:iCs w:val="0"/>
          <w:highlight w:val="none"/>
        </w:rPr>
      </w:pPr>
      <w:r>
        <w:rPr>
          <w:rFonts w:hint="eastAsia"/>
          <w:iCs w:val="0"/>
          <w:highlight w:val="none"/>
        </w:rPr>
        <w:t>16.10电子投标文件的编制</w:t>
      </w:r>
    </w:p>
    <w:p w14:paraId="4D3D31AA">
      <w:pPr>
        <w:pStyle w:val="41"/>
        <w:spacing w:line="360" w:lineRule="auto"/>
        <w:rPr>
          <w:iCs w:val="0"/>
          <w:highlight w:val="none"/>
        </w:rPr>
      </w:pPr>
      <w:r>
        <w:rPr>
          <w:rFonts w:hint="eastAsia"/>
          <w:iCs w:val="0"/>
          <w:highlight w:val="none"/>
        </w:rPr>
        <w:t>16.10.1</w:t>
      </w:r>
      <w:r>
        <w:rPr>
          <w:rFonts w:hint="eastAsia"/>
          <w:highlight w:val="none"/>
        </w:rPr>
        <w:t>电子</w:t>
      </w:r>
      <w:r>
        <w:rPr>
          <w:rFonts w:hint="eastAsia"/>
          <w:iCs w:val="0"/>
          <w:highlight w:val="none"/>
        </w:rPr>
        <w:t xml:space="preserve">投标文件需按招标文件要求进行制作编制。投标文件制作时，不同内容按标签提示制作导入，按照招标文件中明确的投标文件目录和格式进行编制，保证目录清晰、内容完整；           </w:t>
      </w:r>
    </w:p>
    <w:p w14:paraId="40268546">
      <w:pPr>
        <w:pStyle w:val="41"/>
        <w:spacing w:line="360" w:lineRule="auto"/>
        <w:rPr>
          <w:iCs w:val="0"/>
          <w:highlight w:val="none"/>
        </w:rPr>
      </w:pPr>
      <w:r>
        <w:rPr>
          <w:rFonts w:hint="eastAsia"/>
          <w:iCs w:val="0"/>
          <w:highlight w:val="none"/>
        </w:rPr>
        <w:t>16.10.2</w:t>
      </w:r>
      <w:r>
        <w:rPr>
          <w:rFonts w:hint="eastAsia"/>
          <w:highlight w:val="none"/>
        </w:rPr>
        <w:t>电子</w:t>
      </w:r>
      <w:r>
        <w:rPr>
          <w:rFonts w:hint="eastAsia"/>
          <w:iCs w:val="0"/>
          <w:highlight w:val="none"/>
        </w:rPr>
        <w:t>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b/>
          <w:bCs/>
          <w:iCs w:val="0"/>
          <w:highlight w:val="none"/>
        </w:rPr>
        <w:t>其投标无效</w:t>
      </w:r>
      <w:r>
        <w:rPr>
          <w:rFonts w:hint="eastAsia"/>
          <w:iCs w:val="0"/>
          <w:highlight w:val="none"/>
        </w:rPr>
        <w:t xml:space="preserve">。 </w:t>
      </w:r>
    </w:p>
    <w:p w14:paraId="03FE5336">
      <w:pPr>
        <w:pStyle w:val="5"/>
        <w:spacing w:line="360" w:lineRule="auto"/>
        <w:rPr>
          <w:highlight w:val="none"/>
        </w:rPr>
      </w:pPr>
      <w:bookmarkStart w:id="180" w:name="_Toc155185873"/>
      <w:bookmarkStart w:id="181" w:name="_Toc163492842"/>
      <w:r>
        <w:rPr>
          <w:rFonts w:hint="eastAsia"/>
          <w:highlight w:val="none"/>
        </w:rPr>
        <w:t>（四）投标</w:t>
      </w:r>
      <w:bookmarkEnd w:id="180"/>
      <w:bookmarkEnd w:id="181"/>
    </w:p>
    <w:p w14:paraId="116D4EC7">
      <w:pPr>
        <w:pStyle w:val="6"/>
        <w:spacing w:line="360" w:lineRule="auto"/>
        <w:rPr>
          <w:highlight w:val="none"/>
        </w:rPr>
      </w:pPr>
      <w:bookmarkStart w:id="182" w:name="_Toc163492843"/>
      <w:r>
        <w:rPr>
          <w:rFonts w:hint="eastAsia"/>
          <w:highlight w:val="none"/>
        </w:rPr>
        <w:t>17.投标保证金</w:t>
      </w:r>
    </w:p>
    <w:p w14:paraId="7EC73FD9">
      <w:pPr>
        <w:pStyle w:val="41"/>
        <w:spacing w:line="360" w:lineRule="auto"/>
        <w:rPr>
          <w:iCs w:val="0"/>
          <w:highlight w:val="none"/>
        </w:rPr>
      </w:pPr>
      <w:r>
        <w:rPr>
          <w:rFonts w:hint="eastAsia"/>
          <w:iCs w:val="0"/>
          <w:highlight w:val="none"/>
        </w:rPr>
        <w:t>17.1投标人应按照招标文件“第二章 投标人须知前附表”规定的金额及要求提交投标保证金。投标人自愿超额缴纳投标保证金的，投标文件不作无效处理。</w:t>
      </w:r>
    </w:p>
    <w:p w14:paraId="72329C8E">
      <w:pPr>
        <w:pStyle w:val="41"/>
        <w:spacing w:line="360" w:lineRule="auto"/>
        <w:rPr>
          <w:rFonts w:cs="宋体"/>
          <w:highlight w:val="none"/>
        </w:rPr>
      </w:pPr>
      <w:r>
        <w:rPr>
          <w:rFonts w:hint="eastAsia"/>
          <w:highlight w:val="none"/>
        </w:rPr>
        <w:t>17.2提交投标保证金可采用的形式：政府采购法律法规接受的支票、汇票、本票、网上银行支付或者金融机构、担保机构出具的保函等非现金形式。</w:t>
      </w:r>
      <w:r>
        <w:rPr>
          <w:rFonts w:hint="eastAsia" w:cs="宋体"/>
          <w:highlight w:val="none"/>
        </w:rPr>
        <w:t>投标人未按照招标文件要求提交投标保证金的，其</w:t>
      </w:r>
      <w:r>
        <w:rPr>
          <w:rFonts w:hint="eastAsia" w:cs="宋体"/>
          <w:b/>
          <w:bCs/>
          <w:highlight w:val="none"/>
        </w:rPr>
        <w:t>投标无效</w:t>
      </w:r>
      <w:r>
        <w:rPr>
          <w:rFonts w:hint="eastAsia" w:cs="宋体"/>
          <w:highlight w:val="none"/>
        </w:rPr>
        <w:t>。</w:t>
      </w:r>
      <w:r>
        <w:rPr>
          <w:rFonts w:hint="eastAsia"/>
          <w:highlight w:val="none"/>
        </w:rPr>
        <w:t>投标保证金有效期同投标有效期。</w:t>
      </w:r>
    </w:p>
    <w:p w14:paraId="4EA0CDE3">
      <w:pPr>
        <w:pStyle w:val="41"/>
        <w:spacing w:line="360" w:lineRule="auto"/>
        <w:rPr>
          <w:highlight w:val="none"/>
        </w:rPr>
      </w:pPr>
      <w:r>
        <w:rPr>
          <w:rFonts w:hint="eastAsia"/>
          <w:highlight w:val="none"/>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b/>
          <w:bCs/>
          <w:highlight w:val="none"/>
        </w:rPr>
        <w:t>投标无效</w:t>
      </w:r>
      <w:r>
        <w:rPr>
          <w:rFonts w:hint="eastAsia"/>
          <w:highlight w:val="none"/>
        </w:rPr>
        <w:t>。</w:t>
      </w:r>
    </w:p>
    <w:p w14:paraId="4571DA94">
      <w:pPr>
        <w:pStyle w:val="41"/>
        <w:spacing w:line="360" w:lineRule="auto"/>
        <w:rPr>
          <w:iCs w:val="0"/>
          <w:highlight w:val="none"/>
        </w:rPr>
      </w:pPr>
      <w:r>
        <w:rPr>
          <w:iCs w:val="0"/>
          <w:highlight w:val="none"/>
        </w:rPr>
        <w:t>1</w:t>
      </w:r>
      <w:r>
        <w:rPr>
          <w:rFonts w:hint="eastAsia"/>
          <w:iCs w:val="0"/>
          <w:highlight w:val="none"/>
        </w:rPr>
        <w:t>7</w:t>
      </w:r>
      <w:r>
        <w:rPr>
          <w:iCs w:val="0"/>
          <w:highlight w:val="none"/>
        </w:rPr>
        <w:t>.</w:t>
      </w:r>
      <w:r>
        <w:rPr>
          <w:rFonts w:hint="eastAsia"/>
          <w:iCs w:val="0"/>
          <w:highlight w:val="none"/>
        </w:rPr>
        <w:t>4</w:t>
      </w:r>
      <w:r>
        <w:rPr>
          <w:iCs w:val="0"/>
          <w:highlight w:val="none"/>
        </w:rPr>
        <w:t xml:space="preserve"> </w:t>
      </w:r>
      <w:r>
        <w:rPr>
          <w:highlight w:val="none"/>
        </w:rPr>
        <w:t>投标人</w:t>
      </w:r>
      <w:r>
        <w:rPr>
          <w:iCs w:val="0"/>
          <w:highlight w:val="none"/>
        </w:rPr>
        <w:t>为联合体的，可以由联合体中的一方或者多方共同</w:t>
      </w:r>
      <w:r>
        <w:rPr>
          <w:rFonts w:hint="eastAsia"/>
          <w:iCs w:val="0"/>
          <w:highlight w:val="none"/>
        </w:rPr>
        <w:t>提交</w:t>
      </w:r>
      <w:r>
        <w:rPr>
          <w:iCs w:val="0"/>
          <w:highlight w:val="none"/>
        </w:rPr>
        <w:t>投标保证金，其</w:t>
      </w:r>
      <w:r>
        <w:rPr>
          <w:rFonts w:hint="eastAsia"/>
          <w:iCs w:val="0"/>
          <w:highlight w:val="none"/>
        </w:rPr>
        <w:t>提交</w:t>
      </w:r>
      <w:r>
        <w:rPr>
          <w:iCs w:val="0"/>
          <w:highlight w:val="none"/>
        </w:rPr>
        <w:t>的投标保证金对联合体各方均具有约束力。</w:t>
      </w:r>
    </w:p>
    <w:p w14:paraId="17B15CB4">
      <w:pPr>
        <w:pStyle w:val="41"/>
        <w:spacing w:line="360" w:lineRule="auto"/>
        <w:rPr>
          <w:iCs w:val="0"/>
          <w:highlight w:val="none"/>
        </w:rPr>
      </w:pPr>
      <w:r>
        <w:rPr>
          <w:rFonts w:hint="eastAsia"/>
          <w:iCs w:val="0"/>
          <w:highlight w:val="none"/>
        </w:rPr>
        <w:t xml:space="preserve">    17.5</w:t>
      </w:r>
      <w:r>
        <w:rPr>
          <w:iCs w:val="0"/>
          <w:highlight w:val="none"/>
        </w:rPr>
        <w:t>采购人或者采购代理机构应当在采购活动结束后及时退还</w:t>
      </w:r>
      <w:r>
        <w:rPr>
          <w:rFonts w:hint="eastAsia"/>
          <w:iCs w:val="0"/>
          <w:highlight w:val="none"/>
        </w:rPr>
        <w:t>投标人</w:t>
      </w:r>
      <w:r>
        <w:rPr>
          <w:iCs w:val="0"/>
          <w:highlight w:val="none"/>
        </w:rPr>
        <w:t>的</w:t>
      </w:r>
      <w:r>
        <w:rPr>
          <w:rFonts w:hint="eastAsia"/>
          <w:iCs w:val="0"/>
          <w:highlight w:val="none"/>
        </w:rPr>
        <w:t>投标</w:t>
      </w:r>
      <w:r>
        <w:rPr>
          <w:iCs w:val="0"/>
          <w:highlight w:val="none"/>
        </w:rPr>
        <w:t>保证金，采用银行保函、担保机构担保函等形式递交的</w:t>
      </w:r>
      <w:r>
        <w:rPr>
          <w:rFonts w:hint="eastAsia"/>
          <w:iCs w:val="0"/>
          <w:highlight w:val="none"/>
        </w:rPr>
        <w:t>投标</w:t>
      </w:r>
      <w:r>
        <w:rPr>
          <w:iCs w:val="0"/>
          <w:highlight w:val="none"/>
        </w:rPr>
        <w:t>保证金，经</w:t>
      </w:r>
      <w:r>
        <w:rPr>
          <w:rFonts w:hint="eastAsia"/>
          <w:iCs w:val="0"/>
          <w:highlight w:val="none"/>
        </w:rPr>
        <w:t>投标人</w:t>
      </w:r>
      <w:r>
        <w:rPr>
          <w:iCs w:val="0"/>
          <w:highlight w:val="none"/>
        </w:rPr>
        <w:t>同意后采购人、采购代理机构可以不再退还，但因</w:t>
      </w:r>
      <w:r>
        <w:rPr>
          <w:rFonts w:hint="eastAsia"/>
          <w:iCs w:val="0"/>
          <w:highlight w:val="none"/>
        </w:rPr>
        <w:t>投标人</w:t>
      </w:r>
      <w:r>
        <w:rPr>
          <w:iCs w:val="0"/>
          <w:highlight w:val="none"/>
        </w:rPr>
        <w:t>自身原因导致无法及时退还的除外。未</w:t>
      </w:r>
      <w:r>
        <w:rPr>
          <w:rFonts w:hint="eastAsia"/>
          <w:iCs w:val="0"/>
          <w:highlight w:val="none"/>
        </w:rPr>
        <w:t>中标投标人</w:t>
      </w:r>
      <w:r>
        <w:rPr>
          <w:iCs w:val="0"/>
          <w:highlight w:val="none"/>
        </w:rPr>
        <w:t>的</w:t>
      </w:r>
      <w:r>
        <w:rPr>
          <w:rFonts w:hint="eastAsia"/>
          <w:iCs w:val="0"/>
          <w:highlight w:val="none"/>
        </w:rPr>
        <w:t>投标</w:t>
      </w:r>
      <w:r>
        <w:rPr>
          <w:iCs w:val="0"/>
          <w:highlight w:val="none"/>
        </w:rPr>
        <w:t>保证金应当自中标通知书发出之日起 5 个工作日内退还，</w:t>
      </w:r>
      <w:r>
        <w:rPr>
          <w:rFonts w:hint="eastAsia"/>
          <w:iCs w:val="0"/>
          <w:highlight w:val="none"/>
        </w:rPr>
        <w:t>中标投标人</w:t>
      </w:r>
      <w:r>
        <w:rPr>
          <w:iCs w:val="0"/>
          <w:highlight w:val="none"/>
        </w:rPr>
        <w:t>的</w:t>
      </w:r>
      <w:r>
        <w:rPr>
          <w:rFonts w:hint="eastAsia"/>
          <w:iCs w:val="0"/>
          <w:highlight w:val="none"/>
        </w:rPr>
        <w:t>投标</w:t>
      </w:r>
      <w:r>
        <w:rPr>
          <w:iCs w:val="0"/>
          <w:highlight w:val="none"/>
        </w:rPr>
        <w:t xml:space="preserve">保证金应当自采购合同签订之日起 5 个工作日内退还。 </w:t>
      </w:r>
    </w:p>
    <w:p w14:paraId="1FB9A5ED">
      <w:pPr>
        <w:pStyle w:val="41"/>
        <w:spacing w:line="360" w:lineRule="auto"/>
        <w:rPr>
          <w:iCs w:val="0"/>
          <w:highlight w:val="none"/>
        </w:rPr>
      </w:pPr>
      <w:r>
        <w:rPr>
          <w:iCs w:val="0"/>
          <w:highlight w:val="none"/>
        </w:rPr>
        <w:t>1</w:t>
      </w:r>
      <w:r>
        <w:rPr>
          <w:rFonts w:hint="eastAsia"/>
          <w:iCs w:val="0"/>
          <w:highlight w:val="none"/>
        </w:rPr>
        <w:t>7</w:t>
      </w:r>
      <w:r>
        <w:rPr>
          <w:iCs w:val="0"/>
          <w:highlight w:val="none"/>
        </w:rPr>
        <w:t>.</w:t>
      </w:r>
      <w:r>
        <w:rPr>
          <w:rFonts w:hint="eastAsia"/>
          <w:iCs w:val="0"/>
          <w:highlight w:val="none"/>
        </w:rPr>
        <w:t>6</w:t>
      </w:r>
      <w:r>
        <w:rPr>
          <w:iCs w:val="0"/>
          <w:highlight w:val="none"/>
        </w:rPr>
        <w:t xml:space="preserve"> 投标人在投标截止时间前撤回已</w:t>
      </w:r>
      <w:r>
        <w:rPr>
          <w:rFonts w:hint="eastAsia"/>
          <w:iCs w:val="0"/>
          <w:highlight w:val="none"/>
        </w:rPr>
        <w:t>提</w:t>
      </w:r>
      <w:r>
        <w:rPr>
          <w:iCs w:val="0"/>
          <w:highlight w:val="none"/>
        </w:rPr>
        <w:t>交的投标文件的，自收到投标人书面撤回通知之日起 5 个工作日内，退还已收取的投标保证金，但因投标人自身原因导致无法及时退还的除外</w:t>
      </w:r>
      <w:r>
        <w:rPr>
          <w:rFonts w:hint="eastAsia"/>
          <w:iCs w:val="0"/>
          <w:highlight w:val="none"/>
        </w:rPr>
        <w:t>。</w:t>
      </w:r>
      <w:r>
        <w:rPr>
          <w:iCs w:val="0"/>
          <w:highlight w:val="none"/>
        </w:rPr>
        <w:t xml:space="preserve"> </w:t>
      </w:r>
    </w:p>
    <w:p w14:paraId="0F38F45C">
      <w:pPr>
        <w:pStyle w:val="41"/>
        <w:spacing w:line="360" w:lineRule="auto"/>
        <w:rPr>
          <w:iCs w:val="0"/>
          <w:highlight w:val="none"/>
        </w:rPr>
      </w:pPr>
      <w:r>
        <w:rPr>
          <w:iCs w:val="0"/>
          <w:highlight w:val="none"/>
        </w:rPr>
        <w:t>1</w:t>
      </w:r>
      <w:r>
        <w:rPr>
          <w:rFonts w:hint="eastAsia"/>
          <w:iCs w:val="0"/>
          <w:highlight w:val="none"/>
        </w:rPr>
        <w:t>7</w:t>
      </w:r>
      <w:r>
        <w:rPr>
          <w:iCs w:val="0"/>
          <w:highlight w:val="none"/>
        </w:rPr>
        <w:t>.</w:t>
      </w:r>
      <w:r>
        <w:rPr>
          <w:rFonts w:hint="eastAsia"/>
          <w:iCs w:val="0"/>
          <w:highlight w:val="none"/>
        </w:rPr>
        <w:t>7</w:t>
      </w:r>
      <w:r>
        <w:rPr>
          <w:iCs w:val="0"/>
          <w:highlight w:val="none"/>
        </w:rPr>
        <w:t xml:space="preserve"> 终止招标项目已经收取投标保证金的，自终止采购活动后 5 个工作日内退还已收取的投标保证金及其在银行产生的孳息。</w:t>
      </w:r>
    </w:p>
    <w:p w14:paraId="788E3942">
      <w:pPr>
        <w:pStyle w:val="41"/>
        <w:spacing w:line="360" w:lineRule="auto"/>
        <w:rPr>
          <w:iCs w:val="0"/>
          <w:highlight w:val="none"/>
        </w:rPr>
      </w:pPr>
      <w:r>
        <w:rPr>
          <w:iCs w:val="0"/>
          <w:highlight w:val="none"/>
        </w:rPr>
        <w:t>1</w:t>
      </w:r>
      <w:r>
        <w:rPr>
          <w:rFonts w:hint="eastAsia"/>
          <w:iCs w:val="0"/>
          <w:highlight w:val="none"/>
        </w:rPr>
        <w:t>7</w:t>
      </w:r>
      <w:r>
        <w:rPr>
          <w:iCs w:val="0"/>
          <w:highlight w:val="none"/>
        </w:rPr>
        <w:t>.</w:t>
      </w:r>
      <w:r>
        <w:rPr>
          <w:rFonts w:hint="eastAsia"/>
          <w:iCs w:val="0"/>
          <w:highlight w:val="none"/>
        </w:rPr>
        <w:t>8</w:t>
      </w:r>
      <w:r>
        <w:rPr>
          <w:iCs w:val="0"/>
          <w:highlight w:val="none"/>
        </w:rPr>
        <w:t xml:space="preserve"> 有下列情形之一的，采购人或采购代理机构可以不予退还投标保证金</w:t>
      </w:r>
      <w:r>
        <w:rPr>
          <w:rFonts w:hint="eastAsia"/>
          <w:iCs w:val="0"/>
          <w:highlight w:val="none"/>
        </w:rPr>
        <w:t>，</w:t>
      </w:r>
      <w:r>
        <w:rPr>
          <w:rFonts w:hint="eastAsia" w:cs="宋体"/>
          <w:highlight w:val="none"/>
        </w:rPr>
        <w:t>情节严重的将其列入不良记录名单</w:t>
      </w:r>
      <w:r>
        <w:rPr>
          <w:iCs w:val="0"/>
          <w:highlight w:val="none"/>
        </w:rPr>
        <w:t xml:space="preserve">： </w:t>
      </w:r>
    </w:p>
    <w:p w14:paraId="2DD24BF1">
      <w:pPr>
        <w:pStyle w:val="41"/>
        <w:spacing w:line="360" w:lineRule="auto"/>
        <w:rPr>
          <w:iCs w:val="0"/>
          <w:highlight w:val="none"/>
        </w:rPr>
      </w:pPr>
      <w:r>
        <w:rPr>
          <w:iCs w:val="0"/>
          <w:highlight w:val="none"/>
        </w:rPr>
        <w:t>1</w:t>
      </w:r>
      <w:r>
        <w:rPr>
          <w:rFonts w:hint="eastAsia"/>
          <w:iCs w:val="0"/>
          <w:highlight w:val="none"/>
        </w:rPr>
        <w:t>7</w:t>
      </w:r>
      <w:r>
        <w:rPr>
          <w:iCs w:val="0"/>
          <w:highlight w:val="none"/>
        </w:rPr>
        <w:t>.</w:t>
      </w:r>
      <w:r>
        <w:rPr>
          <w:rFonts w:hint="eastAsia"/>
          <w:iCs w:val="0"/>
          <w:highlight w:val="none"/>
        </w:rPr>
        <w:t>8</w:t>
      </w:r>
      <w:r>
        <w:rPr>
          <w:iCs w:val="0"/>
          <w:highlight w:val="none"/>
        </w:rPr>
        <w:t xml:space="preserve">.1 </w:t>
      </w:r>
      <w:r>
        <w:rPr>
          <w:rFonts w:hint="eastAsia"/>
          <w:highlight w:val="none"/>
        </w:rPr>
        <w:t>开标</w:t>
      </w:r>
      <w:r>
        <w:rPr>
          <w:rFonts w:hint="eastAsia" w:cs="宋体"/>
          <w:highlight w:val="none"/>
        </w:rPr>
        <w:t>后在投标有效期内，投标人撤销其投标的；</w:t>
      </w:r>
      <w:r>
        <w:rPr>
          <w:iCs w:val="0"/>
          <w:highlight w:val="none"/>
        </w:rPr>
        <w:t xml:space="preserve"> </w:t>
      </w:r>
    </w:p>
    <w:p w14:paraId="047A2817">
      <w:pPr>
        <w:pStyle w:val="41"/>
        <w:spacing w:line="360" w:lineRule="auto"/>
        <w:rPr>
          <w:iCs w:val="0"/>
          <w:highlight w:val="none"/>
        </w:rPr>
      </w:pPr>
      <w:r>
        <w:rPr>
          <w:iCs w:val="0"/>
          <w:highlight w:val="none"/>
        </w:rPr>
        <w:t>1</w:t>
      </w:r>
      <w:r>
        <w:rPr>
          <w:rFonts w:hint="eastAsia"/>
          <w:iCs w:val="0"/>
          <w:highlight w:val="none"/>
        </w:rPr>
        <w:t>7</w:t>
      </w:r>
      <w:r>
        <w:rPr>
          <w:iCs w:val="0"/>
          <w:highlight w:val="none"/>
        </w:rPr>
        <w:t>.</w:t>
      </w:r>
      <w:r>
        <w:rPr>
          <w:rFonts w:hint="eastAsia"/>
          <w:iCs w:val="0"/>
          <w:highlight w:val="none"/>
        </w:rPr>
        <w:t>8</w:t>
      </w:r>
      <w:r>
        <w:rPr>
          <w:iCs w:val="0"/>
          <w:highlight w:val="none"/>
        </w:rPr>
        <w:t xml:space="preserve">.2 </w:t>
      </w:r>
      <w:r>
        <w:rPr>
          <w:rFonts w:hint="eastAsia" w:cs="宋体"/>
          <w:highlight w:val="none"/>
        </w:rPr>
        <w:t>中标后无正当理由不与采购人签订合同的；</w:t>
      </w:r>
    </w:p>
    <w:p w14:paraId="5478B66C">
      <w:pPr>
        <w:pStyle w:val="41"/>
        <w:spacing w:line="360" w:lineRule="auto"/>
        <w:rPr>
          <w:rFonts w:cs="宋体"/>
          <w:highlight w:val="none"/>
        </w:rPr>
      </w:pPr>
      <w:r>
        <w:rPr>
          <w:rFonts w:hint="eastAsia"/>
          <w:iCs w:val="0"/>
          <w:highlight w:val="none"/>
        </w:rPr>
        <w:t xml:space="preserve">17.8.3 </w:t>
      </w:r>
      <w:r>
        <w:rPr>
          <w:rFonts w:hint="eastAsia" w:cs="宋体"/>
          <w:highlight w:val="none"/>
        </w:rPr>
        <w:t>中标人与采购人订立背离合同实质性内容的其他协议；</w:t>
      </w:r>
    </w:p>
    <w:p w14:paraId="1707BC50">
      <w:pPr>
        <w:pStyle w:val="41"/>
        <w:spacing w:line="360" w:lineRule="auto"/>
        <w:rPr>
          <w:rFonts w:cs="宋体"/>
          <w:highlight w:val="none"/>
        </w:rPr>
      </w:pPr>
      <w:r>
        <w:rPr>
          <w:rFonts w:hint="eastAsia"/>
          <w:iCs w:val="0"/>
          <w:highlight w:val="none"/>
        </w:rPr>
        <w:t>17.8.</w:t>
      </w:r>
      <w:r>
        <w:rPr>
          <w:rFonts w:hint="eastAsia" w:cs="宋体"/>
          <w:highlight w:val="none"/>
        </w:rPr>
        <w:t>4 将</w:t>
      </w:r>
      <w:r>
        <w:rPr>
          <w:rFonts w:hint="eastAsia"/>
          <w:highlight w:val="none"/>
        </w:rPr>
        <w:t>中标</w:t>
      </w:r>
      <w:r>
        <w:rPr>
          <w:rFonts w:hint="eastAsia" w:cs="宋体"/>
          <w:highlight w:val="none"/>
        </w:rPr>
        <w:t>项目转让给他人，或者在投标文件中未说明，且未经采购人同意，将中标项目分包给他人的；</w:t>
      </w:r>
    </w:p>
    <w:p w14:paraId="63562449">
      <w:pPr>
        <w:pStyle w:val="41"/>
        <w:spacing w:line="360" w:lineRule="auto"/>
        <w:rPr>
          <w:rFonts w:cs="宋体"/>
          <w:highlight w:val="none"/>
        </w:rPr>
      </w:pPr>
      <w:r>
        <w:rPr>
          <w:rFonts w:hint="eastAsia"/>
          <w:iCs w:val="0"/>
          <w:highlight w:val="none"/>
        </w:rPr>
        <w:t>17.8.</w:t>
      </w:r>
      <w:r>
        <w:rPr>
          <w:rFonts w:hint="eastAsia" w:cs="宋体"/>
          <w:highlight w:val="none"/>
        </w:rPr>
        <w:t>5 存在串通投标行为的；</w:t>
      </w:r>
    </w:p>
    <w:p w14:paraId="4A8B1070">
      <w:pPr>
        <w:pStyle w:val="41"/>
        <w:spacing w:line="360" w:lineRule="auto"/>
        <w:rPr>
          <w:rFonts w:cs="宋体"/>
          <w:highlight w:val="none"/>
        </w:rPr>
      </w:pPr>
      <w:r>
        <w:rPr>
          <w:rFonts w:hint="eastAsia"/>
          <w:iCs w:val="0"/>
          <w:highlight w:val="none"/>
        </w:rPr>
        <w:t>17.8.</w:t>
      </w:r>
      <w:r>
        <w:rPr>
          <w:rFonts w:hint="eastAsia" w:cs="宋体"/>
          <w:highlight w:val="none"/>
        </w:rPr>
        <w:t>6 存在</w:t>
      </w:r>
      <w:r>
        <w:rPr>
          <w:rFonts w:hint="eastAsia"/>
          <w:highlight w:val="none"/>
        </w:rPr>
        <w:t>弄虚作假</w:t>
      </w:r>
      <w:r>
        <w:rPr>
          <w:rFonts w:hint="eastAsia" w:cs="宋体"/>
          <w:highlight w:val="none"/>
        </w:rPr>
        <w:t>或提供虚假材料谋取中标的；</w:t>
      </w:r>
    </w:p>
    <w:p w14:paraId="6A389F13">
      <w:pPr>
        <w:pStyle w:val="41"/>
        <w:spacing w:line="360" w:lineRule="auto"/>
        <w:rPr>
          <w:rFonts w:cs="宋体"/>
          <w:highlight w:val="none"/>
        </w:rPr>
      </w:pPr>
      <w:r>
        <w:rPr>
          <w:rFonts w:hint="eastAsia"/>
          <w:iCs w:val="0"/>
          <w:highlight w:val="none"/>
        </w:rPr>
        <w:t>17.8.</w:t>
      </w:r>
      <w:r>
        <w:rPr>
          <w:rFonts w:hint="eastAsia" w:cs="宋体"/>
          <w:highlight w:val="none"/>
        </w:rPr>
        <w:t>7 投标人其他未按招标文件规定和合同约定履行义务的行为。</w:t>
      </w:r>
    </w:p>
    <w:p w14:paraId="13DF747F">
      <w:pPr>
        <w:pStyle w:val="41"/>
        <w:spacing w:line="360" w:lineRule="auto"/>
        <w:rPr>
          <w:iCs w:val="0"/>
          <w:highlight w:val="none"/>
        </w:rPr>
      </w:pPr>
      <w:r>
        <w:rPr>
          <w:rFonts w:hint="eastAsia"/>
          <w:iCs w:val="0"/>
          <w:highlight w:val="none"/>
        </w:rPr>
        <w:t>17.9如开标时投标人对本单位投标保证金缴纳情况有疑义，投标人应在开标结束前向采购人提交书面申请核实保证金缴纳情况。由银行或保险公司核实后出具书面材料予以答复。</w:t>
      </w:r>
    </w:p>
    <w:p w14:paraId="535C5AB5">
      <w:pPr>
        <w:pStyle w:val="41"/>
        <w:spacing w:line="360" w:lineRule="auto"/>
        <w:rPr>
          <w:iCs w:val="0"/>
          <w:highlight w:val="none"/>
        </w:rPr>
      </w:pPr>
      <w:r>
        <w:rPr>
          <w:rFonts w:hint="eastAsia"/>
          <w:iCs w:val="0"/>
          <w:highlight w:val="none"/>
        </w:rPr>
        <w:t>17.10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登录“新疆政府采购网”—顶部通栏“信用融资”或者“新疆政府采购网”首页“政采贷｜电子保函”快捷模块查看：</w:t>
      </w:r>
    </w:p>
    <w:p w14:paraId="7C8E6216">
      <w:pPr>
        <w:pStyle w:val="41"/>
        <w:spacing w:line="360" w:lineRule="auto"/>
        <w:rPr>
          <w:iCs w:val="0"/>
          <w:highlight w:val="none"/>
        </w:rPr>
      </w:pPr>
      <w:r>
        <w:rPr>
          <w:rFonts w:hint="eastAsia"/>
          <w:iCs w:val="0"/>
          <w:highlight w:val="none"/>
        </w:rPr>
        <w:t>直达链接（电子保函）：</w:t>
      </w:r>
    </w:p>
    <w:p w14:paraId="09BB71DC">
      <w:pPr>
        <w:pStyle w:val="41"/>
        <w:spacing w:line="360" w:lineRule="auto"/>
        <w:rPr>
          <w:iCs w:val="0"/>
          <w:highlight w:val="none"/>
        </w:rPr>
      </w:pPr>
      <w:r>
        <w:rPr>
          <w:rFonts w:hint="eastAsia"/>
          <w:iCs w:val="0"/>
          <w:highlight w:val="none"/>
        </w:rPr>
        <w:t>https://</w:t>
      </w:r>
      <w:r>
        <w:rPr>
          <w:rFonts w:hint="eastAsia"/>
          <w:highlight w:val="none"/>
        </w:rPr>
        <w:t>jinrong</w:t>
      </w:r>
      <w:r>
        <w:rPr>
          <w:rFonts w:hint="eastAsia"/>
          <w:iCs w:val="0"/>
          <w:highlight w:val="none"/>
        </w:rPr>
        <w:t>.zcygov.cn/luban/finance/xinjiang?utm=site.site-PC-4838.1473-pc-wsg-customFloatWindow-front.1.b9d627301e6311efb796b33a13fe0d0a</w:t>
      </w:r>
    </w:p>
    <w:p w14:paraId="1AB08A65">
      <w:pPr>
        <w:pStyle w:val="41"/>
        <w:spacing w:line="360" w:lineRule="auto"/>
        <w:rPr>
          <w:iCs w:val="0"/>
          <w:highlight w:val="none"/>
        </w:rPr>
      </w:pPr>
      <w:r>
        <w:rPr>
          <w:rFonts w:hint="eastAsia"/>
          <w:iCs w:val="0"/>
          <w:highlight w:val="none"/>
        </w:rPr>
        <w:t>金融服务</w:t>
      </w:r>
      <w:r>
        <w:rPr>
          <w:rFonts w:hint="eastAsia"/>
          <w:highlight w:val="none"/>
        </w:rPr>
        <w:t>支撑</w:t>
      </w:r>
      <w:r>
        <w:rPr>
          <w:rFonts w:hint="eastAsia"/>
          <w:iCs w:val="0"/>
          <w:highlight w:val="none"/>
        </w:rPr>
        <w:t>热线：</w:t>
      </w:r>
      <w:r>
        <w:rPr>
          <w:rFonts w:hint="eastAsia"/>
          <w:b/>
          <w:bCs/>
          <w:iCs w:val="0"/>
          <w:highlight w:val="none"/>
        </w:rPr>
        <w:t>95763</w:t>
      </w:r>
      <w:r>
        <w:rPr>
          <w:rFonts w:hint="eastAsia"/>
          <w:iCs w:val="0"/>
          <w:highlight w:val="none"/>
        </w:rPr>
        <w:t xml:space="preserve">     </w:t>
      </w:r>
    </w:p>
    <w:p w14:paraId="578CC0E0">
      <w:pPr>
        <w:pStyle w:val="6"/>
        <w:spacing w:line="360" w:lineRule="auto"/>
        <w:rPr>
          <w:highlight w:val="none"/>
        </w:rPr>
      </w:pPr>
      <w:r>
        <w:rPr>
          <w:rFonts w:hint="eastAsia"/>
          <w:highlight w:val="none"/>
        </w:rPr>
        <w:t>18.投标文件的加密</w:t>
      </w:r>
      <w:bookmarkEnd w:id="182"/>
    </w:p>
    <w:p w14:paraId="01008C73">
      <w:pPr>
        <w:pStyle w:val="41"/>
        <w:spacing w:line="360" w:lineRule="auto"/>
        <w:rPr>
          <w:highlight w:val="none"/>
          <w:u w:val="single"/>
        </w:rPr>
      </w:pPr>
      <w:bookmarkStart w:id="183" w:name="_Hlk143531864"/>
      <w:r>
        <w:rPr>
          <w:highlight w:val="none"/>
        </w:rPr>
        <w:t>1</w:t>
      </w:r>
      <w:r>
        <w:rPr>
          <w:rFonts w:hint="eastAsia"/>
          <w:highlight w:val="none"/>
        </w:rPr>
        <w:t>8.1投标人在“投标客户端”中生成投标文件并完成签章之后，使用CA证书在</w:t>
      </w:r>
      <w:r>
        <w:rPr>
          <w:rFonts w:hint="eastAsia" w:cs="宋体"/>
          <w:highlight w:val="none"/>
        </w:rPr>
        <w:t>“</w:t>
      </w:r>
      <w:r>
        <w:rPr>
          <w:rFonts w:hint="eastAsia"/>
          <w:highlight w:val="none"/>
        </w:rPr>
        <w:t>投标客户端”中对投标文件进行加密。</w:t>
      </w:r>
    </w:p>
    <w:p w14:paraId="6888A657">
      <w:pPr>
        <w:pStyle w:val="41"/>
        <w:spacing w:line="360" w:lineRule="auto"/>
        <w:rPr>
          <w:highlight w:val="none"/>
        </w:rPr>
      </w:pPr>
      <w:r>
        <w:rPr>
          <w:highlight w:val="none"/>
        </w:rPr>
        <w:t>1</w:t>
      </w:r>
      <w:r>
        <w:rPr>
          <w:rFonts w:hint="eastAsia"/>
          <w:highlight w:val="none"/>
        </w:rPr>
        <w:t>8.2投标人应在</w:t>
      </w:r>
      <w:r>
        <w:rPr>
          <w:rFonts w:hint="eastAsia" w:cs="宋体"/>
          <w:highlight w:val="none"/>
        </w:rPr>
        <w:t>“</w:t>
      </w:r>
      <w:r>
        <w:rPr>
          <w:rFonts w:hint="eastAsia"/>
          <w:highlight w:val="none"/>
        </w:rPr>
        <w:t>投标客户端”中对加密的投标文件进行解密验证，以防止投标文件加密异常，在开标时无法解密。</w:t>
      </w:r>
    </w:p>
    <w:p w14:paraId="0C79850D">
      <w:pPr>
        <w:pStyle w:val="41"/>
        <w:spacing w:line="360" w:lineRule="auto"/>
        <w:rPr>
          <w:highlight w:val="none"/>
        </w:rPr>
      </w:pPr>
      <w:r>
        <w:rPr>
          <w:highlight w:val="none"/>
        </w:rPr>
        <w:t>1</w:t>
      </w:r>
      <w:r>
        <w:rPr>
          <w:rFonts w:hint="eastAsia"/>
          <w:highlight w:val="none"/>
        </w:rPr>
        <w:t>8.3 投标人应保证加密投标文件的CA证书有效期在开标时间之前。若CA证书有效期临近开标时间，建议投标人提前办理CA证书续期，以免开标时无法进行解密。</w:t>
      </w:r>
    </w:p>
    <w:p w14:paraId="4F0E23AE">
      <w:pPr>
        <w:pStyle w:val="41"/>
        <w:spacing w:line="360" w:lineRule="auto"/>
        <w:rPr>
          <w:highlight w:val="none"/>
        </w:rPr>
      </w:pPr>
      <w:r>
        <w:rPr>
          <w:rFonts w:hint="eastAsia"/>
          <w:highlight w:val="none"/>
        </w:rPr>
        <w:t>18.4投标人在投标文件递交截止时间前通过新疆政府采购网（http://www.ccgp-xinjiang.gov.cn/）的“政采云登录入口”登录后，将加密电子投标文件上传到对应项目的指定位置，投标人认为有必要提交的其他资料请于投标截止时间前一并提交。</w:t>
      </w:r>
    </w:p>
    <w:p w14:paraId="71C10AD4">
      <w:pPr>
        <w:pStyle w:val="41"/>
        <w:spacing w:line="360" w:lineRule="auto"/>
        <w:rPr>
          <w:highlight w:val="none"/>
        </w:rPr>
      </w:pPr>
      <w:r>
        <w:rPr>
          <w:rFonts w:hint="eastAsia"/>
          <w:highlight w:val="none"/>
        </w:rPr>
        <w:t>18.5如果投标人未按上述要求加密并上传，采购代理机构对投标文件的误投、无法解密、传输错误等问题概不负责。对由此造成无法正常开启的投标文件，采购代理机构有权予以拒绝，并退回投标人。</w:t>
      </w:r>
    </w:p>
    <w:p w14:paraId="116EFF97">
      <w:pPr>
        <w:pStyle w:val="41"/>
        <w:spacing w:line="360" w:lineRule="auto"/>
        <w:rPr>
          <w:highlight w:val="none"/>
        </w:rPr>
      </w:pPr>
      <w:r>
        <w:rPr>
          <w:rFonts w:hint="eastAsia"/>
          <w:highlight w:val="none"/>
        </w:rPr>
        <w:t>18.6本项目采用不见面开标，无需提供电子投标文件U盘。</w:t>
      </w:r>
    </w:p>
    <w:bookmarkEnd w:id="183"/>
    <w:p w14:paraId="4E59CAB6">
      <w:pPr>
        <w:pStyle w:val="6"/>
        <w:spacing w:line="360" w:lineRule="auto"/>
        <w:rPr>
          <w:highlight w:val="none"/>
        </w:rPr>
      </w:pPr>
      <w:bookmarkStart w:id="184" w:name="_Toc140132777"/>
      <w:bookmarkStart w:id="185" w:name="_Toc163492844"/>
      <w:r>
        <w:rPr>
          <w:rFonts w:hint="eastAsia"/>
          <w:highlight w:val="none"/>
        </w:rPr>
        <w:t>19.投标文件的递交</w:t>
      </w:r>
      <w:bookmarkEnd w:id="184"/>
      <w:r>
        <w:rPr>
          <w:rFonts w:hint="eastAsia"/>
          <w:highlight w:val="none"/>
        </w:rPr>
        <w:t>（上传）</w:t>
      </w:r>
      <w:bookmarkEnd w:id="185"/>
    </w:p>
    <w:p w14:paraId="7B6C6FBB">
      <w:pPr>
        <w:pStyle w:val="41"/>
        <w:spacing w:line="360" w:lineRule="auto"/>
        <w:rPr>
          <w:highlight w:val="none"/>
        </w:rPr>
      </w:pPr>
      <w:bookmarkStart w:id="186" w:name="_Hlk143531977"/>
      <w:r>
        <w:rPr>
          <w:rFonts w:hint="eastAsia"/>
          <w:highlight w:val="none"/>
        </w:rPr>
        <w:t>19.1 投标人应在“第一章 招标公告”规定的投标截止时间前递交（上传）投标文件。</w:t>
      </w:r>
    </w:p>
    <w:p w14:paraId="45151C2C">
      <w:pPr>
        <w:pStyle w:val="41"/>
        <w:spacing w:line="360" w:lineRule="auto"/>
        <w:rPr>
          <w:highlight w:val="none"/>
        </w:rPr>
      </w:pPr>
      <w:r>
        <w:rPr>
          <w:rFonts w:hint="eastAsia"/>
          <w:highlight w:val="none"/>
        </w:rPr>
        <w:t>19.2 投标人递交（上传）投标文件的地点见“第一章 招标公告”。</w:t>
      </w:r>
    </w:p>
    <w:p w14:paraId="296967D4">
      <w:pPr>
        <w:pStyle w:val="41"/>
        <w:spacing w:line="360" w:lineRule="auto"/>
        <w:rPr>
          <w:highlight w:val="none"/>
        </w:rPr>
      </w:pPr>
      <w:r>
        <w:rPr>
          <w:rFonts w:hint="eastAsia"/>
          <w:highlight w:val="none"/>
        </w:rPr>
        <w:t>19.3投标人应充分评估集中同时投标带来的网络影响，尽量避开投标高峰时间，错峰进行电子投标。投标人递交全部的投标文件后可在政采云平台（项目采购—投标文件上传）中获取投标文件递交回执单。</w:t>
      </w:r>
    </w:p>
    <w:p w14:paraId="7C0F3F44">
      <w:pPr>
        <w:spacing w:line="360" w:lineRule="auto"/>
        <w:rPr>
          <w:highlight w:val="none"/>
        </w:rPr>
      </w:pPr>
      <w:r>
        <w:rPr>
          <w:rFonts w:hint="eastAsia"/>
          <w:highlight w:val="none"/>
        </w:rPr>
        <w:t>19.4 投标人应在</w:t>
      </w:r>
      <w:r>
        <w:rPr>
          <w:rFonts w:hint="eastAsia" w:cs="宋体"/>
          <w:highlight w:val="none"/>
        </w:rPr>
        <w:t>“</w:t>
      </w:r>
      <w:r>
        <w:rPr>
          <w:rFonts w:hint="eastAsia"/>
          <w:highlight w:val="none"/>
        </w:rPr>
        <w:t>投标客户端”中下载未加密且完成签章的投标文件妥善保存，以便启动应急开标程序时使用。</w:t>
      </w:r>
    </w:p>
    <w:p w14:paraId="4C832699">
      <w:pPr>
        <w:spacing w:line="360" w:lineRule="auto"/>
        <w:rPr>
          <w:highlight w:val="none"/>
        </w:rPr>
      </w:pPr>
      <w:r>
        <w:rPr>
          <w:rFonts w:hint="eastAsia"/>
          <w:highlight w:val="none"/>
        </w:rPr>
        <w:t>19.5投标人所递交的投标文件不予退还。</w:t>
      </w:r>
    </w:p>
    <w:bookmarkEnd w:id="186"/>
    <w:p w14:paraId="4ACBBCB3">
      <w:pPr>
        <w:pStyle w:val="6"/>
        <w:spacing w:line="360" w:lineRule="auto"/>
        <w:rPr>
          <w:highlight w:val="none"/>
        </w:rPr>
      </w:pPr>
      <w:bookmarkStart w:id="187" w:name="_Toc163492845"/>
      <w:r>
        <w:rPr>
          <w:rFonts w:hint="eastAsia"/>
          <w:highlight w:val="none"/>
        </w:rPr>
        <w:t>20.拒收</w:t>
      </w:r>
      <w:bookmarkEnd w:id="187"/>
    </w:p>
    <w:p w14:paraId="1A873F05">
      <w:pPr>
        <w:pStyle w:val="41"/>
        <w:spacing w:line="360" w:lineRule="auto"/>
        <w:rPr>
          <w:highlight w:val="none"/>
        </w:rPr>
      </w:pPr>
      <w:r>
        <w:rPr>
          <w:rFonts w:hint="eastAsia"/>
          <w:highlight w:val="none"/>
        </w:rPr>
        <w:t>20.1 超过投标文件提交截止时间</w:t>
      </w:r>
      <w:bookmarkStart w:id="188" w:name="_Hlk143532404"/>
      <w:r>
        <w:rPr>
          <w:rFonts w:hint="eastAsia"/>
          <w:highlight w:val="none"/>
        </w:rPr>
        <w:t>或者不按照本章要求加密的投标文件，交易系统应当拒收</w:t>
      </w:r>
      <w:bookmarkEnd w:id="188"/>
      <w:r>
        <w:rPr>
          <w:rFonts w:hint="eastAsia"/>
          <w:highlight w:val="none"/>
        </w:rPr>
        <w:t>。</w:t>
      </w:r>
    </w:p>
    <w:p w14:paraId="696BA176">
      <w:pPr>
        <w:pStyle w:val="6"/>
        <w:spacing w:line="360" w:lineRule="auto"/>
        <w:rPr>
          <w:highlight w:val="none"/>
        </w:rPr>
      </w:pPr>
      <w:bookmarkStart w:id="189" w:name="_Toc163492846"/>
      <w:bookmarkStart w:id="190" w:name="_Toc140132778"/>
      <w:r>
        <w:rPr>
          <w:rFonts w:hint="eastAsia"/>
          <w:highlight w:val="none"/>
        </w:rPr>
        <w:t>21.投标文件的修改与撤回</w:t>
      </w:r>
      <w:bookmarkEnd w:id="189"/>
      <w:bookmarkEnd w:id="190"/>
    </w:p>
    <w:p w14:paraId="4B63285B">
      <w:pPr>
        <w:pStyle w:val="41"/>
        <w:spacing w:line="360" w:lineRule="auto"/>
        <w:rPr>
          <w:highlight w:val="none"/>
        </w:rPr>
      </w:pPr>
      <w:r>
        <w:rPr>
          <w:rFonts w:hint="eastAsia"/>
          <w:highlight w:val="none"/>
        </w:rPr>
        <w:t>21.1</w:t>
      </w:r>
      <w:bookmarkStart w:id="191" w:name="_Hlk143532466"/>
      <w:r>
        <w:rPr>
          <w:rFonts w:hint="eastAsia"/>
          <w:highlight w:val="none"/>
        </w:rPr>
        <w:t>投标人在“第一章 招标公告”规定的投标文件递交截止时间之前，可在新疆政府采购电子交易云平台上随时撤回已上传的电子投标文件，将修改好的电子投标文件在投标文件递交截止时间前重新上传到新疆政府采购电子交易云平台的指定位置。</w:t>
      </w:r>
    </w:p>
    <w:bookmarkEnd w:id="191"/>
    <w:p w14:paraId="4B611931">
      <w:pPr>
        <w:pStyle w:val="6"/>
        <w:spacing w:line="360" w:lineRule="auto"/>
        <w:rPr>
          <w:highlight w:val="none"/>
        </w:rPr>
      </w:pPr>
      <w:bookmarkStart w:id="192" w:name="_Toc155185874"/>
      <w:bookmarkStart w:id="193" w:name="_Toc163492847"/>
      <w:r>
        <w:rPr>
          <w:rFonts w:hint="eastAsia"/>
          <w:highlight w:val="none"/>
        </w:rPr>
        <w:t>22.实物样品</w:t>
      </w:r>
      <w:bookmarkEnd w:id="192"/>
      <w:bookmarkEnd w:id="193"/>
    </w:p>
    <w:p w14:paraId="46BA6B62">
      <w:pPr>
        <w:pStyle w:val="41"/>
        <w:spacing w:line="360" w:lineRule="auto"/>
        <w:rPr>
          <w:highlight w:val="none"/>
        </w:rPr>
      </w:pPr>
      <w:r>
        <w:rPr>
          <w:rFonts w:hint="eastAsia"/>
          <w:highlight w:val="none"/>
        </w:rPr>
        <w:t>2</w:t>
      </w:r>
      <w:r>
        <w:rPr>
          <w:rFonts w:hint="eastAsia"/>
          <w:highlight w:val="none"/>
          <w:lang w:val="en-US"/>
        </w:rPr>
        <w:t>2</w:t>
      </w:r>
      <w:r>
        <w:rPr>
          <w:rFonts w:hint="eastAsia"/>
          <w:highlight w:val="none"/>
        </w:rPr>
        <w:t>.1“投标人须知前附表”要求提供样品的，样品的具体要求及评审详见“第三章 采购需求”和“第五章 评标</w:t>
      </w:r>
      <w:r>
        <w:rPr>
          <w:rFonts w:hint="eastAsia"/>
          <w:highlight w:val="none"/>
          <w:lang w:val="en-US"/>
        </w:rPr>
        <w:t>方</w:t>
      </w:r>
      <w:r>
        <w:rPr>
          <w:rFonts w:hint="eastAsia"/>
          <w:highlight w:val="none"/>
        </w:rPr>
        <w:t>法及标准”。</w:t>
      </w:r>
    </w:p>
    <w:p w14:paraId="338F6589">
      <w:pPr>
        <w:pStyle w:val="41"/>
        <w:spacing w:line="360" w:lineRule="auto"/>
        <w:rPr>
          <w:rFonts w:cs="仿宋_GB2312"/>
          <w:b/>
          <w:szCs w:val="24"/>
          <w:highlight w:val="none"/>
        </w:rPr>
      </w:pPr>
      <w:r>
        <w:rPr>
          <w:highlight w:val="none"/>
        </w:rPr>
        <w:t>2</w:t>
      </w:r>
      <w:r>
        <w:rPr>
          <w:rFonts w:hint="eastAsia"/>
          <w:highlight w:val="none"/>
          <w:lang w:val="en-US"/>
        </w:rPr>
        <w:t>2</w:t>
      </w:r>
      <w:r>
        <w:rPr>
          <w:rFonts w:hint="eastAsia"/>
          <w:highlight w:val="none"/>
        </w:rPr>
        <w:t>.2样品退还：未中标的投标人应</w:t>
      </w:r>
      <w:r>
        <w:rPr>
          <w:rFonts w:hint="eastAsia"/>
          <w:highlight w:val="none"/>
          <w:lang w:val="en-US"/>
        </w:rPr>
        <w:t>按照</w:t>
      </w:r>
      <w:r>
        <w:rPr>
          <w:rFonts w:hint="eastAsia"/>
          <w:highlight w:val="none"/>
        </w:rPr>
        <w:t>“投标人须知前附表”</w:t>
      </w:r>
      <w:r>
        <w:rPr>
          <w:rFonts w:hint="eastAsia"/>
          <w:highlight w:val="none"/>
          <w:lang w:val="en-US"/>
        </w:rPr>
        <w:t>要求</w:t>
      </w:r>
      <w:r>
        <w:rPr>
          <w:rFonts w:hint="eastAsia"/>
          <w:highlight w:val="none"/>
        </w:rPr>
        <w:t>自行联系采购人取回投标样品；中标人的样品由采购人进行保管、封存，并作为履约验收的参考（招标文件另有规定的从其规定）。</w:t>
      </w:r>
    </w:p>
    <w:p w14:paraId="32EC091C">
      <w:pPr>
        <w:pStyle w:val="6"/>
        <w:spacing w:line="360" w:lineRule="auto"/>
        <w:rPr>
          <w:highlight w:val="none"/>
        </w:rPr>
      </w:pPr>
      <w:bookmarkStart w:id="194" w:name="_Toc155185875"/>
      <w:bookmarkStart w:id="195" w:name="_Toc163492848"/>
      <w:r>
        <w:rPr>
          <w:rFonts w:hint="eastAsia"/>
          <w:highlight w:val="none"/>
        </w:rPr>
        <w:t>23.演示</w:t>
      </w:r>
      <w:bookmarkEnd w:id="194"/>
      <w:bookmarkEnd w:id="195"/>
    </w:p>
    <w:p w14:paraId="77494F0C">
      <w:pPr>
        <w:pStyle w:val="41"/>
        <w:spacing w:line="360" w:lineRule="auto"/>
        <w:rPr>
          <w:highlight w:val="none"/>
        </w:rPr>
      </w:pPr>
      <w:r>
        <w:rPr>
          <w:highlight w:val="none"/>
        </w:rPr>
        <w:t>2</w:t>
      </w:r>
      <w:r>
        <w:rPr>
          <w:rFonts w:hint="eastAsia"/>
          <w:highlight w:val="none"/>
          <w:lang w:val="en-US"/>
        </w:rPr>
        <w:t>3</w:t>
      </w:r>
      <w:r>
        <w:rPr>
          <w:rFonts w:hint="eastAsia"/>
          <w:highlight w:val="none"/>
        </w:rPr>
        <w:t>.1要求投标人进行演示的，演示要求详见“投标人须知前附表”。</w:t>
      </w:r>
    </w:p>
    <w:p w14:paraId="48D18332">
      <w:pPr>
        <w:pStyle w:val="41"/>
        <w:spacing w:line="360" w:lineRule="auto"/>
        <w:rPr>
          <w:highlight w:val="none"/>
        </w:rPr>
      </w:pPr>
      <w:r>
        <w:rPr>
          <w:highlight w:val="none"/>
        </w:rPr>
        <w:t>2</w:t>
      </w:r>
      <w:r>
        <w:rPr>
          <w:rFonts w:hint="eastAsia"/>
          <w:highlight w:val="none"/>
          <w:lang w:val="en-US"/>
        </w:rPr>
        <w:t>3</w:t>
      </w:r>
      <w:r>
        <w:rPr>
          <w:rFonts w:hint="eastAsia"/>
          <w:highlight w:val="none"/>
        </w:rPr>
        <w:t>.2演示的评审详见“第三章 采购需求”和“第五章 评标</w:t>
      </w:r>
      <w:r>
        <w:rPr>
          <w:rFonts w:hint="eastAsia"/>
          <w:highlight w:val="none"/>
          <w:lang w:val="en-US"/>
        </w:rPr>
        <w:t>方</w:t>
      </w:r>
      <w:r>
        <w:rPr>
          <w:rFonts w:hint="eastAsia"/>
          <w:highlight w:val="none"/>
        </w:rPr>
        <w:t>法及标准”。</w:t>
      </w:r>
    </w:p>
    <w:p w14:paraId="1D39C2A9">
      <w:pPr>
        <w:pStyle w:val="5"/>
        <w:spacing w:line="360" w:lineRule="auto"/>
        <w:rPr>
          <w:highlight w:val="none"/>
        </w:rPr>
      </w:pPr>
      <w:bookmarkStart w:id="196" w:name="_Toc140132779"/>
      <w:bookmarkStart w:id="197" w:name="_Toc155185876"/>
      <w:bookmarkStart w:id="198" w:name="_Toc163492849"/>
      <w:r>
        <w:rPr>
          <w:rFonts w:hint="eastAsia"/>
          <w:highlight w:val="none"/>
        </w:rPr>
        <w:t>（五）开标</w:t>
      </w:r>
      <w:bookmarkEnd w:id="196"/>
      <w:bookmarkEnd w:id="197"/>
      <w:bookmarkEnd w:id="198"/>
    </w:p>
    <w:p w14:paraId="2C01D2DA">
      <w:pPr>
        <w:pStyle w:val="6"/>
        <w:spacing w:line="360" w:lineRule="auto"/>
        <w:rPr>
          <w:highlight w:val="none"/>
        </w:rPr>
      </w:pPr>
      <w:bookmarkStart w:id="199" w:name="_Toc163492850"/>
      <w:bookmarkStart w:id="200" w:name="_Toc140132780"/>
      <w:r>
        <w:rPr>
          <w:rFonts w:hint="eastAsia"/>
          <w:highlight w:val="none"/>
        </w:rPr>
        <w:t>24.开标会议</w:t>
      </w:r>
      <w:bookmarkEnd w:id="199"/>
      <w:bookmarkEnd w:id="200"/>
    </w:p>
    <w:p w14:paraId="379580B1">
      <w:pPr>
        <w:pStyle w:val="41"/>
        <w:spacing w:line="360" w:lineRule="auto"/>
        <w:rPr>
          <w:highlight w:val="none"/>
        </w:rPr>
      </w:pPr>
      <w:bookmarkStart w:id="201" w:name="_Toc140132781"/>
      <w:r>
        <w:rPr>
          <w:highlight w:val="none"/>
        </w:rPr>
        <w:t>2</w:t>
      </w:r>
      <w:r>
        <w:rPr>
          <w:rFonts w:hint="eastAsia"/>
          <w:highlight w:val="none"/>
        </w:rPr>
        <w:t>4.1开标会按“第一章 招标公告”规定的开标时间和地点准时举行，采购人、采购代理机构邀请所有投标人准时参加开标会。投标人应按照招标文件的要求参与不见面开标。</w:t>
      </w:r>
    </w:p>
    <w:p w14:paraId="63183A20">
      <w:pPr>
        <w:pStyle w:val="41"/>
        <w:spacing w:line="360" w:lineRule="auto"/>
        <w:rPr>
          <w:highlight w:val="none"/>
        </w:rPr>
      </w:pPr>
      <w:r>
        <w:rPr>
          <w:highlight w:val="none"/>
        </w:rPr>
        <w:t>2</w:t>
      </w:r>
      <w:r>
        <w:rPr>
          <w:rFonts w:hint="eastAsia"/>
          <w:highlight w:val="none"/>
        </w:rPr>
        <w:t xml:space="preserve">4.2 </w:t>
      </w:r>
      <w:bookmarkEnd w:id="201"/>
      <w:r>
        <w:rPr>
          <w:rFonts w:hint="eastAsia"/>
          <w:highlight w:val="none"/>
        </w:rPr>
        <w:t>采购代理机构按照招标文件规定的时间、地点主持开标。采购人在规定的投标文件递交截止时间（开标时间）和地点进行不见面远程开标。投标人的法定代表人或其委托代理人无需到达开标现场，仅需在任意地点通过新疆政府采购电子交易云平台（网址：https://www.zcygov.cn/）的“政采云登录入口”登录后，进入“政采云远程开标大厅”参加开标会议，并使用CA密钥完成远程解密、提疑澄清、开标唱标、结果公布等交互环节。</w:t>
      </w:r>
    </w:p>
    <w:p w14:paraId="48384D04">
      <w:pPr>
        <w:pStyle w:val="41"/>
        <w:spacing w:line="360" w:lineRule="auto"/>
        <w:rPr>
          <w:highlight w:val="none"/>
        </w:rPr>
      </w:pPr>
      <w:r>
        <w:rPr>
          <w:rFonts w:hint="eastAsia"/>
          <w:highlight w:val="none"/>
        </w:rPr>
        <w:t xml:space="preserve">24.3开标过程将宣布投标人名称、投标价格和招标文件规定的需要宣布的其他内容并进行记录，并由参加开标的各投标人确认。投标人未在规定时间内提 出疑义或确认一览表的，视同认可开标结果。 </w:t>
      </w:r>
    </w:p>
    <w:p w14:paraId="7F6F85DE">
      <w:pPr>
        <w:pStyle w:val="6"/>
        <w:spacing w:line="360" w:lineRule="auto"/>
        <w:rPr>
          <w:highlight w:val="none"/>
        </w:rPr>
      </w:pPr>
      <w:bookmarkStart w:id="202" w:name="_Toc140132783"/>
      <w:bookmarkStart w:id="203" w:name="_Toc163492852"/>
      <w:r>
        <w:rPr>
          <w:rFonts w:hint="eastAsia"/>
          <w:highlight w:val="none"/>
        </w:rPr>
        <w:t>25.开标程序</w:t>
      </w:r>
      <w:bookmarkEnd w:id="202"/>
      <w:bookmarkEnd w:id="203"/>
    </w:p>
    <w:p w14:paraId="7338E31F">
      <w:pPr>
        <w:pStyle w:val="41"/>
        <w:spacing w:line="360" w:lineRule="auto"/>
        <w:rPr>
          <w:highlight w:val="none"/>
        </w:rPr>
      </w:pPr>
      <w:r>
        <w:rPr>
          <w:highlight w:val="none"/>
        </w:rPr>
        <w:t>2</w:t>
      </w:r>
      <w:r>
        <w:rPr>
          <w:rFonts w:hint="eastAsia"/>
          <w:highlight w:val="none"/>
        </w:rPr>
        <w:t>5.1 投标人不足3家的，不得开标。</w:t>
      </w:r>
    </w:p>
    <w:p w14:paraId="1B814DEF">
      <w:pPr>
        <w:pStyle w:val="41"/>
        <w:spacing w:line="360" w:lineRule="auto"/>
        <w:rPr>
          <w:highlight w:val="none"/>
        </w:rPr>
      </w:pPr>
      <w:r>
        <w:rPr>
          <w:highlight w:val="none"/>
        </w:rPr>
        <w:t>2</w:t>
      </w:r>
      <w:r>
        <w:rPr>
          <w:rFonts w:hint="eastAsia"/>
          <w:highlight w:val="none"/>
        </w:rPr>
        <w:t>5.2 评标委员会成员不得参加开标活动。</w:t>
      </w:r>
    </w:p>
    <w:p w14:paraId="6D03B74A">
      <w:pPr>
        <w:pStyle w:val="41"/>
        <w:spacing w:line="360" w:lineRule="auto"/>
        <w:rPr>
          <w:highlight w:val="none"/>
        </w:rPr>
      </w:pPr>
      <w:r>
        <w:rPr>
          <w:highlight w:val="none"/>
        </w:rPr>
        <w:t>2</w:t>
      </w:r>
      <w:r>
        <w:rPr>
          <w:rFonts w:hint="eastAsia"/>
          <w:highlight w:val="none"/>
        </w:rPr>
        <w:t>5.3主持人按下列程序进行开标：</w:t>
      </w:r>
    </w:p>
    <w:p w14:paraId="2A790655">
      <w:pPr>
        <w:spacing w:line="360" w:lineRule="auto"/>
        <w:rPr>
          <w:highlight w:val="none"/>
        </w:rPr>
      </w:pPr>
      <w:r>
        <w:rPr>
          <w:rFonts w:hint="eastAsia"/>
          <w:highlight w:val="none"/>
        </w:rPr>
        <w:t>（1）宣布开标会纪律；</w:t>
      </w:r>
    </w:p>
    <w:p w14:paraId="118B60DE">
      <w:pPr>
        <w:spacing w:line="360" w:lineRule="auto"/>
        <w:rPr>
          <w:highlight w:val="none"/>
        </w:rPr>
      </w:pPr>
      <w:r>
        <w:rPr>
          <w:rFonts w:hint="eastAsia"/>
          <w:highlight w:val="none"/>
        </w:rPr>
        <w:t>（2）介绍参加开标会的单位和人员；</w:t>
      </w:r>
    </w:p>
    <w:p w14:paraId="3FF8C931">
      <w:pPr>
        <w:spacing w:line="360" w:lineRule="auto"/>
        <w:rPr>
          <w:highlight w:val="none"/>
        </w:rPr>
      </w:pPr>
      <w:r>
        <w:rPr>
          <w:rFonts w:hint="eastAsia"/>
          <w:highlight w:val="none"/>
        </w:rPr>
        <w:t>（3）发起投标文件解密。投标人应在“投标人须知前附表”规定的时间内使用加密投标文件的CA证书在系统中完成投标文件的解密；投标人不足3家的，不予解密；</w:t>
      </w:r>
    </w:p>
    <w:p w14:paraId="3F6AF4F2">
      <w:pPr>
        <w:spacing w:line="360" w:lineRule="auto"/>
        <w:rPr>
          <w:highlight w:val="none"/>
        </w:rPr>
      </w:pPr>
      <w:r>
        <w:rPr>
          <w:rFonts w:hint="eastAsia"/>
          <w:highlight w:val="none"/>
        </w:rPr>
        <w:t>（4）解密完成后，系统自动显示投标人名称、投标价格和招标文件规定的需要宣布的其他内容；</w:t>
      </w:r>
    </w:p>
    <w:p w14:paraId="6A8614F5">
      <w:pPr>
        <w:spacing w:line="360" w:lineRule="auto"/>
        <w:rPr>
          <w:highlight w:val="none"/>
        </w:rPr>
      </w:pPr>
      <w:r>
        <w:rPr>
          <w:rFonts w:hint="eastAsia"/>
          <w:highlight w:val="none"/>
        </w:rPr>
        <w:t>（5）系统自动生成开标记录表，投标人应在线对开标记录进行签署确认；</w:t>
      </w:r>
    </w:p>
    <w:p w14:paraId="0FF3586C">
      <w:pPr>
        <w:spacing w:line="360" w:lineRule="auto"/>
        <w:rPr>
          <w:highlight w:val="none"/>
        </w:rPr>
      </w:pPr>
      <w:r>
        <w:rPr>
          <w:rFonts w:hint="eastAsia"/>
          <w:highlight w:val="none"/>
        </w:rPr>
        <w:t>（6）开标会结束。</w:t>
      </w:r>
      <w:bookmarkStart w:id="204" w:name="_Toc163492853"/>
      <w:bookmarkStart w:id="205" w:name="_Toc140132784"/>
    </w:p>
    <w:p w14:paraId="4A843237">
      <w:pPr>
        <w:pStyle w:val="6"/>
        <w:spacing w:line="360" w:lineRule="auto"/>
        <w:rPr>
          <w:highlight w:val="none"/>
        </w:rPr>
      </w:pPr>
      <w:r>
        <w:rPr>
          <w:rFonts w:hint="eastAsia"/>
          <w:highlight w:val="none"/>
        </w:rPr>
        <w:t>26.开标疑义及回避情形</w:t>
      </w:r>
      <w:bookmarkEnd w:id="204"/>
      <w:bookmarkEnd w:id="205"/>
    </w:p>
    <w:p w14:paraId="6B022FE8">
      <w:pPr>
        <w:pStyle w:val="41"/>
        <w:spacing w:line="360" w:lineRule="auto"/>
        <w:rPr>
          <w:highlight w:val="none"/>
        </w:rPr>
      </w:pPr>
      <w:r>
        <w:rPr>
          <w:highlight w:val="none"/>
        </w:rPr>
        <w:t>2</w:t>
      </w:r>
      <w:r>
        <w:rPr>
          <w:rFonts w:hint="eastAsia"/>
          <w:highlight w:val="none"/>
          <w:lang w:val="en-US"/>
        </w:rPr>
        <w:t>6</w:t>
      </w:r>
      <w:r>
        <w:rPr>
          <w:rFonts w:hint="eastAsia"/>
          <w:highlight w:val="none"/>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5BBB400E">
      <w:pPr>
        <w:pStyle w:val="41"/>
        <w:spacing w:line="360" w:lineRule="auto"/>
        <w:rPr>
          <w:highlight w:val="none"/>
        </w:rPr>
      </w:pPr>
      <w:r>
        <w:rPr>
          <w:rFonts w:hint="eastAsia"/>
          <w:highlight w:val="none"/>
        </w:rPr>
        <w:t>2</w:t>
      </w:r>
      <w:r>
        <w:rPr>
          <w:rFonts w:hint="eastAsia"/>
          <w:highlight w:val="none"/>
          <w:lang w:val="en-US"/>
        </w:rPr>
        <w:t>6</w:t>
      </w:r>
      <w:r>
        <w:rPr>
          <w:rFonts w:hint="eastAsia"/>
          <w:highlight w:val="none"/>
        </w:rPr>
        <w:t>.2投标人未参加开标的，视同认可开标结果。</w:t>
      </w:r>
    </w:p>
    <w:p w14:paraId="62B29FAB">
      <w:pPr>
        <w:pStyle w:val="5"/>
        <w:spacing w:line="360" w:lineRule="auto"/>
        <w:rPr>
          <w:highlight w:val="none"/>
        </w:rPr>
      </w:pPr>
      <w:bookmarkStart w:id="206" w:name="_Toc163492854"/>
      <w:bookmarkStart w:id="207" w:name="_Toc155185877"/>
      <w:bookmarkStart w:id="208" w:name="_Toc140132785"/>
      <w:r>
        <w:rPr>
          <w:rFonts w:hint="eastAsia"/>
          <w:highlight w:val="none"/>
        </w:rPr>
        <w:t>（六）资格审查</w:t>
      </w:r>
      <w:bookmarkEnd w:id="206"/>
      <w:bookmarkEnd w:id="207"/>
      <w:bookmarkEnd w:id="208"/>
    </w:p>
    <w:p w14:paraId="71B3193E">
      <w:pPr>
        <w:pStyle w:val="6"/>
        <w:spacing w:line="360" w:lineRule="auto"/>
        <w:rPr>
          <w:highlight w:val="none"/>
        </w:rPr>
      </w:pPr>
      <w:bookmarkStart w:id="209" w:name="_Toc163492855"/>
      <w:r>
        <w:rPr>
          <w:rFonts w:hint="eastAsia"/>
          <w:highlight w:val="none"/>
        </w:rPr>
        <w:t>27.资格审查及审查主体</w:t>
      </w:r>
      <w:bookmarkEnd w:id="209"/>
    </w:p>
    <w:p w14:paraId="606B05E8">
      <w:pPr>
        <w:pStyle w:val="41"/>
        <w:spacing w:line="360" w:lineRule="auto"/>
        <w:rPr>
          <w:highlight w:val="none"/>
        </w:rPr>
      </w:pPr>
      <w:bookmarkStart w:id="210" w:name="_Toc140132786"/>
      <w:r>
        <w:rPr>
          <w:rFonts w:hint="eastAsia"/>
          <w:highlight w:val="none"/>
        </w:rPr>
        <w:t>2</w:t>
      </w:r>
      <w:r>
        <w:rPr>
          <w:rFonts w:hint="eastAsia"/>
          <w:highlight w:val="none"/>
          <w:lang w:val="en-US"/>
        </w:rPr>
        <w:t>7</w:t>
      </w:r>
      <w:r>
        <w:rPr>
          <w:rFonts w:hint="eastAsia"/>
          <w:highlight w:val="none"/>
        </w:rPr>
        <w:t>.1</w:t>
      </w:r>
      <w:bookmarkEnd w:id="210"/>
      <w:r>
        <w:rPr>
          <w:rFonts w:hint="eastAsia"/>
          <w:highlight w:val="none"/>
        </w:rPr>
        <w:t>开标结束后，采购人或者采购代理机构应当依法对投标人的资格进行审查。</w:t>
      </w:r>
    </w:p>
    <w:p w14:paraId="567C6CA9">
      <w:pPr>
        <w:pStyle w:val="41"/>
        <w:spacing w:line="360" w:lineRule="auto"/>
        <w:rPr>
          <w:highlight w:val="none"/>
        </w:rPr>
      </w:pPr>
      <w:bookmarkStart w:id="211" w:name="_Toc140132787"/>
      <w:r>
        <w:rPr>
          <w:highlight w:val="none"/>
        </w:rPr>
        <w:t>2</w:t>
      </w:r>
      <w:r>
        <w:rPr>
          <w:rFonts w:hint="eastAsia"/>
          <w:highlight w:val="none"/>
          <w:lang w:val="en-US"/>
        </w:rPr>
        <w:t>7</w:t>
      </w:r>
      <w:r>
        <w:rPr>
          <w:rFonts w:hint="eastAsia"/>
          <w:highlight w:val="none"/>
        </w:rPr>
        <w:t>.2</w:t>
      </w:r>
      <w:r>
        <w:rPr>
          <w:highlight w:val="none"/>
        </w:rPr>
        <w:t>资格审查</w:t>
      </w:r>
      <w:r>
        <w:rPr>
          <w:rFonts w:hint="eastAsia"/>
          <w:highlight w:val="none"/>
        </w:rPr>
        <w:t>按“第四章</w:t>
      </w:r>
      <w:r>
        <w:rPr>
          <w:rFonts w:hint="eastAsia"/>
          <w:highlight w:val="none"/>
          <w:lang w:val="en-US"/>
        </w:rPr>
        <w:t xml:space="preserve"> </w:t>
      </w:r>
      <w:r>
        <w:rPr>
          <w:rFonts w:hint="eastAsia"/>
          <w:highlight w:val="none"/>
        </w:rPr>
        <w:t>资格审查”的规定进行。</w:t>
      </w:r>
      <w:bookmarkEnd w:id="211"/>
    </w:p>
    <w:p w14:paraId="1A3A6158">
      <w:pPr>
        <w:pStyle w:val="41"/>
        <w:spacing w:line="360" w:lineRule="auto"/>
        <w:rPr>
          <w:highlight w:val="none"/>
        </w:rPr>
      </w:pPr>
      <w:bookmarkStart w:id="212" w:name="_Toc140132788"/>
      <w:r>
        <w:rPr>
          <w:highlight w:val="none"/>
        </w:rPr>
        <w:t>2</w:t>
      </w:r>
      <w:r>
        <w:rPr>
          <w:rFonts w:hint="eastAsia"/>
          <w:highlight w:val="none"/>
          <w:lang w:val="en-US"/>
        </w:rPr>
        <w:t>7</w:t>
      </w:r>
      <w:r>
        <w:rPr>
          <w:rFonts w:hint="eastAsia"/>
          <w:highlight w:val="none"/>
        </w:rPr>
        <w:t>.3</w:t>
      </w:r>
      <w:r>
        <w:rPr>
          <w:highlight w:val="none"/>
        </w:rPr>
        <w:t>资格审查结束后，应及时对资格审查结果进行复核，对资格审查错误进行及时纠正并记录。</w:t>
      </w:r>
      <w:bookmarkEnd w:id="212"/>
    </w:p>
    <w:p w14:paraId="7EFE3DC6">
      <w:pPr>
        <w:pStyle w:val="41"/>
        <w:spacing w:line="360" w:lineRule="auto"/>
        <w:rPr>
          <w:highlight w:val="none"/>
          <w:lang w:val="en-US"/>
        </w:rPr>
      </w:pPr>
      <w:r>
        <w:rPr>
          <w:rFonts w:hint="eastAsia"/>
          <w:highlight w:val="none"/>
          <w:lang w:val="en-US"/>
        </w:rPr>
        <w:t>27.4</w:t>
      </w:r>
      <w:r>
        <w:rPr>
          <w:highlight w:val="none"/>
        </w:rPr>
        <w:t>资格审查</w:t>
      </w:r>
      <w:r>
        <w:rPr>
          <w:rFonts w:hint="eastAsia"/>
          <w:highlight w:val="none"/>
        </w:rPr>
        <w:t>合格投标人不足3家的，不得评标。</w:t>
      </w:r>
    </w:p>
    <w:p w14:paraId="0AC8C495">
      <w:pPr>
        <w:pStyle w:val="5"/>
        <w:spacing w:line="360" w:lineRule="auto"/>
        <w:rPr>
          <w:highlight w:val="none"/>
        </w:rPr>
      </w:pPr>
      <w:bookmarkStart w:id="213" w:name="_Toc163492856"/>
      <w:bookmarkStart w:id="214" w:name="_Toc155185878"/>
      <w:bookmarkStart w:id="215" w:name="_Toc140132789"/>
      <w:r>
        <w:rPr>
          <w:rFonts w:hint="eastAsia"/>
          <w:highlight w:val="none"/>
        </w:rPr>
        <w:t>（七）评标</w:t>
      </w:r>
      <w:bookmarkEnd w:id="213"/>
      <w:bookmarkEnd w:id="214"/>
      <w:bookmarkEnd w:id="215"/>
    </w:p>
    <w:p w14:paraId="26A7D6D9">
      <w:pPr>
        <w:pStyle w:val="6"/>
        <w:spacing w:line="360" w:lineRule="auto"/>
        <w:rPr>
          <w:highlight w:val="none"/>
        </w:rPr>
      </w:pPr>
      <w:bookmarkStart w:id="216" w:name="_Toc163492857"/>
      <w:bookmarkStart w:id="217" w:name="_Toc140132790"/>
      <w:r>
        <w:rPr>
          <w:rFonts w:hint="eastAsia"/>
          <w:highlight w:val="none"/>
        </w:rPr>
        <w:t>28.评标委员会</w:t>
      </w:r>
      <w:bookmarkEnd w:id="216"/>
      <w:bookmarkEnd w:id="217"/>
    </w:p>
    <w:p w14:paraId="630DCB28">
      <w:pPr>
        <w:pStyle w:val="41"/>
        <w:spacing w:line="360" w:lineRule="auto"/>
        <w:rPr>
          <w:highlight w:val="none"/>
        </w:rPr>
      </w:pPr>
      <w:r>
        <w:rPr>
          <w:highlight w:val="none"/>
        </w:rPr>
        <w:t>2</w:t>
      </w:r>
      <w:r>
        <w:rPr>
          <w:rFonts w:hint="eastAsia"/>
          <w:highlight w:val="none"/>
        </w:rPr>
        <w:t>8.1 评标由采购人依法组建的评标委员会负责。评标委员会由采购人代表和评审专家组成，成员人数应当为5人以上单数，其中评审专家不得少于成员总数的三分之二。</w:t>
      </w:r>
      <w:r>
        <w:rPr>
          <w:highlight w:val="none"/>
        </w:rPr>
        <w:t>采购人或者采购代理机构应当从省级以上财政部门设立的政府采购评审专家库中，通过随机方式抽取评审专家。</w:t>
      </w:r>
    </w:p>
    <w:p w14:paraId="378269F8">
      <w:pPr>
        <w:pStyle w:val="41"/>
        <w:spacing w:line="360" w:lineRule="auto"/>
        <w:rPr>
          <w:highlight w:val="none"/>
        </w:rPr>
      </w:pPr>
      <w:r>
        <w:rPr>
          <w:rFonts w:hint="eastAsia"/>
          <w:highlight w:val="none"/>
        </w:rPr>
        <w:t xml:space="preserve">28.2 </w:t>
      </w:r>
      <w:r>
        <w:rPr>
          <w:highlight w:val="none"/>
        </w:rPr>
        <w:t>采购项目符合下列情形之一的，评标委员会成员人数应当为7人以上单数：</w:t>
      </w:r>
    </w:p>
    <w:p w14:paraId="54209089">
      <w:pPr>
        <w:pStyle w:val="41"/>
        <w:spacing w:line="360" w:lineRule="auto"/>
        <w:rPr>
          <w:highlight w:val="none"/>
        </w:rPr>
      </w:pPr>
      <w:r>
        <w:rPr>
          <w:highlight w:val="none"/>
        </w:rPr>
        <w:t>（</w:t>
      </w:r>
      <w:r>
        <w:rPr>
          <w:rFonts w:hint="eastAsia"/>
          <w:highlight w:val="none"/>
        </w:rPr>
        <w:t>1</w:t>
      </w:r>
      <w:r>
        <w:rPr>
          <w:highlight w:val="none"/>
        </w:rPr>
        <w:t>）采购预算金额在1000万元以上；</w:t>
      </w:r>
    </w:p>
    <w:p w14:paraId="7F3B6F44">
      <w:pPr>
        <w:pStyle w:val="41"/>
        <w:spacing w:line="360" w:lineRule="auto"/>
        <w:rPr>
          <w:highlight w:val="none"/>
        </w:rPr>
      </w:pPr>
      <w:r>
        <w:rPr>
          <w:highlight w:val="none"/>
        </w:rPr>
        <w:t>（</w:t>
      </w:r>
      <w:r>
        <w:rPr>
          <w:rFonts w:hint="eastAsia"/>
          <w:highlight w:val="none"/>
        </w:rPr>
        <w:t>2</w:t>
      </w:r>
      <w:r>
        <w:rPr>
          <w:highlight w:val="none"/>
        </w:rPr>
        <w:t>）技术复杂；</w:t>
      </w:r>
    </w:p>
    <w:p w14:paraId="23955066">
      <w:pPr>
        <w:pStyle w:val="41"/>
        <w:spacing w:line="360" w:lineRule="auto"/>
        <w:rPr>
          <w:highlight w:val="none"/>
        </w:rPr>
      </w:pPr>
      <w:r>
        <w:rPr>
          <w:highlight w:val="none"/>
        </w:rPr>
        <w:t>（</w:t>
      </w:r>
      <w:r>
        <w:rPr>
          <w:rFonts w:hint="eastAsia"/>
          <w:highlight w:val="none"/>
        </w:rPr>
        <w:t>3</w:t>
      </w:r>
      <w:r>
        <w:rPr>
          <w:highlight w:val="none"/>
        </w:rPr>
        <w:t>）社会影响较大。</w:t>
      </w:r>
    </w:p>
    <w:p w14:paraId="7522E99F">
      <w:pPr>
        <w:pStyle w:val="41"/>
        <w:spacing w:line="360" w:lineRule="auto"/>
        <w:rPr>
          <w:highlight w:val="none"/>
        </w:rPr>
      </w:pPr>
      <w:r>
        <w:rPr>
          <w:rFonts w:hint="eastAsia"/>
          <w:highlight w:val="none"/>
        </w:rPr>
        <w:t>28.3</w:t>
      </w:r>
      <w:r>
        <w:rPr>
          <w:highlight w:val="none"/>
        </w:rPr>
        <w:t>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3ACC63F2">
      <w:pPr>
        <w:pStyle w:val="41"/>
        <w:spacing w:line="360" w:lineRule="auto"/>
        <w:rPr>
          <w:highlight w:val="none"/>
        </w:rPr>
      </w:pPr>
      <w:r>
        <w:rPr>
          <w:rFonts w:hint="eastAsia"/>
          <w:highlight w:val="none"/>
        </w:rPr>
        <w:t>28.4</w:t>
      </w:r>
      <w:r>
        <w:rPr>
          <w:highlight w:val="none"/>
        </w:rPr>
        <w:t>评标委员会成员名单在评标结果公告前应当保密。</w:t>
      </w:r>
    </w:p>
    <w:p w14:paraId="06C51191">
      <w:pPr>
        <w:pStyle w:val="41"/>
        <w:spacing w:line="360" w:lineRule="auto"/>
        <w:rPr>
          <w:highlight w:val="none"/>
        </w:rPr>
      </w:pPr>
      <w:r>
        <w:rPr>
          <w:rFonts w:hint="eastAsia"/>
          <w:highlight w:val="none"/>
        </w:rPr>
        <w:t>28.5</w:t>
      </w:r>
      <w:r>
        <w:rPr>
          <w:highlight w:val="none"/>
        </w:rPr>
        <w:t>评标中因评标委员会成员缺席、回避或者健康等特殊原因导致评标委员会组成不符合本办法规定的，采购人或者采购代理机构应当依法补足后继续评标。被更换的评标委员会成员所作出的评标意见无效。</w:t>
      </w:r>
    </w:p>
    <w:p w14:paraId="00D15C88">
      <w:pPr>
        <w:pStyle w:val="41"/>
        <w:spacing w:line="360" w:lineRule="auto"/>
        <w:rPr>
          <w:highlight w:val="none"/>
        </w:rPr>
      </w:pPr>
      <w:r>
        <w:rPr>
          <w:rFonts w:hint="eastAsia"/>
          <w:highlight w:val="none"/>
        </w:rPr>
        <w:t>28.6</w:t>
      </w:r>
      <w:r>
        <w:rPr>
          <w:highlight w:val="none"/>
        </w:rPr>
        <w:t>无法及时补足评标委员会成员的，采购人或者采购代理机构应当停止评标活动，封存所有投标文件和开标、评标资料，依法重新组建评标委员会进行评标。原评标委员会所作出的评标意见无效。</w:t>
      </w:r>
    </w:p>
    <w:p w14:paraId="5BA0E128">
      <w:pPr>
        <w:pStyle w:val="41"/>
        <w:spacing w:line="360" w:lineRule="auto"/>
        <w:rPr>
          <w:highlight w:val="none"/>
        </w:rPr>
      </w:pPr>
      <w:r>
        <w:rPr>
          <w:highlight w:val="none"/>
        </w:rPr>
        <w:t>2</w:t>
      </w:r>
      <w:r>
        <w:rPr>
          <w:rFonts w:hint="eastAsia"/>
          <w:highlight w:val="none"/>
          <w:lang w:val="en-US"/>
        </w:rPr>
        <w:t>8</w:t>
      </w:r>
      <w:r>
        <w:rPr>
          <w:rFonts w:hint="eastAsia"/>
          <w:highlight w:val="none"/>
        </w:rPr>
        <w:t>.</w:t>
      </w:r>
      <w:r>
        <w:rPr>
          <w:rFonts w:hint="eastAsia"/>
          <w:highlight w:val="none"/>
          <w:lang w:val="en-US"/>
        </w:rPr>
        <w:t>7</w:t>
      </w:r>
      <w:r>
        <w:rPr>
          <w:rFonts w:hint="eastAsia"/>
          <w:highlight w:val="none"/>
        </w:rPr>
        <w:t xml:space="preserve"> 评标委员会成员有下列情形之一的，应当回避：</w:t>
      </w:r>
    </w:p>
    <w:p w14:paraId="3FAAD7A4">
      <w:pPr>
        <w:pStyle w:val="41"/>
        <w:spacing w:line="360" w:lineRule="auto"/>
        <w:rPr>
          <w:highlight w:val="none"/>
        </w:rPr>
      </w:pPr>
      <w:r>
        <w:rPr>
          <w:rFonts w:hint="eastAsia"/>
          <w:highlight w:val="none"/>
        </w:rPr>
        <w:t>（1）参加采购活动前3年内与投标人存在劳动关系；</w:t>
      </w:r>
    </w:p>
    <w:p w14:paraId="3B7DD8B0">
      <w:pPr>
        <w:pStyle w:val="41"/>
        <w:spacing w:line="360" w:lineRule="auto"/>
        <w:rPr>
          <w:highlight w:val="none"/>
        </w:rPr>
      </w:pPr>
      <w:r>
        <w:rPr>
          <w:rFonts w:hint="eastAsia"/>
          <w:highlight w:val="none"/>
        </w:rPr>
        <w:t>（2）参加采购活动前3年内担任投标人的董事、监事；</w:t>
      </w:r>
    </w:p>
    <w:p w14:paraId="0E628120">
      <w:pPr>
        <w:pStyle w:val="41"/>
        <w:spacing w:line="360" w:lineRule="auto"/>
        <w:rPr>
          <w:highlight w:val="none"/>
        </w:rPr>
      </w:pPr>
      <w:r>
        <w:rPr>
          <w:rFonts w:hint="eastAsia"/>
          <w:highlight w:val="none"/>
        </w:rPr>
        <w:t>（3）参加采购活动前3年内是投标人的控股股东或实际控制人；</w:t>
      </w:r>
    </w:p>
    <w:p w14:paraId="58958292">
      <w:pPr>
        <w:pStyle w:val="41"/>
        <w:spacing w:line="360" w:lineRule="auto"/>
        <w:rPr>
          <w:highlight w:val="none"/>
        </w:rPr>
      </w:pPr>
      <w:r>
        <w:rPr>
          <w:rFonts w:hint="eastAsia"/>
          <w:highlight w:val="none"/>
        </w:rPr>
        <w:t>（4）与投标人的法定代表人或者负责人有夫妻、直系血亲、三代以内旁系血亲或者近姻亲关系；</w:t>
      </w:r>
    </w:p>
    <w:p w14:paraId="05A33237">
      <w:pPr>
        <w:pStyle w:val="41"/>
        <w:spacing w:line="360" w:lineRule="auto"/>
        <w:rPr>
          <w:highlight w:val="none"/>
        </w:rPr>
      </w:pPr>
      <w:r>
        <w:rPr>
          <w:rFonts w:hint="eastAsia"/>
          <w:highlight w:val="none"/>
        </w:rPr>
        <w:t>（5）与投标人有其他可能影响采购活动公平、公正进行的关系。</w:t>
      </w:r>
    </w:p>
    <w:p w14:paraId="061BB813">
      <w:pPr>
        <w:pStyle w:val="6"/>
        <w:spacing w:line="360" w:lineRule="auto"/>
        <w:rPr>
          <w:highlight w:val="none"/>
        </w:rPr>
      </w:pPr>
      <w:bookmarkStart w:id="218" w:name="_Toc140132791"/>
      <w:bookmarkStart w:id="219" w:name="_Toc163492858"/>
      <w:r>
        <w:rPr>
          <w:rFonts w:hint="eastAsia"/>
          <w:highlight w:val="none"/>
        </w:rPr>
        <w:t>29.评标</w:t>
      </w:r>
      <w:bookmarkEnd w:id="218"/>
      <w:bookmarkEnd w:id="219"/>
    </w:p>
    <w:p w14:paraId="11FE1CB4">
      <w:pPr>
        <w:pStyle w:val="41"/>
        <w:spacing w:line="360" w:lineRule="auto"/>
        <w:rPr>
          <w:highlight w:val="none"/>
        </w:rPr>
      </w:pPr>
      <w:r>
        <w:rPr>
          <w:rFonts w:hint="eastAsia"/>
          <w:highlight w:val="none"/>
          <w:lang w:val="en-US"/>
        </w:rPr>
        <w:t>29</w:t>
      </w:r>
      <w:r>
        <w:rPr>
          <w:rFonts w:hint="eastAsia"/>
          <w:highlight w:val="none"/>
        </w:rPr>
        <w:t>.1</w:t>
      </w:r>
      <w:r>
        <w:rPr>
          <w:rFonts w:hint="eastAsia"/>
          <w:highlight w:val="none"/>
          <w:lang w:val="en-US"/>
        </w:rPr>
        <w:t xml:space="preserve"> 评标方法分为综合评分法和</w:t>
      </w:r>
      <w:r>
        <w:rPr>
          <w:highlight w:val="none"/>
        </w:rPr>
        <w:t>最低评标价法</w:t>
      </w:r>
      <w:r>
        <w:rPr>
          <w:rFonts w:hint="eastAsia"/>
          <w:highlight w:val="none"/>
        </w:rPr>
        <w:t>，</w:t>
      </w:r>
      <w:r>
        <w:rPr>
          <w:highlight w:val="none"/>
        </w:rPr>
        <w:t>本项目</w:t>
      </w:r>
      <w:r>
        <w:rPr>
          <w:rFonts w:hint="eastAsia"/>
          <w:highlight w:val="none"/>
        </w:rPr>
        <w:t>评标</w:t>
      </w:r>
      <w:r>
        <w:rPr>
          <w:rFonts w:hint="eastAsia"/>
          <w:highlight w:val="none"/>
          <w:lang w:val="en-US"/>
        </w:rPr>
        <w:t>方法详见</w:t>
      </w:r>
      <w:r>
        <w:rPr>
          <w:rFonts w:hint="eastAsia"/>
          <w:highlight w:val="none"/>
        </w:rPr>
        <w:t>“投标人须知前附表”。</w:t>
      </w:r>
    </w:p>
    <w:p w14:paraId="70DE0006">
      <w:pPr>
        <w:pStyle w:val="41"/>
        <w:spacing w:line="360" w:lineRule="auto"/>
        <w:rPr>
          <w:highlight w:val="none"/>
        </w:rPr>
      </w:pPr>
      <w:r>
        <w:rPr>
          <w:highlight w:val="none"/>
        </w:rPr>
        <w:t>2</w:t>
      </w:r>
      <w:r>
        <w:rPr>
          <w:rFonts w:hint="eastAsia"/>
          <w:highlight w:val="none"/>
          <w:lang w:val="en-US"/>
        </w:rPr>
        <w:t>9.1.1</w:t>
      </w:r>
      <w:r>
        <w:rPr>
          <w:highlight w:val="none"/>
        </w:rPr>
        <w:t>综合评分法，是指投标文件满足招标文件全部实质性要求</w:t>
      </w:r>
      <w:r>
        <w:rPr>
          <w:rFonts w:hint="eastAsia"/>
          <w:highlight w:val="none"/>
        </w:rPr>
        <w:t>，</w:t>
      </w:r>
      <w:r>
        <w:rPr>
          <w:highlight w:val="none"/>
        </w:rPr>
        <w:t>且按照评审因素的量化指标评审得分最高的投标人为中标候选人的评标方法。</w:t>
      </w:r>
    </w:p>
    <w:p w14:paraId="64FDFC92">
      <w:pPr>
        <w:pStyle w:val="41"/>
        <w:spacing w:line="360" w:lineRule="auto"/>
        <w:rPr>
          <w:highlight w:val="none"/>
          <w:lang w:val="en-US"/>
        </w:rPr>
      </w:pPr>
      <w:r>
        <w:rPr>
          <w:rFonts w:hint="eastAsia"/>
          <w:highlight w:val="none"/>
          <w:lang w:val="en-US"/>
        </w:rPr>
        <w:t>29.1.2.</w:t>
      </w:r>
      <w:r>
        <w:rPr>
          <w:highlight w:val="none"/>
        </w:rPr>
        <w:t>最低评标价法，是指投标文件满足招标文件全部实质性要求</w:t>
      </w:r>
      <w:r>
        <w:rPr>
          <w:rFonts w:hint="eastAsia"/>
          <w:highlight w:val="none"/>
        </w:rPr>
        <w:t>，</w:t>
      </w:r>
      <w:r>
        <w:rPr>
          <w:highlight w:val="none"/>
        </w:rPr>
        <w:t>且投标报价最低的投标人为中标候选人的评标方法。</w:t>
      </w:r>
    </w:p>
    <w:p w14:paraId="3209BFCB">
      <w:pPr>
        <w:pStyle w:val="41"/>
        <w:spacing w:line="360" w:lineRule="auto"/>
        <w:rPr>
          <w:highlight w:val="none"/>
        </w:rPr>
      </w:pPr>
      <w:r>
        <w:rPr>
          <w:rFonts w:hint="eastAsia"/>
          <w:highlight w:val="none"/>
          <w:lang w:val="en-US"/>
        </w:rPr>
        <w:t>29</w:t>
      </w:r>
      <w:r>
        <w:rPr>
          <w:rFonts w:hint="eastAsia"/>
          <w:highlight w:val="none"/>
        </w:rPr>
        <w:t>.</w:t>
      </w:r>
      <w:r>
        <w:rPr>
          <w:rFonts w:hint="eastAsia"/>
          <w:highlight w:val="none"/>
          <w:lang w:val="en-US"/>
        </w:rPr>
        <w:t xml:space="preserve">2 </w:t>
      </w:r>
      <w:r>
        <w:rPr>
          <w:rFonts w:hint="eastAsia"/>
          <w:highlight w:val="none"/>
        </w:rPr>
        <w:t>评标委员会按照“第五章</w:t>
      </w:r>
      <w:r>
        <w:rPr>
          <w:rFonts w:hint="eastAsia"/>
          <w:highlight w:val="none"/>
          <w:lang w:val="en-US"/>
        </w:rPr>
        <w:t xml:space="preserve"> </w:t>
      </w:r>
      <w:r>
        <w:rPr>
          <w:rFonts w:hint="eastAsia"/>
          <w:highlight w:val="none"/>
        </w:rPr>
        <w:t>评标</w:t>
      </w:r>
      <w:r>
        <w:rPr>
          <w:rFonts w:hint="eastAsia"/>
          <w:highlight w:val="none"/>
          <w:lang w:val="en-US"/>
        </w:rPr>
        <w:t>方</w:t>
      </w:r>
      <w:r>
        <w:rPr>
          <w:rFonts w:hint="eastAsia"/>
          <w:highlight w:val="none"/>
        </w:rPr>
        <w:t>法及标准”</w:t>
      </w:r>
      <w:r>
        <w:rPr>
          <w:rFonts w:hint="eastAsia"/>
          <w:highlight w:val="none"/>
          <w:lang w:val="en-US"/>
        </w:rPr>
        <w:t>的</w:t>
      </w:r>
      <w:r>
        <w:rPr>
          <w:rFonts w:hint="eastAsia"/>
          <w:highlight w:val="none"/>
        </w:rPr>
        <w:t>规定对投标文件进行评审。“第五章</w:t>
      </w:r>
      <w:r>
        <w:rPr>
          <w:rFonts w:hint="eastAsia"/>
          <w:highlight w:val="none"/>
          <w:lang w:val="en-US"/>
        </w:rPr>
        <w:t xml:space="preserve"> </w:t>
      </w:r>
      <w:r>
        <w:rPr>
          <w:rFonts w:hint="eastAsia"/>
          <w:highlight w:val="none"/>
        </w:rPr>
        <w:t>评标</w:t>
      </w:r>
      <w:r>
        <w:rPr>
          <w:rFonts w:hint="eastAsia"/>
          <w:highlight w:val="none"/>
          <w:lang w:val="en-US"/>
        </w:rPr>
        <w:t>方</w:t>
      </w:r>
      <w:r>
        <w:rPr>
          <w:rFonts w:hint="eastAsia"/>
          <w:highlight w:val="none"/>
        </w:rPr>
        <w:t>法及标准”没有规定的方法、评审因素和标准，不作为评标依据。</w:t>
      </w:r>
    </w:p>
    <w:p w14:paraId="1CD728F7">
      <w:pPr>
        <w:pStyle w:val="41"/>
        <w:spacing w:line="360" w:lineRule="auto"/>
        <w:rPr>
          <w:highlight w:val="none"/>
        </w:rPr>
      </w:pPr>
      <w:r>
        <w:rPr>
          <w:rFonts w:hint="eastAsia"/>
          <w:highlight w:val="none"/>
          <w:lang w:val="en-US"/>
        </w:rPr>
        <w:t>29</w:t>
      </w:r>
      <w:r>
        <w:rPr>
          <w:rFonts w:hint="eastAsia"/>
          <w:highlight w:val="none"/>
        </w:rPr>
        <w:t>.</w:t>
      </w:r>
      <w:r>
        <w:rPr>
          <w:rFonts w:hint="eastAsia"/>
          <w:highlight w:val="none"/>
          <w:lang w:val="en-US"/>
        </w:rPr>
        <w:t xml:space="preserve">3 </w:t>
      </w:r>
      <w:r>
        <w:rPr>
          <w:rFonts w:hint="eastAsia"/>
          <w:highlight w:val="none"/>
        </w:rPr>
        <w:t>评标委员会按“投标人须知前附表”规定的中标候选人数量在评标报告中向采购人推荐中标候选人。</w:t>
      </w:r>
    </w:p>
    <w:p w14:paraId="31465351">
      <w:pPr>
        <w:pStyle w:val="41"/>
        <w:spacing w:line="360" w:lineRule="auto"/>
        <w:rPr>
          <w:highlight w:val="none"/>
        </w:rPr>
      </w:pPr>
      <w:r>
        <w:rPr>
          <w:rFonts w:hint="eastAsia"/>
          <w:highlight w:val="none"/>
        </w:rPr>
        <w:t>29.4 开标之后，直到签订合同止，凡是属于审查、澄清、评价和比较投标的有关资料以及定标意向等，均不得向投标人或者其他与评标无关的人员透露。</w:t>
      </w:r>
    </w:p>
    <w:p w14:paraId="2A2C0A06">
      <w:pPr>
        <w:pStyle w:val="41"/>
        <w:spacing w:line="360" w:lineRule="auto"/>
        <w:rPr>
          <w:highlight w:val="none"/>
        </w:rPr>
      </w:pPr>
      <w:r>
        <w:rPr>
          <w:rFonts w:hint="eastAsia"/>
          <w:highlight w:val="none"/>
        </w:rPr>
        <w:t>29.5 在确定中标人之前，投标人试图在投标文件审查、澄清、比较和评标时对评标委员会、采购人和采购代理机构施加任何影响都可能导致其</w:t>
      </w:r>
      <w:r>
        <w:rPr>
          <w:rFonts w:hint="eastAsia"/>
          <w:b/>
          <w:bCs/>
          <w:highlight w:val="none"/>
        </w:rPr>
        <w:t>投标无效</w:t>
      </w:r>
      <w:r>
        <w:rPr>
          <w:rFonts w:hint="eastAsia"/>
          <w:highlight w:val="none"/>
        </w:rPr>
        <w:t>。</w:t>
      </w:r>
    </w:p>
    <w:p w14:paraId="37F48232">
      <w:pPr>
        <w:pStyle w:val="41"/>
        <w:spacing w:line="360" w:lineRule="auto"/>
        <w:rPr>
          <w:highlight w:val="none"/>
        </w:rPr>
      </w:pPr>
      <w:r>
        <w:rPr>
          <w:rFonts w:hint="eastAsia"/>
          <w:highlight w:val="none"/>
        </w:rPr>
        <w:t>29.6 电子招投标的应急措施</w:t>
      </w:r>
    </w:p>
    <w:p w14:paraId="370A53A1">
      <w:pPr>
        <w:pStyle w:val="41"/>
        <w:spacing w:line="360" w:lineRule="auto"/>
        <w:rPr>
          <w:highlight w:val="none"/>
        </w:rPr>
      </w:pPr>
      <w:r>
        <w:rPr>
          <w:rFonts w:hint="eastAsia"/>
          <w:highlight w:val="none"/>
        </w:rPr>
        <w:t>29.6.1电子开标、评标如出现下列原因，导致系统无法正常运行或无法正常评标时，应采取应急措施。</w:t>
      </w:r>
    </w:p>
    <w:p w14:paraId="238D9A79">
      <w:pPr>
        <w:pStyle w:val="41"/>
        <w:spacing w:line="360" w:lineRule="auto"/>
        <w:rPr>
          <w:highlight w:val="none"/>
        </w:rPr>
      </w:pPr>
      <w:r>
        <w:rPr>
          <w:rFonts w:hint="eastAsia"/>
          <w:highlight w:val="none"/>
        </w:rPr>
        <w:t>（1）系统服务器发生故障，无法访问或无法使用系统；</w:t>
      </w:r>
    </w:p>
    <w:p w14:paraId="3BD71190">
      <w:pPr>
        <w:pStyle w:val="41"/>
        <w:spacing w:line="360" w:lineRule="auto"/>
        <w:rPr>
          <w:highlight w:val="none"/>
        </w:rPr>
      </w:pPr>
      <w:r>
        <w:rPr>
          <w:rFonts w:hint="eastAsia"/>
          <w:highlight w:val="none"/>
        </w:rPr>
        <w:t>（2）系统的软件或数据库出现错误，不能进行正常操作；</w:t>
      </w:r>
    </w:p>
    <w:p w14:paraId="6C556770">
      <w:pPr>
        <w:pStyle w:val="41"/>
        <w:spacing w:line="360" w:lineRule="auto"/>
        <w:rPr>
          <w:highlight w:val="none"/>
        </w:rPr>
      </w:pPr>
      <w:r>
        <w:rPr>
          <w:rFonts w:hint="eastAsia"/>
          <w:highlight w:val="none"/>
        </w:rPr>
        <w:t>（3）系统发现有安全漏洞，有潜在的泄密危险；</w:t>
      </w:r>
    </w:p>
    <w:p w14:paraId="79131E5C">
      <w:pPr>
        <w:pStyle w:val="41"/>
        <w:spacing w:line="360" w:lineRule="auto"/>
        <w:rPr>
          <w:highlight w:val="none"/>
        </w:rPr>
      </w:pPr>
      <w:r>
        <w:rPr>
          <w:rFonts w:hint="eastAsia"/>
          <w:highlight w:val="none"/>
        </w:rPr>
        <w:t>（4）病毒发作或受到外来病毒的攻击；</w:t>
      </w:r>
    </w:p>
    <w:p w14:paraId="055BEEEC">
      <w:pPr>
        <w:pStyle w:val="41"/>
        <w:spacing w:line="360" w:lineRule="auto"/>
        <w:rPr>
          <w:highlight w:val="none"/>
        </w:rPr>
      </w:pPr>
      <w:r>
        <w:rPr>
          <w:rFonts w:hint="eastAsia"/>
          <w:highlight w:val="none"/>
        </w:rPr>
        <w:t>（5）出现其他不可抗拒的客观原因造成开评标系统无法正常使用。</w:t>
      </w:r>
    </w:p>
    <w:p w14:paraId="6EC3906B">
      <w:pPr>
        <w:pStyle w:val="41"/>
        <w:spacing w:line="360" w:lineRule="auto"/>
        <w:rPr>
          <w:highlight w:val="none"/>
        </w:rPr>
      </w:pPr>
      <w:r>
        <w:rPr>
          <w:rFonts w:hint="eastAsia"/>
          <w:highlight w:val="none"/>
        </w:rPr>
        <w:t>出现上述情况时，应对未开标的暂停开标。已在系统内开标、评标的立即停止。采取应急措施时，必须对原有资料及信息作出妥善保密处理。</w:t>
      </w:r>
    </w:p>
    <w:p w14:paraId="27B180C7">
      <w:pPr>
        <w:pStyle w:val="41"/>
        <w:spacing w:line="360" w:lineRule="auto"/>
        <w:rPr>
          <w:highlight w:val="none"/>
        </w:rPr>
      </w:pPr>
      <w:r>
        <w:rPr>
          <w:rFonts w:hint="eastAsia"/>
          <w:highlight w:val="none"/>
        </w:rPr>
        <w:t>29.6.2因系统原因导致投标人均无法解密电子投标文件时，采购代理机构可在开标现场直接导入投标人在投标截止时间前递交的未加密的电子投标文件进行开标、评标。</w:t>
      </w:r>
    </w:p>
    <w:p w14:paraId="5F4E0CD8">
      <w:pPr>
        <w:pStyle w:val="41"/>
        <w:spacing w:line="360" w:lineRule="auto"/>
        <w:rPr>
          <w:highlight w:val="none"/>
        </w:rPr>
      </w:pPr>
      <w:r>
        <w:rPr>
          <w:rFonts w:hint="eastAsia"/>
          <w:highlight w:val="none"/>
        </w:rPr>
        <w:t>29.7 投标人瑕疵滞后发现的处理规则</w:t>
      </w:r>
    </w:p>
    <w:p w14:paraId="57A3BC0E">
      <w:pPr>
        <w:pStyle w:val="41"/>
        <w:spacing w:line="360" w:lineRule="auto"/>
        <w:rPr>
          <w:highlight w:val="none"/>
        </w:rPr>
      </w:pPr>
      <w:r>
        <w:rPr>
          <w:rFonts w:hint="eastAsia"/>
          <w:highlight w:val="none"/>
        </w:rPr>
        <w:t>29.7.1无论基于何种原因，各项本应作</w:t>
      </w:r>
      <w:r>
        <w:rPr>
          <w:rFonts w:hint="eastAsia"/>
          <w:b/>
          <w:bCs/>
          <w:highlight w:val="none"/>
        </w:rPr>
        <w:t>无效投标</w:t>
      </w:r>
      <w:r>
        <w:rPr>
          <w:rFonts w:hint="eastAsia"/>
          <w:highlight w:val="none"/>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46D024FF">
      <w:pPr>
        <w:pStyle w:val="5"/>
        <w:spacing w:line="360" w:lineRule="auto"/>
        <w:rPr>
          <w:highlight w:val="none"/>
        </w:rPr>
      </w:pPr>
      <w:bookmarkStart w:id="220" w:name="_Toc163492859"/>
      <w:bookmarkStart w:id="221" w:name="_Toc155185879"/>
      <w:bookmarkStart w:id="222" w:name="_Toc140132792"/>
      <w:r>
        <w:rPr>
          <w:rFonts w:hint="eastAsia"/>
          <w:highlight w:val="none"/>
        </w:rPr>
        <w:t>（八）中标</w:t>
      </w:r>
      <w:bookmarkEnd w:id="220"/>
      <w:bookmarkEnd w:id="221"/>
      <w:bookmarkEnd w:id="222"/>
    </w:p>
    <w:p w14:paraId="25D11BCB">
      <w:pPr>
        <w:pStyle w:val="6"/>
        <w:spacing w:line="360" w:lineRule="auto"/>
        <w:rPr>
          <w:highlight w:val="none"/>
        </w:rPr>
      </w:pPr>
      <w:bookmarkStart w:id="223" w:name="_Toc163492860"/>
      <w:bookmarkStart w:id="224" w:name="_Toc140132793"/>
      <w:r>
        <w:rPr>
          <w:rFonts w:hint="eastAsia"/>
          <w:highlight w:val="none"/>
        </w:rPr>
        <w:t>30.确定中标人</w:t>
      </w:r>
      <w:bookmarkEnd w:id="223"/>
      <w:bookmarkEnd w:id="224"/>
    </w:p>
    <w:p w14:paraId="76F9B478">
      <w:pPr>
        <w:pStyle w:val="41"/>
        <w:spacing w:line="360" w:lineRule="auto"/>
        <w:rPr>
          <w:highlight w:val="none"/>
          <w:lang w:bidi="ar"/>
        </w:rPr>
      </w:pPr>
      <w:r>
        <w:rPr>
          <w:rFonts w:hint="eastAsia"/>
          <w:highlight w:val="none"/>
        </w:rPr>
        <w:t>30.1</w:t>
      </w:r>
      <w:r>
        <w:rPr>
          <w:rFonts w:hint="eastAsia"/>
          <w:highlight w:val="none"/>
          <w:lang w:bidi="ar"/>
        </w:rPr>
        <w:t>采购人将在评标报告确定的中标候选人名单中按顺序确定中标人，中标候选人并列的，按照</w:t>
      </w:r>
      <w:r>
        <w:rPr>
          <w:rFonts w:hint="eastAsia"/>
          <w:highlight w:val="none"/>
        </w:rPr>
        <w:t>“投标人须知前附表”</w:t>
      </w:r>
      <w:r>
        <w:rPr>
          <w:rFonts w:hint="eastAsia"/>
          <w:highlight w:val="none"/>
          <w:lang w:bidi="ar"/>
        </w:rPr>
        <w:t>确定中标人；招标文件未规定的，采取随机抽取的方式确定。采购人是否委托评标委员会直接确定中标人，见</w:t>
      </w:r>
      <w:r>
        <w:rPr>
          <w:rFonts w:hint="eastAsia"/>
          <w:highlight w:val="none"/>
        </w:rPr>
        <w:t>“投标人须知前附表”</w:t>
      </w:r>
      <w:r>
        <w:rPr>
          <w:rFonts w:hint="eastAsia"/>
          <w:highlight w:val="none"/>
          <w:lang w:bidi="ar"/>
        </w:rPr>
        <w:t>。</w:t>
      </w:r>
    </w:p>
    <w:p w14:paraId="5CE7C7B5">
      <w:pPr>
        <w:pStyle w:val="41"/>
        <w:spacing w:line="360" w:lineRule="auto"/>
        <w:rPr>
          <w:highlight w:val="none"/>
          <w:lang w:bidi="ar"/>
        </w:rPr>
      </w:pPr>
      <w:r>
        <w:rPr>
          <w:rFonts w:hint="eastAsia"/>
          <w:highlight w:val="none"/>
          <w:lang w:bidi="ar"/>
        </w:rPr>
        <w:t>30.2采用综合评分法的采购项目，提供相同品牌产品且通过资格审查、符合性审查的不同</w:t>
      </w:r>
      <w:r>
        <w:rPr>
          <w:rFonts w:hint="eastAsia"/>
          <w:highlight w:val="none"/>
        </w:rPr>
        <w:t>投标人</w:t>
      </w:r>
      <w:r>
        <w:rPr>
          <w:rFonts w:hint="eastAsia"/>
          <w:highlight w:val="none"/>
          <w:lang w:bidi="ar"/>
        </w:rPr>
        <w:t>参加同一合同项下投标的，按一家投标人计算，评审后得分最高的同品牌投标人获得中标人推荐资格；评审得分相同的，由采购人或者采购人委托评标委员会按照</w:t>
      </w:r>
      <w:r>
        <w:rPr>
          <w:rFonts w:hint="eastAsia"/>
          <w:highlight w:val="none"/>
        </w:rPr>
        <w:t>“投标人须知前附表”</w:t>
      </w:r>
      <w:r>
        <w:rPr>
          <w:rFonts w:hint="eastAsia"/>
          <w:highlight w:val="none"/>
          <w:lang w:bidi="ar"/>
        </w:rPr>
        <w:t>规定的方式确定一个投标人获得中标人推荐资格，招标文件未规定的采取随机抽取方式确定，其他同品牌投标人不作为中标候选人。</w:t>
      </w:r>
    </w:p>
    <w:p w14:paraId="0BC25A43">
      <w:pPr>
        <w:pStyle w:val="41"/>
        <w:spacing w:line="360" w:lineRule="auto"/>
        <w:rPr>
          <w:highlight w:val="none"/>
          <w:lang w:bidi="ar"/>
        </w:rPr>
      </w:pPr>
      <w:r>
        <w:rPr>
          <w:rFonts w:hint="eastAsia"/>
          <w:highlight w:val="none"/>
          <w:lang w:bidi="ar"/>
        </w:rPr>
        <w:t>30.3采用最低评标价法的采购项目，提供相同品牌产品的不同投标人参加同一合同项下投标的，以其中通过资格审查、符合性审查且报价最低的参加评标；报价相同的，由采购人或者采购人委托评标委员会按照</w:t>
      </w:r>
      <w:r>
        <w:rPr>
          <w:rFonts w:hint="eastAsia"/>
          <w:highlight w:val="none"/>
        </w:rPr>
        <w:t>“投标人须知前附表”</w:t>
      </w:r>
      <w:r>
        <w:rPr>
          <w:rFonts w:hint="eastAsia"/>
          <w:highlight w:val="none"/>
          <w:lang w:bidi="ar"/>
        </w:rPr>
        <w:t>规定的方式确定一个参加评标的投标人，招标文件未规定的采取随机抽取方式确定，其他投标无效。</w:t>
      </w:r>
    </w:p>
    <w:p w14:paraId="6BDE8238">
      <w:pPr>
        <w:pStyle w:val="41"/>
        <w:spacing w:line="360" w:lineRule="auto"/>
        <w:rPr>
          <w:highlight w:val="none"/>
        </w:rPr>
      </w:pPr>
      <w:r>
        <w:rPr>
          <w:rFonts w:hint="eastAsia"/>
          <w:highlight w:val="none"/>
          <w:lang w:bidi="ar"/>
        </w:rPr>
        <w:t>30.4非单一产品采购项目，采购人应当根据采购项目技术构成、产品价格比重等合理确定</w:t>
      </w:r>
      <w:r>
        <w:rPr>
          <w:rFonts w:hint="eastAsia"/>
          <w:highlight w:val="none"/>
        </w:rPr>
        <w:t>核心</w:t>
      </w:r>
      <w:r>
        <w:rPr>
          <w:rFonts w:hint="eastAsia"/>
          <w:highlight w:val="none"/>
          <w:lang w:bidi="ar"/>
        </w:rPr>
        <w:t>产品，并在</w:t>
      </w:r>
      <w:r>
        <w:rPr>
          <w:rFonts w:hint="eastAsia"/>
          <w:highlight w:val="none"/>
        </w:rPr>
        <w:t>“投标人须知前附表”</w:t>
      </w:r>
      <w:r>
        <w:rPr>
          <w:rFonts w:hint="eastAsia"/>
          <w:highlight w:val="none"/>
          <w:lang w:bidi="ar"/>
        </w:rPr>
        <w:t xml:space="preserve">中载明。多家投标人提供的核心产品品牌相同的，按前两款规定处理。 </w:t>
      </w:r>
    </w:p>
    <w:p w14:paraId="6D53CFAE">
      <w:pPr>
        <w:pStyle w:val="6"/>
        <w:spacing w:line="360" w:lineRule="auto"/>
        <w:rPr>
          <w:highlight w:val="none"/>
        </w:rPr>
      </w:pPr>
      <w:bookmarkStart w:id="225" w:name="_Toc163492861"/>
      <w:bookmarkStart w:id="226" w:name="_Toc140132794"/>
      <w:r>
        <w:rPr>
          <w:rFonts w:hint="eastAsia"/>
          <w:highlight w:val="none"/>
        </w:rPr>
        <w:t>31.中标结果公告</w:t>
      </w:r>
      <w:bookmarkEnd w:id="225"/>
      <w:bookmarkEnd w:id="226"/>
    </w:p>
    <w:p w14:paraId="14E21665">
      <w:pPr>
        <w:pStyle w:val="41"/>
        <w:spacing w:line="360" w:lineRule="auto"/>
        <w:rPr>
          <w:highlight w:val="none"/>
        </w:rPr>
      </w:pPr>
      <w:r>
        <w:rPr>
          <w:bCs/>
          <w:highlight w:val="none"/>
        </w:rPr>
        <w:t>3</w:t>
      </w:r>
      <w:r>
        <w:rPr>
          <w:rFonts w:hint="eastAsia"/>
          <w:bCs/>
          <w:highlight w:val="none"/>
          <w:lang w:val="en-US"/>
        </w:rPr>
        <w:t>1</w:t>
      </w:r>
      <w:r>
        <w:rPr>
          <w:rFonts w:hint="eastAsia"/>
          <w:highlight w:val="none"/>
        </w:rPr>
        <w:t>.1</w:t>
      </w:r>
      <w:r>
        <w:rPr>
          <w:rFonts w:hint="eastAsia"/>
          <w:highlight w:val="none"/>
          <w:lang w:val="en-US"/>
        </w:rPr>
        <w:t>采购人或</w:t>
      </w:r>
      <w:r>
        <w:rPr>
          <w:rFonts w:hint="eastAsia"/>
          <w:highlight w:val="none"/>
        </w:rPr>
        <w:t>采购代理机构应当自中标人确定之日起2个工作日内，在</w:t>
      </w:r>
      <w:r>
        <w:rPr>
          <w:rFonts w:hint="eastAsia"/>
          <w:highlight w:val="none"/>
          <w:lang w:val="en-US"/>
        </w:rPr>
        <w:t>发布招标公告的同一</w:t>
      </w:r>
      <w:r>
        <w:rPr>
          <w:rFonts w:hint="eastAsia"/>
          <w:highlight w:val="none"/>
        </w:rPr>
        <w:t>媒体上发布中标结果公告，</w:t>
      </w:r>
      <w:r>
        <w:rPr>
          <w:rFonts w:hint="eastAsia"/>
          <w:highlight w:val="none"/>
          <w:lang w:val="en-US"/>
        </w:rPr>
        <w:t>同时向中标人</w:t>
      </w:r>
      <w:r>
        <w:rPr>
          <w:rFonts w:hint="eastAsia"/>
          <w:highlight w:val="none"/>
        </w:rPr>
        <w:t>发出中标通知书。招标文件随中标结果同时公告，中标结果公告期限为1个工作日。</w:t>
      </w:r>
    </w:p>
    <w:p w14:paraId="0EFD42C2">
      <w:pPr>
        <w:pStyle w:val="41"/>
        <w:spacing w:line="360" w:lineRule="auto"/>
        <w:rPr>
          <w:highlight w:val="none"/>
        </w:rPr>
      </w:pPr>
      <w:r>
        <w:rPr>
          <w:rFonts w:hint="eastAsia"/>
          <w:highlight w:val="none"/>
        </w:rPr>
        <w:t>3</w:t>
      </w:r>
      <w:r>
        <w:rPr>
          <w:rFonts w:hint="eastAsia"/>
          <w:highlight w:val="none"/>
          <w:lang w:val="en-US"/>
        </w:rPr>
        <w:t>1</w:t>
      </w:r>
      <w:r>
        <w:rPr>
          <w:highlight w:val="none"/>
        </w:rPr>
        <w:t>.2</w:t>
      </w:r>
      <w:r>
        <w:rPr>
          <w:rFonts w:hint="eastAsia"/>
          <w:highlight w:val="none"/>
        </w:rPr>
        <w:t>中标</w:t>
      </w:r>
      <w:r>
        <w:rPr>
          <w:rFonts w:hint="eastAsia"/>
          <w:highlight w:val="none"/>
          <w:lang w:val="en-US"/>
        </w:rPr>
        <w:t>人</w:t>
      </w:r>
      <w:r>
        <w:rPr>
          <w:rFonts w:hint="eastAsia"/>
          <w:highlight w:val="none"/>
        </w:rPr>
        <w:t>为中小企业</w:t>
      </w:r>
      <w:r>
        <w:rPr>
          <w:rFonts w:hint="eastAsia"/>
          <w:highlight w:val="none"/>
          <w:lang w:val="en-US"/>
        </w:rPr>
        <w:t>享受中小企业扶持政策的</w:t>
      </w:r>
      <w:r>
        <w:rPr>
          <w:rFonts w:hint="eastAsia"/>
          <w:highlight w:val="none"/>
        </w:rPr>
        <w:t>，其“中小企业声明函”随中标结果同时公告。中标</w:t>
      </w:r>
      <w:r>
        <w:rPr>
          <w:rFonts w:hint="eastAsia"/>
          <w:highlight w:val="none"/>
          <w:lang w:val="en-US"/>
        </w:rPr>
        <w:t>人</w:t>
      </w:r>
      <w:r>
        <w:rPr>
          <w:rFonts w:hint="eastAsia"/>
          <w:highlight w:val="none"/>
        </w:rPr>
        <w:t>为残疾人福利性单位的，其“残疾人福利性单位声明函”随中标结果同时公告。</w:t>
      </w:r>
    </w:p>
    <w:p w14:paraId="1D7F97ED">
      <w:pPr>
        <w:pStyle w:val="41"/>
        <w:spacing w:line="360" w:lineRule="auto"/>
        <w:rPr>
          <w:highlight w:val="none"/>
        </w:rPr>
      </w:pPr>
      <w:r>
        <w:rPr>
          <w:rFonts w:hint="eastAsia"/>
          <w:highlight w:val="none"/>
          <w:lang w:val="en-US"/>
        </w:rPr>
        <w:t>31.3</w:t>
      </w:r>
      <w:r>
        <w:rPr>
          <w:rFonts w:hint="eastAsia"/>
          <w:highlight w:val="none"/>
        </w:rPr>
        <w:t>项目采购采用最低评标价法的，公告中标结果时同时公告因落实政府采购政策等原因进行价格扣除后中标</w:t>
      </w:r>
      <w:r>
        <w:rPr>
          <w:rFonts w:hint="eastAsia"/>
          <w:highlight w:val="none"/>
          <w:lang w:val="en-US"/>
        </w:rPr>
        <w:t>人</w:t>
      </w:r>
      <w:r>
        <w:rPr>
          <w:rFonts w:hint="eastAsia"/>
          <w:highlight w:val="none"/>
        </w:rPr>
        <w:t>的评审报价；项目采购采用综合评分法的，公告中标结果时同时公告中标</w:t>
      </w:r>
      <w:r>
        <w:rPr>
          <w:rFonts w:hint="eastAsia"/>
          <w:highlight w:val="none"/>
          <w:lang w:val="en-US"/>
        </w:rPr>
        <w:t>供应商</w:t>
      </w:r>
      <w:r>
        <w:rPr>
          <w:rFonts w:hint="eastAsia"/>
          <w:highlight w:val="none"/>
        </w:rPr>
        <w:t>的评审总得分。</w:t>
      </w:r>
    </w:p>
    <w:p w14:paraId="64942756">
      <w:pPr>
        <w:pStyle w:val="6"/>
        <w:spacing w:line="360" w:lineRule="auto"/>
        <w:rPr>
          <w:highlight w:val="none"/>
        </w:rPr>
      </w:pPr>
      <w:bookmarkStart w:id="227" w:name="_Toc163492862"/>
      <w:bookmarkStart w:id="228" w:name="_Toc140132795"/>
      <w:r>
        <w:rPr>
          <w:rFonts w:hint="eastAsia"/>
          <w:highlight w:val="none"/>
        </w:rPr>
        <w:t>32.中标通知</w:t>
      </w:r>
      <w:bookmarkEnd w:id="227"/>
      <w:bookmarkEnd w:id="228"/>
    </w:p>
    <w:p w14:paraId="220648DC">
      <w:pPr>
        <w:pStyle w:val="41"/>
        <w:spacing w:line="360" w:lineRule="auto"/>
        <w:rPr>
          <w:highlight w:val="none"/>
        </w:rPr>
      </w:pPr>
      <w:r>
        <w:rPr>
          <w:bCs/>
          <w:highlight w:val="none"/>
        </w:rPr>
        <w:t>3</w:t>
      </w:r>
      <w:r>
        <w:rPr>
          <w:rFonts w:hint="eastAsia"/>
          <w:bCs/>
          <w:highlight w:val="none"/>
          <w:lang w:val="en-US"/>
        </w:rPr>
        <w:t>2</w:t>
      </w:r>
      <w:r>
        <w:rPr>
          <w:rFonts w:hint="eastAsia"/>
          <w:highlight w:val="none"/>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7F421290">
      <w:pPr>
        <w:pStyle w:val="41"/>
        <w:spacing w:line="360" w:lineRule="auto"/>
        <w:rPr>
          <w:highlight w:val="none"/>
        </w:rPr>
      </w:pPr>
      <w:r>
        <w:rPr>
          <w:rFonts w:hint="eastAsia"/>
          <w:highlight w:val="none"/>
        </w:rPr>
        <w:t>32.2中标通知书对采购人和中标人均具有法律效力。中标通知书发出后，采购人改变中标结果的，或者中标人放弃中标项目的，应当依法承担法律责任。</w:t>
      </w:r>
    </w:p>
    <w:p w14:paraId="221CD480">
      <w:pPr>
        <w:pStyle w:val="5"/>
        <w:spacing w:line="360" w:lineRule="auto"/>
        <w:rPr>
          <w:highlight w:val="none"/>
        </w:rPr>
      </w:pPr>
      <w:bookmarkStart w:id="229" w:name="_Toc163492863"/>
      <w:r>
        <w:rPr>
          <w:rFonts w:hint="eastAsia"/>
          <w:highlight w:val="none"/>
        </w:rPr>
        <w:t>（九）签订</w:t>
      </w:r>
      <w:bookmarkStart w:id="230" w:name="_Toc155185880"/>
      <w:bookmarkStart w:id="231" w:name="_Toc140132796"/>
      <w:r>
        <w:rPr>
          <w:rFonts w:hint="eastAsia"/>
          <w:highlight w:val="none"/>
        </w:rPr>
        <w:t>合同</w:t>
      </w:r>
      <w:bookmarkEnd w:id="229"/>
      <w:bookmarkEnd w:id="230"/>
      <w:bookmarkEnd w:id="231"/>
    </w:p>
    <w:p w14:paraId="37D7F428">
      <w:pPr>
        <w:pStyle w:val="6"/>
        <w:spacing w:line="360" w:lineRule="auto"/>
        <w:rPr>
          <w:highlight w:val="none"/>
        </w:rPr>
      </w:pPr>
      <w:bookmarkStart w:id="232" w:name="_Toc140132797"/>
      <w:bookmarkStart w:id="233" w:name="_Toc163492864"/>
      <w:r>
        <w:rPr>
          <w:rFonts w:hint="eastAsia"/>
          <w:highlight w:val="none"/>
        </w:rPr>
        <w:t>33.履约保证金</w:t>
      </w:r>
      <w:bookmarkEnd w:id="232"/>
      <w:bookmarkEnd w:id="233"/>
    </w:p>
    <w:p w14:paraId="25BAD045">
      <w:pPr>
        <w:pStyle w:val="41"/>
        <w:spacing w:line="360" w:lineRule="auto"/>
        <w:rPr>
          <w:highlight w:val="none"/>
        </w:rPr>
      </w:pPr>
      <w:r>
        <w:rPr>
          <w:bCs/>
          <w:highlight w:val="none"/>
        </w:rPr>
        <w:t>3</w:t>
      </w:r>
      <w:r>
        <w:rPr>
          <w:rFonts w:hint="eastAsia"/>
          <w:bCs/>
          <w:highlight w:val="none"/>
          <w:lang w:val="en-US"/>
        </w:rPr>
        <w:t>3</w:t>
      </w:r>
      <w:r>
        <w:rPr>
          <w:rFonts w:hint="eastAsia"/>
          <w:highlight w:val="none"/>
        </w:rPr>
        <w:t>.1在签订合同前，中标人应按“投标人须知前附表”规定的金额、担保形式和采购人认可的履约担保格式向采购人提交履约保证金。</w:t>
      </w:r>
    </w:p>
    <w:p w14:paraId="3E574134">
      <w:pPr>
        <w:pStyle w:val="41"/>
        <w:spacing w:line="360" w:lineRule="auto"/>
        <w:rPr>
          <w:highlight w:val="none"/>
        </w:rPr>
      </w:pPr>
      <w:r>
        <w:rPr>
          <w:bCs/>
          <w:highlight w:val="none"/>
        </w:rPr>
        <w:t>3</w:t>
      </w:r>
      <w:r>
        <w:rPr>
          <w:rFonts w:hint="eastAsia"/>
          <w:bCs/>
          <w:highlight w:val="none"/>
          <w:lang w:val="en-US"/>
        </w:rPr>
        <w:t>3</w:t>
      </w:r>
      <w:r>
        <w:rPr>
          <w:rFonts w:hint="eastAsia"/>
          <w:highlight w:val="none"/>
        </w:rPr>
        <w:t>.2中标人不能按本章第</w:t>
      </w:r>
      <w:r>
        <w:rPr>
          <w:highlight w:val="none"/>
        </w:rPr>
        <w:t>3</w:t>
      </w:r>
      <w:r>
        <w:rPr>
          <w:rFonts w:hint="eastAsia"/>
          <w:highlight w:val="none"/>
          <w:lang w:val="en-US"/>
        </w:rPr>
        <w:t>3</w:t>
      </w:r>
      <w:r>
        <w:rPr>
          <w:rFonts w:hint="eastAsia"/>
          <w:highlight w:val="none"/>
        </w:rPr>
        <w:t>.1项要求提交履约担保的，视为放弃中标，给采购人造成损失的，中标人还应当承担民事责任。</w:t>
      </w:r>
    </w:p>
    <w:p w14:paraId="08A15E96">
      <w:pPr>
        <w:pStyle w:val="6"/>
        <w:spacing w:line="360" w:lineRule="auto"/>
        <w:rPr>
          <w:highlight w:val="none"/>
        </w:rPr>
      </w:pPr>
      <w:bookmarkStart w:id="234" w:name="_Toc140132798"/>
      <w:bookmarkStart w:id="235" w:name="_Toc163492865"/>
      <w:r>
        <w:rPr>
          <w:rFonts w:hint="eastAsia"/>
          <w:highlight w:val="none"/>
        </w:rPr>
        <w:t>34.签订合同</w:t>
      </w:r>
      <w:bookmarkEnd w:id="234"/>
      <w:bookmarkEnd w:id="235"/>
    </w:p>
    <w:p w14:paraId="37F69777">
      <w:pPr>
        <w:pStyle w:val="41"/>
        <w:spacing w:line="360" w:lineRule="auto"/>
        <w:rPr>
          <w:highlight w:val="none"/>
        </w:rPr>
      </w:pPr>
      <w:r>
        <w:rPr>
          <w:bCs/>
          <w:highlight w:val="none"/>
        </w:rPr>
        <w:t>3</w:t>
      </w:r>
      <w:r>
        <w:rPr>
          <w:rFonts w:hint="eastAsia"/>
          <w:bCs/>
          <w:highlight w:val="none"/>
          <w:lang w:val="en-US"/>
        </w:rPr>
        <w:t>4</w:t>
      </w:r>
      <w:r>
        <w:rPr>
          <w:rFonts w:hint="eastAsia"/>
          <w:highlight w:val="none"/>
        </w:rPr>
        <w:t>.1 采购人和中标人应当自中标通知书发出之日起</w:t>
      </w:r>
      <w:r>
        <w:rPr>
          <w:rFonts w:hint="eastAsia"/>
          <w:highlight w:val="none"/>
          <w:lang w:val="en-US"/>
        </w:rPr>
        <w:t>25</w:t>
      </w:r>
      <w:r>
        <w:rPr>
          <w:rFonts w:hint="eastAsia"/>
          <w:highlight w:val="none"/>
        </w:rPr>
        <w:t>天内，根据招标文件和中标人的投标文件订立书面合同。采购人因不可抗力原因迟延签订合同的，应当自不可抗力事由消除之日起7日内完成合同签订事宜。所签订的合同不得对招标文件和中标人投标文件作实质性修改。中标人无正当理由拒签合同，给采购人造成损失的，中标人还应当承担民事责任。</w:t>
      </w:r>
    </w:p>
    <w:p w14:paraId="6B3E46C1">
      <w:pPr>
        <w:pStyle w:val="41"/>
        <w:spacing w:line="360" w:lineRule="auto"/>
        <w:rPr>
          <w:highlight w:val="none"/>
        </w:rPr>
      </w:pPr>
      <w:r>
        <w:rPr>
          <w:rFonts w:hint="eastAsia"/>
          <w:highlight w:val="none"/>
        </w:rPr>
        <w:t>34.2 中标人拒绝与采购人签订合同的，采购人可以按照评标报告推荐的中标候选人名单排序，确定下一候选人为中标人，也可以重新开展政府采购活动。</w:t>
      </w:r>
    </w:p>
    <w:p w14:paraId="71CB89CA">
      <w:pPr>
        <w:pStyle w:val="41"/>
        <w:spacing w:line="360" w:lineRule="auto"/>
        <w:rPr>
          <w:highlight w:val="none"/>
        </w:rPr>
      </w:pPr>
      <w:r>
        <w:rPr>
          <w:bCs/>
          <w:highlight w:val="none"/>
        </w:rPr>
        <w:t>3</w:t>
      </w:r>
      <w:r>
        <w:rPr>
          <w:rFonts w:hint="eastAsia"/>
          <w:bCs/>
          <w:highlight w:val="none"/>
          <w:lang w:val="en-US"/>
        </w:rPr>
        <w:t>4</w:t>
      </w:r>
      <w:r>
        <w:rPr>
          <w:rFonts w:hint="eastAsia"/>
          <w:highlight w:val="none"/>
        </w:rPr>
        <w:t>.</w:t>
      </w:r>
      <w:r>
        <w:rPr>
          <w:rFonts w:hint="eastAsia"/>
          <w:highlight w:val="none"/>
          <w:lang w:val="en-US"/>
        </w:rPr>
        <w:t>3</w:t>
      </w:r>
      <w:r>
        <w:rPr>
          <w:rFonts w:hint="eastAsia"/>
          <w:highlight w:val="none"/>
        </w:rPr>
        <w:t xml:space="preserve"> 采购人和中标人不得向对方提出任何不合理的要求，作为签订合同的条件，双方不得私下订立背离合同实质性内容的协议。</w:t>
      </w:r>
    </w:p>
    <w:p w14:paraId="3AFAF349">
      <w:pPr>
        <w:pStyle w:val="41"/>
        <w:spacing w:line="360" w:lineRule="auto"/>
        <w:rPr>
          <w:highlight w:val="none"/>
        </w:rPr>
      </w:pPr>
      <w:r>
        <w:rPr>
          <w:rFonts w:hint="eastAsia"/>
          <w:highlight w:val="none"/>
        </w:rPr>
        <w:t>34.4 联合体中标的，联合体各方应当共同与采购人签订合同，就采购合同约定的事项向采购人承担连带责任。</w:t>
      </w:r>
    </w:p>
    <w:p w14:paraId="45E0A8A8">
      <w:pPr>
        <w:pStyle w:val="41"/>
        <w:spacing w:line="360" w:lineRule="auto"/>
        <w:rPr>
          <w:b/>
          <w:bCs/>
          <w:highlight w:val="none"/>
        </w:rPr>
      </w:pPr>
      <w:r>
        <w:rPr>
          <w:rFonts w:hint="eastAsia"/>
          <w:highlight w:val="none"/>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b/>
          <w:bCs/>
          <w:highlight w:val="none"/>
        </w:rPr>
        <w:t>投标无效</w:t>
      </w:r>
      <w:r>
        <w:rPr>
          <w:rFonts w:hint="eastAsia"/>
          <w:highlight w:val="none"/>
        </w:rPr>
        <w:t>。中标人就采购项目和分包项目向采购人负责，分包供应商就分包项目承担责任。</w:t>
      </w:r>
      <w:r>
        <w:rPr>
          <w:rFonts w:hint="eastAsia"/>
          <w:b/>
          <w:bCs/>
          <w:highlight w:val="none"/>
        </w:rPr>
        <w:t>政府采购合同不能转包。</w:t>
      </w:r>
    </w:p>
    <w:p w14:paraId="1A512F7F">
      <w:pPr>
        <w:pStyle w:val="41"/>
        <w:spacing w:line="360" w:lineRule="auto"/>
        <w:rPr>
          <w:highlight w:val="none"/>
        </w:rPr>
      </w:pPr>
      <w:r>
        <w:rPr>
          <w:bCs/>
          <w:highlight w:val="none"/>
        </w:rPr>
        <w:t>3</w:t>
      </w:r>
      <w:r>
        <w:rPr>
          <w:rFonts w:hint="eastAsia"/>
          <w:bCs/>
          <w:highlight w:val="none"/>
          <w:lang w:val="en-US"/>
        </w:rPr>
        <w:t>4</w:t>
      </w:r>
      <w:r>
        <w:rPr>
          <w:rFonts w:hint="eastAsia"/>
          <w:highlight w:val="none"/>
        </w:rPr>
        <w:t>.</w:t>
      </w:r>
      <w:r>
        <w:rPr>
          <w:rFonts w:hint="eastAsia"/>
          <w:highlight w:val="none"/>
          <w:lang w:val="en-US"/>
        </w:rPr>
        <w:t>6</w:t>
      </w:r>
      <w:r>
        <w:rPr>
          <w:rFonts w:hint="eastAsia"/>
          <w:highlight w:val="none"/>
        </w:rPr>
        <w:t>采购合同履行中，采购人需追加与合同标的相同的</w:t>
      </w:r>
      <w:r>
        <w:rPr>
          <w:rFonts w:hint="eastAsia"/>
          <w:highlight w:val="none"/>
          <w:lang w:val="en-US"/>
        </w:rPr>
        <w:t>货物、工程或者服务</w:t>
      </w:r>
      <w:r>
        <w:rPr>
          <w:rFonts w:hint="eastAsia"/>
          <w:highlight w:val="none"/>
        </w:rPr>
        <w:t>的，在不改变合同其他条款的前提下，可以与中标人协商签订补充合同，但所有补充合同的采购金额不得超过原合同采购金额的百分之十。</w:t>
      </w:r>
    </w:p>
    <w:p w14:paraId="0B9F11B0">
      <w:pPr>
        <w:pStyle w:val="41"/>
        <w:spacing w:line="360" w:lineRule="auto"/>
        <w:rPr>
          <w:highlight w:val="none"/>
        </w:rPr>
      </w:pPr>
      <w:r>
        <w:rPr>
          <w:rFonts w:hint="eastAsia"/>
          <w:highlight w:val="none"/>
        </w:rPr>
        <w:t>34.7 采购人应于签订合同之日起2个工作日内在政采云平台备案公示。</w:t>
      </w:r>
    </w:p>
    <w:p w14:paraId="0BB93A49">
      <w:pPr>
        <w:pStyle w:val="5"/>
        <w:spacing w:line="360" w:lineRule="auto"/>
        <w:rPr>
          <w:highlight w:val="none"/>
        </w:rPr>
      </w:pPr>
      <w:bookmarkStart w:id="236" w:name="_Toc155185881"/>
      <w:bookmarkStart w:id="237" w:name="_Toc163492866"/>
      <w:bookmarkStart w:id="238" w:name="_Toc140132799"/>
      <w:r>
        <w:rPr>
          <w:rFonts w:hint="eastAsia"/>
          <w:highlight w:val="none"/>
        </w:rPr>
        <w:t>（十）质疑和投诉</w:t>
      </w:r>
      <w:bookmarkEnd w:id="236"/>
      <w:bookmarkEnd w:id="237"/>
      <w:bookmarkEnd w:id="238"/>
    </w:p>
    <w:p w14:paraId="6A767C53">
      <w:pPr>
        <w:pStyle w:val="6"/>
        <w:spacing w:line="360" w:lineRule="auto"/>
        <w:rPr>
          <w:highlight w:val="none"/>
        </w:rPr>
      </w:pPr>
      <w:bookmarkStart w:id="239" w:name="_Toc163492867"/>
      <w:bookmarkStart w:id="240" w:name="_Toc140132800"/>
      <w:r>
        <w:rPr>
          <w:rFonts w:hint="eastAsia"/>
          <w:highlight w:val="none"/>
        </w:rPr>
        <w:t>35.质疑</w:t>
      </w:r>
      <w:bookmarkEnd w:id="239"/>
      <w:bookmarkEnd w:id="240"/>
    </w:p>
    <w:p w14:paraId="28C8943E">
      <w:pPr>
        <w:pStyle w:val="41"/>
        <w:spacing w:line="360" w:lineRule="auto"/>
        <w:rPr>
          <w:highlight w:val="none"/>
          <w:lang w:val="en-US"/>
        </w:rPr>
      </w:pPr>
      <w:r>
        <w:rPr>
          <w:highlight w:val="none"/>
        </w:rPr>
        <w:t>3</w:t>
      </w:r>
      <w:r>
        <w:rPr>
          <w:rFonts w:hint="eastAsia"/>
          <w:highlight w:val="none"/>
          <w:lang w:val="en-US"/>
        </w:rPr>
        <w:t>5</w:t>
      </w:r>
      <w:r>
        <w:rPr>
          <w:rFonts w:hint="eastAsia"/>
          <w:highlight w:val="none"/>
        </w:rPr>
        <w:t>.1供应商认为采购文件、采购过程、中标结果使自己的权益受到损害的，可以在知道或者应知其权益受到损害之日起7个工作日内，以书面形式向采购人、采购代理机构提出质疑，</w:t>
      </w:r>
      <w:r>
        <w:rPr>
          <w:rFonts w:hint="eastAsia"/>
          <w:highlight w:val="none"/>
          <w:lang w:val="en-US"/>
        </w:rPr>
        <w:t>详见“投标人须知前附表”</w:t>
      </w:r>
      <w:r>
        <w:rPr>
          <w:rFonts w:hint="eastAsia"/>
          <w:highlight w:val="none"/>
        </w:rPr>
        <w:t>。供应商在法定质疑期内一次性提出针对同一采购程序环节的质疑。</w:t>
      </w:r>
    </w:p>
    <w:p w14:paraId="74EDDEA0">
      <w:pPr>
        <w:pStyle w:val="41"/>
        <w:spacing w:line="360" w:lineRule="auto"/>
        <w:rPr>
          <w:highlight w:val="none"/>
        </w:rPr>
      </w:pPr>
      <w:r>
        <w:rPr>
          <w:highlight w:val="none"/>
        </w:rPr>
        <w:t>3</w:t>
      </w:r>
      <w:r>
        <w:rPr>
          <w:rFonts w:hint="eastAsia"/>
          <w:highlight w:val="none"/>
          <w:lang w:val="en-US"/>
        </w:rPr>
        <w:t>5</w:t>
      </w:r>
      <w:r>
        <w:rPr>
          <w:rFonts w:hint="eastAsia"/>
          <w:highlight w:val="none"/>
        </w:rPr>
        <w:t>.2提出质疑的供应商（以下简称质疑供应商）应当是参与所质疑项目采购活动的供应商。</w:t>
      </w:r>
    </w:p>
    <w:p w14:paraId="471F23C1">
      <w:pPr>
        <w:pStyle w:val="41"/>
        <w:spacing w:line="360" w:lineRule="auto"/>
        <w:rPr>
          <w:highlight w:val="none"/>
        </w:rPr>
      </w:pPr>
      <w:r>
        <w:rPr>
          <w:rFonts w:hint="eastAsia"/>
          <w:highlight w:val="none"/>
          <w:lang w:val="en-US"/>
        </w:rPr>
        <w:t>35.3</w:t>
      </w:r>
      <w:r>
        <w:rPr>
          <w:rFonts w:hint="eastAsia"/>
          <w:highlight w:val="none"/>
        </w:rPr>
        <w:t>潜在供应商已依法获取其可质疑的采购文件的，可以对该文件提出质疑。对采购文件提出质疑的，应当在获取采购文件或者采购文件公告期限届满之日起7个工作日内提出。</w:t>
      </w:r>
    </w:p>
    <w:p w14:paraId="37247490">
      <w:pPr>
        <w:pStyle w:val="41"/>
        <w:spacing w:line="360" w:lineRule="auto"/>
        <w:rPr>
          <w:highlight w:val="none"/>
        </w:rPr>
      </w:pPr>
      <w:r>
        <w:rPr>
          <w:rFonts w:hint="eastAsia"/>
          <w:highlight w:val="none"/>
          <w:lang w:val="en-US"/>
        </w:rPr>
        <w:t>35.4</w:t>
      </w:r>
      <w:r>
        <w:rPr>
          <w:rFonts w:hint="eastAsia"/>
          <w:highlight w:val="none"/>
        </w:rPr>
        <w:t>供应商提出质疑应当提交质疑函和必要的证明材料。质疑函应当包括下列内容：</w:t>
      </w:r>
    </w:p>
    <w:p w14:paraId="273F23AA">
      <w:pPr>
        <w:pStyle w:val="41"/>
        <w:spacing w:line="360" w:lineRule="auto"/>
        <w:rPr>
          <w:highlight w:val="none"/>
        </w:rPr>
      </w:pPr>
      <w:r>
        <w:rPr>
          <w:rFonts w:hint="eastAsia"/>
          <w:highlight w:val="none"/>
        </w:rPr>
        <w:t>（</w:t>
      </w:r>
      <w:r>
        <w:rPr>
          <w:rFonts w:hint="eastAsia"/>
          <w:highlight w:val="none"/>
          <w:lang w:val="en-US"/>
        </w:rPr>
        <w:t>1</w:t>
      </w:r>
      <w:r>
        <w:rPr>
          <w:rFonts w:hint="eastAsia"/>
          <w:highlight w:val="none"/>
        </w:rPr>
        <w:t>）供应商的姓名或者名称、地址、邮编、联系人及联系电话；</w:t>
      </w:r>
    </w:p>
    <w:p w14:paraId="6D0B9E9C">
      <w:pPr>
        <w:pStyle w:val="41"/>
        <w:spacing w:line="360" w:lineRule="auto"/>
        <w:rPr>
          <w:highlight w:val="none"/>
        </w:rPr>
      </w:pPr>
      <w:r>
        <w:rPr>
          <w:rFonts w:hint="eastAsia"/>
          <w:highlight w:val="none"/>
        </w:rPr>
        <w:t>（</w:t>
      </w:r>
      <w:r>
        <w:rPr>
          <w:rFonts w:hint="eastAsia"/>
          <w:highlight w:val="none"/>
          <w:lang w:val="en-US"/>
        </w:rPr>
        <w:t>2</w:t>
      </w:r>
      <w:r>
        <w:rPr>
          <w:rFonts w:hint="eastAsia"/>
          <w:highlight w:val="none"/>
        </w:rPr>
        <w:t>）质疑项目的名称、</w:t>
      </w:r>
      <w:r>
        <w:rPr>
          <w:rFonts w:hint="eastAsia"/>
          <w:highlight w:val="none"/>
          <w:lang w:val="en-US"/>
        </w:rPr>
        <w:t>项目</w:t>
      </w:r>
      <w:r>
        <w:rPr>
          <w:rFonts w:hint="eastAsia"/>
          <w:highlight w:val="none"/>
        </w:rPr>
        <w:t>编号</w:t>
      </w:r>
      <w:r>
        <w:rPr>
          <w:rFonts w:hint="eastAsia"/>
          <w:highlight w:val="none"/>
          <w:lang w:val="en-US"/>
        </w:rPr>
        <w:t>/包号</w:t>
      </w:r>
      <w:r>
        <w:rPr>
          <w:rFonts w:hint="eastAsia"/>
          <w:highlight w:val="none"/>
        </w:rPr>
        <w:t>；</w:t>
      </w:r>
    </w:p>
    <w:p w14:paraId="6ED790B9">
      <w:pPr>
        <w:pStyle w:val="41"/>
        <w:spacing w:line="360" w:lineRule="auto"/>
        <w:rPr>
          <w:highlight w:val="none"/>
        </w:rPr>
      </w:pPr>
      <w:r>
        <w:rPr>
          <w:rFonts w:hint="eastAsia"/>
          <w:highlight w:val="none"/>
        </w:rPr>
        <w:t>（</w:t>
      </w:r>
      <w:r>
        <w:rPr>
          <w:rFonts w:hint="eastAsia"/>
          <w:highlight w:val="none"/>
          <w:lang w:val="en-US"/>
        </w:rPr>
        <w:t>3</w:t>
      </w:r>
      <w:r>
        <w:rPr>
          <w:rFonts w:hint="eastAsia"/>
          <w:highlight w:val="none"/>
        </w:rPr>
        <w:t>）具体、明确的质疑事项和与质疑事项相关的请求；</w:t>
      </w:r>
    </w:p>
    <w:p w14:paraId="57C44695">
      <w:pPr>
        <w:pStyle w:val="41"/>
        <w:spacing w:line="360" w:lineRule="auto"/>
        <w:rPr>
          <w:highlight w:val="none"/>
        </w:rPr>
      </w:pPr>
      <w:r>
        <w:rPr>
          <w:rFonts w:hint="eastAsia"/>
          <w:highlight w:val="none"/>
        </w:rPr>
        <w:t>（</w:t>
      </w:r>
      <w:r>
        <w:rPr>
          <w:rFonts w:hint="eastAsia"/>
          <w:highlight w:val="none"/>
          <w:lang w:val="en-US"/>
        </w:rPr>
        <w:t>4</w:t>
      </w:r>
      <w:r>
        <w:rPr>
          <w:rFonts w:hint="eastAsia"/>
          <w:highlight w:val="none"/>
        </w:rPr>
        <w:t>）事实依据；</w:t>
      </w:r>
    </w:p>
    <w:p w14:paraId="2F68FF91">
      <w:pPr>
        <w:pStyle w:val="41"/>
        <w:spacing w:line="360" w:lineRule="auto"/>
        <w:rPr>
          <w:highlight w:val="none"/>
        </w:rPr>
      </w:pPr>
      <w:r>
        <w:rPr>
          <w:rFonts w:hint="eastAsia"/>
          <w:highlight w:val="none"/>
        </w:rPr>
        <w:t>（</w:t>
      </w:r>
      <w:r>
        <w:rPr>
          <w:rFonts w:hint="eastAsia"/>
          <w:highlight w:val="none"/>
          <w:lang w:val="en-US"/>
        </w:rPr>
        <w:t>5</w:t>
      </w:r>
      <w:r>
        <w:rPr>
          <w:rFonts w:hint="eastAsia"/>
          <w:highlight w:val="none"/>
        </w:rPr>
        <w:t>）必要的法律依据；</w:t>
      </w:r>
    </w:p>
    <w:p w14:paraId="0DF4C463">
      <w:pPr>
        <w:pStyle w:val="41"/>
        <w:spacing w:line="360" w:lineRule="auto"/>
        <w:rPr>
          <w:highlight w:val="none"/>
        </w:rPr>
      </w:pPr>
      <w:r>
        <w:rPr>
          <w:rFonts w:hint="eastAsia"/>
          <w:highlight w:val="none"/>
        </w:rPr>
        <w:t>（</w:t>
      </w:r>
      <w:r>
        <w:rPr>
          <w:rFonts w:hint="eastAsia"/>
          <w:highlight w:val="none"/>
          <w:lang w:val="en-US"/>
        </w:rPr>
        <w:t>6</w:t>
      </w:r>
      <w:r>
        <w:rPr>
          <w:rFonts w:hint="eastAsia"/>
          <w:highlight w:val="none"/>
        </w:rPr>
        <w:t>）提出质疑的日期。</w:t>
      </w:r>
    </w:p>
    <w:p w14:paraId="10D81804">
      <w:pPr>
        <w:pStyle w:val="41"/>
        <w:spacing w:line="360" w:lineRule="auto"/>
        <w:rPr>
          <w:highlight w:val="none"/>
        </w:rPr>
      </w:pPr>
      <w:r>
        <w:rPr>
          <w:rFonts w:hint="eastAsia"/>
          <w:highlight w:val="none"/>
        </w:rPr>
        <w:t>供应商为自然人的，应当由本人签字；供应商为法人或者其他组织的，应当由法定代表人、主要负责人，或者其授权代表签字或者盖章，并加盖公章。</w:t>
      </w:r>
    </w:p>
    <w:p w14:paraId="0C1E9FF9">
      <w:pPr>
        <w:pStyle w:val="41"/>
        <w:spacing w:line="360" w:lineRule="auto"/>
        <w:rPr>
          <w:highlight w:val="none"/>
        </w:rPr>
      </w:pPr>
      <w:r>
        <w:rPr>
          <w:highlight w:val="none"/>
        </w:rPr>
        <w:t>3</w:t>
      </w:r>
      <w:r>
        <w:rPr>
          <w:rFonts w:hint="eastAsia"/>
          <w:highlight w:val="none"/>
          <w:lang w:val="en-US"/>
        </w:rPr>
        <w:t>5</w:t>
      </w:r>
      <w:r>
        <w:rPr>
          <w:rFonts w:hint="eastAsia"/>
          <w:highlight w:val="none"/>
        </w:rPr>
        <w:t>.5质疑函不符合上述要求的，采购人或代理机构应书面告知具体事项，质疑人应当按要求进行修改或补充，并在质疑有效期限内提交。</w:t>
      </w:r>
    </w:p>
    <w:p w14:paraId="4EC34EA6">
      <w:pPr>
        <w:pStyle w:val="41"/>
        <w:spacing w:line="360" w:lineRule="auto"/>
        <w:rPr>
          <w:snapToGrid w:val="0"/>
          <w:highlight w:val="none"/>
        </w:rPr>
      </w:pPr>
      <w:r>
        <w:rPr>
          <w:rFonts w:hint="eastAsia"/>
          <w:snapToGrid w:val="0"/>
          <w:highlight w:val="none"/>
        </w:rPr>
        <w:t>3</w:t>
      </w:r>
      <w:r>
        <w:rPr>
          <w:rFonts w:hint="eastAsia"/>
          <w:snapToGrid w:val="0"/>
          <w:highlight w:val="none"/>
          <w:lang w:val="en-US"/>
        </w:rPr>
        <w:t>5</w:t>
      </w:r>
      <w:r>
        <w:rPr>
          <w:rFonts w:hint="eastAsia"/>
          <w:snapToGrid w:val="0"/>
          <w:highlight w:val="none"/>
        </w:rPr>
        <w:t>.</w:t>
      </w:r>
      <w:r>
        <w:rPr>
          <w:rFonts w:hint="eastAsia"/>
          <w:snapToGrid w:val="0"/>
          <w:highlight w:val="none"/>
          <w:lang w:val="en-US"/>
        </w:rPr>
        <w:t>6</w:t>
      </w:r>
      <w:r>
        <w:rPr>
          <w:rFonts w:hint="eastAsia"/>
          <w:snapToGrid w:val="0"/>
          <w:highlight w:val="none"/>
        </w:rPr>
        <w:t>投标人进行虚假和恶意</w:t>
      </w:r>
      <w:r>
        <w:rPr>
          <w:rFonts w:hint="eastAsia"/>
          <w:snapToGrid w:val="0"/>
          <w:highlight w:val="none"/>
          <w:lang w:val="en-US"/>
        </w:rPr>
        <w:t>质疑投诉</w:t>
      </w:r>
      <w:r>
        <w:rPr>
          <w:rFonts w:hint="eastAsia"/>
          <w:snapToGrid w:val="0"/>
          <w:highlight w:val="none"/>
        </w:rPr>
        <w:t>的，采购代理机构将提请有关部门将其列入不良记录名单，在一至三年内禁止参加政府采购活动，并将处理决定在相关政府采购媒体上公布。</w:t>
      </w:r>
    </w:p>
    <w:p w14:paraId="2446BEFF">
      <w:pPr>
        <w:pStyle w:val="41"/>
        <w:spacing w:line="360" w:lineRule="auto"/>
        <w:rPr>
          <w:snapToGrid w:val="0"/>
          <w:highlight w:val="none"/>
        </w:rPr>
      </w:pPr>
      <w:r>
        <w:rPr>
          <w:rFonts w:hint="eastAsia"/>
          <w:snapToGrid w:val="0"/>
          <w:highlight w:val="none"/>
        </w:rPr>
        <w:t>35.7</w:t>
      </w:r>
      <w:r>
        <w:rPr>
          <w:rFonts w:hint="eastAsia"/>
          <w:highlight w:val="none"/>
        </w:rPr>
        <w:t>质疑函应当使用中文，并采用财政部门制定的范本。</w:t>
      </w:r>
    </w:p>
    <w:p w14:paraId="67321C66">
      <w:pPr>
        <w:pStyle w:val="6"/>
        <w:spacing w:line="360" w:lineRule="auto"/>
        <w:rPr>
          <w:highlight w:val="none"/>
        </w:rPr>
      </w:pPr>
      <w:bookmarkStart w:id="241" w:name="_Toc163492868"/>
      <w:bookmarkStart w:id="242" w:name="_Toc140132801"/>
      <w:r>
        <w:rPr>
          <w:rFonts w:hint="eastAsia"/>
          <w:highlight w:val="none"/>
        </w:rPr>
        <w:t>36.质疑答复</w:t>
      </w:r>
      <w:bookmarkEnd w:id="241"/>
      <w:bookmarkEnd w:id="242"/>
    </w:p>
    <w:p w14:paraId="40DE1F33">
      <w:pPr>
        <w:pStyle w:val="41"/>
        <w:spacing w:line="360" w:lineRule="auto"/>
        <w:rPr>
          <w:highlight w:val="none"/>
        </w:rPr>
      </w:pPr>
      <w:r>
        <w:rPr>
          <w:highlight w:val="none"/>
        </w:rPr>
        <w:t>3</w:t>
      </w:r>
      <w:r>
        <w:rPr>
          <w:rFonts w:hint="eastAsia"/>
          <w:highlight w:val="none"/>
          <w:lang w:val="en-US"/>
        </w:rPr>
        <w:t>6</w:t>
      </w:r>
      <w:r>
        <w:rPr>
          <w:rFonts w:hint="eastAsia"/>
          <w:highlight w:val="none"/>
        </w:rPr>
        <w:t>.1采购人、采购代理机构不得拒收质疑供应商在法定质疑期内发出的质疑函，应当在收到质疑函后7个工作日内作出答复，并以书面形式通知质疑供应商和其他有关供应商。</w:t>
      </w:r>
    </w:p>
    <w:p w14:paraId="221D78C5">
      <w:pPr>
        <w:pStyle w:val="41"/>
        <w:spacing w:line="360" w:lineRule="auto"/>
        <w:rPr>
          <w:highlight w:val="none"/>
        </w:rPr>
      </w:pPr>
      <w:r>
        <w:rPr>
          <w:rFonts w:hint="eastAsia"/>
          <w:highlight w:val="none"/>
        </w:rPr>
        <w:t>36.2供应商对评审过程、中标结果提出质疑的，采购人、采购代理机构可以组织原评标委员会协助答复质疑。</w:t>
      </w:r>
    </w:p>
    <w:p w14:paraId="5E14EDA6">
      <w:pPr>
        <w:pStyle w:val="41"/>
        <w:spacing w:line="360" w:lineRule="auto"/>
        <w:rPr>
          <w:highlight w:val="none"/>
        </w:rPr>
      </w:pPr>
      <w:bookmarkStart w:id="243" w:name="_Toc163492869"/>
      <w:bookmarkStart w:id="244" w:name="_Toc140132802"/>
      <w:r>
        <w:rPr>
          <w:rFonts w:hint="eastAsia"/>
          <w:highlight w:val="none"/>
        </w:rPr>
        <w:t>质疑答复应当包括下列内容：</w:t>
      </w:r>
    </w:p>
    <w:p w14:paraId="68839840">
      <w:pPr>
        <w:pStyle w:val="41"/>
        <w:spacing w:line="360" w:lineRule="auto"/>
        <w:rPr>
          <w:highlight w:val="none"/>
        </w:rPr>
      </w:pPr>
      <w:r>
        <w:rPr>
          <w:rFonts w:hint="eastAsia"/>
          <w:highlight w:val="none"/>
        </w:rPr>
        <w:t>（</w:t>
      </w:r>
      <w:r>
        <w:rPr>
          <w:rFonts w:hint="eastAsia"/>
          <w:highlight w:val="none"/>
          <w:lang w:val="en-US"/>
        </w:rPr>
        <w:t>1</w:t>
      </w:r>
      <w:r>
        <w:rPr>
          <w:rFonts w:hint="eastAsia"/>
          <w:highlight w:val="none"/>
        </w:rPr>
        <w:t>）质疑供应商的姓名或者名称；</w:t>
      </w:r>
    </w:p>
    <w:p w14:paraId="0135736D">
      <w:pPr>
        <w:pStyle w:val="41"/>
        <w:spacing w:line="360" w:lineRule="auto"/>
        <w:rPr>
          <w:highlight w:val="none"/>
        </w:rPr>
      </w:pPr>
      <w:r>
        <w:rPr>
          <w:rFonts w:hint="eastAsia"/>
          <w:highlight w:val="none"/>
        </w:rPr>
        <w:t>（</w:t>
      </w:r>
      <w:r>
        <w:rPr>
          <w:rFonts w:hint="eastAsia"/>
          <w:highlight w:val="none"/>
          <w:lang w:val="en-US"/>
        </w:rPr>
        <w:t>2</w:t>
      </w:r>
      <w:r>
        <w:rPr>
          <w:rFonts w:hint="eastAsia"/>
          <w:highlight w:val="none"/>
        </w:rPr>
        <w:t>）收到质疑函的日期、质疑项目名称及</w:t>
      </w:r>
      <w:r>
        <w:rPr>
          <w:rFonts w:hint="eastAsia"/>
          <w:highlight w:val="none"/>
          <w:lang w:val="en-US"/>
        </w:rPr>
        <w:t>项目</w:t>
      </w:r>
      <w:r>
        <w:rPr>
          <w:rFonts w:hint="eastAsia"/>
          <w:highlight w:val="none"/>
        </w:rPr>
        <w:t>编号/包号；</w:t>
      </w:r>
    </w:p>
    <w:p w14:paraId="5981E6E2">
      <w:pPr>
        <w:pStyle w:val="41"/>
        <w:spacing w:line="360" w:lineRule="auto"/>
        <w:rPr>
          <w:highlight w:val="none"/>
        </w:rPr>
      </w:pPr>
      <w:r>
        <w:rPr>
          <w:rFonts w:hint="eastAsia"/>
          <w:highlight w:val="none"/>
        </w:rPr>
        <w:t>（</w:t>
      </w:r>
      <w:r>
        <w:rPr>
          <w:rFonts w:hint="eastAsia"/>
          <w:highlight w:val="none"/>
          <w:lang w:val="en-US"/>
        </w:rPr>
        <w:t>3</w:t>
      </w:r>
      <w:r>
        <w:rPr>
          <w:rFonts w:hint="eastAsia"/>
          <w:highlight w:val="none"/>
        </w:rPr>
        <w:t>）质疑事项、质疑答复的具体内容、事实依据和法律依据；</w:t>
      </w:r>
    </w:p>
    <w:p w14:paraId="55E9F9B1">
      <w:pPr>
        <w:pStyle w:val="41"/>
        <w:spacing w:line="360" w:lineRule="auto"/>
        <w:rPr>
          <w:highlight w:val="none"/>
        </w:rPr>
      </w:pPr>
      <w:r>
        <w:rPr>
          <w:rFonts w:hint="eastAsia"/>
          <w:highlight w:val="none"/>
        </w:rPr>
        <w:t>（</w:t>
      </w:r>
      <w:r>
        <w:rPr>
          <w:rFonts w:hint="eastAsia"/>
          <w:highlight w:val="none"/>
          <w:lang w:val="en-US"/>
        </w:rPr>
        <w:t>4</w:t>
      </w:r>
      <w:r>
        <w:rPr>
          <w:rFonts w:hint="eastAsia"/>
          <w:highlight w:val="none"/>
        </w:rPr>
        <w:t>）告知质疑供应商依法投诉的权利；</w:t>
      </w:r>
    </w:p>
    <w:p w14:paraId="5150D476">
      <w:pPr>
        <w:pStyle w:val="41"/>
        <w:spacing w:line="360" w:lineRule="auto"/>
        <w:rPr>
          <w:highlight w:val="none"/>
        </w:rPr>
      </w:pPr>
      <w:r>
        <w:rPr>
          <w:rFonts w:hint="eastAsia"/>
          <w:highlight w:val="none"/>
        </w:rPr>
        <w:t>（</w:t>
      </w:r>
      <w:r>
        <w:rPr>
          <w:rFonts w:hint="eastAsia"/>
          <w:highlight w:val="none"/>
          <w:lang w:val="en-US"/>
        </w:rPr>
        <w:t>5</w:t>
      </w:r>
      <w:r>
        <w:rPr>
          <w:rFonts w:hint="eastAsia"/>
          <w:highlight w:val="none"/>
        </w:rPr>
        <w:t>）质疑答复人名称；</w:t>
      </w:r>
    </w:p>
    <w:p w14:paraId="55C41FC9">
      <w:pPr>
        <w:pStyle w:val="41"/>
        <w:spacing w:line="360" w:lineRule="auto"/>
        <w:rPr>
          <w:highlight w:val="none"/>
        </w:rPr>
      </w:pPr>
      <w:r>
        <w:rPr>
          <w:rFonts w:hint="eastAsia"/>
          <w:highlight w:val="none"/>
        </w:rPr>
        <w:t>（</w:t>
      </w:r>
      <w:r>
        <w:rPr>
          <w:rFonts w:hint="eastAsia"/>
          <w:highlight w:val="none"/>
          <w:lang w:val="en-US"/>
        </w:rPr>
        <w:t>6</w:t>
      </w:r>
      <w:r>
        <w:rPr>
          <w:rFonts w:hint="eastAsia"/>
          <w:highlight w:val="none"/>
        </w:rPr>
        <w:t>）答复质疑的日期。</w:t>
      </w:r>
    </w:p>
    <w:p w14:paraId="42A6DB12">
      <w:pPr>
        <w:pStyle w:val="41"/>
        <w:spacing w:line="360" w:lineRule="auto"/>
        <w:rPr>
          <w:highlight w:val="none"/>
        </w:rPr>
      </w:pPr>
      <w:r>
        <w:rPr>
          <w:rFonts w:hint="eastAsia"/>
          <w:highlight w:val="none"/>
        </w:rPr>
        <w:t>质疑答复的内容不得涉及商业秘密。</w:t>
      </w:r>
    </w:p>
    <w:p w14:paraId="1A6339F9">
      <w:pPr>
        <w:pStyle w:val="6"/>
        <w:spacing w:line="360" w:lineRule="auto"/>
        <w:rPr>
          <w:highlight w:val="none"/>
        </w:rPr>
      </w:pPr>
      <w:r>
        <w:rPr>
          <w:rFonts w:hint="eastAsia"/>
          <w:highlight w:val="none"/>
        </w:rPr>
        <w:t>37.投诉</w:t>
      </w:r>
      <w:bookmarkEnd w:id="243"/>
      <w:bookmarkEnd w:id="244"/>
    </w:p>
    <w:p w14:paraId="7FD04A3D">
      <w:pPr>
        <w:pStyle w:val="41"/>
        <w:spacing w:line="360" w:lineRule="auto"/>
        <w:rPr>
          <w:highlight w:val="none"/>
        </w:rPr>
      </w:pPr>
      <w:r>
        <w:rPr>
          <w:rFonts w:hint="eastAsia"/>
          <w:highlight w:val="none"/>
          <w:lang w:val="en-US"/>
        </w:rPr>
        <w:t>37.1</w:t>
      </w:r>
      <w:r>
        <w:rPr>
          <w:rFonts w:hint="eastAsia"/>
          <w:highlight w:val="none"/>
        </w:rPr>
        <w:t>质疑供应商对采购人、采购代理机构的答复不满意，或者采购人、采购代理机构未在规定时间内作出答复的，可以在答复期满后15个工作日内向</w:t>
      </w:r>
      <w:r>
        <w:rPr>
          <w:rFonts w:hint="eastAsia"/>
          <w:highlight w:val="none"/>
          <w:lang w:val="en-US"/>
        </w:rPr>
        <w:t>同级政府采购监督管理部门</w:t>
      </w:r>
      <w:r>
        <w:rPr>
          <w:rFonts w:hint="eastAsia"/>
          <w:highlight w:val="none"/>
        </w:rPr>
        <w:t>提起投诉。</w:t>
      </w:r>
    </w:p>
    <w:p w14:paraId="7E8BE059">
      <w:pPr>
        <w:pStyle w:val="41"/>
        <w:spacing w:line="360" w:lineRule="auto"/>
        <w:rPr>
          <w:highlight w:val="none"/>
        </w:rPr>
      </w:pPr>
      <w:r>
        <w:rPr>
          <w:rFonts w:hint="eastAsia"/>
          <w:highlight w:val="none"/>
          <w:lang w:val="en-US"/>
        </w:rPr>
        <w:t>37.2</w:t>
      </w:r>
      <w:r>
        <w:rPr>
          <w:rFonts w:hint="eastAsia"/>
          <w:highlight w:val="none"/>
        </w:rPr>
        <w:t>投诉人投诉时，应当提交投诉书和必要的证明材料，并按照被投诉采购人、采购代理机构（以下简称被投诉人）和与投诉事项有关的供应商数量提供投诉书的副本。投诉书应当包括下列内容：</w:t>
      </w:r>
    </w:p>
    <w:p w14:paraId="1DCF0F33">
      <w:pPr>
        <w:pStyle w:val="41"/>
        <w:spacing w:line="360" w:lineRule="auto"/>
        <w:rPr>
          <w:highlight w:val="none"/>
        </w:rPr>
      </w:pPr>
      <w:r>
        <w:rPr>
          <w:rFonts w:hint="eastAsia"/>
          <w:highlight w:val="none"/>
        </w:rPr>
        <w:t>（</w:t>
      </w:r>
      <w:r>
        <w:rPr>
          <w:rFonts w:hint="eastAsia"/>
          <w:highlight w:val="none"/>
          <w:lang w:val="en-US"/>
        </w:rPr>
        <w:t>1</w:t>
      </w:r>
      <w:r>
        <w:rPr>
          <w:rFonts w:hint="eastAsia"/>
          <w:highlight w:val="none"/>
        </w:rPr>
        <w:t>）投诉人和被投诉人的姓名或者名称、通讯地址、邮编、联系人及联系电话；</w:t>
      </w:r>
    </w:p>
    <w:p w14:paraId="449BF276">
      <w:pPr>
        <w:pStyle w:val="41"/>
        <w:spacing w:line="360" w:lineRule="auto"/>
        <w:rPr>
          <w:highlight w:val="none"/>
        </w:rPr>
      </w:pPr>
      <w:r>
        <w:rPr>
          <w:rFonts w:hint="eastAsia"/>
          <w:highlight w:val="none"/>
        </w:rPr>
        <w:t>（</w:t>
      </w:r>
      <w:r>
        <w:rPr>
          <w:rFonts w:hint="eastAsia"/>
          <w:highlight w:val="none"/>
          <w:lang w:val="en-US"/>
        </w:rPr>
        <w:t>2</w:t>
      </w:r>
      <w:r>
        <w:rPr>
          <w:rFonts w:hint="eastAsia"/>
          <w:highlight w:val="none"/>
        </w:rPr>
        <w:t>）质疑和质疑答复情况说明及相关证明材料；</w:t>
      </w:r>
    </w:p>
    <w:p w14:paraId="049875FD">
      <w:pPr>
        <w:pStyle w:val="41"/>
        <w:spacing w:line="360" w:lineRule="auto"/>
        <w:rPr>
          <w:highlight w:val="none"/>
        </w:rPr>
      </w:pPr>
      <w:r>
        <w:rPr>
          <w:rFonts w:hint="eastAsia"/>
          <w:highlight w:val="none"/>
        </w:rPr>
        <w:t>（</w:t>
      </w:r>
      <w:r>
        <w:rPr>
          <w:rFonts w:hint="eastAsia"/>
          <w:highlight w:val="none"/>
          <w:lang w:val="en-US"/>
        </w:rPr>
        <w:t>3</w:t>
      </w:r>
      <w:r>
        <w:rPr>
          <w:rFonts w:hint="eastAsia"/>
          <w:highlight w:val="none"/>
        </w:rPr>
        <w:t>）具体、明确的投诉事项和与投诉事项相关的投诉请求；</w:t>
      </w:r>
    </w:p>
    <w:p w14:paraId="03D60837">
      <w:pPr>
        <w:pStyle w:val="41"/>
        <w:spacing w:line="360" w:lineRule="auto"/>
        <w:rPr>
          <w:highlight w:val="none"/>
        </w:rPr>
      </w:pPr>
      <w:r>
        <w:rPr>
          <w:rFonts w:hint="eastAsia"/>
          <w:highlight w:val="none"/>
        </w:rPr>
        <w:t>（</w:t>
      </w:r>
      <w:r>
        <w:rPr>
          <w:rFonts w:hint="eastAsia"/>
          <w:highlight w:val="none"/>
          <w:lang w:val="en-US"/>
        </w:rPr>
        <w:t>4</w:t>
      </w:r>
      <w:r>
        <w:rPr>
          <w:rFonts w:hint="eastAsia"/>
          <w:highlight w:val="none"/>
        </w:rPr>
        <w:t>）事实依据；</w:t>
      </w:r>
    </w:p>
    <w:p w14:paraId="73F04870">
      <w:pPr>
        <w:pStyle w:val="41"/>
        <w:spacing w:line="360" w:lineRule="auto"/>
        <w:rPr>
          <w:highlight w:val="none"/>
        </w:rPr>
      </w:pPr>
      <w:r>
        <w:rPr>
          <w:rFonts w:hint="eastAsia"/>
          <w:highlight w:val="none"/>
        </w:rPr>
        <w:t>（</w:t>
      </w:r>
      <w:r>
        <w:rPr>
          <w:rFonts w:hint="eastAsia"/>
          <w:highlight w:val="none"/>
          <w:lang w:val="en-US"/>
        </w:rPr>
        <w:t>5</w:t>
      </w:r>
      <w:r>
        <w:rPr>
          <w:rFonts w:hint="eastAsia"/>
          <w:highlight w:val="none"/>
        </w:rPr>
        <w:t>）法律依据；</w:t>
      </w:r>
    </w:p>
    <w:p w14:paraId="4C73F136">
      <w:pPr>
        <w:pStyle w:val="41"/>
        <w:spacing w:line="360" w:lineRule="auto"/>
        <w:rPr>
          <w:highlight w:val="none"/>
        </w:rPr>
      </w:pPr>
      <w:r>
        <w:rPr>
          <w:rFonts w:hint="eastAsia"/>
          <w:highlight w:val="none"/>
        </w:rPr>
        <w:t>（</w:t>
      </w:r>
      <w:r>
        <w:rPr>
          <w:rFonts w:hint="eastAsia"/>
          <w:highlight w:val="none"/>
          <w:lang w:val="en-US"/>
        </w:rPr>
        <w:t>6</w:t>
      </w:r>
      <w:r>
        <w:rPr>
          <w:rFonts w:hint="eastAsia"/>
          <w:highlight w:val="none"/>
        </w:rPr>
        <w:t>）提起投诉的日期。</w:t>
      </w:r>
    </w:p>
    <w:p w14:paraId="550A68B7">
      <w:pPr>
        <w:pStyle w:val="41"/>
        <w:spacing w:line="360" w:lineRule="auto"/>
        <w:rPr>
          <w:highlight w:val="none"/>
        </w:rPr>
      </w:pPr>
      <w:r>
        <w:rPr>
          <w:rFonts w:hint="eastAsia"/>
          <w:highlight w:val="none"/>
        </w:rPr>
        <w:t>投诉人为自然人的，应当由本人签字；投诉人为法人或者其他组织的，应当由法定代表人、主要负责人，或者其授权代表签字或者盖章，并加盖公章。</w:t>
      </w:r>
    </w:p>
    <w:p w14:paraId="7A7EDD48">
      <w:pPr>
        <w:pStyle w:val="41"/>
        <w:spacing w:line="360" w:lineRule="auto"/>
        <w:rPr>
          <w:highlight w:val="none"/>
        </w:rPr>
      </w:pPr>
      <w:r>
        <w:rPr>
          <w:rFonts w:hint="eastAsia"/>
          <w:highlight w:val="none"/>
          <w:lang w:val="en-US"/>
        </w:rPr>
        <w:t>37.3</w:t>
      </w:r>
      <w:r>
        <w:rPr>
          <w:rFonts w:hint="eastAsia"/>
          <w:highlight w:val="none"/>
        </w:rPr>
        <w:t>供应商</w:t>
      </w:r>
      <w:r>
        <w:rPr>
          <w:rFonts w:hint="eastAsia"/>
          <w:highlight w:val="none"/>
          <w:lang w:val="en-US"/>
        </w:rPr>
        <w:t>质疑、</w:t>
      </w:r>
      <w:r>
        <w:rPr>
          <w:rFonts w:hint="eastAsia"/>
          <w:highlight w:val="none"/>
        </w:rPr>
        <w:t>投诉</w:t>
      </w:r>
      <w:r>
        <w:rPr>
          <w:rFonts w:hint="eastAsia"/>
          <w:highlight w:val="none"/>
          <w:lang w:val="en-US"/>
        </w:rPr>
        <w:t>应当有明确的请求和必要的证明材料</w:t>
      </w:r>
      <w:r>
        <w:rPr>
          <w:rFonts w:hint="eastAsia"/>
          <w:highlight w:val="none"/>
        </w:rPr>
        <w:t>。供应商投诉的事项不得超出</w:t>
      </w:r>
      <w:r>
        <w:rPr>
          <w:rFonts w:hint="eastAsia"/>
          <w:highlight w:val="none"/>
          <w:lang w:val="en-US"/>
        </w:rPr>
        <w:t>已</w:t>
      </w:r>
      <w:r>
        <w:rPr>
          <w:rFonts w:hint="eastAsia"/>
          <w:highlight w:val="none"/>
        </w:rPr>
        <w:t>质疑事项的范围，但基于质疑答复内容提出的投诉事项除外。</w:t>
      </w:r>
    </w:p>
    <w:p w14:paraId="3D9E8D2C">
      <w:pPr>
        <w:pStyle w:val="41"/>
        <w:spacing w:line="360" w:lineRule="auto"/>
        <w:rPr>
          <w:highlight w:val="none"/>
        </w:rPr>
      </w:pPr>
      <w:r>
        <w:rPr>
          <w:rFonts w:hint="eastAsia"/>
          <w:snapToGrid w:val="0"/>
          <w:highlight w:val="none"/>
        </w:rPr>
        <w:t>37.4</w:t>
      </w:r>
      <w:r>
        <w:rPr>
          <w:rFonts w:hint="eastAsia"/>
          <w:highlight w:val="none"/>
        </w:rPr>
        <w:t>投诉书应当使用中文，并采用财政部门制定的范本。</w:t>
      </w:r>
    </w:p>
    <w:p w14:paraId="0D79CF50">
      <w:pPr>
        <w:pStyle w:val="5"/>
        <w:spacing w:line="360" w:lineRule="auto"/>
        <w:rPr>
          <w:highlight w:val="none"/>
        </w:rPr>
      </w:pPr>
      <w:bookmarkStart w:id="245" w:name="_Toc155185882"/>
      <w:bookmarkStart w:id="246" w:name="_Toc140132803"/>
      <w:bookmarkStart w:id="247" w:name="_Toc163492870"/>
      <w:r>
        <w:rPr>
          <w:rFonts w:hint="eastAsia"/>
          <w:highlight w:val="none"/>
        </w:rPr>
        <w:t>（十一）采购代理服务费</w:t>
      </w:r>
      <w:bookmarkEnd w:id="245"/>
      <w:bookmarkEnd w:id="246"/>
      <w:bookmarkEnd w:id="247"/>
    </w:p>
    <w:p w14:paraId="5C1CB55A">
      <w:pPr>
        <w:pStyle w:val="6"/>
        <w:spacing w:line="360" w:lineRule="auto"/>
        <w:rPr>
          <w:highlight w:val="none"/>
        </w:rPr>
      </w:pPr>
      <w:bookmarkStart w:id="248" w:name="_Toc140132804"/>
      <w:bookmarkStart w:id="249" w:name="_Toc163492871"/>
      <w:r>
        <w:rPr>
          <w:rFonts w:hint="eastAsia"/>
          <w:highlight w:val="none"/>
        </w:rPr>
        <w:t>38.收取方式和标准</w:t>
      </w:r>
      <w:bookmarkEnd w:id="248"/>
      <w:bookmarkEnd w:id="249"/>
    </w:p>
    <w:p w14:paraId="48E9C5F8">
      <w:pPr>
        <w:pStyle w:val="41"/>
        <w:spacing w:line="360" w:lineRule="auto"/>
        <w:rPr>
          <w:highlight w:val="none"/>
        </w:rPr>
      </w:pPr>
      <w:r>
        <w:rPr>
          <w:bCs/>
          <w:highlight w:val="none"/>
        </w:rPr>
        <w:t>3</w:t>
      </w:r>
      <w:r>
        <w:rPr>
          <w:rFonts w:hint="eastAsia"/>
          <w:bCs/>
          <w:highlight w:val="none"/>
          <w:lang w:val="en-US"/>
        </w:rPr>
        <w:t>8</w:t>
      </w:r>
      <w:r>
        <w:rPr>
          <w:rFonts w:hint="eastAsia"/>
          <w:highlight w:val="none"/>
        </w:rPr>
        <w:t>.1采购代理机构按“投标人须知前附表”规定的方式和标准收取采购代理服务费。</w:t>
      </w:r>
    </w:p>
    <w:p w14:paraId="5FAEDD25">
      <w:pPr>
        <w:pStyle w:val="5"/>
        <w:spacing w:line="360" w:lineRule="auto"/>
        <w:rPr>
          <w:highlight w:val="none"/>
        </w:rPr>
      </w:pPr>
      <w:bookmarkStart w:id="250" w:name="_Toc163492872"/>
      <w:bookmarkStart w:id="251" w:name="_Toc155185883"/>
      <w:bookmarkStart w:id="252" w:name="_Toc140132805"/>
      <w:r>
        <w:rPr>
          <w:rFonts w:hint="eastAsia"/>
          <w:highlight w:val="none"/>
        </w:rPr>
        <w:t>（十二）无效投标和废标</w:t>
      </w:r>
      <w:bookmarkEnd w:id="250"/>
      <w:bookmarkEnd w:id="251"/>
      <w:bookmarkEnd w:id="252"/>
    </w:p>
    <w:p w14:paraId="2C23C0CC">
      <w:pPr>
        <w:pStyle w:val="6"/>
        <w:spacing w:line="360" w:lineRule="auto"/>
        <w:rPr>
          <w:highlight w:val="none"/>
        </w:rPr>
      </w:pPr>
      <w:bookmarkStart w:id="253" w:name="_Toc140132806"/>
      <w:bookmarkStart w:id="254" w:name="_Toc163492873"/>
      <w:r>
        <w:rPr>
          <w:rFonts w:hint="eastAsia"/>
          <w:highlight w:val="none"/>
        </w:rPr>
        <w:t>39.无效投标</w:t>
      </w:r>
      <w:bookmarkEnd w:id="253"/>
      <w:bookmarkEnd w:id="254"/>
    </w:p>
    <w:p w14:paraId="69A4309C">
      <w:pPr>
        <w:pStyle w:val="41"/>
        <w:spacing w:line="360" w:lineRule="auto"/>
        <w:rPr>
          <w:highlight w:val="none"/>
        </w:rPr>
      </w:pPr>
      <w:r>
        <w:rPr>
          <w:rFonts w:hint="eastAsia"/>
          <w:highlight w:val="none"/>
          <w:lang w:val="en-US"/>
        </w:rPr>
        <w:t>39</w:t>
      </w:r>
      <w:r>
        <w:rPr>
          <w:rFonts w:hint="eastAsia"/>
          <w:highlight w:val="none"/>
        </w:rPr>
        <w:t>.1投标文件存在“第四章</w:t>
      </w:r>
      <w:r>
        <w:rPr>
          <w:rFonts w:hint="eastAsia"/>
          <w:highlight w:val="none"/>
          <w:lang w:val="en-US"/>
        </w:rPr>
        <w:t xml:space="preserve"> </w:t>
      </w:r>
      <w:r>
        <w:rPr>
          <w:rFonts w:hint="eastAsia"/>
          <w:highlight w:val="none"/>
        </w:rPr>
        <w:t>资格审查”、“第五章</w:t>
      </w:r>
      <w:r>
        <w:rPr>
          <w:rFonts w:hint="eastAsia"/>
          <w:highlight w:val="none"/>
          <w:lang w:val="en-US"/>
        </w:rPr>
        <w:t xml:space="preserve"> </w:t>
      </w:r>
      <w:r>
        <w:rPr>
          <w:rFonts w:hint="eastAsia"/>
          <w:highlight w:val="none"/>
        </w:rPr>
        <w:t>评标</w:t>
      </w:r>
      <w:r>
        <w:rPr>
          <w:rFonts w:hint="eastAsia"/>
          <w:highlight w:val="none"/>
          <w:lang w:val="en-US"/>
        </w:rPr>
        <w:t>方</w:t>
      </w:r>
      <w:r>
        <w:rPr>
          <w:rFonts w:hint="eastAsia"/>
          <w:highlight w:val="none"/>
        </w:rPr>
        <w:t>法及标准”</w:t>
      </w:r>
      <w:r>
        <w:rPr>
          <w:rFonts w:hint="eastAsia"/>
          <w:highlight w:val="none"/>
          <w:lang w:val="en-US"/>
        </w:rPr>
        <w:t>及本招标文件</w:t>
      </w:r>
      <w:r>
        <w:rPr>
          <w:rFonts w:hint="eastAsia"/>
          <w:highlight w:val="none"/>
        </w:rPr>
        <w:t>规定的投标无效情形的，其</w:t>
      </w:r>
      <w:r>
        <w:rPr>
          <w:rFonts w:hint="eastAsia"/>
          <w:b/>
          <w:bCs/>
          <w:highlight w:val="none"/>
        </w:rPr>
        <w:t>投标无效</w:t>
      </w:r>
      <w:r>
        <w:rPr>
          <w:rFonts w:hint="eastAsia"/>
          <w:highlight w:val="none"/>
        </w:rPr>
        <w:t>。</w:t>
      </w:r>
    </w:p>
    <w:p w14:paraId="44FAA137">
      <w:pPr>
        <w:pStyle w:val="6"/>
        <w:spacing w:line="360" w:lineRule="auto"/>
        <w:rPr>
          <w:highlight w:val="none"/>
        </w:rPr>
      </w:pPr>
      <w:bookmarkStart w:id="255" w:name="_Toc140132807"/>
      <w:bookmarkStart w:id="256" w:name="_Toc163492874"/>
      <w:r>
        <w:rPr>
          <w:rFonts w:hint="eastAsia"/>
          <w:highlight w:val="none"/>
        </w:rPr>
        <w:t>40.废标</w:t>
      </w:r>
      <w:bookmarkEnd w:id="255"/>
      <w:bookmarkEnd w:id="256"/>
    </w:p>
    <w:p w14:paraId="0415FBFD">
      <w:pPr>
        <w:pStyle w:val="41"/>
        <w:spacing w:line="360" w:lineRule="auto"/>
        <w:rPr>
          <w:highlight w:val="none"/>
        </w:rPr>
      </w:pPr>
      <w:r>
        <w:rPr>
          <w:highlight w:val="none"/>
        </w:rPr>
        <w:t>4</w:t>
      </w:r>
      <w:r>
        <w:rPr>
          <w:rFonts w:hint="eastAsia"/>
          <w:highlight w:val="none"/>
          <w:lang w:val="en-US"/>
        </w:rPr>
        <w:t>0</w:t>
      </w:r>
      <w:r>
        <w:rPr>
          <w:rFonts w:hint="eastAsia"/>
          <w:highlight w:val="none"/>
        </w:rPr>
        <w:t>.1在招标采购中出现有“第五章</w:t>
      </w:r>
      <w:r>
        <w:rPr>
          <w:rFonts w:hint="eastAsia"/>
          <w:highlight w:val="none"/>
          <w:lang w:val="en-US"/>
        </w:rPr>
        <w:t xml:space="preserve"> </w:t>
      </w:r>
      <w:r>
        <w:rPr>
          <w:rFonts w:hint="eastAsia"/>
          <w:highlight w:val="none"/>
        </w:rPr>
        <w:t>评标</w:t>
      </w:r>
      <w:r>
        <w:rPr>
          <w:rFonts w:hint="eastAsia"/>
          <w:highlight w:val="none"/>
          <w:lang w:val="en-US"/>
        </w:rPr>
        <w:t>方</w:t>
      </w:r>
      <w:r>
        <w:rPr>
          <w:rFonts w:hint="eastAsia"/>
          <w:highlight w:val="none"/>
        </w:rPr>
        <w:t>法及标准”</w:t>
      </w:r>
      <w:r>
        <w:rPr>
          <w:rFonts w:hint="eastAsia"/>
          <w:highlight w:val="none"/>
          <w:lang w:val="en-US"/>
        </w:rPr>
        <w:t>及本招标文件</w:t>
      </w:r>
      <w:r>
        <w:rPr>
          <w:rFonts w:hint="eastAsia"/>
          <w:highlight w:val="none"/>
        </w:rPr>
        <w:t>规定的废标情形的，应予以</w:t>
      </w:r>
      <w:r>
        <w:rPr>
          <w:rFonts w:hint="eastAsia"/>
          <w:b/>
          <w:bCs/>
          <w:highlight w:val="none"/>
        </w:rPr>
        <w:t>废标</w:t>
      </w:r>
      <w:r>
        <w:rPr>
          <w:rFonts w:hint="eastAsia"/>
          <w:highlight w:val="none"/>
        </w:rPr>
        <w:t>。</w:t>
      </w:r>
    </w:p>
    <w:p w14:paraId="25A4D910">
      <w:pPr>
        <w:pStyle w:val="5"/>
        <w:spacing w:line="360" w:lineRule="auto"/>
        <w:rPr>
          <w:highlight w:val="none"/>
        </w:rPr>
      </w:pPr>
      <w:bookmarkStart w:id="257" w:name="_Toc140132766"/>
      <w:bookmarkStart w:id="258" w:name="_Toc163492875"/>
      <w:bookmarkStart w:id="259" w:name="_Toc140132808"/>
      <w:bookmarkStart w:id="260" w:name="_Toc155185884"/>
      <w:r>
        <w:rPr>
          <w:rFonts w:hint="eastAsia"/>
          <w:highlight w:val="none"/>
        </w:rPr>
        <w:t>（十三）落实政府采购政策</w:t>
      </w:r>
      <w:bookmarkEnd w:id="257"/>
      <w:bookmarkEnd w:id="258"/>
      <w:r>
        <w:rPr>
          <w:rFonts w:hint="eastAsia"/>
          <w:highlight w:val="none"/>
        </w:rPr>
        <w:t>（包括但不限于下列具体政策要求）</w:t>
      </w:r>
    </w:p>
    <w:p w14:paraId="112A023D">
      <w:pPr>
        <w:pStyle w:val="6"/>
        <w:spacing w:line="360" w:lineRule="auto"/>
        <w:rPr>
          <w:highlight w:val="none"/>
        </w:rPr>
      </w:pPr>
      <w:bookmarkStart w:id="261" w:name="_Toc163492876"/>
      <w:r>
        <w:rPr>
          <w:rFonts w:hint="eastAsia"/>
          <w:highlight w:val="none"/>
        </w:rPr>
        <w:t>41.本国产品和进口产品</w:t>
      </w:r>
      <w:bookmarkEnd w:id="261"/>
    </w:p>
    <w:p w14:paraId="0583D638">
      <w:pPr>
        <w:pStyle w:val="41"/>
        <w:spacing w:line="360" w:lineRule="auto"/>
        <w:rPr>
          <w:snapToGrid w:val="0"/>
          <w:highlight w:val="none"/>
        </w:rPr>
      </w:pPr>
      <w:r>
        <w:rPr>
          <w:rFonts w:hint="eastAsia"/>
          <w:snapToGrid w:val="0"/>
          <w:highlight w:val="none"/>
        </w:rPr>
        <w:t>41.1本国产品标准及支持政策</w:t>
      </w:r>
    </w:p>
    <w:p w14:paraId="5A9C2DA6">
      <w:pPr>
        <w:pStyle w:val="41"/>
        <w:spacing w:line="360" w:lineRule="auto"/>
        <w:rPr>
          <w:snapToGrid w:val="0"/>
          <w:highlight w:val="none"/>
        </w:rPr>
      </w:pPr>
      <w:r>
        <w:rPr>
          <w:rFonts w:hint="eastAsia"/>
          <w:snapToGrid w:val="0"/>
          <w:highlight w:val="none"/>
        </w:rPr>
        <w:t>41.1.1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14:paraId="5FDA9709">
      <w:pPr>
        <w:pStyle w:val="41"/>
        <w:spacing w:line="360" w:lineRule="auto"/>
        <w:rPr>
          <w:snapToGrid w:val="0"/>
          <w:highlight w:val="none"/>
        </w:rPr>
      </w:pPr>
      <w:r>
        <w:rPr>
          <w:rFonts w:hint="eastAsia"/>
          <w:snapToGrid w:val="0"/>
          <w:highlight w:val="none"/>
        </w:rPr>
        <w:t>41.1.2产品在境内生产的组件成本应达到财政部会同相关部门确定的总成本规定比例(具体产品目录及比例标准按国家后续发布的规定执行)。在分产品目录及比例标准正式实施前的过渡期内，符合境内生产条件的产品，可视同本国产品。</w:t>
      </w:r>
    </w:p>
    <w:p w14:paraId="1E5094EC">
      <w:pPr>
        <w:pStyle w:val="41"/>
        <w:spacing w:line="360" w:lineRule="auto"/>
        <w:rPr>
          <w:snapToGrid w:val="0"/>
          <w:highlight w:val="none"/>
        </w:rPr>
      </w:pPr>
      <w:r>
        <w:rPr>
          <w:rFonts w:hint="eastAsia"/>
          <w:snapToGrid w:val="0"/>
          <w:highlight w:val="none"/>
        </w:rPr>
        <w:t>41.1.3对国家相关部门后续发布的特定产品清单内的产品，除满足上述条件外，还需同时满足关键组件境内生产、关键工序境内完成等特定要求。</w:t>
      </w:r>
    </w:p>
    <w:p w14:paraId="78EBDC83">
      <w:pPr>
        <w:pStyle w:val="41"/>
        <w:spacing w:line="360" w:lineRule="auto"/>
        <w:rPr>
          <w:snapToGrid w:val="0"/>
          <w:highlight w:val="none"/>
        </w:rPr>
      </w:pPr>
      <w:r>
        <w:rPr>
          <w:rFonts w:hint="eastAsia"/>
          <w:snapToGrid w:val="0"/>
          <w:highlight w:val="none"/>
        </w:rPr>
        <w:t>41.1.4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5108E91">
      <w:pPr>
        <w:pStyle w:val="41"/>
        <w:spacing w:line="360" w:lineRule="auto"/>
        <w:rPr>
          <w:snapToGrid w:val="0"/>
          <w:highlight w:val="none"/>
        </w:rPr>
      </w:pPr>
      <w:r>
        <w:rPr>
          <w:rFonts w:hint="eastAsia"/>
          <w:snapToGrid w:val="0"/>
          <w:highlight w:val="none"/>
        </w:rPr>
        <w:t>41.1.5供应商对其提供的产品出具《关于符合本国产品标准的声明函》（样式见附件1，以下简称《声明函》）或财政部会同有关部门规定的有关证明文件。出具符合要求的《声明函》或有关证明文件的，该产品视为本国产品。</w:t>
      </w:r>
    </w:p>
    <w:p w14:paraId="37A3FF3F">
      <w:pPr>
        <w:pStyle w:val="41"/>
        <w:spacing w:line="360" w:lineRule="auto"/>
        <w:rPr>
          <w:snapToGrid w:val="0"/>
          <w:highlight w:val="none"/>
        </w:rPr>
      </w:pPr>
      <w:r>
        <w:rPr>
          <w:rFonts w:hint="eastAsia"/>
          <w:snapToGrid w:val="0"/>
          <w:highlight w:val="none"/>
        </w:rPr>
        <w:t>医疗器械产品，取得药品监督管理部门授予的准字号医疗器械注册证的，视为符合本国产品标准。</w:t>
      </w:r>
    </w:p>
    <w:p w14:paraId="12D11783">
      <w:pPr>
        <w:pStyle w:val="41"/>
        <w:spacing w:line="360" w:lineRule="auto"/>
        <w:rPr>
          <w:snapToGrid w:val="0"/>
          <w:highlight w:val="none"/>
        </w:rPr>
      </w:pPr>
      <w:r>
        <w:rPr>
          <w:rFonts w:hint="eastAsia"/>
          <w:snapToGrid w:val="0"/>
          <w:highlight w:val="none"/>
        </w:rPr>
        <w:t>41.1.6采购标的仅包含单一产品时，政府采购活动中既有本国产品又有非本国产品参与竞争的，供应商对其提供的产品出具《关于符合本国产品标准的声明函》，依法对本国产品给予价格评审优惠，对本国产品的报价给予20%的价格扣除，用扣除后的价格参与评审。</w:t>
      </w:r>
    </w:p>
    <w:p w14:paraId="4636BAB2">
      <w:pPr>
        <w:pStyle w:val="41"/>
        <w:spacing w:line="360" w:lineRule="auto"/>
        <w:rPr>
          <w:snapToGrid w:val="0"/>
          <w:highlight w:val="none"/>
        </w:rPr>
      </w:pPr>
      <w:r>
        <w:rPr>
          <w:rFonts w:hint="eastAsia"/>
          <w:snapToGrid w:val="0"/>
          <w:highlight w:val="none"/>
        </w:rPr>
        <w:t>41.1.7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28828564">
      <w:pPr>
        <w:pStyle w:val="41"/>
        <w:spacing w:line="360" w:lineRule="auto"/>
        <w:rPr>
          <w:snapToGrid w:val="0"/>
          <w:highlight w:val="none"/>
        </w:rPr>
      </w:pPr>
      <w:r>
        <w:rPr>
          <w:rFonts w:hint="eastAsia"/>
          <w:snapToGrid w:val="0"/>
          <w:highlight w:val="none"/>
        </w:rPr>
        <w:t>41.1.8对于仅有本国产品参与竞争的政府采购项目，本国产品不享受价格扣除评审优惠。</w:t>
      </w:r>
    </w:p>
    <w:p w14:paraId="0C39ABBC">
      <w:pPr>
        <w:pStyle w:val="41"/>
        <w:spacing w:line="360" w:lineRule="auto"/>
        <w:rPr>
          <w:snapToGrid w:val="0"/>
          <w:highlight w:val="none"/>
        </w:rPr>
      </w:pPr>
      <w:r>
        <w:rPr>
          <w:rFonts w:hint="eastAsia"/>
          <w:snapToGrid w:val="0"/>
          <w:highlight w:val="none"/>
        </w:rPr>
        <w:t>41.2进口产品</w:t>
      </w:r>
    </w:p>
    <w:p w14:paraId="39E696FC">
      <w:pPr>
        <w:pStyle w:val="41"/>
        <w:spacing w:line="360" w:lineRule="auto"/>
        <w:rPr>
          <w:snapToGrid w:val="0"/>
          <w:highlight w:val="none"/>
        </w:rPr>
      </w:pPr>
      <w:r>
        <w:rPr>
          <w:rFonts w:hint="eastAsia"/>
          <w:snapToGrid w:val="0"/>
          <w:highlight w:val="none"/>
        </w:rPr>
        <w:t>41.2.1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三章 采购需求”。</w:t>
      </w:r>
    </w:p>
    <w:p w14:paraId="34F290E5">
      <w:pPr>
        <w:pStyle w:val="41"/>
        <w:spacing w:line="360" w:lineRule="auto"/>
        <w:rPr>
          <w:snapToGrid w:val="0"/>
          <w:highlight w:val="none"/>
        </w:rPr>
      </w:pPr>
      <w:r>
        <w:rPr>
          <w:snapToGrid w:val="0"/>
          <w:highlight w:val="none"/>
        </w:rPr>
        <w:t>4</w:t>
      </w:r>
      <w:r>
        <w:rPr>
          <w:rFonts w:hint="eastAsia"/>
          <w:snapToGrid w:val="0"/>
          <w:highlight w:val="none"/>
        </w:rPr>
        <w:t xml:space="preserve">1.2.2进口产品指通过中国海关报关验放进入中国境内且产自关境外的产品，包括已经进入中国境内的进口产品。 </w:t>
      </w:r>
    </w:p>
    <w:p w14:paraId="6F9C808C">
      <w:pPr>
        <w:pStyle w:val="41"/>
        <w:spacing w:line="360" w:lineRule="auto"/>
        <w:rPr>
          <w:snapToGrid w:val="0"/>
          <w:highlight w:val="none"/>
        </w:rPr>
      </w:pPr>
      <w:r>
        <w:rPr>
          <w:snapToGrid w:val="0"/>
          <w:highlight w:val="none"/>
        </w:rPr>
        <w:t>4</w:t>
      </w:r>
      <w:r>
        <w:rPr>
          <w:rFonts w:hint="eastAsia"/>
          <w:snapToGrid w:val="0"/>
          <w:highlight w:val="none"/>
        </w:rPr>
        <w:t>1.2.3若采购需求中写明允许采购进口产品，投标人应保证所投产品可履行合法报通关手续进入中国关境内。</w:t>
      </w:r>
    </w:p>
    <w:p w14:paraId="34AB10F4">
      <w:pPr>
        <w:pStyle w:val="41"/>
        <w:spacing w:line="360" w:lineRule="auto"/>
        <w:rPr>
          <w:snapToGrid w:val="0"/>
          <w:highlight w:val="none"/>
        </w:rPr>
      </w:pPr>
      <w:r>
        <w:rPr>
          <w:snapToGrid w:val="0"/>
          <w:highlight w:val="none"/>
        </w:rPr>
        <w:t>4</w:t>
      </w:r>
      <w:r>
        <w:rPr>
          <w:rFonts w:hint="eastAsia"/>
          <w:snapToGrid w:val="0"/>
          <w:highlight w:val="none"/>
        </w:rPr>
        <w:t>1.2.4若采购需求中未写明允许采购进口产品，如投标人所投产品为进口产品，其投标将被认定为</w:t>
      </w:r>
      <w:r>
        <w:rPr>
          <w:rFonts w:hint="eastAsia"/>
          <w:b/>
          <w:bCs/>
          <w:snapToGrid w:val="0"/>
          <w:highlight w:val="none"/>
        </w:rPr>
        <w:t>投标无效</w:t>
      </w:r>
      <w:r>
        <w:rPr>
          <w:rFonts w:hint="eastAsia"/>
          <w:snapToGrid w:val="0"/>
          <w:highlight w:val="none"/>
        </w:rPr>
        <w:t>。</w:t>
      </w:r>
    </w:p>
    <w:p w14:paraId="6F161415">
      <w:pPr>
        <w:pStyle w:val="6"/>
        <w:spacing w:line="360" w:lineRule="auto"/>
        <w:rPr>
          <w:highlight w:val="none"/>
        </w:rPr>
      </w:pPr>
      <w:bookmarkStart w:id="262" w:name="_Toc163492877"/>
      <w:r>
        <w:rPr>
          <w:rFonts w:hint="eastAsia"/>
          <w:highlight w:val="none"/>
        </w:rPr>
        <w:t>42.中小企业、监狱企业及残疾人福利性单位</w:t>
      </w:r>
      <w:bookmarkEnd w:id="262"/>
    </w:p>
    <w:p w14:paraId="27EA1CEF">
      <w:pPr>
        <w:pStyle w:val="41"/>
        <w:spacing w:line="360" w:lineRule="auto"/>
        <w:rPr>
          <w:snapToGrid w:val="0"/>
          <w:highlight w:val="none"/>
        </w:rPr>
      </w:pPr>
      <w:r>
        <w:rPr>
          <w:rFonts w:hint="eastAsia"/>
          <w:snapToGrid w:val="0"/>
          <w:highlight w:val="none"/>
        </w:rPr>
        <w:t>42.1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snapToGrid w:val="0"/>
          <w:highlight w:val="none"/>
        </w:rPr>
        <w:t>2022</w:t>
      </w:r>
      <w:r>
        <w:rPr>
          <w:rFonts w:hint="eastAsia"/>
          <w:snapToGrid w:val="0"/>
          <w:highlight w:val="none"/>
        </w:rPr>
        <w:t>〕</w:t>
      </w:r>
      <w:r>
        <w:rPr>
          <w:snapToGrid w:val="0"/>
          <w:highlight w:val="none"/>
        </w:rPr>
        <w:t xml:space="preserve">19 </w:t>
      </w:r>
      <w:r>
        <w:rPr>
          <w:rFonts w:hint="eastAsia"/>
          <w:snapToGrid w:val="0"/>
          <w:highlight w:val="none"/>
        </w:rPr>
        <w:t>号）、《政府采购促进中小企业发展管理办法》（财库〔</w:t>
      </w:r>
      <w:r>
        <w:rPr>
          <w:snapToGrid w:val="0"/>
          <w:highlight w:val="none"/>
        </w:rPr>
        <w:t>2020</w:t>
      </w:r>
      <w:r>
        <w:rPr>
          <w:rFonts w:hint="eastAsia"/>
          <w:snapToGrid w:val="0"/>
          <w:highlight w:val="none"/>
        </w:rPr>
        <w:t>〕</w:t>
      </w:r>
      <w:r>
        <w:rPr>
          <w:snapToGrid w:val="0"/>
          <w:highlight w:val="none"/>
        </w:rPr>
        <w:t xml:space="preserve">46 </w:t>
      </w:r>
      <w:r>
        <w:rPr>
          <w:rFonts w:hint="eastAsia"/>
          <w:snapToGrid w:val="0"/>
          <w:highlight w:val="none"/>
        </w:rPr>
        <w:t>号）、《关于印发中小企业划型标准规定的通知》（工信部联企业〔</w:t>
      </w:r>
      <w:r>
        <w:rPr>
          <w:snapToGrid w:val="0"/>
          <w:highlight w:val="none"/>
        </w:rPr>
        <w:t>2011</w:t>
      </w:r>
      <w:r>
        <w:rPr>
          <w:rFonts w:hint="eastAsia"/>
          <w:snapToGrid w:val="0"/>
          <w:highlight w:val="none"/>
        </w:rPr>
        <w:t>〕</w:t>
      </w:r>
      <w:r>
        <w:rPr>
          <w:snapToGrid w:val="0"/>
          <w:highlight w:val="none"/>
        </w:rPr>
        <w:t xml:space="preserve">300 </w:t>
      </w:r>
      <w:r>
        <w:rPr>
          <w:rFonts w:hint="eastAsia"/>
          <w:snapToGrid w:val="0"/>
          <w:highlight w:val="none"/>
        </w:rPr>
        <w:t xml:space="preserve">号）、《金融业企业划型标准规定》（〔2015〕309 号）等国务院批准的中小企业划分标准执行。 </w:t>
      </w:r>
    </w:p>
    <w:p w14:paraId="6E322815">
      <w:pPr>
        <w:pStyle w:val="41"/>
        <w:spacing w:line="360" w:lineRule="auto"/>
        <w:rPr>
          <w:snapToGrid w:val="0"/>
          <w:highlight w:val="none"/>
        </w:rPr>
      </w:pPr>
      <w:r>
        <w:rPr>
          <w:rFonts w:hint="eastAsia"/>
          <w:snapToGrid w:val="0"/>
          <w:highlight w:val="none"/>
          <w:lang w:val="en-US"/>
        </w:rPr>
        <w:t>42</w:t>
      </w:r>
      <w:r>
        <w:rPr>
          <w:rFonts w:hint="eastAsia"/>
          <w:snapToGrid w:val="0"/>
          <w:highlight w:val="none"/>
        </w:rPr>
        <w:t>.</w:t>
      </w:r>
      <w:r>
        <w:rPr>
          <w:rFonts w:hint="eastAsia"/>
          <w:snapToGrid w:val="0"/>
          <w:highlight w:val="none"/>
          <w:lang w:val="en-US"/>
        </w:rPr>
        <w:t>2</w:t>
      </w:r>
      <w:r>
        <w:rPr>
          <w:rFonts w:hint="eastAsia"/>
          <w:snapToGrid w:val="0"/>
          <w:highlight w:val="none"/>
        </w:rPr>
        <w:t>为促进中小企业发展，依据《关于印发〈政府采购促进中小企业发展管理办法&gt;的通知》（财库〔2020〕46号）、《财政部 司法部关于政府采购支持监狱企业发展有关问题的通知》（财库〔2014〕68号）、《关于促进残疾人就业政府采购政策的通知》（财库〔2017〕141号）的规定，本项目供应商如需享受中小企业相关政策的，且符合上述文件规定的，应按本</w:t>
      </w:r>
      <w:r>
        <w:rPr>
          <w:rFonts w:hint="eastAsia"/>
          <w:snapToGrid w:val="0"/>
          <w:highlight w:val="none"/>
          <w:lang w:val="en-US"/>
        </w:rPr>
        <w:t>招标</w:t>
      </w:r>
      <w:r>
        <w:rPr>
          <w:rFonts w:hint="eastAsia"/>
          <w:snapToGrid w:val="0"/>
          <w:highlight w:val="none"/>
        </w:rPr>
        <w:t>文件规定格式提供“中小企业声明函”</w:t>
      </w:r>
      <w:r>
        <w:rPr>
          <w:rFonts w:hint="eastAsia"/>
          <w:snapToGrid w:val="0"/>
          <w:highlight w:val="none"/>
          <w:lang w:val="en-US"/>
        </w:rPr>
        <w:t>或“</w:t>
      </w:r>
      <w:r>
        <w:rPr>
          <w:rFonts w:hint="eastAsia"/>
          <w:snapToGrid w:val="0"/>
          <w:highlight w:val="none"/>
        </w:rPr>
        <w:t>监狱企业证明文件”</w:t>
      </w:r>
      <w:r>
        <w:rPr>
          <w:rFonts w:hint="eastAsia"/>
          <w:snapToGrid w:val="0"/>
          <w:highlight w:val="none"/>
          <w:lang w:val="en-US"/>
        </w:rPr>
        <w:t>或</w:t>
      </w:r>
      <w:r>
        <w:rPr>
          <w:rFonts w:hint="eastAsia"/>
          <w:snapToGrid w:val="0"/>
          <w:highlight w:val="none"/>
        </w:rPr>
        <w:t>“残疾人福利性单位声明函”，评审时，</w:t>
      </w:r>
      <w:r>
        <w:rPr>
          <w:rFonts w:hint="eastAsia"/>
          <w:snapToGrid w:val="0"/>
          <w:highlight w:val="none"/>
          <w:lang w:val="en-US"/>
        </w:rPr>
        <w:t>评标委员会</w:t>
      </w:r>
      <w:r>
        <w:rPr>
          <w:rFonts w:hint="eastAsia"/>
          <w:snapToGrid w:val="0"/>
          <w:highlight w:val="none"/>
        </w:rPr>
        <w:t>将依据本</w:t>
      </w:r>
      <w:r>
        <w:rPr>
          <w:rFonts w:hint="eastAsia"/>
          <w:snapToGrid w:val="0"/>
          <w:highlight w:val="none"/>
          <w:lang w:val="en-US"/>
        </w:rPr>
        <w:t>招标</w:t>
      </w:r>
      <w:r>
        <w:rPr>
          <w:rFonts w:hint="eastAsia"/>
          <w:snapToGrid w:val="0"/>
          <w:highlight w:val="none"/>
        </w:rPr>
        <w:t>文件“</w:t>
      </w:r>
      <w:r>
        <w:rPr>
          <w:rFonts w:hint="eastAsia"/>
          <w:snapToGrid w:val="0"/>
          <w:highlight w:val="none"/>
          <w:lang w:val="en-US"/>
        </w:rPr>
        <w:t>投标人</w:t>
      </w:r>
      <w:r>
        <w:rPr>
          <w:rFonts w:hint="eastAsia"/>
          <w:snapToGrid w:val="0"/>
          <w:highlight w:val="none"/>
        </w:rPr>
        <w:t>须知前附表”规定的报价扣除比例，对供应商报价进行价格扣除，用扣除后的价格参与评审；</w:t>
      </w:r>
      <w:r>
        <w:rPr>
          <w:rFonts w:hint="eastAsia"/>
          <w:snapToGrid w:val="0"/>
          <w:highlight w:val="none"/>
          <w:lang w:val="en-US"/>
        </w:rPr>
        <w:t>招标</w:t>
      </w:r>
      <w:r>
        <w:rPr>
          <w:rFonts w:hint="eastAsia"/>
          <w:snapToGrid w:val="0"/>
          <w:highlight w:val="none"/>
        </w:rPr>
        <w:t>公告中明确项目专门面向中小企业采购的，“中小企业声明函”为资格要求文件，供应商参与</w:t>
      </w:r>
      <w:r>
        <w:rPr>
          <w:rFonts w:hint="eastAsia"/>
          <w:snapToGrid w:val="0"/>
          <w:highlight w:val="none"/>
          <w:lang w:val="en-US"/>
        </w:rPr>
        <w:t>投标</w:t>
      </w:r>
      <w:r>
        <w:rPr>
          <w:rFonts w:hint="eastAsia"/>
          <w:snapToGrid w:val="0"/>
          <w:highlight w:val="none"/>
        </w:rPr>
        <w:t>须按本</w:t>
      </w:r>
      <w:r>
        <w:rPr>
          <w:rFonts w:hint="eastAsia"/>
          <w:snapToGrid w:val="0"/>
          <w:highlight w:val="none"/>
          <w:lang w:val="en-US"/>
        </w:rPr>
        <w:t>招标</w:t>
      </w:r>
      <w:r>
        <w:rPr>
          <w:rFonts w:hint="eastAsia"/>
          <w:snapToGrid w:val="0"/>
          <w:highlight w:val="none"/>
        </w:rPr>
        <w:t>文件规定格式提供“中小企业声明函”</w:t>
      </w:r>
      <w:r>
        <w:rPr>
          <w:rFonts w:hint="eastAsia"/>
          <w:snapToGrid w:val="0"/>
          <w:highlight w:val="none"/>
          <w:lang w:val="en-US"/>
        </w:rPr>
        <w:t>或“</w:t>
      </w:r>
      <w:r>
        <w:rPr>
          <w:rFonts w:hint="eastAsia"/>
          <w:snapToGrid w:val="0"/>
          <w:highlight w:val="none"/>
        </w:rPr>
        <w:t>监狱企业证明文件”</w:t>
      </w:r>
      <w:r>
        <w:rPr>
          <w:rFonts w:hint="eastAsia"/>
          <w:snapToGrid w:val="0"/>
          <w:highlight w:val="none"/>
          <w:lang w:val="en-US"/>
        </w:rPr>
        <w:t>或</w:t>
      </w:r>
      <w:r>
        <w:rPr>
          <w:rFonts w:hint="eastAsia"/>
          <w:snapToGrid w:val="0"/>
          <w:highlight w:val="none"/>
        </w:rPr>
        <w:t>“残疾人福利性单位声明函”等作为资格证明文件。</w:t>
      </w:r>
      <w:r>
        <w:rPr>
          <w:rFonts w:hint="eastAsia"/>
          <w:snapToGrid w:val="0"/>
          <w:highlight w:val="none"/>
          <w:lang w:val="en-US"/>
        </w:rPr>
        <w:t xml:space="preserve"> </w:t>
      </w:r>
    </w:p>
    <w:p w14:paraId="728C45DD">
      <w:pPr>
        <w:pStyle w:val="41"/>
        <w:spacing w:line="360" w:lineRule="auto"/>
        <w:rPr>
          <w:snapToGrid w:val="0"/>
          <w:highlight w:val="none"/>
        </w:rPr>
      </w:pPr>
      <w:r>
        <w:rPr>
          <w:rFonts w:hint="eastAsia"/>
          <w:snapToGrid w:val="0"/>
          <w:highlight w:val="none"/>
        </w:rPr>
        <w:t>42</w:t>
      </w:r>
      <w:r>
        <w:rPr>
          <w:snapToGrid w:val="0"/>
          <w:highlight w:val="none"/>
        </w:rPr>
        <w:t>.</w:t>
      </w:r>
      <w:r>
        <w:rPr>
          <w:rFonts w:hint="eastAsia"/>
          <w:snapToGrid w:val="0"/>
          <w:highlight w:val="none"/>
        </w:rPr>
        <w:t>3</w:t>
      </w:r>
      <w:r>
        <w:rPr>
          <w:snapToGrid w:val="0"/>
          <w:highlight w:val="none"/>
        </w:rPr>
        <w:t xml:space="preserve"> </w:t>
      </w:r>
      <w:r>
        <w:rPr>
          <w:rFonts w:hint="eastAsia"/>
          <w:snapToGrid w:val="0"/>
          <w:highlight w:val="none"/>
        </w:rPr>
        <w:t xml:space="preserve">投标人提供的货物、工程或者服务符合下列情形的，享受中小企业扶持政策： </w:t>
      </w:r>
    </w:p>
    <w:p w14:paraId="0D386BAB">
      <w:pPr>
        <w:pStyle w:val="41"/>
        <w:spacing w:line="360" w:lineRule="auto"/>
        <w:rPr>
          <w:snapToGrid w:val="0"/>
          <w:highlight w:val="none"/>
        </w:rPr>
      </w:pPr>
      <w:r>
        <w:rPr>
          <w:rFonts w:hint="eastAsia"/>
          <w:snapToGrid w:val="0"/>
          <w:highlight w:val="none"/>
        </w:rPr>
        <w:t>（</w:t>
      </w:r>
      <w:r>
        <w:rPr>
          <w:snapToGrid w:val="0"/>
          <w:highlight w:val="none"/>
        </w:rPr>
        <w:t>1</w:t>
      </w:r>
      <w:r>
        <w:rPr>
          <w:rFonts w:hint="eastAsia"/>
          <w:snapToGrid w:val="0"/>
          <w:highlight w:val="none"/>
        </w:rPr>
        <w:t xml:space="preserve">）在货物采购项目中，货物由中小企业制造，即货物由中小企业生产且使用该中小企业商号或者注册商标； </w:t>
      </w:r>
    </w:p>
    <w:p w14:paraId="0931342C">
      <w:pPr>
        <w:pStyle w:val="41"/>
        <w:spacing w:line="360" w:lineRule="auto"/>
        <w:rPr>
          <w:snapToGrid w:val="0"/>
          <w:highlight w:val="none"/>
        </w:rPr>
      </w:pPr>
      <w:r>
        <w:rPr>
          <w:rFonts w:hint="eastAsia"/>
          <w:snapToGrid w:val="0"/>
          <w:highlight w:val="none"/>
        </w:rPr>
        <w:t>（</w:t>
      </w:r>
      <w:r>
        <w:rPr>
          <w:snapToGrid w:val="0"/>
          <w:highlight w:val="none"/>
        </w:rPr>
        <w:t>2</w:t>
      </w:r>
      <w:r>
        <w:rPr>
          <w:rFonts w:hint="eastAsia"/>
          <w:snapToGrid w:val="0"/>
          <w:highlight w:val="none"/>
        </w:rPr>
        <w:t xml:space="preserve">）在工程采购项目中，工程由中小企业承建，即工程施工单位为中小企业； </w:t>
      </w:r>
    </w:p>
    <w:p w14:paraId="6E11523B">
      <w:pPr>
        <w:pStyle w:val="41"/>
        <w:spacing w:line="360" w:lineRule="auto"/>
        <w:rPr>
          <w:snapToGrid w:val="0"/>
          <w:highlight w:val="none"/>
        </w:rPr>
      </w:pPr>
      <w:r>
        <w:rPr>
          <w:rFonts w:hint="eastAsia"/>
          <w:snapToGrid w:val="0"/>
          <w:highlight w:val="none"/>
        </w:rPr>
        <w:t>（</w:t>
      </w:r>
      <w:r>
        <w:rPr>
          <w:snapToGrid w:val="0"/>
          <w:highlight w:val="none"/>
        </w:rPr>
        <w:t>3</w:t>
      </w:r>
      <w:r>
        <w:rPr>
          <w:rFonts w:hint="eastAsia"/>
          <w:snapToGrid w:val="0"/>
          <w:highlight w:val="none"/>
        </w:rPr>
        <w:t>）在服务采购项目中，服务由中小企业承接，即提供服务的人员为中小企业依照《中华人民共和国劳动合同法》订立劳动合同的从业人员。</w:t>
      </w:r>
    </w:p>
    <w:p w14:paraId="23F66ED5">
      <w:pPr>
        <w:pStyle w:val="41"/>
        <w:spacing w:line="360" w:lineRule="auto"/>
        <w:rPr>
          <w:snapToGrid w:val="0"/>
          <w:highlight w:val="none"/>
        </w:rPr>
      </w:pPr>
      <w:r>
        <w:rPr>
          <w:rFonts w:hint="eastAsia"/>
          <w:snapToGrid w:val="0"/>
          <w:highlight w:val="none"/>
        </w:rPr>
        <w:t>42</w:t>
      </w:r>
      <w:r>
        <w:rPr>
          <w:snapToGrid w:val="0"/>
          <w:highlight w:val="none"/>
        </w:rPr>
        <w:t>.</w:t>
      </w:r>
      <w:r>
        <w:rPr>
          <w:rFonts w:hint="eastAsia"/>
          <w:snapToGrid w:val="0"/>
          <w:highlight w:val="none"/>
        </w:rPr>
        <w:t>4</w:t>
      </w:r>
      <w:r>
        <w:rPr>
          <w:snapToGrid w:val="0"/>
          <w:highlight w:val="none"/>
        </w:rPr>
        <w:t xml:space="preserve"> </w:t>
      </w:r>
      <w:r>
        <w:rPr>
          <w:rFonts w:hint="eastAsia"/>
          <w:snapToGrid w:val="0"/>
          <w:highlight w:val="none"/>
        </w:rPr>
        <w:t xml:space="preserve">在货物采购项目中，投标人提供的货物既有中小企业制造货物，也有大型企业制造货物的，不享受中小企业扶持政策。 </w:t>
      </w:r>
    </w:p>
    <w:p w14:paraId="21CC3038">
      <w:pPr>
        <w:pStyle w:val="41"/>
        <w:spacing w:line="360" w:lineRule="auto"/>
        <w:rPr>
          <w:snapToGrid w:val="0"/>
          <w:highlight w:val="none"/>
        </w:rPr>
      </w:pPr>
      <w:r>
        <w:rPr>
          <w:rFonts w:hint="eastAsia"/>
          <w:snapToGrid w:val="0"/>
          <w:highlight w:val="none"/>
        </w:rPr>
        <w:t>42</w:t>
      </w:r>
      <w:r>
        <w:rPr>
          <w:snapToGrid w:val="0"/>
          <w:highlight w:val="none"/>
        </w:rPr>
        <w:t>.</w:t>
      </w:r>
      <w:r>
        <w:rPr>
          <w:rFonts w:hint="eastAsia"/>
          <w:snapToGrid w:val="0"/>
          <w:highlight w:val="none"/>
        </w:rPr>
        <w:t>5</w:t>
      </w:r>
      <w:r>
        <w:rPr>
          <w:snapToGrid w:val="0"/>
          <w:highlight w:val="none"/>
        </w:rPr>
        <w:t xml:space="preserve"> </w:t>
      </w:r>
      <w:r>
        <w:rPr>
          <w:rFonts w:hint="eastAsia"/>
          <w:snapToGrid w:val="0"/>
          <w:highlight w:val="none"/>
        </w:rPr>
        <w:t>以联合体形式参加政府采购活动，联合体各方均为中小企业的，联合体视同中小企业。其中，联合体各方均为小微企业的，联合体视同小微企业。</w:t>
      </w:r>
    </w:p>
    <w:p w14:paraId="2DC74897">
      <w:pPr>
        <w:pStyle w:val="41"/>
        <w:spacing w:line="360" w:lineRule="auto"/>
        <w:rPr>
          <w:snapToGrid w:val="0"/>
          <w:highlight w:val="none"/>
        </w:rPr>
      </w:pPr>
      <w:r>
        <w:rPr>
          <w:rFonts w:hint="eastAsia"/>
          <w:snapToGrid w:val="0"/>
          <w:highlight w:val="none"/>
        </w:rPr>
        <w:t>42</w:t>
      </w:r>
      <w:r>
        <w:rPr>
          <w:snapToGrid w:val="0"/>
          <w:highlight w:val="none"/>
        </w:rPr>
        <w:t>.</w:t>
      </w:r>
      <w:r>
        <w:rPr>
          <w:rFonts w:hint="eastAsia"/>
          <w:snapToGrid w:val="0"/>
          <w:highlight w:val="none"/>
        </w:rPr>
        <w:t>6</w:t>
      </w:r>
      <w:r>
        <w:rPr>
          <w:snapToGrid w:val="0"/>
          <w:highlight w:val="none"/>
        </w:rPr>
        <w:t xml:space="preserve"> </w:t>
      </w:r>
      <w:r>
        <w:rPr>
          <w:rFonts w:hint="eastAsia"/>
          <w:snapToGrid w:val="0"/>
          <w:highlight w:val="none"/>
        </w:rPr>
        <w:t xml:space="preserve">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24B52C07">
      <w:pPr>
        <w:pStyle w:val="41"/>
        <w:spacing w:line="360" w:lineRule="auto"/>
        <w:rPr>
          <w:snapToGrid w:val="0"/>
          <w:highlight w:val="none"/>
        </w:rPr>
      </w:pPr>
      <w:r>
        <w:rPr>
          <w:rFonts w:hint="eastAsia"/>
          <w:snapToGrid w:val="0"/>
          <w:highlight w:val="none"/>
        </w:rPr>
        <w:t>42</w:t>
      </w:r>
      <w:r>
        <w:rPr>
          <w:snapToGrid w:val="0"/>
          <w:highlight w:val="none"/>
        </w:rPr>
        <w:t>.</w:t>
      </w:r>
      <w:r>
        <w:rPr>
          <w:rFonts w:hint="eastAsia"/>
          <w:snapToGrid w:val="0"/>
          <w:highlight w:val="none"/>
        </w:rPr>
        <w:t>7</w:t>
      </w:r>
      <w:r>
        <w:rPr>
          <w:snapToGrid w:val="0"/>
          <w:highlight w:val="none"/>
        </w:rPr>
        <w:t xml:space="preserve"> </w:t>
      </w:r>
      <w:r>
        <w:rPr>
          <w:rFonts w:hint="eastAsia"/>
          <w:snapToGrid w:val="0"/>
          <w:highlight w:val="none"/>
        </w:rPr>
        <w:t xml:space="preserve">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0CDF04CE">
      <w:pPr>
        <w:pStyle w:val="41"/>
        <w:spacing w:line="360" w:lineRule="auto"/>
        <w:rPr>
          <w:snapToGrid w:val="0"/>
          <w:highlight w:val="none"/>
        </w:rPr>
      </w:pPr>
      <w:r>
        <w:rPr>
          <w:rFonts w:hint="eastAsia"/>
          <w:snapToGrid w:val="0"/>
          <w:highlight w:val="none"/>
        </w:rPr>
        <w:t>42</w:t>
      </w:r>
      <w:r>
        <w:rPr>
          <w:snapToGrid w:val="0"/>
          <w:highlight w:val="none"/>
        </w:rPr>
        <w:t>.</w:t>
      </w:r>
      <w:r>
        <w:rPr>
          <w:rFonts w:hint="eastAsia"/>
          <w:snapToGrid w:val="0"/>
          <w:highlight w:val="none"/>
        </w:rPr>
        <w:t>7</w:t>
      </w:r>
      <w:r>
        <w:rPr>
          <w:snapToGrid w:val="0"/>
          <w:highlight w:val="none"/>
        </w:rPr>
        <w:t xml:space="preserve">.1 </w:t>
      </w:r>
      <w:r>
        <w:rPr>
          <w:rFonts w:hint="eastAsia"/>
          <w:snapToGrid w:val="0"/>
          <w:highlight w:val="none"/>
        </w:rPr>
        <w:t xml:space="preserve">安置的残疾人占本单位在职职工人数的比例不低于 </w:t>
      </w:r>
      <w:r>
        <w:rPr>
          <w:snapToGrid w:val="0"/>
          <w:highlight w:val="none"/>
        </w:rPr>
        <w:t xml:space="preserve">25% </w:t>
      </w:r>
      <w:r>
        <w:rPr>
          <w:rFonts w:hint="eastAsia"/>
          <w:snapToGrid w:val="0"/>
          <w:highlight w:val="none"/>
        </w:rPr>
        <w:t xml:space="preserve">（含 </w:t>
      </w:r>
      <w:r>
        <w:rPr>
          <w:snapToGrid w:val="0"/>
          <w:highlight w:val="none"/>
        </w:rPr>
        <w:t>25%</w:t>
      </w:r>
      <w:r>
        <w:rPr>
          <w:rFonts w:hint="eastAsia"/>
          <w:snapToGrid w:val="0"/>
          <w:highlight w:val="none"/>
        </w:rPr>
        <w:t xml:space="preserve">），并且安置的残疾人人数不少于 </w:t>
      </w:r>
      <w:r>
        <w:rPr>
          <w:snapToGrid w:val="0"/>
          <w:highlight w:val="none"/>
        </w:rPr>
        <w:t xml:space="preserve">10 </w:t>
      </w:r>
      <w:r>
        <w:rPr>
          <w:rFonts w:hint="eastAsia"/>
          <w:snapToGrid w:val="0"/>
          <w:highlight w:val="none"/>
        </w:rPr>
        <w:t xml:space="preserve">人（含 </w:t>
      </w:r>
      <w:r>
        <w:rPr>
          <w:snapToGrid w:val="0"/>
          <w:highlight w:val="none"/>
        </w:rPr>
        <w:t>10</w:t>
      </w:r>
      <w:r>
        <w:rPr>
          <w:rFonts w:hint="eastAsia"/>
          <w:snapToGrid w:val="0"/>
          <w:highlight w:val="none"/>
        </w:rPr>
        <w:t xml:space="preserve">人）； </w:t>
      </w:r>
    </w:p>
    <w:p w14:paraId="62254D37">
      <w:pPr>
        <w:pStyle w:val="41"/>
        <w:spacing w:line="360" w:lineRule="auto"/>
        <w:rPr>
          <w:snapToGrid w:val="0"/>
          <w:highlight w:val="none"/>
        </w:rPr>
      </w:pPr>
      <w:r>
        <w:rPr>
          <w:rFonts w:hint="eastAsia"/>
          <w:snapToGrid w:val="0"/>
          <w:highlight w:val="none"/>
        </w:rPr>
        <w:t>42</w:t>
      </w:r>
      <w:r>
        <w:rPr>
          <w:snapToGrid w:val="0"/>
          <w:highlight w:val="none"/>
        </w:rPr>
        <w:t>.</w:t>
      </w:r>
      <w:r>
        <w:rPr>
          <w:rFonts w:hint="eastAsia"/>
          <w:snapToGrid w:val="0"/>
          <w:highlight w:val="none"/>
        </w:rPr>
        <w:t>7</w:t>
      </w:r>
      <w:r>
        <w:rPr>
          <w:snapToGrid w:val="0"/>
          <w:highlight w:val="none"/>
        </w:rPr>
        <w:t xml:space="preserve">.2 </w:t>
      </w:r>
      <w:r>
        <w:rPr>
          <w:rFonts w:hint="eastAsia"/>
          <w:snapToGrid w:val="0"/>
          <w:highlight w:val="none"/>
        </w:rPr>
        <w:t xml:space="preserve">依法与安置的每位残疾人签订了1年以上（含1年）的劳动合同或服务协议； </w:t>
      </w:r>
    </w:p>
    <w:p w14:paraId="4207CD45">
      <w:pPr>
        <w:pStyle w:val="41"/>
        <w:spacing w:line="360" w:lineRule="auto"/>
        <w:rPr>
          <w:snapToGrid w:val="0"/>
          <w:highlight w:val="none"/>
        </w:rPr>
      </w:pPr>
      <w:r>
        <w:rPr>
          <w:rFonts w:hint="eastAsia"/>
          <w:snapToGrid w:val="0"/>
          <w:highlight w:val="none"/>
        </w:rPr>
        <w:t>42</w:t>
      </w:r>
      <w:r>
        <w:rPr>
          <w:snapToGrid w:val="0"/>
          <w:highlight w:val="none"/>
        </w:rPr>
        <w:t>.</w:t>
      </w:r>
      <w:r>
        <w:rPr>
          <w:rFonts w:hint="eastAsia"/>
          <w:snapToGrid w:val="0"/>
          <w:highlight w:val="none"/>
        </w:rPr>
        <w:t>7</w:t>
      </w:r>
      <w:r>
        <w:rPr>
          <w:snapToGrid w:val="0"/>
          <w:highlight w:val="none"/>
        </w:rPr>
        <w:t xml:space="preserve">.3 </w:t>
      </w:r>
      <w:r>
        <w:rPr>
          <w:rFonts w:hint="eastAsia"/>
          <w:snapToGrid w:val="0"/>
          <w:highlight w:val="none"/>
        </w:rPr>
        <w:t xml:space="preserve">为安置的每位残疾人按月足额缴纳了基本养老保险、基本医疗保险、失业保险、工伤保险和生育保险等社会保险费； </w:t>
      </w:r>
    </w:p>
    <w:p w14:paraId="7DEAEFAD">
      <w:pPr>
        <w:pStyle w:val="41"/>
        <w:spacing w:line="360" w:lineRule="auto"/>
        <w:rPr>
          <w:snapToGrid w:val="0"/>
          <w:highlight w:val="none"/>
        </w:rPr>
      </w:pPr>
      <w:r>
        <w:rPr>
          <w:rFonts w:hint="eastAsia"/>
          <w:snapToGrid w:val="0"/>
          <w:highlight w:val="none"/>
        </w:rPr>
        <w:t>42</w:t>
      </w:r>
      <w:r>
        <w:rPr>
          <w:snapToGrid w:val="0"/>
          <w:highlight w:val="none"/>
        </w:rPr>
        <w:t>.</w:t>
      </w:r>
      <w:r>
        <w:rPr>
          <w:rFonts w:hint="eastAsia"/>
          <w:snapToGrid w:val="0"/>
          <w:highlight w:val="none"/>
        </w:rPr>
        <w:t>7</w:t>
      </w:r>
      <w:r>
        <w:rPr>
          <w:snapToGrid w:val="0"/>
          <w:highlight w:val="none"/>
        </w:rPr>
        <w:t xml:space="preserve">.4 </w:t>
      </w:r>
      <w:r>
        <w:rPr>
          <w:rFonts w:hint="eastAsia"/>
          <w:snapToGrid w:val="0"/>
          <w:highlight w:val="none"/>
        </w:rPr>
        <w:t xml:space="preserve">通过银行等金融机构向安置的每位残疾人，按月支付了不低于单位所在区县适用的经省级人民政府批准的月最低工资标准的工资； </w:t>
      </w:r>
    </w:p>
    <w:p w14:paraId="7A423333">
      <w:pPr>
        <w:pStyle w:val="41"/>
        <w:spacing w:line="360" w:lineRule="auto"/>
        <w:rPr>
          <w:snapToGrid w:val="0"/>
          <w:highlight w:val="none"/>
        </w:rPr>
      </w:pPr>
      <w:r>
        <w:rPr>
          <w:rFonts w:hint="eastAsia"/>
          <w:snapToGrid w:val="0"/>
          <w:highlight w:val="none"/>
        </w:rPr>
        <w:t>42</w:t>
      </w:r>
      <w:r>
        <w:rPr>
          <w:snapToGrid w:val="0"/>
          <w:highlight w:val="none"/>
        </w:rPr>
        <w:t>.</w:t>
      </w:r>
      <w:r>
        <w:rPr>
          <w:rFonts w:hint="eastAsia"/>
          <w:snapToGrid w:val="0"/>
          <w:highlight w:val="none"/>
        </w:rPr>
        <w:t>7</w:t>
      </w:r>
      <w:r>
        <w:rPr>
          <w:snapToGrid w:val="0"/>
          <w:highlight w:val="none"/>
        </w:rPr>
        <w:t xml:space="preserve">.5 </w:t>
      </w:r>
      <w:r>
        <w:rPr>
          <w:rFonts w:hint="eastAsia"/>
          <w:snapToGrid w:val="0"/>
          <w:highlight w:val="none"/>
        </w:rPr>
        <w:t xml:space="preserve">提供本单位制造的货物、承担的工程或者服务（以下简称产品），或者提供其他残疾人福利性单位制造的货物（不包括使用非残疾人福利性单位注册商标的货物）； </w:t>
      </w:r>
    </w:p>
    <w:p w14:paraId="0408EB02">
      <w:pPr>
        <w:pStyle w:val="41"/>
        <w:spacing w:line="360" w:lineRule="auto"/>
        <w:rPr>
          <w:snapToGrid w:val="0"/>
          <w:highlight w:val="none"/>
        </w:rPr>
      </w:pPr>
      <w:r>
        <w:rPr>
          <w:rFonts w:hint="eastAsia"/>
          <w:snapToGrid w:val="0"/>
          <w:highlight w:val="none"/>
        </w:rPr>
        <w:t>42</w:t>
      </w:r>
      <w:r>
        <w:rPr>
          <w:snapToGrid w:val="0"/>
          <w:highlight w:val="none"/>
        </w:rPr>
        <w:t>.</w:t>
      </w:r>
      <w:r>
        <w:rPr>
          <w:rFonts w:hint="eastAsia"/>
          <w:snapToGrid w:val="0"/>
          <w:highlight w:val="none"/>
        </w:rPr>
        <w:t>7</w:t>
      </w:r>
      <w:r>
        <w:rPr>
          <w:snapToGrid w:val="0"/>
          <w:highlight w:val="none"/>
        </w:rPr>
        <w:t xml:space="preserve">.6 </w:t>
      </w:r>
      <w:r>
        <w:rPr>
          <w:rFonts w:hint="eastAsia"/>
          <w:snapToGrid w:val="0"/>
          <w:highlight w:val="none"/>
        </w:rPr>
        <w:t>前款所称残疾人是指法定劳动年龄内，持有《中华人民共和国残疾人证》或者《中华人民共和国残疾军人证（</w:t>
      </w:r>
      <w:r>
        <w:rPr>
          <w:snapToGrid w:val="0"/>
          <w:highlight w:val="none"/>
        </w:rPr>
        <w:t xml:space="preserve">1 </w:t>
      </w:r>
      <w:r>
        <w:rPr>
          <w:rFonts w:hint="eastAsia"/>
          <w:snapToGrid w:val="0"/>
          <w:highlight w:val="none"/>
        </w:rPr>
        <w:t xml:space="preserve">至 </w:t>
      </w:r>
      <w:r>
        <w:rPr>
          <w:snapToGrid w:val="0"/>
          <w:highlight w:val="none"/>
        </w:rPr>
        <w:t xml:space="preserve">8 </w:t>
      </w:r>
      <w:r>
        <w:rPr>
          <w:rFonts w:hint="eastAsia"/>
          <w:snapToGrid w:val="0"/>
          <w:highlight w:val="none"/>
        </w:rPr>
        <w:t xml:space="preserve">级）》的自然人，包括具有劳动条件和劳动意愿的精神残疾人。在职职工人数是指与残疾人福利性单位建立劳动关系并依法签订劳动合同或服务协议的雇员人数。 </w:t>
      </w:r>
    </w:p>
    <w:p w14:paraId="24B69260">
      <w:pPr>
        <w:pStyle w:val="41"/>
        <w:spacing w:line="360" w:lineRule="auto"/>
        <w:rPr>
          <w:snapToGrid w:val="0"/>
          <w:highlight w:val="none"/>
        </w:rPr>
      </w:pPr>
      <w:r>
        <w:rPr>
          <w:rFonts w:hint="eastAsia"/>
          <w:snapToGrid w:val="0"/>
          <w:highlight w:val="none"/>
        </w:rPr>
        <w:t>42</w:t>
      </w:r>
      <w:r>
        <w:rPr>
          <w:snapToGrid w:val="0"/>
          <w:highlight w:val="none"/>
        </w:rPr>
        <w:t>.</w:t>
      </w:r>
      <w:r>
        <w:rPr>
          <w:rFonts w:hint="eastAsia"/>
          <w:snapToGrid w:val="0"/>
          <w:highlight w:val="none"/>
        </w:rPr>
        <w:t>8</w:t>
      </w:r>
      <w:r>
        <w:rPr>
          <w:snapToGrid w:val="0"/>
          <w:highlight w:val="none"/>
        </w:rPr>
        <w:t xml:space="preserve"> </w:t>
      </w:r>
      <w:r>
        <w:rPr>
          <w:rFonts w:hint="eastAsia"/>
          <w:snapToGrid w:val="0"/>
          <w:highlight w:val="none"/>
        </w:rPr>
        <w:t>本项目是否专门面向中小企业预留采购份额见“第一章 招标公告”。    42</w:t>
      </w:r>
      <w:r>
        <w:rPr>
          <w:snapToGrid w:val="0"/>
          <w:highlight w:val="none"/>
        </w:rPr>
        <w:t>.</w:t>
      </w:r>
      <w:r>
        <w:rPr>
          <w:rFonts w:hint="eastAsia"/>
          <w:snapToGrid w:val="0"/>
          <w:highlight w:val="none"/>
        </w:rPr>
        <w:t>9</w:t>
      </w:r>
      <w:r>
        <w:rPr>
          <w:snapToGrid w:val="0"/>
          <w:highlight w:val="none"/>
        </w:rPr>
        <w:t xml:space="preserve"> </w:t>
      </w:r>
      <w:r>
        <w:rPr>
          <w:rFonts w:hint="eastAsia"/>
          <w:snapToGrid w:val="0"/>
          <w:highlight w:val="none"/>
        </w:rPr>
        <w:t>采购标的对应的中小企业划分标准所属行业见“投标人须知前附表”。    42</w:t>
      </w:r>
      <w:r>
        <w:rPr>
          <w:snapToGrid w:val="0"/>
          <w:highlight w:val="none"/>
        </w:rPr>
        <w:t>.</w:t>
      </w:r>
      <w:r>
        <w:rPr>
          <w:rFonts w:hint="eastAsia"/>
          <w:snapToGrid w:val="0"/>
          <w:highlight w:val="none"/>
        </w:rPr>
        <w:t>10</w:t>
      </w:r>
      <w:r>
        <w:rPr>
          <w:snapToGrid w:val="0"/>
          <w:highlight w:val="none"/>
        </w:rPr>
        <w:t xml:space="preserve"> </w:t>
      </w:r>
      <w:r>
        <w:rPr>
          <w:rFonts w:hint="eastAsia"/>
          <w:snapToGrid w:val="0"/>
          <w:highlight w:val="none"/>
        </w:rPr>
        <w:t>小微企业价格评审优惠的政策调整：见“投标人须知前附表”及“第五章 评标方法及标准”。</w:t>
      </w:r>
    </w:p>
    <w:p w14:paraId="1DF887A2">
      <w:pPr>
        <w:pStyle w:val="6"/>
        <w:spacing w:line="360" w:lineRule="auto"/>
        <w:rPr>
          <w:highlight w:val="none"/>
        </w:rPr>
      </w:pPr>
      <w:bookmarkStart w:id="263" w:name="_Toc163492878"/>
      <w:r>
        <w:rPr>
          <w:rFonts w:hint="eastAsia"/>
          <w:highlight w:val="none"/>
        </w:rPr>
        <w:t>43.政府采购节能产品、环境标志产品</w:t>
      </w:r>
      <w:bookmarkEnd w:id="263"/>
    </w:p>
    <w:p w14:paraId="77C7C9AA">
      <w:pPr>
        <w:pStyle w:val="41"/>
        <w:spacing w:line="360" w:lineRule="auto"/>
        <w:rPr>
          <w:snapToGrid w:val="0"/>
          <w:highlight w:val="none"/>
        </w:rPr>
      </w:pPr>
      <w:r>
        <w:rPr>
          <w:rFonts w:hint="eastAsia"/>
          <w:snapToGrid w:val="0"/>
          <w:highlight w:val="none"/>
        </w:rPr>
        <w:t>43</w:t>
      </w:r>
      <w:r>
        <w:rPr>
          <w:snapToGrid w:val="0"/>
          <w:highlight w:val="none"/>
        </w:rPr>
        <w:t xml:space="preserve">.1 </w:t>
      </w:r>
      <w:r>
        <w:rPr>
          <w:rFonts w:hint="eastAsia"/>
          <w:snapToGrid w:val="0"/>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w:t>
      </w:r>
      <w:r>
        <w:rPr>
          <w:snapToGrid w:val="0"/>
          <w:highlight w:val="none"/>
        </w:rPr>
        <w:t>2019</w:t>
      </w:r>
      <w:r>
        <w:rPr>
          <w:rFonts w:hint="eastAsia"/>
          <w:snapToGrid w:val="0"/>
          <w:highlight w:val="none"/>
        </w:rPr>
        <w:t>〕</w:t>
      </w:r>
      <w:r>
        <w:rPr>
          <w:snapToGrid w:val="0"/>
          <w:highlight w:val="none"/>
        </w:rPr>
        <w:t xml:space="preserve">9 </w:t>
      </w:r>
      <w:r>
        <w:rPr>
          <w:rFonts w:hint="eastAsia"/>
          <w:snapToGrid w:val="0"/>
          <w:highlight w:val="none"/>
        </w:rPr>
        <w:t>号）、《关于印发环境标志产品政府采购品目清单的通知》（财库〔2019〕18号）、《关于印发节能产品政府采购品目清单的通知》（财库〔2019〕19号）的规定。</w:t>
      </w:r>
    </w:p>
    <w:p w14:paraId="44A4A289">
      <w:pPr>
        <w:pStyle w:val="41"/>
        <w:spacing w:line="360" w:lineRule="auto"/>
        <w:rPr>
          <w:snapToGrid w:val="0"/>
          <w:highlight w:val="none"/>
        </w:rPr>
      </w:pPr>
      <w:r>
        <w:rPr>
          <w:rFonts w:hint="eastAsia"/>
          <w:snapToGrid w:val="0"/>
          <w:highlight w:val="none"/>
        </w:rPr>
        <w:t>43</w:t>
      </w:r>
      <w:r>
        <w:rPr>
          <w:snapToGrid w:val="0"/>
          <w:highlight w:val="none"/>
        </w:rPr>
        <w:t xml:space="preserve">.2 </w:t>
      </w:r>
      <w:r>
        <w:rPr>
          <w:rFonts w:hint="eastAsia"/>
          <w:snapToGrid w:val="0"/>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7C6F07D1">
      <w:pPr>
        <w:pStyle w:val="41"/>
        <w:spacing w:line="360" w:lineRule="auto"/>
        <w:rPr>
          <w:snapToGrid w:val="0"/>
          <w:highlight w:val="none"/>
        </w:rPr>
      </w:pPr>
      <w:r>
        <w:rPr>
          <w:rFonts w:hint="eastAsia"/>
          <w:snapToGrid w:val="0"/>
          <w:highlight w:val="none"/>
        </w:rPr>
        <w:t>43</w:t>
      </w:r>
      <w:r>
        <w:rPr>
          <w:snapToGrid w:val="0"/>
          <w:highlight w:val="none"/>
        </w:rPr>
        <w:t xml:space="preserve">.3 </w:t>
      </w:r>
      <w:r>
        <w:rPr>
          <w:rFonts w:hint="eastAsia"/>
          <w:snapToGrid w:val="0"/>
          <w:highlight w:val="none"/>
        </w:rPr>
        <w:t>如本项目采购产品属于实施政府强制采购品目清单范围的节能产品，则投标人所报产品必须获得国家确定的认证机构出具的、处于有效期之内的节能产品认证证书，否则</w:t>
      </w:r>
      <w:r>
        <w:rPr>
          <w:rFonts w:hint="eastAsia"/>
          <w:b/>
          <w:bCs/>
          <w:snapToGrid w:val="0"/>
          <w:highlight w:val="none"/>
        </w:rPr>
        <w:t>投标无效</w:t>
      </w:r>
      <w:r>
        <w:rPr>
          <w:rFonts w:hint="eastAsia"/>
          <w:snapToGrid w:val="0"/>
          <w:highlight w:val="none"/>
        </w:rPr>
        <w:t xml:space="preserve">。 </w:t>
      </w:r>
    </w:p>
    <w:p w14:paraId="2CCA50E4">
      <w:pPr>
        <w:pStyle w:val="41"/>
        <w:spacing w:line="360" w:lineRule="auto"/>
        <w:rPr>
          <w:snapToGrid w:val="0"/>
          <w:highlight w:val="none"/>
        </w:rPr>
      </w:pPr>
      <w:r>
        <w:rPr>
          <w:rFonts w:hint="eastAsia"/>
          <w:snapToGrid w:val="0"/>
          <w:highlight w:val="none"/>
        </w:rPr>
        <w:t>43</w:t>
      </w:r>
      <w:r>
        <w:rPr>
          <w:snapToGrid w:val="0"/>
          <w:highlight w:val="none"/>
        </w:rPr>
        <w:t xml:space="preserve">.4 </w:t>
      </w:r>
      <w:r>
        <w:rPr>
          <w:rFonts w:hint="eastAsia"/>
          <w:snapToGrid w:val="0"/>
          <w:highlight w:val="none"/>
        </w:rPr>
        <w:t>非政府强制采购的节能产品或环境标志产品，依据品目清单和认证证书实施政府优先采购。优先采购的具体规定见“第五章 评标方法及标准”（如涉及）。</w:t>
      </w:r>
    </w:p>
    <w:p w14:paraId="6ED12277">
      <w:pPr>
        <w:pStyle w:val="41"/>
        <w:spacing w:line="360" w:lineRule="auto"/>
        <w:rPr>
          <w:highlight w:val="none"/>
        </w:rPr>
      </w:pPr>
      <w:r>
        <w:rPr>
          <w:rFonts w:hint="eastAsia"/>
          <w:snapToGrid w:val="0"/>
          <w:highlight w:val="none"/>
          <w:lang w:val="en-US"/>
        </w:rPr>
        <w:t xml:space="preserve">43.5 </w:t>
      </w:r>
      <w:r>
        <w:rPr>
          <w:rFonts w:hint="eastAsia"/>
          <w:snapToGrid w:val="0"/>
          <w:highlight w:val="none"/>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w:t>
      </w:r>
      <w:r>
        <w:rPr>
          <w:snapToGrid w:val="0"/>
          <w:highlight w:val="none"/>
        </w:rPr>
        <w:t>已作为投标时强制性要求不再</w:t>
      </w:r>
      <w:r>
        <w:rPr>
          <w:rFonts w:hint="eastAsia"/>
          <w:snapToGrid w:val="0"/>
          <w:highlight w:val="none"/>
        </w:rPr>
        <w:t>给予</w:t>
      </w:r>
      <w:r>
        <w:rPr>
          <w:rFonts w:hint="eastAsia"/>
          <w:snapToGrid w:val="0"/>
          <w:highlight w:val="none"/>
          <w:lang w:val="en-US"/>
        </w:rPr>
        <w:t>评审优惠</w:t>
      </w:r>
      <w:r>
        <w:rPr>
          <w:rFonts w:hint="eastAsia"/>
          <w:snapToGrid w:val="0"/>
          <w:highlight w:val="none"/>
        </w:rPr>
        <w:t>，未提供认证证书的视为</w:t>
      </w:r>
      <w:r>
        <w:rPr>
          <w:rFonts w:hint="eastAsia"/>
          <w:b/>
          <w:bCs/>
          <w:snapToGrid w:val="0"/>
          <w:highlight w:val="none"/>
          <w:lang w:val="en-US"/>
        </w:rPr>
        <w:t>投标</w:t>
      </w:r>
      <w:r>
        <w:rPr>
          <w:rFonts w:hint="eastAsia"/>
          <w:b/>
          <w:bCs/>
          <w:snapToGrid w:val="0"/>
          <w:highlight w:val="none"/>
        </w:rPr>
        <w:t>无效</w:t>
      </w:r>
      <w:r>
        <w:rPr>
          <w:rFonts w:hint="eastAsia"/>
          <w:snapToGrid w:val="0"/>
          <w:highlight w:val="none"/>
        </w:rPr>
        <w:t>。属于</w:t>
      </w:r>
      <w:r>
        <w:rPr>
          <w:rFonts w:hint="eastAsia"/>
          <w:snapToGrid w:val="0"/>
          <w:highlight w:val="none"/>
          <w:lang w:val="en-US"/>
        </w:rPr>
        <w:t>优先采购</w:t>
      </w:r>
      <w:r>
        <w:rPr>
          <w:rFonts w:hint="eastAsia"/>
          <w:snapToGrid w:val="0"/>
          <w:highlight w:val="none"/>
        </w:rPr>
        <w:t>节能产品政府采购品目清单、环境标志产品政府采购品目清单、</w:t>
      </w:r>
      <w:r>
        <w:rPr>
          <w:rFonts w:hint="eastAsia"/>
          <w:snapToGrid w:val="0"/>
          <w:highlight w:val="none"/>
          <w:lang w:val="en-US"/>
        </w:rPr>
        <w:t>创新产品</w:t>
      </w:r>
      <w:r>
        <w:rPr>
          <w:rFonts w:hint="eastAsia"/>
          <w:snapToGrid w:val="0"/>
          <w:highlight w:val="none"/>
        </w:rPr>
        <w:t>范围的，按照“</w:t>
      </w:r>
      <w:r>
        <w:rPr>
          <w:rFonts w:hint="eastAsia"/>
          <w:highlight w:val="none"/>
          <w:lang w:val="en-US"/>
        </w:rPr>
        <w:t>第五章 评标方法及标准</w:t>
      </w:r>
      <w:r>
        <w:rPr>
          <w:rFonts w:hint="eastAsia"/>
          <w:snapToGrid w:val="0"/>
          <w:highlight w:val="none"/>
        </w:rPr>
        <w:t>”中相关规定</w:t>
      </w:r>
      <w:r>
        <w:rPr>
          <w:rFonts w:hint="eastAsia"/>
          <w:highlight w:val="none"/>
          <w:lang w:val="en-US"/>
        </w:rPr>
        <w:t>在评审时给予优惠，具体详见</w:t>
      </w:r>
      <w:r>
        <w:rPr>
          <w:rFonts w:hint="eastAsia"/>
          <w:snapToGrid w:val="0"/>
          <w:highlight w:val="none"/>
          <w:lang w:val="en-US"/>
        </w:rPr>
        <w:t>“投标人须知前附表”及</w:t>
      </w:r>
      <w:r>
        <w:rPr>
          <w:rFonts w:hint="eastAsia"/>
          <w:highlight w:val="none"/>
          <w:lang w:val="en-US"/>
        </w:rPr>
        <w:t>“第五章 评标方法及标准”</w:t>
      </w:r>
      <w:r>
        <w:rPr>
          <w:rFonts w:hint="eastAsia"/>
          <w:highlight w:val="none"/>
        </w:rPr>
        <w:t>。</w:t>
      </w:r>
    </w:p>
    <w:p w14:paraId="59ADBA82">
      <w:pPr>
        <w:pStyle w:val="6"/>
        <w:spacing w:line="360" w:lineRule="auto"/>
        <w:rPr>
          <w:highlight w:val="none"/>
        </w:rPr>
      </w:pPr>
      <w:bookmarkStart w:id="264" w:name="_Toc163492879"/>
      <w:r>
        <w:rPr>
          <w:rFonts w:hint="eastAsia"/>
          <w:highlight w:val="none"/>
        </w:rPr>
        <w:t xml:space="preserve">44.正版软件  </w:t>
      </w:r>
    </w:p>
    <w:p w14:paraId="57FE12DC">
      <w:pPr>
        <w:pStyle w:val="41"/>
        <w:spacing w:line="360" w:lineRule="auto"/>
        <w:rPr>
          <w:snapToGrid w:val="0"/>
          <w:highlight w:val="none"/>
        </w:rPr>
      </w:pPr>
      <w:r>
        <w:rPr>
          <w:rFonts w:hint="eastAsia"/>
          <w:snapToGrid w:val="0"/>
          <w:highlight w:val="none"/>
        </w:rPr>
        <w:t>44.1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14:paraId="1B3DC59C">
      <w:pPr>
        <w:pStyle w:val="6"/>
        <w:spacing w:line="360" w:lineRule="auto"/>
        <w:rPr>
          <w:highlight w:val="none"/>
        </w:rPr>
      </w:pPr>
      <w:r>
        <w:rPr>
          <w:rFonts w:hint="eastAsia"/>
          <w:highlight w:val="none"/>
        </w:rPr>
        <w:t xml:space="preserve">45.网络安全专用产品   </w:t>
      </w:r>
    </w:p>
    <w:p w14:paraId="1C79BDF5">
      <w:pPr>
        <w:pStyle w:val="41"/>
        <w:spacing w:line="360" w:lineRule="auto"/>
        <w:rPr>
          <w:snapToGrid w:val="0"/>
          <w:highlight w:val="none"/>
        </w:rPr>
      </w:pPr>
      <w:r>
        <w:rPr>
          <w:rFonts w:hint="eastAsia"/>
          <w:snapToGrid w:val="0"/>
          <w:highlight w:val="none"/>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4E712AB8">
      <w:pPr>
        <w:pStyle w:val="41"/>
        <w:spacing w:line="360" w:lineRule="auto"/>
        <w:rPr>
          <w:snapToGrid w:val="0"/>
          <w:highlight w:val="none"/>
        </w:rPr>
      </w:pPr>
      <w:r>
        <w:rPr>
          <w:rFonts w:hint="eastAsia"/>
          <w:snapToGrid w:val="0"/>
          <w:highlight w:val="none"/>
        </w:rPr>
        <w:t xml:space="preserve">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 </w:t>
      </w:r>
    </w:p>
    <w:p w14:paraId="3D8631E3">
      <w:pPr>
        <w:pStyle w:val="6"/>
        <w:spacing w:line="360" w:lineRule="auto"/>
        <w:rPr>
          <w:highlight w:val="none"/>
        </w:rPr>
      </w:pPr>
      <w:r>
        <w:rPr>
          <w:rFonts w:hint="eastAsia"/>
          <w:highlight w:val="none"/>
        </w:rPr>
        <w:t xml:space="preserve">46.采购需求标准   </w:t>
      </w:r>
    </w:p>
    <w:p w14:paraId="4525A1ED">
      <w:pPr>
        <w:pStyle w:val="41"/>
        <w:spacing w:line="360" w:lineRule="auto"/>
        <w:rPr>
          <w:snapToGrid w:val="0"/>
          <w:highlight w:val="none"/>
        </w:rPr>
      </w:pPr>
      <w:r>
        <w:rPr>
          <w:rFonts w:hint="eastAsia"/>
          <w:snapToGrid w:val="0"/>
          <w:highlight w:val="none"/>
        </w:rPr>
        <w:t xml:space="preserve">46.1 商品包装、快递包装政府采购需求标准（试行） </w:t>
      </w:r>
    </w:p>
    <w:p w14:paraId="0E61781C">
      <w:pPr>
        <w:pStyle w:val="41"/>
        <w:spacing w:line="360" w:lineRule="auto"/>
        <w:rPr>
          <w:snapToGrid w:val="0"/>
          <w:highlight w:val="none"/>
        </w:rPr>
      </w:pPr>
      <w:r>
        <w:rPr>
          <w:rFonts w:hint="eastAsia"/>
          <w:snapToGrid w:val="0"/>
          <w:highlight w:val="none"/>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号），本项目如涉及商品包装和快递包装的，则其具体要求见第三章《采购需求》。 </w:t>
      </w:r>
    </w:p>
    <w:p w14:paraId="3DA052D3">
      <w:pPr>
        <w:pStyle w:val="41"/>
        <w:spacing w:line="360" w:lineRule="auto"/>
        <w:rPr>
          <w:snapToGrid w:val="0"/>
          <w:highlight w:val="none"/>
        </w:rPr>
      </w:pPr>
      <w:r>
        <w:rPr>
          <w:rFonts w:hint="eastAsia"/>
          <w:snapToGrid w:val="0"/>
          <w:highlight w:val="none"/>
        </w:rPr>
        <w:t xml:space="preserve">46.2 绿色数据中心政府采购需求标准（试行） </w:t>
      </w:r>
    </w:p>
    <w:p w14:paraId="2197354D">
      <w:pPr>
        <w:pStyle w:val="41"/>
        <w:spacing w:line="360" w:lineRule="auto"/>
        <w:rPr>
          <w:snapToGrid w:val="0"/>
          <w:highlight w:val="none"/>
        </w:rPr>
      </w:pPr>
      <w:r>
        <w:rPr>
          <w:rFonts w:hint="eastAsia"/>
          <w:snapToGrid w:val="0"/>
          <w:highlight w:val="none"/>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14:paraId="01735604">
      <w:pPr>
        <w:pStyle w:val="41"/>
        <w:spacing w:line="360" w:lineRule="auto"/>
        <w:rPr>
          <w:snapToGrid w:val="0"/>
          <w:highlight w:val="none"/>
        </w:rPr>
      </w:pPr>
      <w:r>
        <w:rPr>
          <w:rFonts w:hint="eastAsia"/>
          <w:snapToGrid w:val="0"/>
          <w:highlight w:val="none"/>
        </w:rPr>
        <w:t>46.3台式计算机政府采购需求标准</w:t>
      </w:r>
    </w:p>
    <w:p w14:paraId="71228285">
      <w:pPr>
        <w:pStyle w:val="41"/>
        <w:spacing w:line="360" w:lineRule="auto"/>
        <w:rPr>
          <w:snapToGrid w:val="0"/>
          <w:highlight w:val="none"/>
        </w:rPr>
      </w:pPr>
      <w:r>
        <w:rPr>
          <w:rFonts w:hint="eastAsia"/>
          <w:snapToGrid w:val="0"/>
          <w:highlight w:val="none"/>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477627EF">
      <w:pPr>
        <w:pStyle w:val="41"/>
        <w:spacing w:line="360" w:lineRule="auto"/>
        <w:rPr>
          <w:snapToGrid w:val="0"/>
          <w:highlight w:val="none"/>
        </w:rPr>
      </w:pPr>
      <w:r>
        <w:rPr>
          <w:rFonts w:hint="eastAsia"/>
          <w:snapToGrid w:val="0"/>
          <w:highlight w:val="none"/>
        </w:rPr>
        <w:t>46.4便携式计算机政府采购需求标准</w:t>
      </w:r>
    </w:p>
    <w:p w14:paraId="6CAC949B">
      <w:pPr>
        <w:pStyle w:val="41"/>
        <w:spacing w:line="360" w:lineRule="auto"/>
        <w:rPr>
          <w:snapToGrid w:val="0"/>
          <w:highlight w:val="none"/>
        </w:rPr>
      </w:pPr>
      <w:r>
        <w:rPr>
          <w:rFonts w:hint="eastAsia"/>
          <w:snapToGrid w:val="0"/>
          <w:highlight w:val="none"/>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7B662455">
      <w:pPr>
        <w:pStyle w:val="41"/>
        <w:spacing w:line="360" w:lineRule="auto"/>
        <w:rPr>
          <w:snapToGrid w:val="0"/>
          <w:highlight w:val="none"/>
        </w:rPr>
      </w:pPr>
      <w:r>
        <w:rPr>
          <w:rFonts w:hint="eastAsia"/>
          <w:snapToGrid w:val="0"/>
          <w:highlight w:val="none"/>
        </w:rPr>
        <w:t>46.5一体式计算机政府采购需求标准</w:t>
      </w:r>
    </w:p>
    <w:p w14:paraId="14282CDF">
      <w:pPr>
        <w:pStyle w:val="41"/>
        <w:spacing w:line="360" w:lineRule="auto"/>
        <w:rPr>
          <w:snapToGrid w:val="0"/>
          <w:highlight w:val="none"/>
        </w:rPr>
      </w:pPr>
      <w:r>
        <w:rPr>
          <w:rFonts w:hint="eastAsia"/>
          <w:snapToGrid w:val="0"/>
          <w:highlight w:val="none"/>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111EFD65">
      <w:pPr>
        <w:pStyle w:val="41"/>
        <w:spacing w:line="360" w:lineRule="auto"/>
        <w:rPr>
          <w:snapToGrid w:val="0"/>
          <w:highlight w:val="none"/>
        </w:rPr>
      </w:pPr>
      <w:r>
        <w:rPr>
          <w:rFonts w:hint="eastAsia"/>
          <w:snapToGrid w:val="0"/>
          <w:highlight w:val="none"/>
        </w:rPr>
        <w:t>46.6工作站政府采购需求标准</w:t>
      </w:r>
    </w:p>
    <w:p w14:paraId="42B529F2">
      <w:pPr>
        <w:pStyle w:val="41"/>
        <w:spacing w:line="360" w:lineRule="auto"/>
        <w:rPr>
          <w:snapToGrid w:val="0"/>
          <w:highlight w:val="none"/>
        </w:rPr>
      </w:pPr>
      <w:r>
        <w:rPr>
          <w:rFonts w:hint="eastAsia"/>
          <w:snapToGrid w:val="0"/>
          <w:highlight w:val="none"/>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2DBDE964">
      <w:pPr>
        <w:pStyle w:val="41"/>
        <w:spacing w:line="360" w:lineRule="auto"/>
        <w:rPr>
          <w:snapToGrid w:val="0"/>
          <w:highlight w:val="none"/>
        </w:rPr>
      </w:pPr>
      <w:r>
        <w:rPr>
          <w:rFonts w:hint="eastAsia"/>
          <w:snapToGrid w:val="0"/>
          <w:highlight w:val="none"/>
        </w:rPr>
        <w:t>46.7通用服务器政府采购需求标准</w:t>
      </w:r>
    </w:p>
    <w:p w14:paraId="43B5189B">
      <w:pPr>
        <w:pStyle w:val="41"/>
        <w:spacing w:line="360" w:lineRule="auto"/>
        <w:rPr>
          <w:snapToGrid w:val="0"/>
          <w:highlight w:val="none"/>
        </w:rPr>
      </w:pPr>
      <w:r>
        <w:rPr>
          <w:rFonts w:hint="eastAsia"/>
          <w:snapToGrid w:val="0"/>
          <w:highlight w:val="none"/>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1AC42A01">
      <w:pPr>
        <w:pStyle w:val="41"/>
        <w:spacing w:line="360" w:lineRule="auto"/>
        <w:rPr>
          <w:snapToGrid w:val="0"/>
          <w:highlight w:val="none"/>
        </w:rPr>
      </w:pPr>
      <w:r>
        <w:rPr>
          <w:rFonts w:hint="eastAsia"/>
          <w:snapToGrid w:val="0"/>
          <w:highlight w:val="none"/>
        </w:rPr>
        <w:t>46.8操作系统政府采购需求标准</w:t>
      </w:r>
    </w:p>
    <w:p w14:paraId="07D95695">
      <w:pPr>
        <w:pStyle w:val="41"/>
        <w:spacing w:line="360" w:lineRule="auto"/>
        <w:rPr>
          <w:snapToGrid w:val="0"/>
          <w:highlight w:val="none"/>
        </w:rPr>
      </w:pPr>
      <w:r>
        <w:rPr>
          <w:rFonts w:hint="eastAsia"/>
          <w:snapToGrid w:val="0"/>
          <w:highlight w:val="none"/>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1FFEAF8B">
      <w:pPr>
        <w:pStyle w:val="41"/>
        <w:spacing w:line="360" w:lineRule="auto"/>
        <w:rPr>
          <w:snapToGrid w:val="0"/>
          <w:highlight w:val="none"/>
        </w:rPr>
      </w:pPr>
      <w:r>
        <w:rPr>
          <w:rFonts w:hint="eastAsia"/>
          <w:snapToGrid w:val="0"/>
          <w:highlight w:val="none"/>
        </w:rPr>
        <w:t>46.9数据库政府采购需求标准</w:t>
      </w:r>
    </w:p>
    <w:p w14:paraId="79BDCFFA">
      <w:pPr>
        <w:pStyle w:val="41"/>
        <w:spacing w:line="360" w:lineRule="auto"/>
        <w:rPr>
          <w:snapToGrid w:val="0"/>
          <w:highlight w:val="none"/>
        </w:rPr>
      </w:pPr>
      <w:r>
        <w:rPr>
          <w:rFonts w:hint="eastAsia"/>
          <w:snapToGrid w:val="0"/>
          <w:highlight w:val="none"/>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0FC11D73">
      <w:pPr>
        <w:pStyle w:val="41"/>
        <w:spacing w:line="360" w:lineRule="auto"/>
        <w:rPr>
          <w:snapToGrid w:val="0"/>
          <w:highlight w:val="none"/>
        </w:rPr>
      </w:pPr>
      <w:r>
        <w:rPr>
          <w:rFonts w:hint="eastAsia"/>
          <w:snapToGrid w:val="0"/>
          <w:highlight w:val="none"/>
        </w:rPr>
        <w:t>46.10物业管理服务政府采购需求标准（办公场所类）（试行）</w:t>
      </w:r>
    </w:p>
    <w:p w14:paraId="3E08BCB1">
      <w:pPr>
        <w:pStyle w:val="41"/>
        <w:spacing w:line="360" w:lineRule="auto"/>
        <w:rPr>
          <w:snapToGrid w:val="0"/>
          <w:highlight w:val="none"/>
        </w:rPr>
      </w:pPr>
      <w:r>
        <w:rPr>
          <w:rFonts w:hint="eastAsia"/>
          <w:snapToGrid w:val="0"/>
          <w:highlight w:val="none"/>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14:paraId="542601E7">
      <w:pPr>
        <w:pStyle w:val="5"/>
        <w:spacing w:line="360" w:lineRule="auto"/>
        <w:rPr>
          <w:highlight w:val="none"/>
        </w:rPr>
      </w:pPr>
      <w:r>
        <w:rPr>
          <w:rFonts w:hint="eastAsia"/>
          <w:highlight w:val="none"/>
        </w:rPr>
        <w:t>（十四）政府采购合同融资政策</w:t>
      </w:r>
      <w:bookmarkEnd w:id="259"/>
      <w:bookmarkEnd w:id="260"/>
      <w:bookmarkEnd w:id="264"/>
    </w:p>
    <w:p w14:paraId="0DC34B7A">
      <w:pPr>
        <w:pStyle w:val="6"/>
        <w:spacing w:line="360" w:lineRule="auto"/>
        <w:rPr>
          <w:highlight w:val="none"/>
        </w:rPr>
      </w:pPr>
      <w:bookmarkStart w:id="265" w:name="_Toc163492880"/>
      <w:r>
        <w:rPr>
          <w:rFonts w:hint="eastAsia"/>
          <w:highlight w:val="none"/>
        </w:rPr>
        <w:t>47.政府采购合同融资政策</w:t>
      </w:r>
      <w:bookmarkEnd w:id="265"/>
    </w:p>
    <w:p w14:paraId="66E359B1">
      <w:pPr>
        <w:pStyle w:val="41"/>
        <w:spacing w:line="360" w:lineRule="auto"/>
        <w:rPr>
          <w:highlight w:val="none"/>
        </w:rPr>
      </w:pPr>
      <w:r>
        <w:rPr>
          <w:rFonts w:hint="eastAsia"/>
          <w:highlight w:val="none"/>
        </w:rPr>
        <w:t>4</w:t>
      </w:r>
      <w:r>
        <w:rPr>
          <w:rFonts w:hint="eastAsia"/>
          <w:highlight w:val="none"/>
          <w:lang w:val="en-US"/>
        </w:rPr>
        <w:t>7</w:t>
      </w:r>
      <w:r>
        <w:rPr>
          <w:highlight w:val="none"/>
        </w:rPr>
        <w:t>.</w:t>
      </w:r>
      <w:r>
        <w:rPr>
          <w:rFonts w:hint="eastAsia"/>
          <w:highlight w:val="none"/>
        </w:rPr>
        <w:t>1政府采购合同融资政策：见投标人须知前附表。</w:t>
      </w:r>
    </w:p>
    <w:p w14:paraId="250FC869">
      <w:pPr>
        <w:pStyle w:val="5"/>
        <w:spacing w:line="360" w:lineRule="auto"/>
        <w:rPr>
          <w:highlight w:val="none"/>
        </w:rPr>
      </w:pPr>
      <w:bookmarkStart w:id="266" w:name="_Toc163492881"/>
      <w:r>
        <w:rPr>
          <w:rFonts w:hint="eastAsia"/>
          <w:highlight w:val="none"/>
        </w:rPr>
        <w:t>（十五）其他</w:t>
      </w:r>
      <w:bookmarkEnd w:id="266"/>
    </w:p>
    <w:p w14:paraId="0ACE23BF">
      <w:pPr>
        <w:pStyle w:val="6"/>
        <w:spacing w:line="360" w:lineRule="auto"/>
        <w:rPr>
          <w:highlight w:val="none"/>
        </w:rPr>
      </w:pPr>
      <w:bookmarkStart w:id="267" w:name="_Toc163492882"/>
      <w:r>
        <w:rPr>
          <w:rFonts w:hint="eastAsia"/>
          <w:highlight w:val="none"/>
        </w:rPr>
        <w:t>48.需要补充的其他内容</w:t>
      </w:r>
      <w:bookmarkEnd w:id="267"/>
    </w:p>
    <w:p w14:paraId="77279777">
      <w:pPr>
        <w:pStyle w:val="41"/>
        <w:spacing w:line="360" w:lineRule="auto"/>
        <w:rPr>
          <w:highlight w:val="none"/>
        </w:rPr>
      </w:pPr>
      <w:r>
        <w:rPr>
          <w:rFonts w:hint="eastAsia"/>
          <w:highlight w:val="none"/>
        </w:rPr>
        <w:t>需要补充的其他内容：见投标人须知前附表。</w:t>
      </w:r>
    </w:p>
    <w:p w14:paraId="02CBFF4C">
      <w:pPr>
        <w:pStyle w:val="6"/>
        <w:spacing w:line="360" w:lineRule="auto"/>
        <w:rPr>
          <w:highlight w:val="none"/>
        </w:rPr>
      </w:pPr>
      <w:bookmarkStart w:id="268" w:name="_Toc155185886"/>
      <w:bookmarkStart w:id="269" w:name="_Toc163492883"/>
      <w:bookmarkStart w:id="270" w:name="_Toc140132810"/>
      <w:r>
        <w:rPr>
          <w:rFonts w:hint="eastAsia"/>
          <w:highlight w:val="none"/>
        </w:rPr>
        <w:t>49.适用法律</w:t>
      </w:r>
      <w:bookmarkEnd w:id="268"/>
      <w:bookmarkEnd w:id="269"/>
      <w:bookmarkEnd w:id="270"/>
    </w:p>
    <w:p w14:paraId="5BF804A2">
      <w:pPr>
        <w:pStyle w:val="41"/>
        <w:spacing w:line="360" w:lineRule="auto"/>
        <w:rPr>
          <w:snapToGrid w:val="0"/>
          <w:highlight w:val="none"/>
        </w:rPr>
      </w:pPr>
      <w:r>
        <w:rPr>
          <w:rFonts w:hint="eastAsia"/>
          <w:snapToGrid w:val="0"/>
          <w:highlight w:val="none"/>
          <w:lang w:val="en-US"/>
        </w:rPr>
        <w:t>49</w:t>
      </w:r>
      <w:r>
        <w:rPr>
          <w:snapToGrid w:val="0"/>
          <w:highlight w:val="none"/>
        </w:rPr>
        <w:t>.1</w:t>
      </w:r>
      <w:r>
        <w:rPr>
          <w:rFonts w:hint="eastAsia"/>
          <w:snapToGrid w:val="0"/>
          <w:highlight w:val="none"/>
        </w:rPr>
        <w:t>采购人、采购代理机构及投标人的一切采购活动均适用《中华人民共和国政府采购法》《中华人民共和国政府采购法实施条例》《政府采购货物和服务招标投标管理办法》（财政部令第87号）及相关法律法规。</w:t>
      </w:r>
    </w:p>
    <w:p w14:paraId="27E0FF2A">
      <w:pPr>
        <w:pStyle w:val="41"/>
        <w:spacing w:line="360" w:lineRule="auto"/>
        <w:rPr>
          <w:highlight w:val="none"/>
        </w:rPr>
      </w:pPr>
      <w:r>
        <w:rPr>
          <w:rFonts w:hint="eastAsia"/>
          <w:snapToGrid w:val="0"/>
          <w:highlight w:val="none"/>
          <w:lang w:val="en-US"/>
        </w:rPr>
        <w:t>49</w:t>
      </w:r>
      <w:r>
        <w:rPr>
          <w:snapToGrid w:val="0"/>
          <w:highlight w:val="none"/>
        </w:rPr>
        <w:t>.2</w:t>
      </w:r>
      <w:r>
        <w:rPr>
          <w:rFonts w:hint="eastAsia"/>
          <w:snapToGrid w:val="0"/>
          <w:highlight w:val="none"/>
        </w:rPr>
        <w:t>政府采购合同的履行、违约责任和解决争议的方法等适用《中华人民共和国民法典》。</w:t>
      </w:r>
    </w:p>
    <w:p w14:paraId="1B46C8E2">
      <w:pPr>
        <w:pStyle w:val="6"/>
        <w:spacing w:line="360" w:lineRule="auto"/>
        <w:rPr>
          <w:highlight w:val="none"/>
        </w:rPr>
      </w:pPr>
      <w:bookmarkStart w:id="271" w:name="_Toc163492884"/>
      <w:bookmarkStart w:id="272" w:name="_Toc155185887"/>
      <w:r>
        <w:rPr>
          <w:rFonts w:hint="eastAsia"/>
          <w:highlight w:val="none"/>
        </w:rPr>
        <w:t>50.解释权</w:t>
      </w:r>
      <w:bookmarkEnd w:id="271"/>
      <w:bookmarkEnd w:id="272"/>
    </w:p>
    <w:p w14:paraId="22CF137C">
      <w:pPr>
        <w:pStyle w:val="41"/>
        <w:spacing w:line="360" w:lineRule="auto"/>
        <w:rPr>
          <w:snapToGrid w:val="0"/>
          <w:highlight w:val="none"/>
        </w:rPr>
      </w:pPr>
      <w:r>
        <w:rPr>
          <w:rFonts w:hint="eastAsia"/>
          <w:snapToGrid w:val="0"/>
          <w:highlight w:val="none"/>
          <w:lang w:val="en-US"/>
        </w:rPr>
        <w:t>50</w:t>
      </w:r>
      <w:r>
        <w:rPr>
          <w:snapToGrid w:val="0"/>
          <w:highlight w:val="none"/>
        </w:rPr>
        <w:t>.</w:t>
      </w:r>
      <w:r>
        <w:rPr>
          <w:rFonts w:hint="eastAsia"/>
          <w:snapToGrid w:val="0"/>
          <w:highlight w:val="none"/>
        </w:rPr>
        <w:t>1本招标文件最终解释权归采购人或采购代理机构所有。</w:t>
      </w:r>
    </w:p>
    <w:p w14:paraId="478905B0">
      <w:pPr>
        <w:spacing w:line="360" w:lineRule="auto"/>
        <w:rPr>
          <w:highlight w:val="none"/>
        </w:rPr>
      </w:pPr>
      <w:bookmarkStart w:id="273" w:name="_Toc163492885"/>
      <w:bookmarkStart w:id="274" w:name="_Toc155185888"/>
      <w:r>
        <w:rPr>
          <w:rFonts w:hint="eastAsia"/>
          <w:highlight w:val="none"/>
        </w:rPr>
        <w:br w:type="page"/>
      </w:r>
    </w:p>
    <w:p w14:paraId="481888FA">
      <w:pPr>
        <w:pStyle w:val="3"/>
        <w:spacing w:line="360" w:lineRule="auto"/>
        <w:rPr>
          <w:rFonts w:hint="eastAsia"/>
          <w:highlight w:val="none"/>
        </w:rPr>
        <w:sectPr>
          <w:headerReference r:id="rId5" w:type="default"/>
          <w:footerReference r:id="rId6" w:type="default"/>
          <w:pgSz w:w="11906" w:h="16838"/>
          <w:pgMar w:top="1134" w:right="1417" w:bottom="1134" w:left="1417" w:header="851" w:footer="992" w:gutter="0"/>
          <w:pgNumType w:fmt="decimal"/>
          <w:cols w:space="720" w:num="1"/>
          <w:rtlGutter w:val="0"/>
          <w:docGrid w:type="lines" w:linePitch="312" w:charSpace="0"/>
        </w:sectPr>
      </w:pPr>
      <w:bookmarkStart w:id="275" w:name="_Toc28263"/>
    </w:p>
    <w:p w14:paraId="281FEB04">
      <w:pPr>
        <w:pStyle w:val="3"/>
        <w:spacing w:line="360" w:lineRule="auto"/>
        <w:rPr>
          <w:snapToGrid w:val="0"/>
          <w:highlight w:val="none"/>
        </w:rPr>
      </w:pPr>
      <w:r>
        <w:rPr>
          <w:rFonts w:hint="eastAsia"/>
          <w:highlight w:val="none"/>
        </w:rPr>
        <w:t>第三章 采购需求</w:t>
      </w:r>
      <w:bookmarkEnd w:id="273"/>
      <w:bookmarkEnd w:id="274"/>
      <w:bookmarkEnd w:id="275"/>
      <w:bookmarkStart w:id="276" w:name="_Toc140132812"/>
      <w:bookmarkStart w:id="277" w:name="_Toc155185889"/>
      <w:bookmarkStart w:id="278" w:name="_Toc163492886"/>
      <w:r>
        <w:rPr>
          <w:rFonts w:hint="eastAsia"/>
          <w:snapToGrid w:val="0"/>
          <w:highlight w:val="none"/>
        </w:rPr>
        <w:t xml:space="preserve"> </w:t>
      </w:r>
    </w:p>
    <w:bookmarkEnd w:id="276"/>
    <w:bookmarkEnd w:id="277"/>
    <w:bookmarkEnd w:id="278"/>
    <w:p w14:paraId="697BF00D">
      <w:pPr>
        <w:pStyle w:val="4"/>
        <w:spacing w:before="0" w:after="0" w:line="360" w:lineRule="auto"/>
        <w:rPr>
          <w:highlight w:val="none"/>
        </w:rPr>
      </w:pPr>
      <w:bookmarkStart w:id="279" w:name="_Toc163492892"/>
      <w:bookmarkStart w:id="280" w:name="_Toc155185895"/>
      <w:r>
        <w:rPr>
          <w:rFonts w:hint="eastAsia"/>
          <w:highlight w:val="none"/>
        </w:rPr>
        <w:t xml:space="preserve">一、采购标的 </w:t>
      </w:r>
    </w:p>
    <w:p w14:paraId="29E886C3">
      <w:pPr>
        <w:pStyle w:val="41"/>
        <w:spacing w:line="360" w:lineRule="auto"/>
        <w:rPr>
          <w:snapToGrid w:val="0"/>
          <w:highlight w:val="none"/>
        </w:rPr>
      </w:pPr>
      <w:r>
        <w:rPr>
          <w:snapToGrid w:val="0"/>
          <w:highlight w:val="none"/>
        </w:rPr>
        <w:t xml:space="preserve">1. </w:t>
      </w:r>
      <w:r>
        <w:rPr>
          <w:rFonts w:hint="eastAsia"/>
          <w:snapToGrid w:val="0"/>
          <w:highlight w:val="none"/>
        </w:rPr>
        <w:t xml:space="preserve">采购标的（货物需求一览表或简要服务内容及数量） </w:t>
      </w:r>
    </w:p>
    <w:tbl>
      <w:tblPr>
        <w:tblStyle w:val="33"/>
        <w:tblW w:w="896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7"/>
        <w:gridCol w:w="1936"/>
        <w:gridCol w:w="1988"/>
        <w:gridCol w:w="983"/>
        <w:gridCol w:w="1033"/>
        <w:gridCol w:w="1008"/>
        <w:gridCol w:w="1063"/>
      </w:tblGrid>
      <w:tr w14:paraId="34A25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DEADC">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序号</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D80B9">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货物名称</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7B8DE">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规格</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36170">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单位</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30C49">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暂定使用量/年</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811AB">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建议控制价（元）</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5CA6">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备注</w:t>
            </w:r>
          </w:p>
        </w:tc>
      </w:tr>
      <w:tr w14:paraId="65F2A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E3E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BD5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桂皮</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68F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国产国标</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BB8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kg</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5BF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CBE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F98CC">
            <w:pPr>
              <w:rPr>
                <w:rFonts w:hint="eastAsia" w:ascii="宋体" w:hAnsi="宋体" w:eastAsia="宋体" w:cs="宋体"/>
                <w:i w:val="0"/>
                <w:iCs w:val="0"/>
                <w:color w:val="000000"/>
                <w:sz w:val="24"/>
                <w:szCs w:val="24"/>
                <w:highlight w:val="none"/>
                <w:u w:val="none"/>
              </w:rPr>
            </w:pPr>
          </w:p>
        </w:tc>
      </w:tr>
      <w:tr w14:paraId="203B3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24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B3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荜拨</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5AA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国产国标</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A50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kg</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AA1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9CC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4D9C1">
            <w:pPr>
              <w:rPr>
                <w:rFonts w:hint="eastAsia" w:ascii="宋体" w:hAnsi="宋体" w:eastAsia="宋体" w:cs="宋体"/>
                <w:i w:val="0"/>
                <w:iCs w:val="0"/>
                <w:color w:val="000000"/>
                <w:sz w:val="24"/>
                <w:szCs w:val="24"/>
                <w:highlight w:val="none"/>
                <w:u w:val="none"/>
              </w:rPr>
            </w:pPr>
          </w:p>
        </w:tc>
      </w:tr>
      <w:tr w14:paraId="2BDF6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5EA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030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草寇</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64E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国产国标</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9F4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kg</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D66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B09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43CEC">
            <w:pPr>
              <w:rPr>
                <w:rFonts w:hint="eastAsia" w:ascii="宋体" w:hAnsi="宋体" w:eastAsia="宋体" w:cs="宋体"/>
                <w:i w:val="0"/>
                <w:iCs w:val="0"/>
                <w:color w:val="000000"/>
                <w:sz w:val="24"/>
                <w:szCs w:val="24"/>
                <w:highlight w:val="none"/>
                <w:u w:val="none"/>
              </w:rPr>
            </w:pPr>
          </w:p>
        </w:tc>
      </w:tr>
      <w:tr w14:paraId="2C6B4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890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B0B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陈皮</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C5D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国产国标</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63D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kg</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529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6BE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30812">
            <w:pPr>
              <w:rPr>
                <w:rFonts w:hint="eastAsia" w:ascii="宋体" w:hAnsi="宋体" w:eastAsia="宋体" w:cs="宋体"/>
                <w:i w:val="0"/>
                <w:iCs w:val="0"/>
                <w:color w:val="000000"/>
                <w:sz w:val="24"/>
                <w:szCs w:val="24"/>
                <w:highlight w:val="none"/>
                <w:u w:val="none"/>
              </w:rPr>
            </w:pPr>
          </w:p>
        </w:tc>
      </w:tr>
      <w:tr w14:paraId="2D47F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683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DCD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党参</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A69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国产国标</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329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kg</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948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989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39071">
            <w:pPr>
              <w:rPr>
                <w:rFonts w:hint="eastAsia" w:ascii="宋体" w:hAnsi="宋体" w:eastAsia="宋体" w:cs="宋体"/>
                <w:i w:val="0"/>
                <w:iCs w:val="0"/>
                <w:color w:val="000000"/>
                <w:sz w:val="24"/>
                <w:szCs w:val="24"/>
                <w:highlight w:val="none"/>
                <w:u w:val="none"/>
              </w:rPr>
            </w:pPr>
          </w:p>
        </w:tc>
      </w:tr>
      <w:tr w14:paraId="18176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268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355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丁香</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A45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国产国标</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AD5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kg</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C74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93D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EC243">
            <w:pPr>
              <w:rPr>
                <w:rFonts w:hint="eastAsia" w:ascii="宋体" w:hAnsi="宋体" w:eastAsia="宋体" w:cs="宋体"/>
                <w:i w:val="0"/>
                <w:iCs w:val="0"/>
                <w:color w:val="000000"/>
                <w:sz w:val="24"/>
                <w:szCs w:val="24"/>
                <w:highlight w:val="none"/>
                <w:u w:val="none"/>
              </w:rPr>
            </w:pPr>
          </w:p>
        </w:tc>
      </w:tr>
      <w:tr w14:paraId="61599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853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6BB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红花椒（粒/面）</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0B5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国产国标</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DAF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kg</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85F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C1C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FB23F">
            <w:pPr>
              <w:rPr>
                <w:rFonts w:hint="eastAsia" w:ascii="宋体" w:hAnsi="宋体" w:eastAsia="宋体" w:cs="宋体"/>
                <w:i w:val="0"/>
                <w:iCs w:val="0"/>
                <w:color w:val="000000"/>
                <w:sz w:val="24"/>
                <w:szCs w:val="24"/>
                <w:highlight w:val="none"/>
                <w:u w:val="none"/>
              </w:rPr>
            </w:pPr>
          </w:p>
        </w:tc>
      </w:tr>
      <w:tr w14:paraId="69D3F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585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84E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青花椒</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EA3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国产国标</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920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kg</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3A4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A2C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4472F">
            <w:pPr>
              <w:rPr>
                <w:rFonts w:hint="eastAsia" w:ascii="宋体" w:hAnsi="宋体" w:eastAsia="宋体" w:cs="宋体"/>
                <w:i w:val="0"/>
                <w:iCs w:val="0"/>
                <w:color w:val="000000"/>
                <w:sz w:val="24"/>
                <w:szCs w:val="24"/>
                <w:highlight w:val="none"/>
                <w:u w:val="none"/>
              </w:rPr>
            </w:pPr>
          </w:p>
        </w:tc>
      </w:tr>
      <w:tr w14:paraId="3FEAC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2EA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4A5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孜然(粒（面）</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9D4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国产国标</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E8E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kg</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CC1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908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4217B">
            <w:pPr>
              <w:rPr>
                <w:rFonts w:hint="eastAsia" w:ascii="宋体" w:hAnsi="宋体" w:eastAsia="宋体" w:cs="宋体"/>
                <w:i w:val="0"/>
                <w:iCs w:val="0"/>
                <w:color w:val="000000"/>
                <w:sz w:val="24"/>
                <w:szCs w:val="24"/>
                <w:highlight w:val="none"/>
                <w:u w:val="none"/>
              </w:rPr>
            </w:pPr>
          </w:p>
        </w:tc>
      </w:tr>
      <w:tr w14:paraId="051C1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3EA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0E2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八角(干）</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03B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国产国标</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E40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kg</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147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8F9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4B316">
            <w:pPr>
              <w:rPr>
                <w:rFonts w:hint="eastAsia" w:ascii="宋体" w:hAnsi="宋体" w:eastAsia="宋体" w:cs="宋体"/>
                <w:i w:val="0"/>
                <w:iCs w:val="0"/>
                <w:color w:val="000000"/>
                <w:sz w:val="24"/>
                <w:szCs w:val="24"/>
                <w:highlight w:val="none"/>
                <w:u w:val="none"/>
              </w:rPr>
            </w:pPr>
          </w:p>
        </w:tc>
      </w:tr>
      <w:tr w14:paraId="61362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294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C21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虾皮-小</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1AC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国产国标</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C4A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kg</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40B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EEA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3019E">
            <w:pPr>
              <w:rPr>
                <w:rFonts w:hint="eastAsia" w:ascii="宋体" w:hAnsi="宋体" w:eastAsia="宋体" w:cs="宋体"/>
                <w:i w:val="0"/>
                <w:iCs w:val="0"/>
                <w:color w:val="000000"/>
                <w:sz w:val="24"/>
                <w:szCs w:val="24"/>
                <w:highlight w:val="none"/>
                <w:u w:val="none"/>
              </w:rPr>
            </w:pPr>
          </w:p>
        </w:tc>
      </w:tr>
      <w:tr w14:paraId="1AE7A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C1C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78A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黄栀子</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D50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国产国标</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F5A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584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F27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BE9E1">
            <w:pPr>
              <w:rPr>
                <w:rFonts w:hint="eastAsia" w:ascii="宋体" w:hAnsi="宋体" w:eastAsia="宋体" w:cs="宋体"/>
                <w:i w:val="0"/>
                <w:iCs w:val="0"/>
                <w:color w:val="000000"/>
                <w:sz w:val="24"/>
                <w:szCs w:val="24"/>
                <w:highlight w:val="none"/>
                <w:u w:val="none"/>
              </w:rPr>
            </w:pPr>
          </w:p>
        </w:tc>
      </w:tr>
      <w:tr w14:paraId="4F79A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599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A70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红枣</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2AE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国产国标</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2CF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B23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4F8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0C588">
            <w:pPr>
              <w:rPr>
                <w:rFonts w:hint="eastAsia" w:ascii="宋体" w:hAnsi="宋体" w:eastAsia="宋体" w:cs="宋体"/>
                <w:i w:val="0"/>
                <w:iCs w:val="0"/>
                <w:color w:val="000000"/>
                <w:sz w:val="24"/>
                <w:szCs w:val="24"/>
                <w:highlight w:val="none"/>
                <w:u w:val="none"/>
              </w:rPr>
            </w:pPr>
          </w:p>
        </w:tc>
      </w:tr>
      <w:tr w14:paraId="50D63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525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FDD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切片无籽红枣</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A3F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国产国标</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CB6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205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959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5A810">
            <w:pPr>
              <w:rPr>
                <w:rFonts w:hint="eastAsia" w:ascii="宋体" w:hAnsi="宋体" w:eastAsia="宋体" w:cs="宋体"/>
                <w:i w:val="0"/>
                <w:iCs w:val="0"/>
                <w:color w:val="000000"/>
                <w:sz w:val="24"/>
                <w:szCs w:val="24"/>
                <w:highlight w:val="none"/>
                <w:u w:val="none"/>
              </w:rPr>
            </w:pPr>
          </w:p>
        </w:tc>
      </w:tr>
      <w:tr w14:paraId="57D5F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C94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8C3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核桃仁</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F0A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国产国标</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234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3CD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E49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DD2DF">
            <w:pPr>
              <w:rPr>
                <w:rFonts w:hint="eastAsia" w:ascii="宋体" w:hAnsi="宋体" w:eastAsia="宋体" w:cs="宋体"/>
                <w:i w:val="0"/>
                <w:iCs w:val="0"/>
                <w:color w:val="000000"/>
                <w:sz w:val="24"/>
                <w:szCs w:val="24"/>
                <w:highlight w:val="none"/>
                <w:u w:val="none"/>
              </w:rPr>
            </w:pPr>
          </w:p>
        </w:tc>
      </w:tr>
      <w:tr w14:paraId="62EEA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247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7D9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云丝</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E08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国产国标</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757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3C5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E97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B9999">
            <w:pPr>
              <w:rPr>
                <w:rFonts w:hint="eastAsia" w:ascii="宋体" w:hAnsi="宋体" w:eastAsia="宋体" w:cs="宋体"/>
                <w:i w:val="0"/>
                <w:iCs w:val="0"/>
                <w:color w:val="000000"/>
                <w:sz w:val="24"/>
                <w:szCs w:val="24"/>
                <w:highlight w:val="none"/>
                <w:u w:val="none"/>
              </w:rPr>
            </w:pPr>
          </w:p>
        </w:tc>
      </w:tr>
      <w:tr w14:paraId="2EDE4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4E1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1D2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朝天椒（剪椒去籽）</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447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国产国标</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E39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C77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C54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AA90A">
            <w:pPr>
              <w:rPr>
                <w:rFonts w:hint="eastAsia" w:ascii="宋体" w:hAnsi="宋体" w:eastAsia="宋体" w:cs="宋体"/>
                <w:i w:val="0"/>
                <w:iCs w:val="0"/>
                <w:color w:val="000000"/>
                <w:sz w:val="24"/>
                <w:szCs w:val="24"/>
                <w:highlight w:val="none"/>
                <w:u w:val="none"/>
              </w:rPr>
            </w:pPr>
          </w:p>
        </w:tc>
      </w:tr>
      <w:tr w14:paraId="21052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475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9A4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越南椒</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294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国产国标</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7A0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D70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9EE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80E5E">
            <w:pPr>
              <w:rPr>
                <w:rFonts w:hint="eastAsia" w:ascii="宋体" w:hAnsi="宋体" w:eastAsia="宋体" w:cs="宋体"/>
                <w:i w:val="0"/>
                <w:iCs w:val="0"/>
                <w:color w:val="000000"/>
                <w:sz w:val="24"/>
                <w:szCs w:val="24"/>
                <w:highlight w:val="none"/>
                <w:u w:val="none"/>
              </w:rPr>
            </w:pPr>
          </w:p>
        </w:tc>
      </w:tr>
      <w:tr w14:paraId="0110B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6AF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A2E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炒米粉肉椒</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34B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国产国标</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104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E41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3D6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F5A45">
            <w:pPr>
              <w:rPr>
                <w:rFonts w:hint="eastAsia" w:ascii="宋体" w:hAnsi="宋体" w:eastAsia="宋体" w:cs="宋体"/>
                <w:i w:val="0"/>
                <w:iCs w:val="0"/>
                <w:color w:val="000000"/>
                <w:sz w:val="24"/>
                <w:szCs w:val="24"/>
                <w:highlight w:val="none"/>
                <w:u w:val="none"/>
              </w:rPr>
            </w:pPr>
          </w:p>
        </w:tc>
      </w:tr>
      <w:tr w14:paraId="11BE0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454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52D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普通肉椒</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0BF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国产国标</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7F9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250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8F2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3A259">
            <w:pPr>
              <w:rPr>
                <w:rFonts w:hint="eastAsia" w:ascii="宋体" w:hAnsi="宋体" w:eastAsia="宋体" w:cs="宋体"/>
                <w:i w:val="0"/>
                <w:iCs w:val="0"/>
                <w:color w:val="000000"/>
                <w:sz w:val="24"/>
                <w:szCs w:val="24"/>
                <w:highlight w:val="none"/>
                <w:u w:val="none"/>
              </w:rPr>
            </w:pPr>
          </w:p>
        </w:tc>
      </w:tr>
      <w:tr w14:paraId="0E964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B11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C12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熟胡麻粉</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686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国产国标</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D18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509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9B7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FCF56">
            <w:pPr>
              <w:rPr>
                <w:rFonts w:hint="eastAsia" w:ascii="宋体" w:hAnsi="宋体" w:eastAsia="宋体" w:cs="宋体"/>
                <w:i w:val="0"/>
                <w:iCs w:val="0"/>
                <w:color w:val="000000"/>
                <w:sz w:val="24"/>
                <w:szCs w:val="24"/>
                <w:highlight w:val="none"/>
                <w:u w:val="none"/>
              </w:rPr>
            </w:pPr>
          </w:p>
        </w:tc>
      </w:tr>
      <w:tr w14:paraId="2B6C3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B07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984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白糖（散称）</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6F9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国产国标</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BB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4AA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33C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64849">
            <w:pPr>
              <w:rPr>
                <w:rFonts w:hint="eastAsia" w:ascii="宋体" w:hAnsi="宋体" w:eastAsia="宋体" w:cs="宋体"/>
                <w:i w:val="0"/>
                <w:iCs w:val="0"/>
                <w:color w:val="000000"/>
                <w:sz w:val="24"/>
                <w:szCs w:val="24"/>
                <w:highlight w:val="none"/>
                <w:u w:val="none"/>
              </w:rPr>
            </w:pPr>
          </w:p>
        </w:tc>
      </w:tr>
      <w:tr w14:paraId="0099B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7B5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83A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熟芝麻</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B6A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国产国标</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48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911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A06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3B3E5">
            <w:pPr>
              <w:rPr>
                <w:rFonts w:hint="eastAsia" w:ascii="宋体" w:hAnsi="宋体" w:eastAsia="宋体" w:cs="宋体"/>
                <w:i w:val="0"/>
                <w:iCs w:val="0"/>
                <w:color w:val="000000"/>
                <w:sz w:val="24"/>
                <w:szCs w:val="24"/>
                <w:highlight w:val="none"/>
                <w:u w:val="none"/>
              </w:rPr>
            </w:pPr>
          </w:p>
        </w:tc>
      </w:tr>
      <w:tr w14:paraId="4B552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C1F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A13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糯米粉</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543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500g/袋</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219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袋</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AA8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EC7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0D2BA">
            <w:pPr>
              <w:rPr>
                <w:rFonts w:hint="eastAsia" w:ascii="宋体" w:hAnsi="宋体" w:eastAsia="宋体" w:cs="宋体"/>
                <w:i w:val="0"/>
                <w:iCs w:val="0"/>
                <w:color w:val="000000"/>
                <w:sz w:val="24"/>
                <w:szCs w:val="24"/>
                <w:highlight w:val="none"/>
                <w:u w:val="none"/>
              </w:rPr>
            </w:pPr>
          </w:p>
        </w:tc>
      </w:tr>
      <w:tr w14:paraId="0FD5A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493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479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奥尔良香辣腌料</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496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1kg/袋</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5D1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袋</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3F8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65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15589">
            <w:pPr>
              <w:rPr>
                <w:rFonts w:hint="eastAsia" w:ascii="宋体" w:hAnsi="宋体" w:eastAsia="宋体" w:cs="宋体"/>
                <w:i w:val="0"/>
                <w:iCs w:val="0"/>
                <w:color w:val="000000"/>
                <w:sz w:val="24"/>
                <w:szCs w:val="24"/>
                <w:highlight w:val="none"/>
                <w:u w:val="none"/>
              </w:rPr>
            </w:pPr>
          </w:p>
        </w:tc>
      </w:tr>
      <w:tr w14:paraId="42EB5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E9E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2D0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07B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5L/桶</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A2E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65B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E99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BDB03">
            <w:pPr>
              <w:rPr>
                <w:rFonts w:hint="eastAsia" w:ascii="宋体" w:hAnsi="宋体" w:eastAsia="宋体" w:cs="宋体"/>
                <w:i w:val="0"/>
                <w:iCs w:val="0"/>
                <w:color w:val="000000"/>
                <w:sz w:val="24"/>
                <w:szCs w:val="24"/>
                <w:highlight w:val="none"/>
                <w:u w:val="none"/>
              </w:rPr>
            </w:pPr>
          </w:p>
        </w:tc>
      </w:tr>
      <w:tr w14:paraId="5C2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4B6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BF23F">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老抽</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07F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2.5L/桶</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2ED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693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103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1B585">
            <w:pPr>
              <w:rPr>
                <w:rFonts w:hint="eastAsia" w:ascii="宋体" w:hAnsi="宋体" w:eastAsia="宋体" w:cs="宋体"/>
                <w:i w:val="0"/>
                <w:iCs w:val="0"/>
                <w:color w:val="000000"/>
                <w:sz w:val="24"/>
                <w:szCs w:val="24"/>
                <w:highlight w:val="none"/>
                <w:u w:val="none"/>
              </w:rPr>
            </w:pPr>
          </w:p>
        </w:tc>
      </w:tr>
      <w:tr w14:paraId="165F4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6A1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63EDA">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生抽</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A82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1.75L/桶</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A6B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0E7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179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F7C8E">
            <w:pPr>
              <w:rPr>
                <w:rFonts w:hint="eastAsia" w:ascii="宋体" w:hAnsi="宋体" w:eastAsia="宋体" w:cs="宋体"/>
                <w:i w:val="0"/>
                <w:iCs w:val="0"/>
                <w:color w:val="000000"/>
                <w:sz w:val="24"/>
                <w:szCs w:val="24"/>
                <w:highlight w:val="none"/>
                <w:u w:val="none"/>
              </w:rPr>
            </w:pPr>
          </w:p>
        </w:tc>
      </w:tr>
      <w:tr w14:paraId="4381E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A33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935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香油</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87E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400g/瓶</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35C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9CF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A45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8F341">
            <w:pPr>
              <w:rPr>
                <w:rFonts w:hint="eastAsia" w:ascii="宋体" w:hAnsi="宋体" w:eastAsia="宋体" w:cs="宋体"/>
                <w:i w:val="0"/>
                <w:iCs w:val="0"/>
                <w:color w:val="000000"/>
                <w:sz w:val="24"/>
                <w:szCs w:val="24"/>
                <w:highlight w:val="none"/>
                <w:u w:val="none"/>
              </w:rPr>
            </w:pPr>
          </w:p>
        </w:tc>
      </w:tr>
      <w:tr w14:paraId="1D4AA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BC8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A68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蚝油</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56F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2.2L/桶</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2CC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B91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D0D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5061B">
            <w:pPr>
              <w:rPr>
                <w:rFonts w:hint="eastAsia" w:ascii="宋体" w:hAnsi="宋体" w:eastAsia="宋体" w:cs="宋体"/>
                <w:i w:val="0"/>
                <w:iCs w:val="0"/>
                <w:color w:val="000000"/>
                <w:sz w:val="24"/>
                <w:szCs w:val="24"/>
                <w:highlight w:val="none"/>
                <w:u w:val="none"/>
              </w:rPr>
            </w:pPr>
          </w:p>
        </w:tc>
      </w:tr>
      <w:tr w14:paraId="54C2D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21D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ED5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火锅底料</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B97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500/包</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9B8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611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C45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8EA35">
            <w:pPr>
              <w:rPr>
                <w:rFonts w:hint="eastAsia" w:ascii="宋体" w:hAnsi="宋体" w:eastAsia="宋体" w:cs="宋体"/>
                <w:i w:val="0"/>
                <w:iCs w:val="0"/>
                <w:color w:val="000000"/>
                <w:sz w:val="24"/>
                <w:szCs w:val="24"/>
                <w:highlight w:val="none"/>
                <w:u w:val="none"/>
              </w:rPr>
            </w:pPr>
          </w:p>
        </w:tc>
      </w:tr>
      <w:tr w14:paraId="28400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B7D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B49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二锅头</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501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500ml</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B3B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BC4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D2A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1996A">
            <w:pPr>
              <w:rPr>
                <w:rFonts w:hint="eastAsia" w:ascii="宋体" w:hAnsi="宋体" w:eastAsia="宋体" w:cs="宋体"/>
                <w:i w:val="0"/>
                <w:iCs w:val="0"/>
                <w:color w:val="000000"/>
                <w:sz w:val="24"/>
                <w:szCs w:val="24"/>
                <w:highlight w:val="none"/>
                <w:u w:val="none"/>
              </w:rPr>
            </w:pPr>
          </w:p>
        </w:tc>
      </w:tr>
      <w:tr w14:paraId="69C4F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921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F3F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蒜香粉</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1F9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500g/盒</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8BD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121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B8C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1DE53">
            <w:pPr>
              <w:rPr>
                <w:rFonts w:hint="eastAsia" w:ascii="宋体" w:hAnsi="宋体" w:eastAsia="宋体" w:cs="宋体"/>
                <w:i w:val="0"/>
                <w:iCs w:val="0"/>
                <w:color w:val="000000"/>
                <w:sz w:val="24"/>
                <w:szCs w:val="24"/>
                <w:highlight w:val="none"/>
                <w:u w:val="none"/>
              </w:rPr>
            </w:pPr>
          </w:p>
        </w:tc>
      </w:tr>
      <w:tr w14:paraId="5179C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46E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4E6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纯红薯粉条（优质）</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669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国产国标</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0F3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161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6EF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3CE82">
            <w:pPr>
              <w:rPr>
                <w:rFonts w:hint="eastAsia" w:ascii="宋体" w:hAnsi="宋体" w:eastAsia="宋体" w:cs="宋体"/>
                <w:i w:val="0"/>
                <w:iCs w:val="0"/>
                <w:color w:val="000000"/>
                <w:sz w:val="24"/>
                <w:szCs w:val="24"/>
                <w:highlight w:val="none"/>
                <w:u w:val="none"/>
              </w:rPr>
            </w:pPr>
          </w:p>
        </w:tc>
      </w:tr>
      <w:tr w14:paraId="0AF08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D0F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A3D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宽粉</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187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2.5公斤/袋</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F35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694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356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E8B7F">
            <w:pPr>
              <w:rPr>
                <w:rFonts w:hint="eastAsia" w:ascii="宋体" w:hAnsi="宋体" w:eastAsia="宋体" w:cs="宋体"/>
                <w:i w:val="0"/>
                <w:iCs w:val="0"/>
                <w:color w:val="000000"/>
                <w:sz w:val="24"/>
                <w:szCs w:val="24"/>
                <w:highlight w:val="none"/>
                <w:u w:val="none"/>
              </w:rPr>
            </w:pPr>
          </w:p>
        </w:tc>
      </w:tr>
      <w:tr w14:paraId="08731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396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4BE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腐竹</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425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500g/包</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959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75E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1E8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E7DBE">
            <w:pPr>
              <w:rPr>
                <w:rFonts w:hint="eastAsia" w:ascii="宋体" w:hAnsi="宋体" w:eastAsia="宋体" w:cs="宋体"/>
                <w:i w:val="0"/>
                <w:iCs w:val="0"/>
                <w:color w:val="000000"/>
                <w:sz w:val="24"/>
                <w:szCs w:val="24"/>
                <w:highlight w:val="none"/>
                <w:u w:val="none"/>
              </w:rPr>
            </w:pPr>
          </w:p>
        </w:tc>
      </w:tr>
      <w:tr w14:paraId="592B7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B61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158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海带丝（鲜）</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FAE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800ml/件</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EFD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285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9E5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F4432">
            <w:pPr>
              <w:rPr>
                <w:rFonts w:hint="eastAsia" w:ascii="宋体" w:hAnsi="宋体" w:eastAsia="宋体" w:cs="宋体"/>
                <w:i w:val="0"/>
                <w:iCs w:val="0"/>
                <w:color w:val="000000"/>
                <w:sz w:val="24"/>
                <w:szCs w:val="24"/>
                <w:highlight w:val="none"/>
                <w:u w:val="none"/>
              </w:rPr>
            </w:pPr>
          </w:p>
        </w:tc>
      </w:tr>
      <w:tr w14:paraId="050D3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B1A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A91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黄金豆-酥豆</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DF6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1kg/包</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298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ED0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900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4E0D6">
            <w:pPr>
              <w:rPr>
                <w:rFonts w:hint="eastAsia" w:ascii="宋体" w:hAnsi="宋体" w:eastAsia="宋体" w:cs="宋体"/>
                <w:i w:val="0"/>
                <w:iCs w:val="0"/>
                <w:color w:val="000000"/>
                <w:sz w:val="24"/>
                <w:szCs w:val="24"/>
                <w:highlight w:val="none"/>
                <w:u w:val="none"/>
              </w:rPr>
            </w:pPr>
          </w:p>
        </w:tc>
      </w:tr>
      <w:tr w14:paraId="068DE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37D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633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低筋粉</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4CA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25kg/袋</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C5B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065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11B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9BFB3">
            <w:pPr>
              <w:rPr>
                <w:rFonts w:hint="eastAsia" w:ascii="宋体" w:hAnsi="宋体" w:eastAsia="宋体" w:cs="宋体"/>
                <w:i w:val="0"/>
                <w:iCs w:val="0"/>
                <w:color w:val="000000"/>
                <w:sz w:val="24"/>
                <w:szCs w:val="24"/>
                <w:highlight w:val="none"/>
                <w:u w:val="none"/>
              </w:rPr>
            </w:pPr>
          </w:p>
        </w:tc>
      </w:tr>
      <w:tr w14:paraId="65BB3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AB3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C61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苹果酱</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7EE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228g/瓶</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F69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635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61F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5510E">
            <w:pPr>
              <w:rPr>
                <w:rFonts w:hint="eastAsia" w:ascii="宋体" w:hAnsi="宋体" w:eastAsia="宋体" w:cs="宋体"/>
                <w:i w:val="0"/>
                <w:iCs w:val="0"/>
                <w:color w:val="000000"/>
                <w:sz w:val="24"/>
                <w:szCs w:val="24"/>
                <w:highlight w:val="none"/>
                <w:u w:val="none"/>
              </w:rPr>
            </w:pPr>
          </w:p>
        </w:tc>
      </w:tr>
      <w:tr w14:paraId="122D6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33A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018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蛋糕粉</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7F0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25kg/袋</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BEB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5A0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7DF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7B4C3">
            <w:pPr>
              <w:rPr>
                <w:rFonts w:hint="eastAsia" w:ascii="宋体" w:hAnsi="宋体" w:eastAsia="宋体" w:cs="宋体"/>
                <w:i w:val="0"/>
                <w:iCs w:val="0"/>
                <w:color w:val="000000"/>
                <w:sz w:val="24"/>
                <w:szCs w:val="24"/>
                <w:highlight w:val="none"/>
                <w:u w:val="none"/>
              </w:rPr>
            </w:pPr>
          </w:p>
        </w:tc>
      </w:tr>
      <w:tr w14:paraId="67090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691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AEC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花生米（大粒）</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BC8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25kg/袋</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069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586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A6E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1D36A">
            <w:pPr>
              <w:rPr>
                <w:rFonts w:hint="eastAsia" w:ascii="宋体" w:hAnsi="宋体" w:eastAsia="宋体" w:cs="宋体"/>
                <w:i w:val="0"/>
                <w:iCs w:val="0"/>
                <w:color w:val="000000"/>
                <w:sz w:val="24"/>
                <w:szCs w:val="24"/>
                <w:highlight w:val="none"/>
                <w:u w:val="none"/>
              </w:rPr>
            </w:pPr>
          </w:p>
        </w:tc>
      </w:tr>
      <w:tr w14:paraId="5896A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486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30B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黑米</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C6B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25kg/袋</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CA8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AD3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3DE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BF8DC">
            <w:pPr>
              <w:rPr>
                <w:rFonts w:hint="eastAsia" w:ascii="宋体" w:hAnsi="宋体" w:eastAsia="宋体" w:cs="宋体"/>
                <w:i w:val="0"/>
                <w:iCs w:val="0"/>
                <w:color w:val="000000"/>
                <w:sz w:val="24"/>
                <w:szCs w:val="24"/>
                <w:highlight w:val="none"/>
                <w:u w:val="none"/>
              </w:rPr>
            </w:pPr>
          </w:p>
        </w:tc>
      </w:tr>
      <w:tr w14:paraId="60ACF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B1F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9D6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小米</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9EB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25kg</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1CA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232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7EB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A6B00">
            <w:pPr>
              <w:rPr>
                <w:rFonts w:hint="eastAsia" w:ascii="宋体" w:hAnsi="宋体" w:eastAsia="宋体" w:cs="宋体"/>
                <w:i w:val="0"/>
                <w:iCs w:val="0"/>
                <w:color w:val="000000"/>
                <w:sz w:val="24"/>
                <w:szCs w:val="24"/>
                <w:highlight w:val="none"/>
                <w:u w:val="none"/>
              </w:rPr>
            </w:pPr>
          </w:p>
        </w:tc>
      </w:tr>
      <w:tr w14:paraId="4163A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F63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C55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玉米面（优质）</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66B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25kg/袋</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7CE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A87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094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C7D12">
            <w:pPr>
              <w:rPr>
                <w:rFonts w:hint="eastAsia" w:ascii="宋体" w:hAnsi="宋体" w:eastAsia="宋体" w:cs="宋体"/>
                <w:i w:val="0"/>
                <w:iCs w:val="0"/>
                <w:color w:val="000000"/>
                <w:sz w:val="24"/>
                <w:szCs w:val="24"/>
                <w:highlight w:val="none"/>
                <w:u w:val="none"/>
              </w:rPr>
            </w:pPr>
          </w:p>
        </w:tc>
      </w:tr>
      <w:tr w14:paraId="36ADD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37A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ED8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玉米糁子</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252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25kg/袋</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409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9FB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E7B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23B17">
            <w:pPr>
              <w:rPr>
                <w:rFonts w:hint="eastAsia" w:ascii="宋体" w:hAnsi="宋体" w:eastAsia="宋体" w:cs="宋体"/>
                <w:i w:val="0"/>
                <w:iCs w:val="0"/>
                <w:color w:val="000000"/>
                <w:sz w:val="24"/>
                <w:szCs w:val="24"/>
                <w:highlight w:val="none"/>
                <w:u w:val="none"/>
              </w:rPr>
            </w:pPr>
          </w:p>
        </w:tc>
      </w:tr>
      <w:tr w14:paraId="6516C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2C2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7DE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牛肉肉松</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D5C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2.5kg/袋</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F33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C03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FD3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C5C6E">
            <w:pPr>
              <w:rPr>
                <w:rFonts w:hint="eastAsia" w:ascii="宋体" w:hAnsi="宋体" w:eastAsia="宋体" w:cs="宋体"/>
                <w:i w:val="0"/>
                <w:iCs w:val="0"/>
                <w:color w:val="000000"/>
                <w:sz w:val="24"/>
                <w:szCs w:val="24"/>
                <w:highlight w:val="none"/>
                <w:u w:val="none"/>
              </w:rPr>
            </w:pPr>
          </w:p>
        </w:tc>
      </w:tr>
      <w:tr w14:paraId="0F92A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D93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0AE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焙烤糖浆</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A32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5kg/桶</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187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24B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CCF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97837">
            <w:pPr>
              <w:rPr>
                <w:rFonts w:hint="eastAsia" w:ascii="宋体" w:hAnsi="宋体" w:eastAsia="宋体" w:cs="宋体"/>
                <w:i w:val="0"/>
                <w:iCs w:val="0"/>
                <w:color w:val="000000"/>
                <w:sz w:val="24"/>
                <w:szCs w:val="24"/>
                <w:highlight w:val="none"/>
                <w:u w:val="none"/>
              </w:rPr>
            </w:pPr>
          </w:p>
        </w:tc>
      </w:tr>
      <w:tr w14:paraId="6A0FC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5D6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176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食用枧水</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E47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5kg/桶</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23D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8C3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5B3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B19F2">
            <w:pPr>
              <w:rPr>
                <w:rFonts w:hint="eastAsia" w:ascii="宋体" w:hAnsi="宋体" w:eastAsia="宋体" w:cs="宋体"/>
                <w:i w:val="0"/>
                <w:iCs w:val="0"/>
                <w:color w:val="000000"/>
                <w:sz w:val="24"/>
                <w:szCs w:val="24"/>
                <w:highlight w:val="none"/>
                <w:u w:val="none"/>
              </w:rPr>
            </w:pPr>
          </w:p>
        </w:tc>
      </w:tr>
      <w:tr w14:paraId="527B4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788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831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植植淡奶油</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5B4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lL/盒</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934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2F3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0A0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EB177">
            <w:pPr>
              <w:rPr>
                <w:rFonts w:hint="eastAsia" w:ascii="宋体" w:hAnsi="宋体" w:eastAsia="宋体" w:cs="宋体"/>
                <w:i w:val="0"/>
                <w:iCs w:val="0"/>
                <w:color w:val="000000"/>
                <w:sz w:val="24"/>
                <w:szCs w:val="24"/>
                <w:highlight w:val="none"/>
                <w:u w:val="none"/>
              </w:rPr>
            </w:pPr>
          </w:p>
        </w:tc>
      </w:tr>
      <w:tr w14:paraId="7CA19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B24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84A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荔浦芋泥馅</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F38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国产国标</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CDB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69E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84A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E376B">
            <w:pPr>
              <w:rPr>
                <w:rFonts w:hint="eastAsia" w:ascii="宋体" w:hAnsi="宋体" w:eastAsia="宋体" w:cs="宋体"/>
                <w:i w:val="0"/>
                <w:iCs w:val="0"/>
                <w:color w:val="000000"/>
                <w:sz w:val="24"/>
                <w:szCs w:val="24"/>
                <w:highlight w:val="none"/>
                <w:u w:val="none"/>
              </w:rPr>
            </w:pPr>
          </w:p>
        </w:tc>
      </w:tr>
      <w:tr w14:paraId="26381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37B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20C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蛋糕纸（油纸）</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9DB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15A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2DF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B55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311F2">
            <w:pPr>
              <w:rPr>
                <w:rFonts w:hint="eastAsia" w:ascii="宋体" w:hAnsi="宋体" w:eastAsia="宋体" w:cs="宋体"/>
                <w:i w:val="0"/>
                <w:iCs w:val="0"/>
                <w:color w:val="000000"/>
                <w:sz w:val="24"/>
                <w:szCs w:val="24"/>
                <w:highlight w:val="none"/>
                <w:u w:val="none"/>
              </w:rPr>
            </w:pPr>
          </w:p>
        </w:tc>
      </w:tr>
      <w:tr w14:paraId="292EA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B69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53</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66F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生粉</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39D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25kg/袋</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F82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DEE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E60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CAEFE">
            <w:pPr>
              <w:rPr>
                <w:rFonts w:hint="eastAsia" w:ascii="宋体" w:hAnsi="宋体" w:eastAsia="宋体" w:cs="宋体"/>
                <w:i w:val="0"/>
                <w:iCs w:val="0"/>
                <w:color w:val="000000"/>
                <w:sz w:val="24"/>
                <w:szCs w:val="24"/>
                <w:highlight w:val="none"/>
                <w:u w:val="none"/>
              </w:rPr>
            </w:pPr>
          </w:p>
        </w:tc>
      </w:tr>
      <w:tr w14:paraId="4354E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B73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6A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黑胡椒(粉）</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6F0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国产国标</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FD1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kg</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45A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317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6D731">
            <w:pPr>
              <w:rPr>
                <w:rFonts w:hint="eastAsia" w:ascii="宋体" w:hAnsi="宋体" w:eastAsia="宋体" w:cs="宋体"/>
                <w:i w:val="0"/>
                <w:iCs w:val="0"/>
                <w:color w:val="000000"/>
                <w:sz w:val="24"/>
                <w:szCs w:val="24"/>
                <w:highlight w:val="none"/>
                <w:u w:val="none"/>
              </w:rPr>
            </w:pPr>
          </w:p>
        </w:tc>
      </w:tr>
      <w:tr w14:paraId="20C24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7FD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8EB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香叶</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D9D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国产国标</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076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kg</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B1E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788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B4501">
            <w:pPr>
              <w:rPr>
                <w:rFonts w:hint="eastAsia" w:ascii="宋体" w:hAnsi="宋体" w:eastAsia="宋体" w:cs="宋体"/>
                <w:i w:val="0"/>
                <w:iCs w:val="0"/>
                <w:color w:val="000000"/>
                <w:sz w:val="24"/>
                <w:szCs w:val="24"/>
                <w:highlight w:val="none"/>
                <w:u w:val="none"/>
              </w:rPr>
            </w:pPr>
          </w:p>
        </w:tc>
      </w:tr>
      <w:tr w14:paraId="38FF1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DC4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776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小茴香</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65E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国产国标</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20C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kg</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C15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D9B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76C8B">
            <w:pPr>
              <w:rPr>
                <w:rFonts w:hint="eastAsia" w:ascii="宋体" w:hAnsi="宋体" w:eastAsia="宋体" w:cs="宋体"/>
                <w:i w:val="0"/>
                <w:iCs w:val="0"/>
                <w:color w:val="000000"/>
                <w:sz w:val="24"/>
                <w:szCs w:val="24"/>
                <w:highlight w:val="none"/>
                <w:u w:val="none"/>
              </w:rPr>
            </w:pPr>
          </w:p>
        </w:tc>
      </w:tr>
      <w:tr w14:paraId="3FD01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050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48A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香草</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21E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国产国标</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E51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kg</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52A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AEC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21CF8">
            <w:pPr>
              <w:rPr>
                <w:rFonts w:hint="eastAsia" w:ascii="宋体" w:hAnsi="宋体" w:eastAsia="宋体" w:cs="宋体"/>
                <w:i w:val="0"/>
                <w:iCs w:val="0"/>
                <w:color w:val="000000"/>
                <w:sz w:val="24"/>
                <w:szCs w:val="24"/>
                <w:highlight w:val="none"/>
                <w:u w:val="none"/>
              </w:rPr>
            </w:pPr>
          </w:p>
        </w:tc>
      </w:tr>
      <w:tr w14:paraId="5DD2D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C23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07A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香豆子粉</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B35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国产国标</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F39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kg</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975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B9C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30A4D">
            <w:pPr>
              <w:rPr>
                <w:rFonts w:hint="eastAsia" w:ascii="宋体" w:hAnsi="宋体" w:eastAsia="宋体" w:cs="宋体"/>
                <w:i w:val="0"/>
                <w:iCs w:val="0"/>
                <w:color w:val="000000"/>
                <w:sz w:val="24"/>
                <w:szCs w:val="24"/>
                <w:highlight w:val="none"/>
                <w:u w:val="none"/>
              </w:rPr>
            </w:pPr>
          </w:p>
        </w:tc>
      </w:tr>
      <w:tr w14:paraId="17BCF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BAD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5B7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山奈</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75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国产国标</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EEF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kg</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3BB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FBD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3567E">
            <w:pPr>
              <w:rPr>
                <w:rFonts w:hint="eastAsia" w:ascii="宋体" w:hAnsi="宋体" w:eastAsia="宋体" w:cs="宋体"/>
                <w:i w:val="0"/>
                <w:iCs w:val="0"/>
                <w:color w:val="000000"/>
                <w:sz w:val="24"/>
                <w:szCs w:val="24"/>
                <w:highlight w:val="none"/>
                <w:u w:val="none"/>
              </w:rPr>
            </w:pPr>
          </w:p>
        </w:tc>
      </w:tr>
      <w:tr w14:paraId="423DB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138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335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紫草</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8C9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国产国标</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B4D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kg</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FFC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07A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B7454">
            <w:pPr>
              <w:rPr>
                <w:rFonts w:hint="eastAsia" w:ascii="宋体" w:hAnsi="宋体" w:eastAsia="宋体" w:cs="宋体"/>
                <w:i w:val="0"/>
                <w:iCs w:val="0"/>
                <w:color w:val="000000"/>
                <w:sz w:val="24"/>
                <w:szCs w:val="24"/>
                <w:highlight w:val="none"/>
                <w:u w:val="none"/>
              </w:rPr>
            </w:pPr>
          </w:p>
        </w:tc>
      </w:tr>
      <w:tr w14:paraId="7376C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8DF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18C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海米</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856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国产国标</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A61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kg</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BD8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43C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A852F">
            <w:pPr>
              <w:rPr>
                <w:rFonts w:hint="eastAsia" w:ascii="宋体" w:hAnsi="宋体" w:eastAsia="宋体" w:cs="宋体"/>
                <w:i w:val="0"/>
                <w:iCs w:val="0"/>
                <w:color w:val="000000"/>
                <w:sz w:val="24"/>
                <w:szCs w:val="24"/>
                <w:highlight w:val="none"/>
                <w:u w:val="none"/>
              </w:rPr>
            </w:pPr>
          </w:p>
        </w:tc>
      </w:tr>
      <w:tr w14:paraId="69516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2EE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471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砂仁</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44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国产国标</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B12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kg</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0D7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20D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58083">
            <w:pPr>
              <w:rPr>
                <w:rFonts w:hint="eastAsia" w:ascii="宋体" w:hAnsi="宋体" w:eastAsia="宋体" w:cs="宋体"/>
                <w:i w:val="0"/>
                <w:iCs w:val="0"/>
                <w:color w:val="000000"/>
                <w:sz w:val="24"/>
                <w:szCs w:val="24"/>
                <w:highlight w:val="none"/>
                <w:u w:val="none"/>
              </w:rPr>
            </w:pPr>
          </w:p>
        </w:tc>
      </w:tr>
      <w:tr w14:paraId="64389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911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D3E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干良姜</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12A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国产国标</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FC4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385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B68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D0872">
            <w:pPr>
              <w:rPr>
                <w:rFonts w:hint="eastAsia" w:ascii="宋体" w:hAnsi="宋体" w:eastAsia="宋体" w:cs="宋体"/>
                <w:i w:val="0"/>
                <w:iCs w:val="0"/>
                <w:color w:val="000000"/>
                <w:sz w:val="24"/>
                <w:szCs w:val="24"/>
                <w:highlight w:val="none"/>
                <w:u w:val="none"/>
              </w:rPr>
            </w:pPr>
          </w:p>
        </w:tc>
      </w:tr>
      <w:tr w14:paraId="28162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D52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6E3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开心果</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E7A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国产国标</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7A0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17E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6DB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26E76">
            <w:pPr>
              <w:rPr>
                <w:rFonts w:hint="eastAsia" w:ascii="宋体" w:hAnsi="宋体" w:eastAsia="宋体" w:cs="宋体"/>
                <w:i w:val="0"/>
                <w:iCs w:val="0"/>
                <w:color w:val="000000"/>
                <w:sz w:val="24"/>
                <w:szCs w:val="24"/>
                <w:highlight w:val="none"/>
                <w:u w:val="none"/>
              </w:rPr>
            </w:pPr>
          </w:p>
        </w:tc>
      </w:tr>
      <w:tr w14:paraId="09C5B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7FF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C9C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原味巴旦木</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148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国产国标</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E52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D61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839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93EDC">
            <w:pPr>
              <w:rPr>
                <w:rFonts w:hint="eastAsia" w:ascii="宋体" w:hAnsi="宋体" w:eastAsia="宋体" w:cs="宋体"/>
                <w:i w:val="0"/>
                <w:iCs w:val="0"/>
                <w:color w:val="000000"/>
                <w:sz w:val="24"/>
                <w:szCs w:val="24"/>
                <w:highlight w:val="none"/>
                <w:u w:val="none"/>
              </w:rPr>
            </w:pPr>
          </w:p>
        </w:tc>
      </w:tr>
      <w:tr w14:paraId="258B4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E84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66</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531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香妃葡萄干</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2A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国产国标</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B75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67F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42F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9D409">
            <w:pPr>
              <w:rPr>
                <w:rFonts w:hint="eastAsia" w:ascii="宋体" w:hAnsi="宋体" w:eastAsia="宋体" w:cs="宋体"/>
                <w:i w:val="0"/>
                <w:iCs w:val="0"/>
                <w:color w:val="000000"/>
                <w:sz w:val="24"/>
                <w:szCs w:val="24"/>
                <w:highlight w:val="none"/>
                <w:u w:val="none"/>
              </w:rPr>
            </w:pPr>
          </w:p>
        </w:tc>
      </w:tr>
      <w:tr w14:paraId="57443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5BB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67</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296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和田大枣</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497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国产国标</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128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3D0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C3D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54174">
            <w:pPr>
              <w:rPr>
                <w:rFonts w:hint="eastAsia" w:ascii="宋体" w:hAnsi="宋体" w:eastAsia="宋体" w:cs="宋体"/>
                <w:i w:val="0"/>
                <w:iCs w:val="0"/>
                <w:color w:val="000000"/>
                <w:sz w:val="24"/>
                <w:szCs w:val="24"/>
                <w:highlight w:val="none"/>
                <w:u w:val="none"/>
              </w:rPr>
            </w:pPr>
          </w:p>
        </w:tc>
      </w:tr>
      <w:tr w14:paraId="6EAB9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9FD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68</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3DD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小白杏干</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172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国产国标</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DAE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4F5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41E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438EB">
            <w:pPr>
              <w:rPr>
                <w:rFonts w:hint="eastAsia" w:ascii="宋体" w:hAnsi="宋体" w:eastAsia="宋体" w:cs="宋体"/>
                <w:i w:val="0"/>
                <w:iCs w:val="0"/>
                <w:color w:val="000000"/>
                <w:sz w:val="24"/>
                <w:szCs w:val="24"/>
                <w:highlight w:val="none"/>
                <w:u w:val="none"/>
              </w:rPr>
            </w:pPr>
          </w:p>
        </w:tc>
      </w:tr>
      <w:tr w14:paraId="5B2F7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45E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69</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920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西梅干</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468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国产国标</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65A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209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998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A7BA6">
            <w:pPr>
              <w:rPr>
                <w:rFonts w:hint="eastAsia" w:ascii="宋体" w:hAnsi="宋体" w:eastAsia="宋体" w:cs="宋体"/>
                <w:i w:val="0"/>
                <w:iCs w:val="0"/>
                <w:color w:val="000000"/>
                <w:sz w:val="24"/>
                <w:szCs w:val="24"/>
                <w:highlight w:val="none"/>
                <w:u w:val="none"/>
              </w:rPr>
            </w:pPr>
          </w:p>
        </w:tc>
      </w:tr>
      <w:tr w14:paraId="7DE6B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1A0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12E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碧根果</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D8E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国产国标</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627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5A8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6C3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097B8">
            <w:pPr>
              <w:rPr>
                <w:rFonts w:hint="eastAsia" w:ascii="宋体" w:hAnsi="宋体" w:eastAsia="宋体" w:cs="宋体"/>
                <w:i w:val="0"/>
                <w:iCs w:val="0"/>
                <w:color w:val="000000"/>
                <w:sz w:val="24"/>
                <w:szCs w:val="24"/>
                <w:highlight w:val="none"/>
                <w:u w:val="none"/>
              </w:rPr>
            </w:pPr>
          </w:p>
        </w:tc>
      </w:tr>
      <w:tr w14:paraId="1BCAA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C8E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71</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D15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纸皮核桃</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A71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国产国标</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D68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705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43F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8BBDE">
            <w:pPr>
              <w:rPr>
                <w:rFonts w:hint="eastAsia" w:ascii="宋体" w:hAnsi="宋体" w:eastAsia="宋体" w:cs="宋体"/>
                <w:i w:val="0"/>
                <w:iCs w:val="0"/>
                <w:color w:val="000000"/>
                <w:sz w:val="24"/>
                <w:szCs w:val="24"/>
                <w:highlight w:val="none"/>
                <w:u w:val="none"/>
              </w:rPr>
            </w:pPr>
          </w:p>
        </w:tc>
      </w:tr>
      <w:tr w14:paraId="15B37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E4A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72</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D47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无花果干</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135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国产国标</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02E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9A7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07F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98AF3">
            <w:pPr>
              <w:rPr>
                <w:rFonts w:hint="eastAsia" w:ascii="宋体" w:hAnsi="宋体" w:eastAsia="宋体" w:cs="宋体"/>
                <w:i w:val="0"/>
                <w:iCs w:val="0"/>
                <w:color w:val="000000"/>
                <w:sz w:val="24"/>
                <w:szCs w:val="24"/>
                <w:highlight w:val="none"/>
                <w:u w:val="none"/>
              </w:rPr>
            </w:pPr>
          </w:p>
        </w:tc>
      </w:tr>
      <w:tr w14:paraId="2763C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B03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73</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05B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黑葡萄干</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34B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国产国标</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A7A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906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A53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C367B">
            <w:pPr>
              <w:rPr>
                <w:rFonts w:hint="eastAsia" w:ascii="宋体" w:hAnsi="宋体" w:eastAsia="宋体" w:cs="宋体"/>
                <w:i w:val="0"/>
                <w:iCs w:val="0"/>
                <w:color w:val="000000"/>
                <w:sz w:val="24"/>
                <w:szCs w:val="24"/>
                <w:highlight w:val="none"/>
                <w:u w:val="none"/>
              </w:rPr>
            </w:pPr>
          </w:p>
        </w:tc>
      </w:tr>
      <w:tr w14:paraId="1A660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7C3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74</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629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瓜子仁</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65F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国产国标</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67A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2A1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C3B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392BA">
            <w:pPr>
              <w:rPr>
                <w:rFonts w:hint="eastAsia" w:ascii="宋体" w:hAnsi="宋体" w:eastAsia="宋体" w:cs="宋体"/>
                <w:i w:val="0"/>
                <w:iCs w:val="0"/>
                <w:color w:val="000000"/>
                <w:sz w:val="24"/>
                <w:szCs w:val="24"/>
                <w:highlight w:val="none"/>
                <w:u w:val="none"/>
              </w:rPr>
            </w:pPr>
          </w:p>
        </w:tc>
      </w:tr>
      <w:tr w14:paraId="32F00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4A9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75</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D3B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奥尔良腌料</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91E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1kg/袋</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CFB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袋</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D98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E2D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96A7F">
            <w:pPr>
              <w:rPr>
                <w:rFonts w:hint="eastAsia" w:ascii="宋体" w:hAnsi="宋体" w:eastAsia="宋体" w:cs="宋体"/>
                <w:i w:val="0"/>
                <w:iCs w:val="0"/>
                <w:color w:val="000000"/>
                <w:sz w:val="24"/>
                <w:szCs w:val="24"/>
                <w:highlight w:val="none"/>
                <w:u w:val="none"/>
              </w:rPr>
            </w:pPr>
          </w:p>
        </w:tc>
      </w:tr>
      <w:tr w14:paraId="2EF28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B10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76</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FFC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料酒</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C10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500g/瓶</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847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F04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0D2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B5C18">
            <w:pPr>
              <w:rPr>
                <w:rFonts w:hint="eastAsia" w:ascii="宋体" w:hAnsi="宋体" w:eastAsia="宋体" w:cs="宋体"/>
                <w:i w:val="0"/>
                <w:iCs w:val="0"/>
                <w:color w:val="000000"/>
                <w:sz w:val="24"/>
                <w:szCs w:val="24"/>
                <w:highlight w:val="none"/>
                <w:u w:val="none"/>
              </w:rPr>
            </w:pPr>
          </w:p>
        </w:tc>
      </w:tr>
      <w:tr w14:paraId="6A7EA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E9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77</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DEA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精制盐</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539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500g/包</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D7D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5D9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598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0B5B7">
            <w:pPr>
              <w:rPr>
                <w:rFonts w:hint="eastAsia" w:ascii="宋体" w:hAnsi="宋体" w:eastAsia="宋体" w:cs="宋体"/>
                <w:i w:val="0"/>
                <w:iCs w:val="0"/>
                <w:color w:val="000000"/>
                <w:sz w:val="24"/>
                <w:szCs w:val="24"/>
                <w:highlight w:val="none"/>
                <w:u w:val="none"/>
              </w:rPr>
            </w:pPr>
          </w:p>
        </w:tc>
      </w:tr>
      <w:tr w14:paraId="1B0B8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093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78</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A1B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芥末油</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26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35g/瓶</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4D2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B55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02C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EE35F">
            <w:pPr>
              <w:rPr>
                <w:rFonts w:hint="eastAsia" w:ascii="宋体" w:hAnsi="宋体" w:eastAsia="宋体" w:cs="宋体"/>
                <w:i w:val="0"/>
                <w:iCs w:val="0"/>
                <w:color w:val="000000"/>
                <w:sz w:val="24"/>
                <w:szCs w:val="24"/>
                <w:highlight w:val="none"/>
                <w:u w:val="none"/>
              </w:rPr>
            </w:pPr>
          </w:p>
        </w:tc>
      </w:tr>
      <w:tr w14:paraId="6438D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D20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79</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64238">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FF0000"/>
                <w:kern w:val="0"/>
                <w:sz w:val="22"/>
                <w:szCs w:val="22"/>
                <w:highlight w:val="none"/>
                <w:u w:val="none"/>
                <w:lang w:val="en-US" w:eastAsia="zh-CN" w:bidi="ar"/>
              </w:rPr>
              <w:t>味精</w:t>
            </w:r>
            <w:r>
              <w:rPr>
                <w:rFonts w:hint="eastAsia" w:ascii="宋体" w:hAnsi="宋体" w:cs="宋体"/>
                <w:i w:val="0"/>
                <w:iCs w:val="0"/>
                <w:color w:val="FF0000"/>
                <w:kern w:val="0"/>
                <w:sz w:val="22"/>
                <w:szCs w:val="22"/>
                <w:highlight w:val="none"/>
                <w:u w:val="none"/>
                <w:lang w:val="en-US" w:eastAsia="zh-CN" w:bidi="ar"/>
              </w:rPr>
              <w:t>（核心产品）</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0CD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908g/包（99%纯度）</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626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6A9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C72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48D5F">
            <w:pPr>
              <w:rPr>
                <w:rFonts w:hint="eastAsia" w:ascii="宋体" w:hAnsi="宋体" w:eastAsia="宋体" w:cs="宋体"/>
                <w:i w:val="0"/>
                <w:iCs w:val="0"/>
                <w:color w:val="000000"/>
                <w:sz w:val="24"/>
                <w:szCs w:val="24"/>
                <w:highlight w:val="none"/>
                <w:u w:val="none"/>
              </w:rPr>
            </w:pPr>
          </w:p>
        </w:tc>
      </w:tr>
      <w:tr w14:paraId="2C075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022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6F0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白醋</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B65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500g/瓶</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B42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22E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6C1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B8E0E">
            <w:pPr>
              <w:rPr>
                <w:rFonts w:hint="eastAsia" w:ascii="宋体" w:hAnsi="宋体" w:eastAsia="宋体" w:cs="宋体"/>
                <w:i w:val="0"/>
                <w:iCs w:val="0"/>
                <w:color w:val="000000"/>
                <w:sz w:val="24"/>
                <w:szCs w:val="24"/>
                <w:highlight w:val="none"/>
                <w:u w:val="none"/>
              </w:rPr>
            </w:pPr>
          </w:p>
        </w:tc>
      </w:tr>
      <w:tr w14:paraId="2606E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C40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673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花椒油</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031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205g/瓶</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C07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0AD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88C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EC6D2">
            <w:pPr>
              <w:rPr>
                <w:rFonts w:hint="eastAsia" w:ascii="宋体" w:hAnsi="宋体" w:eastAsia="宋体" w:cs="宋体"/>
                <w:i w:val="0"/>
                <w:iCs w:val="0"/>
                <w:color w:val="000000"/>
                <w:sz w:val="24"/>
                <w:szCs w:val="24"/>
                <w:highlight w:val="none"/>
                <w:u w:val="none"/>
              </w:rPr>
            </w:pPr>
          </w:p>
        </w:tc>
      </w:tr>
      <w:tr w14:paraId="4E57D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9B1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82</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4EF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黄豆酱</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7B7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780g/瓶</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819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C4E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F66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003E8">
            <w:pPr>
              <w:rPr>
                <w:rFonts w:hint="eastAsia" w:ascii="宋体" w:hAnsi="宋体" w:eastAsia="宋体" w:cs="宋体"/>
                <w:i w:val="0"/>
                <w:iCs w:val="0"/>
                <w:color w:val="000000"/>
                <w:sz w:val="24"/>
                <w:szCs w:val="24"/>
                <w:highlight w:val="none"/>
                <w:u w:val="none"/>
              </w:rPr>
            </w:pPr>
          </w:p>
        </w:tc>
      </w:tr>
      <w:tr w14:paraId="39654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99D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83</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428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辣妹子</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474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908g/瓶</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B60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616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E4A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202D5">
            <w:pPr>
              <w:rPr>
                <w:rFonts w:hint="eastAsia" w:ascii="宋体" w:hAnsi="宋体" w:eastAsia="宋体" w:cs="宋体"/>
                <w:i w:val="0"/>
                <w:iCs w:val="0"/>
                <w:color w:val="000000"/>
                <w:sz w:val="24"/>
                <w:szCs w:val="24"/>
                <w:highlight w:val="none"/>
                <w:u w:val="none"/>
              </w:rPr>
            </w:pPr>
          </w:p>
        </w:tc>
      </w:tr>
      <w:tr w14:paraId="452EC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590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84</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A1D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剁辣椒</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DF8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2kg/包</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E2C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kg</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4EE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271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25A73">
            <w:pPr>
              <w:rPr>
                <w:rFonts w:hint="eastAsia" w:ascii="宋体" w:hAnsi="宋体" w:eastAsia="宋体" w:cs="宋体"/>
                <w:i w:val="0"/>
                <w:iCs w:val="0"/>
                <w:color w:val="000000"/>
                <w:sz w:val="24"/>
                <w:szCs w:val="24"/>
                <w:highlight w:val="none"/>
                <w:u w:val="none"/>
              </w:rPr>
            </w:pPr>
          </w:p>
        </w:tc>
      </w:tr>
      <w:tr w14:paraId="677A3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D45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85</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03B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红油腐乳</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6AC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260g/瓶</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420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787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963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87CD0">
            <w:pPr>
              <w:rPr>
                <w:rFonts w:hint="eastAsia" w:ascii="宋体" w:hAnsi="宋体" w:eastAsia="宋体" w:cs="宋体"/>
                <w:i w:val="0"/>
                <w:iCs w:val="0"/>
                <w:color w:val="000000"/>
                <w:sz w:val="24"/>
                <w:szCs w:val="24"/>
                <w:highlight w:val="none"/>
                <w:u w:val="none"/>
              </w:rPr>
            </w:pPr>
          </w:p>
        </w:tc>
      </w:tr>
      <w:tr w14:paraId="53397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560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86</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AB1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辣椒酱</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0F5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280g/瓶</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BD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39F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F2D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9AA4E">
            <w:pPr>
              <w:rPr>
                <w:rFonts w:hint="eastAsia" w:ascii="宋体" w:hAnsi="宋体" w:eastAsia="宋体" w:cs="宋体"/>
                <w:i w:val="0"/>
                <w:iCs w:val="0"/>
                <w:color w:val="000000"/>
                <w:sz w:val="24"/>
                <w:szCs w:val="24"/>
                <w:highlight w:val="none"/>
                <w:u w:val="none"/>
              </w:rPr>
            </w:pPr>
          </w:p>
        </w:tc>
      </w:tr>
      <w:tr w14:paraId="3A885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04C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87</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82F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蒸鱼鼓油</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973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1.9L/瓶</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C71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628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BEA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98F66">
            <w:pPr>
              <w:rPr>
                <w:rFonts w:hint="eastAsia" w:ascii="宋体" w:hAnsi="宋体" w:eastAsia="宋体" w:cs="宋体"/>
                <w:i w:val="0"/>
                <w:iCs w:val="0"/>
                <w:color w:val="000000"/>
                <w:sz w:val="24"/>
                <w:szCs w:val="24"/>
                <w:highlight w:val="none"/>
                <w:u w:val="none"/>
              </w:rPr>
            </w:pPr>
          </w:p>
        </w:tc>
      </w:tr>
      <w:tr w14:paraId="24792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D17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88</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9C7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9度米醋</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D99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1*12 500ml/瓶</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EA6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E74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7E7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15161">
            <w:pPr>
              <w:rPr>
                <w:rFonts w:hint="eastAsia" w:ascii="宋体" w:hAnsi="宋体" w:eastAsia="宋体" w:cs="宋体"/>
                <w:i w:val="0"/>
                <w:iCs w:val="0"/>
                <w:color w:val="000000"/>
                <w:sz w:val="24"/>
                <w:szCs w:val="24"/>
                <w:highlight w:val="none"/>
                <w:u w:val="none"/>
              </w:rPr>
            </w:pPr>
          </w:p>
        </w:tc>
      </w:tr>
      <w:tr w14:paraId="11332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D95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89</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C69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花椒油</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3B3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2.5L/桶</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C25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272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C9A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09407">
            <w:pPr>
              <w:rPr>
                <w:rFonts w:hint="eastAsia" w:ascii="宋体" w:hAnsi="宋体" w:eastAsia="宋体" w:cs="宋体"/>
                <w:i w:val="0"/>
                <w:iCs w:val="0"/>
                <w:color w:val="000000"/>
                <w:sz w:val="24"/>
                <w:szCs w:val="24"/>
                <w:highlight w:val="none"/>
                <w:u w:val="none"/>
              </w:rPr>
            </w:pPr>
          </w:p>
        </w:tc>
      </w:tr>
      <w:tr w14:paraId="0ADF6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3F4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CDB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五香粉</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9C8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500g/包</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403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307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644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D9F39">
            <w:pPr>
              <w:rPr>
                <w:rFonts w:hint="eastAsia" w:ascii="宋体" w:hAnsi="宋体" w:eastAsia="宋体" w:cs="宋体"/>
                <w:i w:val="0"/>
                <w:iCs w:val="0"/>
                <w:color w:val="000000"/>
                <w:sz w:val="24"/>
                <w:szCs w:val="24"/>
                <w:highlight w:val="none"/>
                <w:u w:val="none"/>
              </w:rPr>
            </w:pPr>
          </w:p>
        </w:tc>
      </w:tr>
      <w:tr w14:paraId="59E7D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851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91</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688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沙姜粉</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C7A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500g/袋</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3D9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袋</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284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B44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B3265">
            <w:pPr>
              <w:rPr>
                <w:rFonts w:hint="eastAsia" w:ascii="宋体" w:hAnsi="宋体" w:eastAsia="宋体" w:cs="宋体"/>
                <w:i w:val="0"/>
                <w:iCs w:val="0"/>
                <w:color w:val="000000"/>
                <w:sz w:val="24"/>
                <w:szCs w:val="24"/>
                <w:highlight w:val="none"/>
                <w:u w:val="none"/>
              </w:rPr>
            </w:pPr>
          </w:p>
        </w:tc>
      </w:tr>
      <w:tr w14:paraId="7B4E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1B7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92</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834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醋</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803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500g/瓶</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619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475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157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B442A">
            <w:pPr>
              <w:rPr>
                <w:rFonts w:hint="eastAsia" w:ascii="宋体" w:hAnsi="宋体" w:eastAsia="宋体" w:cs="宋体"/>
                <w:i w:val="0"/>
                <w:iCs w:val="0"/>
                <w:color w:val="000000"/>
                <w:sz w:val="24"/>
                <w:szCs w:val="24"/>
                <w:highlight w:val="none"/>
                <w:u w:val="none"/>
              </w:rPr>
            </w:pPr>
          </w:p>
        </w:tc>
      </w:tr>
      <w:tr w14:paraId="22096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2D1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93</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F4A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芥末膏</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1B9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10支/板</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A15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板</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424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232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E661C">
            <w:pPr>
              <w:rPr>
                <w:rFonts w:hint="eastAsia" w:ascii="宋体" w:hAnsi="宋体" w:eastAsia="宋体" w:cs="宋体"/>
                <w:i w:val="0"/>
                <w:iCs w:val="0"/>
                <w:color w:val="000000"/>
                <w:sz w:val="24"/>
                <w:szCs w:val="24"/>
                <w:highlight w:val="none"/>
                <w:u w:val="none"/>
              </w:rPr>
            </w:pPr>
          </w:p>
        </w:tc>
      </w:tr>
      <w:tr w14:paraId="1BE10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AAA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94</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64B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玉米粒</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F73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400g/袋</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32E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袋</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C71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960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42D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E6AEC">
            <w:pPr>
              <w:rPr>
                <w:rFonts w:hint="eastAsia" w:ascii="宋体" w:hAnsi="宋体" w:eastAsia="宋体" w:cs="宋体"/>
                <w:i w:val="0"/>
                <w:iCs w:val="0"/>
                <w:color w:val="000000"/>
                <w:sz w:val="24"/>
                <w:szCs w:val="24"/>
                <w:highlight w:val="none"/>
                <w:u w:val="none"/>
              </w:rPr>
            </w:pPr>
          </w:p>
        </w:tc>
      </w:tr>
      <w:tr w14:paraId="766DF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328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95</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185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方火腿</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73E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350g/个</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3CB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9B8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1920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9AF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E9877">
            <w:pPr>
              <w:rPr>
                <w:rFonts w:hint="eastAsia" w:ascii="宋体" w:hAnsi="宋体" w:eastAsia="宋体" w:cs="宋体"/>
                <w:i w:val="0"/>
                <w:iCs w:val="0"/>
                <w:color w:val="000000"/>
                <w:sz w:val="24"/>
                <w:szCs w:val="24"/>
                <w:highlight w:val="none"/>
                <w:u w:val="none"/>
              </w:rPr>
            </w:pPr>
          </w:p>
        </w:tc>
      </w:tr>
      <w:tr w14:paraId="75404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F5F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96</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E29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鸡肉肠</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B69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52g/根</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DD3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根</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1B7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575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0.6</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13A09">
            <w:pPr>
              <w:rPr>
                <w:rFonts w:hint="eastAsia" w:ascii="宋体" w:hAnsi="宋体" w:eastAsia="宋体" w:cs="宋体"/>
                <w:i w:val="0"/>
                <w:iCs w:val="0"/>
                <w:color w:val="000000"/>
                <w:sz w:val="24"/>
                <w:szCs w:val="24"/>
                <w:highlight w:val="none"/>
                <w:u w:val="none"/>
              </w:rPr>
            </w:pPr>
          </w:p>
        </w:tc>
      </w:tr>
      <w:tr w14:paraId="702D0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1ED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97</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DEB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牛肉肠</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025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52g/根</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5C5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根</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A45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250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499FB">
            <w:pPr>
              <w:rPr>
                <w:rFonts w:hint="eastAsia" w:ascii="宋体" w:hAnsi="宋体" w:eastAsia="宋体" w:cs="宋体"/>
                <w:i w:val="0"/>
                <w:iCs w:val="0"/>
                <w:color w:val="000000"/>
                <w:sz w:val="24"/>
                <w:szCs w:val="24"/>
                <w:highlight w:val="none"/>
                <w:u w:val="none"/>
              </w:rPr>
            </w:pPr>
          </w:p>
        </w:tc>
      </w:tr>
      <w:tr w14:paraId="1946A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982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98</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50B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酸豇豆</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277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2kg/袋</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E4F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F48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FF0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B32DB">
            <w:pPr>
              <w:rPr>
                <w:rFonts w:hint="eastAsia" w:ascii="宋体" w:hAnsi="宋体" w:eastAsia="宋体" w:cs="宋体"/>
                <w:i w:val="0"/>
                <w:iCs w:val="0"/>
                <w:color w:val="000000"/>
                <w:sz w:val="24"/>
                <w:szCs w:val="24"/>
                <w:highlight w:val="none"/>
                <w:u w:val="none"/>
              </w:rPr>
            </w:pPr>
          </w:p>
        </w:tc>
      </w:tr>
      <w:tr w14:paraId="03280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5BF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99</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28E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淀粉</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D2A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280g/包</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8C1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E2C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505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0C262">
            <w:pPr>
              <w:rPr>
                <w:rFonts w:hint="eastAsia" w:ascii="宋体" w:hAnsi="宋体" w:eastAsia="宋体" w:cs="宋体"/>
                <w:i w:val="0"/>
                <w:iCs w:val="0"/>
                <w:color w:val="000000"/>
                <w:sz w:val="24"/>
                <w:szCs w:val="24"/>
                <w:highlight w:val="none"/>
                <w:u w:val="none"/>
              </w:rPr>
            </w:pPr>
          </w:p>
        </w:tc>
      </w:tr>
      <w:tr w14:paraId="114DF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392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97C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红薯淀粉</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70E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20kg/袋</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C26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636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121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52A35">
            <w:pPr>
              <w:rPr>
                <w:rFonts w:hint="eastAsia" w:ascii="宋体" w:hAnsi="宋体" w:eastAsia="宋体" w:cs="宋体"/>
                <w:i w:val="0"/>
                <w:iCs w:val="0"/>
                <w:color w:val="000000"/>
                <w:sz w:val="24"/>
                <w:szCs w:val="24"/>
                <w:highlight w:val="none"/>
                <w:u w:val="none"/>
              </w:rPr>
            </w:pPr>
          </w:p>
        </w:tc>
      </w:tr>
      <w:tr w14:paraId="63070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181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101</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BDF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土豆粉条（干）</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AF9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4公斤/袋</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DEA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6C2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E28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4C623">
            <w:pPr>
              <w:rPr>
                <w:rFonts w:hint="eastAsia" w:ascii="宋体" w:hAnsi="宋体" w:eastAsia="宋体" w:cs="宋体"/>
                <w:i w:val="0"/>
                <w:iCs w:val="0"/>
                <w:color w:val="000000"/>
                <w:sz w:val="24"/>
                <w:szCs w:val="24"/>
                <w:highlight w:val="none"/>
                <w:u w:val="none"/>
              </w:rPr>
            </w:pPr>
          </w:p>
        </w:tc>
      </w:tr>
      <w:tr w14:paraId="0D441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F1A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102</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6CF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广东米酒</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345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620ml/瓶</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601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502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82F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5FA9F">
            <w:pPr>
              <w:rPr>
                <w:rFonts w:hint="eastAsia" w:ascii="宋体" w:hAnsi="宋体" w:eastAsia="宋体" w:cs="宋体"/>
                <w:i w:val="0"/>
                <w:iCs w:val="0"/>
                <w:color w:val="000000"/>
                <w:sz w:val="24"/>
                <w:szCs w:val="24"/>
                <w:highlight w:val="none"/>
                <w:u w:val="none"/>
              </w:rPr>
            </w:pPr>
          </w:p>
        </w:tc>
      </w:tr>
      <w:tr w14:paraId="4F2D6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0F5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103</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59D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胡辣汤</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C50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70g/包</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B6F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57F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950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1F4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1FD75">
            <w:pPr>
              <w:rPr>
                <w:rFonts w:hint="eastAsia" w:ascii="宋体" w:hAnsi="宋体" w:eastAsia="宋体" w:cs="宋体"/>
                <w:i w:val="0"/>
                <w:iCs w:val="0"/>
                <w:color w:val="000000"/>
                <w:sz w:val="24"/>
                <w:szCs w:val="24"/>
                <w:highlight w:val="none"/>
                <w:u w:val="none"/>
              </w:rPr>
            </w:pPr>
          </w:p>
        </w:tc>
      </w:tr>
      <w:tr w14:paraId="19C16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4DB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104</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AC7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白（黑）巧克力</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B1E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1kg/板</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436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板</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FBF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3A3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64DE5">
            <w:pPr>
              <w:rPr>
                <w:rFonts w:hint="eastAsia" w:ascii="宋体" w:hAnsi="宋体" w:eastAsia="宋体" w:cs="宋体"/>
                <w:i w:val="0"/>
                <w:iCs w:val="0"/>
                <w:color w:val="000000"/>
                <w:sz w:val="24"/>
                <w:szCs w:val="24"/>
                <w:highlight w:val="none"/>
                <w:u w:val="none"/>
              </w:rPr>
            </w:pPr>
          </w:p>
        </w:tc>
      </w:tr>
      <w:tr w14:paraId="36F9A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275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105</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221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肉松</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F12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2.5kg/袋</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711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袋</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88A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5BE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9D243">
            <w:pPr>
              <w:rPr>
                <w:rFonts w:hint="eastAsia" w:ascii="宋体" w:hAnsi="宋体" w:eastAsia="宋体" w:cs="宋体"/>
                <w:i w:val="0"/>
                <w:iCs w:val="0"/>
                <w:color w:val="000000"/>
                <w:sz w:val="24"/>
                <w:szCs w:val="24"/>
                <w:highlight w:val="none"/>
                <w:u w:val="none"/>
              </w:rPr>
            </w:pPr>
          </w:p>
        </w:tc>
      </w:tr>
      <w:tr w14:paraId="1884A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E90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106</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213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烘焙奶粉</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20B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2.5kg/袋</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844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173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6C9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A5360">
            <w:pPr>
              <w:rPr>
                <w:rFonts w:hint="eastAsia" w:ascii="宋体" w:hAnsi="宋体" w:eastAsia="宋体" w:cs="宋体"/>
                <w:i w:val="0"/>
                <w:iCs w:val="0"/>
                <w:color w:val="000000"/>
                <w:sz w:val="24"/>
                <w:szCs w:val="24"/>
                <w:highlight w:val="none"/>
                <w:u w:val="none"/>
              </w:rPr>
            </w:pPr>
          </w:p>
        </w:tc>
      </w:tr>
      <w:tr w14:paraId="5C788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F12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107</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D0F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可可粉</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6F6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1kg/袋</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64D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661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43B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90E50">
            <w:pPr>
              <w:rPr>
                <w:rFonts w:hint="eastAsia" w:ascii="宋体" w:hAnsi="宋体" w:eastAsia="宋体" w:cs="宋体"/>
                <w:i w:val="0"/>
                <w:iCs w:val="0"/>
                <w:color w:val="000000"/>
                <w:sz w:val="24"/>
                <w:szCs w:val="24"/>
                <w:highlight w:val="none"/>
                <w:u w:val="none"/>
              </w:rPr>
            </w:pPr>
          </w:p>
        </w:tc>
      </w:tr>
      <w:tr w14:paraId="1CFF9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08D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108</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FCB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花生酱</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746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405g/瓶</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1D8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050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F66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62FF7">
            <w:pPr>
              <w:rPr>
                <w:rFonts w:hint="eastAsia" w:ascii="宋体" w:hAnsi="宋体" w:eastAsia="宋体" w:cs="宋体"/>
                <w:i w:val="0"/>
                <w:iCs w:val="0"/>
                <w:color w:val="000000"/>
                <w:sz w:val="24"/>
                <w:szCs w:val="24"/>
                <w:highlight w:val="none"/>
                <w:u w:val="none"/>
              </w:rPr>
            </w:pPr>
          </w:p>
        </w:tc>
      </w:tr>
      <w:tr w14:paraId="2E7AD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F7E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109</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142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蓝莓酱</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8BD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5kg/桶</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353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C68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7BB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53A94">
            <w:pPr>
              <w:rPr>
                <w:rFonts w:hint="eastAsia" w:ascii="宋体" w:hAnsi="宋体" w:eastAsia="宋体" w:cs="宋体"/>
                <w:i w:val="0"/>
                <w:iCs w:val="0"/>
                <w:color w:val="000000"/>
                <w:sz w:val="24"/>
                <w:szCs w:val="24"/>
                <w:highlight w:val="none"/>
                <w:u w:val="none"/>
              </w:rPr>
            </w:pPr>
          </w:p>
        </w:tc>
      </w:tr>
      <w:tr w14:paraId="76EA5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081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110</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822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蜂蜜</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B8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700g/瓶</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4D8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56F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006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0E64C">
            <w:pPr>
              <w:rPr>
                <w:rFonts w:hint="eastAsia" w:ascii="宋体" w:hAnsi="宋体" w:eastAsia="宋体" w:cs="宋体"/>
                <w:i w:val="0"/>
                <w:iCs w:val="0"/>
                <w:color w:val="000000"/>
                <w:sz w:val="24"/>
                <w:szCs w:val="24"/>
                <w:highlight w:val="none"/>
                <w:u w:val="none"/>
              </w:rPr>
            </w:pPr>
          </w:p>
        </w:tc>
      </w:tr>
      <w:tr w14:paraId="1D435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817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111</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605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麦芽糖</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AB8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200g/盒</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8A1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3EA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C97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932C4">
            <w:pPr>
              <w:rPr>
                <w:rFonts w:hint="eastAsia" w:ascii="宋体" w:hAnsi="宋体" w:eastAsia="宋体" w:cs="宋体"/>
                <w:i w:val="0"/>
                <w:iCs w:val="0"/>
                <w:color w:val="000000"/>
                <w:sz w:val="24"/>
                <w:szCs w:val="24"/>
                <w:highlight w:val="none"/>
                <w:u w:val="none"/>
              </w:rPr>
            </w:pPr>
          </w:p>
        </w:tc>
      </w:tr>
      <w:tr w14:paraId="69D88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6C1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112</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282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红曲米</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63C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25kg/袋</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02D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3A3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2F9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9300C">
            <w:pPr>
              <w:rPr>
                <w:rFonts w:hint="eastAsia" w:ascii="宋体" w:hAnsi="宋体" w:eastAsia="宋体" w:cs="宋体"/>
                <w:i w:val="0"/>
                <w:iCs w:val="0"/>
                <w:color w:val="000000"/>
                <w:sz w:val="24"/>
                <w:szCs w:val="24"/>
                <w:highlight w:val="none"/>
                <w:u w:val="none"/>
              </w:rPr>
            </w:pPr>
          </w:p>
        </w:tc>
      </w:tr>
      <w:tr w14:paraId="21077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61E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113</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490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绿豆</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4A8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25kg/袋</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0FD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B74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86B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27D0A">
            <w:pPr>
              <w:rPr>
                <w:rFonts w:hint="eastAsia" w:ascii="宋体" w:hAnsi="宋体" w:eastAsia="宋体" w:cs="宋体"/>
                <w:i w:val="0"/>
                <w:iCs w:val="0"/>
                <w:color w:val="000000"/>
                <w:sz w:val="24"/>
                <w:szCs w:val="24"/>
                <w:highlight w:val="none"/>
                <w:u w:val="none"/>
              </w:rPr>
            </w:pPr>
          </w:p>
        </w:tc>
      </w:tr>
      <w:tr w14:paraId="2D698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74E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114</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F4B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红豆</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2A9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25kg/袋</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354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46F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7B2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31701">
            <w:pPr>
              <w:rPr>
                <w:rFonts w:hint="eastAsia" w:ascii="宋体" w:hAnsi="宋体" w:eastAsia="宋体" w:cs="宋体"/>
                <w:i w:val="0"/>
                <w:iCs w:val="0"/>
                <w:color w:val="000000"/>
                <w:sz w:val="24"/>
                <w:szCs w:val="24"/>
                <w:highlight w:val="none"/>
                <w:u w:val="none"/>
              </w:rPr>
            </w:pPr>
          </w:p>
        </w:tc>
      </w:tr>
      <w:tr w14:paraId="304D9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5CF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115</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C2B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粉丝</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6E6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180g/袋</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0D0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袋</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3E2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F8C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9DF51">
            <w:pPr>
              <w:rPr>
                <w:rFonts w:hint="eastAsia" w:ascii="宋体" w:hAnsi="宋体" w:eastAsia="宋体" w:cs="宋体"/>
                <w:i w:val="0"/>
                <w:iCs w:val="0"/>
                <w:color w:val="000000"/>
                <w:sz w:val="24"/>
                <w:szCs w:val="24"/>
                <w:highlight w:val="none"/>
                <w:u w:val="none"/>
              </w:rPr>
            </w:pPr>
          </w:p>
        </w:tc>
      </w:tr>
      <w:tr w14:paraId="6716A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D2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113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南街村南德</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72C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126g/袋</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24D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袋</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914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5A6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1C8AE">
            <w:pPr>
              <w:rPr>
                <w:rFonts w:hint="eastAsia" w:ascii="宋体" w:hAnsi="宋体" w:eastAsia="宋体" w:cs="宋体"/>
                <w:i w:val="0"/>
                <w:iCs w:val="0"/>
                <w:color w:val="000000"/>
                <w:sz w:val="24"/>
                <w:szCs w:val="24"/>
                <w:highlight w:val="none"/>
                <w:u w:val="none"/>
              </w:rPr>
            </w:pPr>
          </w:p>
        </w:tc>
      </w:tr>
      <w:tr w14:paraId="3811C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665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117</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DCF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沙拉酱</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846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1kg/包</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FA0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07F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901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8296A">
            <w:pPr>
              <w:rPr>
                <w:rFonts w:hint="eastAsia" w:ascii="宋体" w:hAnsi="宋体" w:eastAsia="宋体" w:cs="宋体"/>
                <w:i w:val="0"/>
                <w:iCs w:val="0"/>
                <w:color w:val="000000"/>
                <w:sz w:val="24"/>
                <w:szCs w:val="24"/>
                <w:highlight w:val="none"/>
                <w:u w:val="none"/>
              </w:rPr>
            </w:pPr>
          </w:p>
        </w:tc>
      </w:tr>
      <w:tr w14:paraId="24DEA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A95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118</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D78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辣妹子</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A0E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908g/瓶</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78D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894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747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6A400">
            <w:pPr>
              <w:rPr>
                <w:rFonts w:hint="eastAsia" w:ascii="宋体" w:hAnsi="宋体" w:eastAsia="宋体" w:cs="宋体"/>
                <w:i w:val="0"/>
                <w:iCs w:val="0"/>
                <w:color w:val="000000"/>
                <w:sz w:val="24"/>
                <w:szCs w:val="24"/>
                <w:highlight w:val="none"/>
                <w:u w:val="none"/>
              </w:rPr>
            </w:pPr>
          </w:p>
        </w:tc>
      </w:tr>
      <w:tr w14:paraId="2AF89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504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119</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E2F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芝士碎</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CF0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450g/包</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3E9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B43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94B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458EA">
            <w:pPr>
              <w:rPr>
                <w:rFonts w:hint="eastAsia" w:ascii="宋体" w:hAnsi="宋体" w:eastAsia="宋体" w:cs="宋体"/>
                <w:i w:val="0"/>
                <w:iCs w:val="0"/>
                <w:color w:val="000000"/>
                <w:sz w:val="24"/>
                <w:szCs w:val="24"/>
                <w:highlight w:val="none"/>
                <w:u w:val="none"/>
              </w:rPr>
            </w:pPr>
          </w:p>
        </w:tc>
      </w:tr>
      <w:tr w14:paraId="71D93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3E9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120</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587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抹茶粉</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7A1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500g/桶</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028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5A6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A5B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1C99D">
            <w:pPr>
              <w:rPr>
                <w:rFonts w:hint="eastAsia" w:ascii="宋体" w:hAnsi="宋体" w:eastAsia="宋体" w:cs="宋体"/>
                <w:i w:val="0"/>
                <w:iCs w:val="0"/>
                <w:color w:val="000000"/>
                <w:sz w:val="24"/>
                <w:szCs w:val="24"/>
                <w:highlight w:val="none"/>
                <w:u w:val="none"/>
              </w:rPr>
            </w:pPr>
          </w:p>
        </w:tc>
      </w:tr>
      <w:tr w14:paraId="683C5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337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121</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B8A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肉酥</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592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1kg/包</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274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C24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833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B3EA9">
            <w:pPr>
              <w:rPr>
                <w:rFonts w:hint="eastAsia" w:ascii="宋体" w:hAnsi="宋体" w:eastAsia="宋体" w:cs="宋体"/>
                <w:i w:val="0"/>
                <w:iCs w:val="0"/>
                <w:color w:val="000000"/>
                <w:sz w:val="24"/>
                <w:szCs w:val="24"/>
                <w:highlight w:val="none"/>
                <w:u w:val="none"/>
              </w:rPr>
            </w:pPr>
          </w:p>
        </w:tc>
      </w:tr>
      <w:tr w14:paraId="3E090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0C7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122</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F76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塔塔粉</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032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1kg/罐</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EC3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罐</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A5E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DDA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DDB67">
            <w:pPr>
              <w:rPr>
                <w:rFonts w:hint="eastAsia" w:ascii="宋体" w:hAnsi="宋体" w:eastAsia="宋体" w:cs="宋体"/>
                <w:i w:val="0"/>
                <w:iCs w:val="0"/>
                <w:color w:val="000000"/>
                <w:sz w:val="24"/>
                <w:szCs w:val="24"/>
                <w:highlight w:val="none"/>
                <w:u w:val="none"/>
              </w:rPr>
            </w:pPr>
          </w:p>
        </w:tc>
      </w:tr>
      <w:tr w14:paraId="19A4F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3F4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123</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013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黑巧克力豆</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525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1kg /袋</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5EB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袋</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B93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EB4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0DD0B">
            <w:pPr>
              <w:rPr>
                <w:rFonts w:hint="eastAsia" w:ascii="宋体" w:hAnsi="宋体" w:eastAsia="宋体" w:cs="宋体"/>
                <w:i w:val="0"/>
                <w:iCs w:val="0"/>
                <w:color w:val="000000"/>
                <w:sz w:val="24"/>
                <w:szCs w:val="24"/>
                <w:highlight w:val="none"/>
                <w:u w:val="none"/>
              </w:rPr>
            </w:pPr>
          </w:p>
        </w:tc>
      </w:tr>
      <w:tr w14:paraId="6CA53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D80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124</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C47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柠檬汁</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806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840毫升/瓶</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024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540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02F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E2D94">
            <w:pPr>
              <w:rPr>
                <w:rFonts w:hint="eastAsia" w:ascii="宋体" w:hAnsi="宋体" w:eastAsia="宋体" w:cs="宋体"/>
                <w:i w:val="0"/>
                <w:iCs w:val="0"/>
                <w:color w:val="000000"/>
                <w:sz w:val="24"/>
                <w:szCs w:val="24"/>
                <w:highlight w:val="none"/>
                <w:u w:val="none"/>
              </w:rPr>
            </w:pPr>
          </w:p>
        </w:tc>
      </w:tr>
      <w:tr w14:paraId="31FE0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04D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125</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C0C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欧芹碎</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300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30ml/瓶</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1F9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317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756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56ADD">
            <w:pPr>
              <w:rPr>
                <w:rFonts w:hint="eastAsia" w:ascii="宋体" w:hAnsi="宋体" w:eastAsia="宋体" w:cs="宋体"/>
                <w:i w:val="0"/>
                <w:iCs w:val="0"/>
                <w:color w:val="000000"/>
                <w:sz w:val="24"/>
                <w:szCs w:val="24"/>
                <w:highlight w:val="none"/>
                <w:u w:val="none"/>
              </w:rPr>
            </w:pPr>
          </w:p>
        </w:tc>
      </w:tr>
      <w:tr w14:paraId="45DE7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316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126</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2E5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面包改良剂</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9E7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500g/包</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CA4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A2F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8A6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06D3E">
            <w:pPr>
              <w:rPr>
                <w:rFonts w:hint="eastAsia" w:ascii="宋体" w:hAnsi="宋体" w:eastAsia="宋体" w:cs="宋体"/>
                <w:i w:val="0"/>
                <w:iCs w:val="0"/>
                <w:color w:val="000000"/>
                <w:sz w:val="24"/>
                <w:szCs w:val="24"/>
                <w:highlight w:val="none"/>
                <w:u w:val="none"/>
              </w:rPr>
            </w:pPr>
          </w:p>
        </w:tc>
      </w:tr>
      <w:tr w14:paraId="1E335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B21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127</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BAA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狮头粉</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2E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300g/盒</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4A1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7AE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D4C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74064">
            <w:pPr>
              <w:rPr>
                <w:rFonts w:hint="eastAsia" w:ascii="宋体" w:hAnsi="宋体" w:eastAsia="宋体" w:cs="宋体"/>
                <w:i w:val="0"/>
                <w:iCs w:val="0"/>
                <w:color w:val="000000"/>
                <w:sz w:val="24"/>
                <w:szCs w:val="24"/>
                <w:highlight w:val="none"/>
                <w:u w:val="none"/>
              </w:rPr>
            </w:pPr>
          </w:p>
        </w:tc>
      </w:tr>
      <w:tr w14:paraId="55A71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314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128</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F2D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巧克力砖块</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37A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1块/公斤</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047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77B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AA7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1237C">
            <w:pPr>
              <w:rPr>
                <w:rFonts w:hint="eastAsia" w:ascii="宋体" w:hAnsi="宋体" w:eastAsia="宋体" w:cs="宋体"/>
                <w:i w:val="0"/>
                <w:iCs w:val="0"/>
                <w:color w:val="000000"/>
                <w:sz w:val="24"/>
                <w:szCs w:val="24"/>
                <w:highlight w:val="none"/>
                <w:u w:val="none"/>
              </w:rPr>
            </w:pPr>
          </w:p>
        </w:tc>
      </w:tr>
      <w:tr w14:paraId="17578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A01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129</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523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月饼馅料</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A8E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5公斤/袋</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EC2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6FB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CA3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0F67A">
            <w:pPr>
              <w:rPr>
                <w:rFonts w:hint="eastAsia" w:ascii="宋体" w:hAnsi="宋体" w:eastAsia="宋体" w:cs="宋体"/>
                <w:i w:val="0"/>
                <w:iCs w:val="0"/>
                <w:color w:val="000000"/>
                <w:sz w:val="24"/>
                <w:szCs w:val="24"/>
                <w:highlight w:val="none"/>
                <w:u w:val="none"/>
              </w:rPr>
            </w:pPr>
          </w:p>
        </w:tc>
      </w:tr>
      <w:tr w14:paraId="1F685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674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130</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9B0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芝士片</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ABC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12片/包</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BDF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4E8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AFC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BABAC">
            <w:pPr>
              <w:rPr>
                <w:rFonts w:hint="eastAsia" w:ascii="宋体" w:hAnsi="宋体" w:eastAsia="宋体" w:cs="宋体"/>
                <w:i w:val="0"/>
                <w:iCs w:val="0"/>
                <w:color w:val="000000"/>
                <w:sz w:val="24"/>
                <w:szCs w:val="24"/>
                <w:highlight w:val="none"/>
                <w:u w:val="none"/>
              </w:rPr>
            </w:pPr>
          </w:p>
        </w:tc>
      </w:tr>
      <w:tr w14:paraId="4D2BC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B40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131</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D6F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杏仁片</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CCC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国产国标</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5AE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E00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C35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DE329">
            <w:pPr>
              <w:rPr>
                <w:rFonts w:hint="eastAsia" w:ascii="宋体" w:hAnsi="宋体" w:eastAsia="宋体" w:cs="宋体"/>
                <w:i w:val="0"/>
                <w:iCs w:val="0"/>
                <w:color w:val="000000"/>
                <w:sz w:val="24"/>
                <w:szCs w:val="24"/>
                <w:highlight w:val="none"/>
                <w:u w:val="none"/>
              </w:rPr>
            </w:pPr>
          </w:p>
        </w:tc>
      </w:tr>
      <w:tr w14:paraId="7DF0A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DB5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132</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AF6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甜甜圈</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34C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国产国标</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33E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329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27A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B6F5F">
            <w:pPr>
              <w:rPr>
                <w:rFonts w:hint="eastAsia" w:ascii="宋体" w:hAnsi="宋体" w:eastAsia="宋体" w:cs="宋体"/>
                <w:i w:val="0"/>
                <w:iCs w:val="0"/>
                <w:color w:val="000000"/>
                <w:sz w:val="24"/>
                <w:szCs w:val="24"/>
                <w:highlight w:val="none"/>
                <w:u w:val="none"/>
              </w:rPr>
            </w:pPr>
          </w:p>
        </w:tc>
      </w:tr>
      <w:tr w14:paraId="45BF2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ECA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133</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EF6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装饰饼干</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6A8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国产国标</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475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58E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20B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D8776">
            <w:pPr>
              <w:rPr>
                <w:rFonts w:hint="eastAsia" w:ascii="宋体" w:hAnsi="宋体" w:eastAsia="宋体" w:cs="宋体"/>
                <w:i w:val="0"/>
                <w:iCs w:val="0"/>
                <w:color w:val="000000"/>
                <w:sz w:val="24"/>
                <w:szCs w:val="24"/>
                <w:highlight w:val="none"/>
                <w:u w:val="none"/>
              </w:rPr>
            </w:pPr>
          </w:p>
        </w:tc>
      </w:tr>
      <w:tr w14:paraId="5E860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7E5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134</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A93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薄荷叶子</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F10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国产国标</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D91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8ED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C18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01505">
            <w:pPr>
              <w:rPr>
                <w:rFonts w:hint="eastAsia" w:ascii="宋体" w:hAnsi="宋体" w:eastAsia="宋体" w:cs="宋体"/>
                <w:i w:val="0"/>
                <w:iCs w:val="0"/>
                <w:color w:val="000000"/>
                <w:sz w:val="24"/>
                <w:szCs w:val="24"/>
                <w:highlight w:val="none"/>
                <w:u w:val="none"/>
              </w:rPr>
            </w:pPr>
          </w:p>
        </w:tc>
      </w:tr>
      <w:tr w14:paraId="4261B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A0A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135</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82D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白扣</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EA5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国产国标</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28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kg</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BAF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249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2957B">
            <w:pPr>
              <w:rPr>
                <w:rFonts w:hint="eastAsia" w:ascii="宋体" w:hAnsi="宋体" w:eastAsia="宋体" w:cs="宋体"/>
                <w:i w:val="0"/>
                <w:iCs w:val="0"/>
                <w:color w:val="000000"/>
                <w:sz w:val="24"/>
                <w:szCs w:val="24"/>
                <w:highlight w:val="none"/>
                <w:u w:val="none"/>
              </w:rPr>
            </w:pPr>
          </w:p>
        </w:tc>
      </w:tr>
      <w:tr w14:paraId="2C0ED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498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136</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376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白芷</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22A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国产国标</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24A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kg</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661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5D3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1492B">
            <w:pPr>
              <w:rPr>
                <w:rFonts w:hint="eastAsia" w:ascii="宋体" w:hAnsi="宋体" w:eastAsia="宋体" w:cs="宋体"/>
                <w:i w:val="0"/>
                <w:iCs w:val="0"/>
                <w:color w:val="000000"/>
                <w:sz w:val="24"/>
                <w:szCs w:val="24"/>
                <w:highlight w:val="none"/>
                <w:u w:val="none"/>
              </w:rPr>
            </w:pPr>
          </w:p>
        </w:tc>
      </w:tr>
      <w:tr w14:paraId="5FE49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0B4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137</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5E9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草果</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030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国产国标</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BC0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kg</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6FB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BBC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1218A">
            <w:pPr>
              <w:rPr>
                <w:rFonts w:hint="eastAsia" w:ascii="宋体" w:hAnsi="宋体" w:eastAsia="宋体" w:cs="宋体"/>
                <w:i w:val="0"/>
                <w:iCs w:val="0"/>
                <w:color w:val="000000"/>
                <w:sz w:val="24"/>
                <w:szCs w:val="24"/>
                <w:highlight w:val="none"/>
                <w:u w:val="none"/>
              </w:rPr>
            </w:pPr>
          </w:p>
        </w:tc>
      </w:tr>
      <w:tr w14:paraId="1F71F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B5D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138</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F61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红扣</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E7C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国产国标</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E2A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kg</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B71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5C2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56CB4">
            <w:pPr>
              <w:rPr>
                <w:rFonts w:hint="eastAsia" w:ascii="宋体" w:hAnsi="宋体" w:eastAsia="宋体" w:cs="宋体"/>
                <w:i w:val="0"/>
                <w:iCs w:val="0"/>
                <w:color w:val="000000"/>
                <w:sz w:val="24"/>
                <w:szCs w:val="24"/>
                <w:highlight w:val="none"/>
                <w:u w:val="none"/>
              </w:rPr>
            </w:pPr>
          </w:p>
        </w:tc>
      </w:tr>
      <w:tr w14:paraId="71A2A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EC7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139</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622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姜粉</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BC2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国产国标</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323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kg</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C46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C0C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9B070">
            <w:pPr>
              <w:rPr>
                <w:rFonts w:hint="eastAsia" w:ascii="宋体" w:hAnsi="宋体" w:eastAsia="宋体" w:cs="宋体"/>
                <w:i w:val="0"/>
                <w:iCs w:val="0"/>
                <w:color w:val="000000"/>
                <w:sz w:val="24"/>
                <w:szCs w:val="24"/>
                <w:highlight w:val="none"/>
                <w:u w:val="none"/>
              </w:rPr>
            </w:pPr>
          </w:p>
        </w:tc>
      </w:tr>
      <w:tr w14:paraId="5E836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85E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140</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2D4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香茅草</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D62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国产国标</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137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kg</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79D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230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4121B">
            <w:pPr>
              <w:rPr>
                <w:rFonts w:hint="eastAsia" w:ascii="宋体" w:hAnsi="宋体" w:eastAsia="宋体" w:cs="宋体"/>
                <w:i w:val="0"/>
                <w:iCs w:val="0"/>
                <w:color w:val="000000"/>
                <w:sz w:val="24"/>
                <w:szCs w:val="24"/>
                <w:highlight w:val="none"/>
                <w:u w:val="none"/>
              </w:rPr>
            </w:pPr>
          </w:p>
        </w:tc>
      </w:tr>
      <w:tr w14:paraId="7AE4F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2DE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141</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488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虾片</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20CE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200g/盒</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FD3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ECE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E0A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E9DAB">
            <w:pPr>
              <w:rPr>
                <w:rFonts w:hint="eastAsia" w:ascii="宋体" w:hAnsi="宋体" w:eastAsia="宋体" w:cs="宋体"/>
                <w:i w:val="0"/>
                <w:iCs w:val="0"/>
                <w:color w:val="000000"/>
                <w:sz w:val="24"/>
                <w:szCs w:val="24"/>
                <w:highlight w:val="none"/>
                <w:u w:val="none"/>
              </w:rPr>
            </w:pPr>
          </w:p>
        </w:tc>
      </w:tr>
      <w:tr w14:paraId="76215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0F4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142</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179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肉扣</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6C5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国产国标</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AD7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kg</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BFD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4D1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68067">
            <w:pPr>
              <w:rPr>
                <w:rFonts w:hint="eastAsia" w:ascii="宋体" w:hAnsi="宋体" w:eastAsia="宋体" w:cs="宋体"/>
                <w:i w:val="0"/>
                <w:iCs w:val="0"/>
                <w:color w:val="000000"/>
                <w:sz w:val="24"/>
                <w:szCs w:val="24"/>
                <w:highlight w:val="none"/>
                <w:u w:val="none"/>
              </w:rPr>
            </w:pPr>
          </w:p>
        </w:tc>
      </w:tr>
      <w:tr w14:paraId="5F8E2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A56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143</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3B7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白胡椒（粉）</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B7B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国产国标</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09F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kg</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305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AA2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C985F">
            <w:pPr>
              <w:rPr>
                <w:rFonts w:hint="eastAsia" w:ascii="宋体" w:hAnsi="宋体" w:eastAsia="宋体" w:cs="宋体"/>
                <w:i w:val="0"/>
                <w:iCs w:val="0"/>
                <w:color w:val="000000"/>
                <w:sz w:val="24"/>
                <w:szCs w:val="24"/>
                <w:highlight w:val="none"/>
                <w:u w:val="none"/>
              </w:rPr>
            </w:pPr>
          </w:p>
        </w:tc>
      </w:tr>
      <w:tr w14:paraId="05CF9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A46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144</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23A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鹿茸菇</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3F8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国产国标</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CBA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46E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10D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14760">
            <w:pPr>
              <w:rPr>
                <w:rFonts w:hint="eastAsia" w:ascii="宋体" w:hAnsi="宋体" w:eastAsia="宋体" w:cs="宋体"/>
                <w:i w:val="0"/>
                <w:iCs w:val="0"/>
                <w:color w:val="000000"/>
                <w:sz w:val="24"/>
                <w:szCs w:val="24"/>
                <w:highlight w:val="none"/>
                <w:u w:val="none"/>
              </w:rPr>
            </w:pPr>
          </w:p>
        </w:tc>
      </w:tr>
      <w:tr w14:paraId="11F3D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2B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145</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3C7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干香菇</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086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国产国标</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36C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1AD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49C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13359">
            <w:pPr>
              <w:rPr>
                <w:rFonts w:hint="eastAsia" w:ascii="宋体" w:hAnsi="宋体" w:eastAsia="宋体" w:cs="宋体"/>
                <w:i w:val="0"/>
                <w:iCs w:val="0"/>
                <w:color w:val="000000"/>
                <w:sz w:val="24"/>
                <w:szCs w:val="24"/>
                <w:highlight w:val="none"/>
                <w:u w:val="none"/>
              </w:rPr>
            </w:pPr>
          </w:p>
        </w:tc>
      </w:tr>
      <w:tr w14:paraId="181D5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FAD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146</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B0B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银耳</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14D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国产国标</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80C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DAE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BDF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053E9">
            <w:pPr>
              <w:rPr>
                <w:rFonts w:hint="eastAsia" w:ascii="宋体" w:hAnsi="宋体" w:eastAsia="宋体" w:cs="宋体"/>
                <w:i w:val="0"/>
                <w:iCs w:val="0"/>
                <w:color w:val="000000"/>
                <w:sz w:val="24"/>
                <w:szCs w:val="24"/>
                <w:highlight w:val="none"/>
                <w:u w:val="none"/>
              </w:rPr>
            </w:pPr>
          </w:p>
        </w:tc>
      </w:tr>
      <w:tr w14:paraId="4B928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80C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147</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F70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干姜片</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106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国产国标</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898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15C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225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E8891">
            <w:pPr>
              <w:rPr>
                <w:rFonts w:hint="eastAsia" w:ascii="宋体" w:hAnsi="宋体" w:eastAsia="宋体" w:cs="宋体"/>
                <w:i w:val="0"/>
                <w:iCs w:val="0"/>
                <w:color w:val="000000"/>
                <w:sz w:val="24"/>
                <w:szCs w:val="24"/>
                <w:highlight w:val="none"/>
                <w:u w:val="none"/>
              </w:rPr>
            </w:pPr>
          </w:p>
        </w:tc>
      </w:tr>
      <w:tr w14:paraId="0799F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969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148</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A35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枸杞</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8CB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国产国标</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AA0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1E7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1B3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49.9</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CF799">
            <w:pPr>
              <w:rPr>
                <w:rFonts w:hint="eastAsia" w:ascii="宋体" w:hAnsi="宋体" w:eastAsia="宋体" w:cs="宋体"/>
                <w:i w:val="0"/>
                <w:iCs w:val="0"/>
                <w:color w:val="000000"/>
                <w:sz w:val="24"/>
                <w:szCs w:val="24"/>
                <w:highlight w:val="none"/>
                <w:u w:val="none"/>
              </w:rPr>
            </w:pPr>
          </w:p>
        </w:tc>
      </w:tr>
      <w:tr w14:paraId="02B0B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3D5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149</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BE0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猫耳朵木耳</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02E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国产国标</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47A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9D1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AEE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74.8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42403">
            <w:pPr>
              <w:rPr>
                <w:rFonts w:hint="eastAsia" w:ascii="宋体" w:hAnsi="宋体" w:eastAsia="宋体" w:cs="宋体"/>
                <w:i w:val="0"/>
                <w:iCs w:val="0"/>
                <w:color w:val="000000"/>
                <w:sz w:val="24"/>
                <w:szCs w:val="24"/>
                <w:highlight w:val="none"/>
                <w:u w:val="none"/>
              </w:rPr>
            </w:pPr>
          </w:p>
        </w:tc>
      </w:tr>
      <w:tr w14:paraId="1FA75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A4B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F90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莲子</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360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国产国标</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924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71C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585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140EB">
            <w:pPr>
              <w:rPr>
                <w:rFonts w:hint="eastAsia" w:ascii="宋体" w:hAnsi="宋体" w:eastAsia="宋体" w:cs="宋体"/>
                <w:i w:val="0"/>
                <w:iCs w:val="0"/>
                <w:color w:val="000000"/>
                <w:sz w:val="24"/>
                <w:szCs w:val="24"/>
                <w:highlight w:val="none"/>
                <w:u w:val="none"/>
              </w:rPr>
            </w:pPr>
          </w:p>
        </w:tc>
      </w:tr>
      <w:tr w14:paraId="0D0FA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1E9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151</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94B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干红腰豆</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AC8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国产国标</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8AB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68D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0BF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FEBB2">
            <w:pPr>
              <w:rPr>
                <w:rFonts w:hint="eastAsia" w:ascii="宋体" w:hAnsi="宋体" w:eastAsia="宋体" w:cs="宋体"/>
                <w:i w:val="0"/>
                <w:iCs w:val="0"/>
                <w:color w:val="000000"/>
                <w:sz w:val="24"/>
                <w:szCs w:val="24"/>
                <w:highlight w:val="none"/>
                <w:u w:val="none"/>
              </w:rPr>
            </w:pPr>
          </w:p>
        </w:tc>
      </w:tr>
      <w:tr w14:paraId="7B0F0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244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152</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DB1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黑芝麻(散称)</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DB9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国产国标</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E1E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A2F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FF7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CDD25">
            <w:pPr>
              <w:rPr>
                <w:rFonts w:hint="eastAsia" w:ascii="宋体" w:hAnsi="宋体" w:eastAsia="宋体" w:cs="宋体"/>
                <w:i w:val="0"/>
                <w:iCs w:val="0"/>
                <w:color w:val="000000"/>
                <w:sz w:val="24"/>
                <w:szCs w:val="24"/>
                <w:highlight w:val="none"/>
                <w:u w:val="none"/>
              </w:rPr>
            </w:pPr>
          </w:p>
        </w:tc>
      </w:tr>
      <w:tr w14:paraId="0C2B8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B9C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153</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547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黑加仑葡萄干</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63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国产国标</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047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A2B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5E3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3B7BA">
            <w:pPr>
              <w:rPr>
                <w:rFonts w:hint="eastAsia" w:ascii="宋体" w:hAnsi="宋体" w:eastAsia="宋体" w:cs="宋体"/>
                <w:i w:val="0"/>
                <w:iCs w:val="0"/>
                <w:color w:val="000000"/>
                <w:sz w:val="24"/>
                <w:szCs w:val="24"/>
                <w:highlight w:val="none"/>
                <w:u w:val="none"/>
              </w:rPr>
            </w:pPr>
          </w:p>
        </w:tc>
      </w:tr>
      <w:tr w14:paraId="6FB4B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ED3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154</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0BD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腰果</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AB5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国产国标</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F65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C4A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1A8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3EE9D">
            <w:pPr>
              <w:rPr>
                <w:rFonts w:hint="eastAsia" w:ascii="宋体" w:hAnsi="宋体" w:eastAsia="宋体" w:cs="宋体"/>
                <w:i w:val="0"/>
                <w:iCs w:val="0"/>
                <w:color w:val="000000"/>
                <w:sz w:val="24"/>
                <w:szCs w:val="24"/>
                <w:highlight w:val="none"/>
                <w:u w:val="none"/>
              </w:rPr>
            </w:pPr>
          </w:p>
        </w:tc>
      </w:tr>
      <w:tr w14:paraId="651C6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1B2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155</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C50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大辣皮</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849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国产国标</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DDB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47A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C95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24.9</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34A99">
            <w:pPr>
              <w:rPr>
                <w:rFonts w:hint="eastAsia" w:ascii="宋体" w:hAnsi="宋体" w:eastAsia="宋体" w:cs="宋体"/>
                <w:i w:val="0"/>
                <w:iCs w:val="0"/>
                <w:color w:val="000000"/>
                <w:sz w:val="24"/>
                <w:szCs w:val="24"/>
                <w:highlight w:val="none"/>
                <w:u w:val="none"/>
              </w:rPr>
            </w:pPr>
          </w:p>
        </w:tc>
      </w:tr>
      <w:tr w14:paraId="64B0A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309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156</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A9D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辣椒面(中粗、辣）</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A38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国产国标</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E0B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99E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074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F923C">
            <w:pPr>
              <w:rPr>
                <w:rFonts w:hint="eastAsia" w:ascii="宋体" w:hAnsi="宋体" w:eastAsia="宋体" w:cs="宋体"/>
                <w:i w:val="0"/>
                <w:iCs w:val="0"/>
                <w:color w:val="000000"/>
                <w:sz w:val="24"/>
                <w:szCs w:val="24"/>
                <w:highlight w:val="none"/>
                <w:u w:val="none"/>
              </w:rPr>
            </w:pPr>
          </w:p>
        </w:tc>
      </w:tr>
      <w:tr w14:paraId="613E0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711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157</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93C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冰糖</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A47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国产国标</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4C6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B95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7ED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CEFF7">
            <w:pPr>
              <w:rPr>
                <w:rFonts w:hint="eastAsia" w:ascii="宋体" w:hAnsi="宋体" w:eastAsia="宋体" w:cs="宋体"/>
                <w:i w:val="0"/>
                <w:iCs w:val="0"/>
                <w:color w:val="000000"/>
                <w:sz w:val="24"/>
                <w:szCs w:val="24"/>
                <w:highlight w:val="none"/>
                <w:u w:val="none"/>
              </w:rPr>
            </w:pPr>
          </w:p>
        </w:tc>
      </w:tr>
      <w:tr w14:paraId="44DF8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DBE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158</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570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红糖</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0AA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国产国标</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AD0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B33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5B7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A495D">
            <w:pPr>
              <w:rPr>
                <w:rFonts w:hint="eastAsia" w:ascii="宋体" w:hAnsi="宋体" w:eastAsia="宋体" w:cs="宋体"/>
                <w:i w:val="0"/>
                <w:iCs w:val="0"/>
                <w:color w:val="000000"/>
                <w:sz w:val="24"/>
                <w:szCs w:val="24"/>
                <w:highlight w:val="none"/>
                <w:u w:val="none"/>
              </w:rPr>
            </w:pPr>
          </w:p>
        </w:tc>
      </w:tr>
      <w:tr w14:paraId="05F75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5C7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159</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1E8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杏脯</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33C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国产国标</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351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4D2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9F5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15866">
            <w:pPr>
              <w:rPr>
                <w:rFonts w:hint="eastAsia" w:ascii="宋体" w:hAnsi="宋体" w:eastAsia="宋体" w:cs="宋体"/>
                <w:i w:val="0"/>
                <w:iCs w:val="0"/>
                <w:color w:val="000000"/>
                <w:sz w:val="24"/>
                <w:szCs w:val="24"/>
                <w:highlight w:val="none"/>
                <w:u w:val="none"/>
              </w:rPr>
            </w:pPr>
          </w:p>
        </w:tc>
      </w:tr>
      <w:tr w14:paraId="4CBAA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245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160</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A90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杏干</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753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国产国标</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F4F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4AB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199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B1A67">
            <w:pPr>
              <w:rPr>
                <w:rFonts w:hint="eastAsia" w:ascii="宋体" w:hAnsi="宋体" w:eastAsia="宋体" w:cs="宋体"/>
                <w:i w:val="0"/>
                <w:iCs w:val="0"/>
                <w:color w:val="000000"/>
                <w:sz w:val="24"/>
                <w:szCs w:val="24"/>
                <w:highlight w:val="none"/>
                <w:u w:val="none"/>
              </w:rPr>
            </w:pPr>
          </w:p>
        </w:tc>
      </w:tr>
      <w:tr w14:paraId="5E877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017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161</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52B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葡萄干（普通）</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32E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国产国标</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96C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6AA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82A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DB719">
            <w:pPr>
              <w:rPr>
                <w:rFonts w:hint="eastAsia" w:ascii="宋体" w:hAnsi="宋体" w:eastAsia="宋体" w:cs="宋体"/>
                <w:i w:val="0"/>
                <w:iCs w:val="0"/>
                <w:color w:val="000000"/>
                <w:sz w:val="24"/>
                <w:szCs w:val="24"/>
                <w:highlight w:val="none"/>
                <w:u w:val="none"/>
              </w:rPr>
            </w:pPr>
          </w:p>
        </w:tc>
      </w:tr>
      <w:tr w14:paraId="0A597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0CF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162</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606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糯米（散）</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00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国产国标</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5E9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91D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24D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71B7F">
            <w:pPr>
              <w:rPr>
                <w:rFonts w:hint="eastAsia" w:ascii="宋体" w:hAnsi="宋体" w:eastAsia="宋体" w:cs="宋体"/>
                <w:i w:val="0"/>
                <w:iCs w:val="0"/>
                <w:color w:val="000000"/>
                <w:sz w:val="24"/>
                <w:szCs w:val="24"/>
                <w:highlight w:val="none"/>
                <w:u w:val="none"/>
              </w:rPr>
            </w:pPr>
          </w:p>
        </w:tc>
      </w:tr>
      <w:tr w14:paraId="6D2F8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E3F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163</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E8A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燕麦片</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6A6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25kg/袋</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539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555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FC3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F2BE6">
            <w:pPr>
              <w:rPr>
                <w:rFonts w:hint="eastAsia" w:ascii="宋体" w:hAnsi="宋体" w:eastAsia="宋体" w:cs="宋体"/>
                <w:i w:val="0"/>
                <w:iCs w:val="0"/>
                <w:color w:val="000000"/>
                <w:sz w:val="24"/>
                <w:szCs w:val="24"/>
                <w:highlight w:val="none"/>
                <w:u w:val="none"/>
              </w:rPr>
            </w:pPr>
          </w:p>
        </w:tc>
      </w:tr>
      <w:tr w14:paraId="52F65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991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164</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A81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十三香</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20B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45g/盒</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AE5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696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996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9D46A">
            <w:pPr>
              <w:rPr>
                <w:rFonts w:hint="eastAsia" w:ascii="宋体" w:hAnsi="宋体" w:eastAsia="宋体" w:cs="宋体"/>
                <w:i w:val="0"/>
                <w:iCs w:val="0"/>
                <w:color w:val="000000"/>
                <w:sz w:val="24"/>
                <w:szCs w:val="24"/>
                <w:highlight w:val="none"/>
                <w:u w:val="none"/>
              </w:rPr>
            </w:pPr>
          </w:p>
        </w:tc>
      </w:tr>
      <w:tr w14:paraId="575D3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449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165</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657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酱油</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E21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500g/瓶</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C72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3CC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C1E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D7ED4">
            <w:pPr>
              <w:rPr>
                <w:rFonts w:hint="eastAsia" w:ascii="宋体" w:hAnsi="宋体" w:eastAsia="宋体" w:cs="宋体"/>
                <w:i w:val="0"/>
                <w:iCs w:val="0"/>
                <w:color w:val="000000"/>
                <w:sz w:val="24"/>
                <w:szCs w:val="24"/>
                <w:highlight w:val="none"/>
                <w:u w:val="none"/>
              </w:rPr>
            </w:pPr>
          </w:p>
        </w:tc>
      </w:tr>
      <w:tr w14:paraId="56EBA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DCE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166</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4CB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香辣酱</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12A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500g/瓶</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63E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2B6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F1B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897F0">
            <w:pPr>
              <w:rPr>
                <w:rFonts w:hint="eastAsia" w:ascii="宋体" w:hAnsi="宋体" w:eastAsia="宋体" w:cs="宋体"/>
                <w:i w:val="0"/>
                <w:iCs w:val="0"/>
                <w:color w:val="000000"/>
                <w:sz w:val="24"/>
                <w:szCs w:val="24"/>
                <w:highlight w:val="none"/>
                <w:u w:val="none"/>
              </w:rPr>
            </w:pPr>
          </w:p>
        </w:tc>
      </w:tr>
      <w:tr w14:paraId="6ABDB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E7A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167</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598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甜面酱</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C59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6kg/桶</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508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kg</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CE8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91F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14A1F">
            <w:pPr>
              <w:rPr>
                <w:rFonts w:hint="eastAsia" w:ascii="宋体" w:hAnsi="宋体" w:eastAsia="宋体" w:cs="宋体"/>
                <w:i w:val="0"/>
                <w:iCs w:val="0"/>
                <w:color w:val="000000"/>
                <w:sz w:val="24"/>
                <w:szCs w:val="24"/>
                <w:highlight w:val="none"/>
                <w:u w:val="none"/>
              </w:rPr>
            </w:pPr>
          </w:p>
        </w:tc>
      </w:tr>
      <w:tr w14:paraId="4B7D6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FBB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168</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B21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海鲜酱</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E92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248g/瓶</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766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337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347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AA68F">
            <w:pPr>
              <w:rPr>
                <w:rFonts w:hint="eastAsia" w:ascii="宋体" w:hAnsi="宋体" w:eastAsia="宋体" w:cs="宋体"/>
                <w:i w:val="0"/>
                <w:iCs w:val="0"/>
                <w:color w:val="000000"/>
                <w:sz w:val="24"/>
                <w:szCs w:val="24"/>
                <w:highlight w:val="none"/>
                <w:u w:val="none"/>
              </w:rPr>
            </w:pPr>
          </w:p>
        </w:tc>
      </w:tr>
      <w:tr w14:paraId="1E627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916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169</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5ED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豆瓣酱</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31F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1kg/桶</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5A9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kg</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ADD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E4A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12E97">
            <w:pPr>
              <w:rPr>
                <w:rFonts w:hint="eastAsia" w:ascii="宋体" w:hAnsi="宋体" w:eastAsia="宋体" w:cs="宋体"/>
                <w:i w:val="0"/>
                <w:iCs w:val="0"/>
                <w:color w:val="000000"/>
                <w:sz w:val="24"/>
                <w:szCs w:val="24"/>
                <w:highlight w:val="none"/>
                <w:u w:val="none"/>
              </w:rPr>
            </w:pPr>
          </w:p>
        </w:tc>
      </w:tr>
      <w:tr w14:paraId="3FD06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1F9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170</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21591">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FF0000"/>
                <w:kern w:val="0"/>
                <w:sz w:val="22"/>
                <w:szCs w:val="22"/>
                <w:highlight w:val="none"/>
                <w:u w:val="none"/>
                <w:lang w:val="en-US" w:eastAsia="zh-CN" w:bidi="ar"/>
              </w:rPr>
              <w:t>鸡粉</w:t>
            </w:r>
            <w:r>
              <w:rPr>
                <w:rFonts w:hint="eastAsia" w:ascii="宋体" w:hAnsi="宋体" w:cs="宋体"/>
                <w:i w:val="0"/>
                <w:iCs w:val="0"/>
                <w:color w:val="FF0000"/>
                <w:kern w:val="0"/>
                <w:sz w:val="22"/>
                <w:szCs w:val="22"/>
                <w:highlight w:val="none"/>
                <w:u w:val="none"/>
                <w:lang w:val="en-US" w:eastAsia="zh-CN" w:bidi="ar"/>
              </w:rPr>
              <w:t>(核心产品）</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027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908g/桶</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3CE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FEB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EC3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D275A">
            <w:pPr>
              <w:rPr>
                <w:rFonts w:hint="eastAsia" w:ascii="宋体" w:hAnsi="宋体" w:eastAsia="宋体" w:cs="宋体"/>
                <w:i w:val="0"/>
                <w:iCs w:val="0"/>
                <w:color w:val="000000"/>
                <w:sz w:val="24"/>
                <w:szCs w:val="24"/>
                <w:highlight w:val="none"/>
                <w:u w:val="none"/>
              </w:rPr>
            </w:pPr>
          </w:p>
        </w:tc>
      </w:tr>
      <w:tr w14:paraId="5A055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A66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171</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046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味极鲜</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AAC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1.9L/桶</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C18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6CF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9F5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8803D">
            <w:pPr>
              <w:rPr>
                <w:rFonts w:hint="eastAsia" w:ascii="宋体" w:hAnsi="宋体" w:eastAsia="宋体" w:cs="宋体"/>
                <w:i w:val="0"/>
                <w:iCs w:val="0"/>
                <w:color w:val="000000"/>
                <w:sz w:val="24"/>
                <w:szCs w:val="24"/>
                <w:highlight w:val="none"/>
                <w:u w:val="none"/>
              </w:rPr>
            </w:pPr>
          </w:p>
        </w:tc>
      </w:tr>
      <w:tr w14:paraId="43447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CB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172</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E63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咖喱膏</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800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100g/盒</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D2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496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C06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DEF5B">
            <w:pPr>
              <w:rPr>
                <w:rFonts w:hint="eastAsia" w:ascii="宋体" w:hAnsi="宋体" w:eastAsia="宋体" w:cs="宋体"/>
                <w:i w:val="0"/>
                <w:iCs w:val="0"/>
                <w:color w:val="000000"/>
                <w:sz w:val="24"/>
                <w:szCs w:val="24"/>
                <w:highlight w:val="none"/>
                <w:u w:val="none"/>
              </w:rPr>
            </w:pPr>
          </w:p>
        </w:tc>
      </w:tr>
      <w:tr w14:paraId="0CF90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FF8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173</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78C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番茄沙司</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FFC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250g/瓶</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A13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CFD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3EA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B2217">
            <w:pPr>
              <w:rPr>
                <w:rFonts w:hint="eastAsia" w:ascii="宋体" w:hAnsi="宋体" w:eastAsia="宋体" w:cs="宋体"/>
                <w:i w:val="0"/>
                <w:iCs w:val="0"/>
                <w:color w:val="000000"/>
                <w:sz w:val="24"/>
                <w:szCs w:val="24"/>
                <w:highlight w:val="none"/>
                <w:u w:val="none"/>
              </w:rPr>
            </w:pPr>
          </w:p>
        </w:tc>
      </w:tr>
      <w:tr w14:paraId="44E7B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BA7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174</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E50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鸡汁</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19A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500g/瓶</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34D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9C9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7B4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FA86F">
            <w:pPr>
              <w:rPr>
                <w:rFonts w:hint="eastAsia" w:ascii="宋体" w:hAnsi="宋体" w:eastAsia="宋体" w:cs="宋体"/>
                <w:i w:val="0"/>
                <w:iCs w:val="0"/>
                <w:color w:val="000000"/>
                <w:sz w:val="24"/>
                <w:szCs w:val="24"/>
                <w:highlight w:val="none"/>
                <w:u w:val="none"/>
              </w:rPr>
            </w:pPr>
          </w:p>
        </w:tc>
      </w:tr>
      <w:tr w14:paraId="438A6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C00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175</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818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麻辣小龙虾料</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0BA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150g/包</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392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0A7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8A5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35F7A">
            <w:pPr>
              <w:rPr>
                <w:rFonts w:hint="eastAsia" w:ascii="宋体" w:hAnsi="宋体" w:eastAsia="宋体" w:cs="宋体"/>
                <w:i w:val="0"/>
                <w:iCs w:val="0"/>
                <w:color w:val="000000"/>
                <w:sz w:val="24"/>
                <w:szCs w:val="24"/>
                <w:highlight w:val="none"/>
                <w:u w:val="none"/>
              </w:rPr>
            </w:pPr>
          </w:p>
        </w:tc>
      </w:tr>
      <w:tr w14:paraId="7BA7A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0BA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176</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25F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橙汁</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779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1kg</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D9B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839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BC0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7EC0F">
            <w:pPr>
              <w:rPr>
                <w:rFonts w:hint="eastAsia" w:ascii="宋体" w:hAnsi="宋体" w:eastAsia="宋体" w:cs="宋体"/>
                <w:i w:val="0"/>
                <w:iCs w:val="0"/>
                <w:color w:val="000000"/>
                <w:sz w:val="24"/>
                <w:szCs w:val="24"/>
                <w:highlight w:val="none"/>
                <w:u w:val="none"/>
              </w:rPr>
            </w:pPr>
          </w:p>
        </w:tc>
      </w:tr>
      <w:tr w14:paraId="6B596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4D6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177</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670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沙拉汁</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3C1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1.5公斤/瓶</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A19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E70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034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AAF71">
            <w:pPr>
              <w:rPr>
                <w:rFonts w:hint="eastAsia" w:ascii="宋体" w:hAnsi="宋体" w:eastAsia="宋体" w:cs="宋体"/>
                <w:i w:val="0"/>
                <w:iCs w:val="0"/>
                <w:color w:val="000000"/>
                <w:sz w:val="24"/>
                <w:szCs w:val="24"/>
                <w:highlight w:val="none"/>
                <w:u w:val="none"/>
              </w:rPr>
            </w:pPr>
          </w:p>
        </w:tc>
      </w:tr>
      <w:tr w14:paraId="02F73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56F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178</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FC5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松花蛋</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349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国产国标</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39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6B7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CBA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DD122">
            <w:pPr>
              <w:rPr>
                <w:rFonts w:hint="eastAsia" w:ascii="宋体" w:hAnsi="宋体" w:eastAsia="宋体" w:cs="宋体"/>
                <w:i w:val="0"/>
                <w:iCs w:val="0"/>
                <w:color w:val="000000"/>
                <w:sz w:val="24"/>
                <w:szCs w:val="24"/>
                <w:highlight w:val="none"/>
                <w:u w:val="none"/>
              </w:rPr>
            </w:pPr>
          </w:p>
        </w:tc>
      </w:tr>
      <w:tr w14:paraId="1BE31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A79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179</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975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咸鸭蛋</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815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国产国标</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FAD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33F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DE2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523B2">
            <w:pPr>
              <w:rPr>
                <w:rFonts w:hint="eastAsia" w:ascii="宋体" w:hAnsi="宋体" w:eastAsia="宋体" w:cs="宋体"/>
                <w:i w:val="0"/>
                <w:iCs w:val="0"/>
                <w:color w:val="000000"/>
                <w:sz w:val="24"/>
                <w:szCs w:val="24"/>
                <w:highlight w:val="none"/>
                <w:u w:val="none"/>
              </w:rPr>
            </w:pPr>
          </w:p>
        </w:tc>
      </w:tr>
      <w:tr w14:paraId="54DAC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19F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180</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765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雪里蕻</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A4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4.5kg/件</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EA5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816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216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83A2E">
            <w:pPr>
              <w:rPr>
                <w:rFonts w:hint="eastAsia" w:ascii="宋体" w:hAnsi="宋体" w:eastAsia="宋体" w:cs="宋体"/>
                <w:i w:val="0"/>
                <w:iCs w:val="0"/>
                <w:color w:val="000000"/>
                <w:sz w:val="24"/>
                <w:szCs w:val="24"/>
                <w:highlight w:val="none"/>
                <w:u w:val="none"/>
              </w:rPr>
            </w:pPr>
          </w:p>
        </w:tc>
      </w:tr>
      <w:tr w14:paraId="4D767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DB8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181</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C6D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普通茯茶</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5F5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1.1kg/块</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A67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块</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FB3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0BB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E64BD">
            <w:pPr>
              <w:rPr>
                <w:rFonts w:hint="eastAsia" w:ascii="宋体" w:hAnsi="宋体" w:eastAsia="宋体" w:cs="宋体"/>
                <w:i w:val="0"/>
                <w:iCs w:val="0"/>
                <w:color w:val="000000"/>
                <w:sz w:val="24"/>
                <w:szCs w:val="24"/>
                <w:highlight w:val="none"/>
                <w:u w:val="none"/>
              </w:rPr>
            </w:pPr>
          </w:p>
        </w:tc>
      </w:tr>
      <w:tr w14:paraId="53539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F45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182</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F56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玉米淀粉</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329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25kg/袋</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A1C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袋</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AE0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E5B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109.8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4363E">
            <w:pPr>
              <w:rPr>
                <w:rFonts w:hint="eastAsia" w:ascii="宋体" w:hAnsi="宋体" w:eastAsia="宋体" w:cs="宋体"/>
                <w:i w:val="0"/>
                <w:iCs w:val="0"/>
                <w:color w:val="000000"/>
                <w:sz w:val="24"/>
                <w:szCs w:val="24"/>
                <w:highlight w:val="none"/>
                <w:u w:val="none"/>
              </w:rPr>
            </w:pPr>
          </w:p>
        </w:tc>
      </w:tr>
      <w:tr w14:paraId="377C4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DBD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183</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C54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蕨根粉</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4B6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400g/袋</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0CD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袋</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832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ED0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445C8">
            <w:pPr>
              <w:rPr>
                <w:rFonts w:hint="eastAsia" w:ascii="宋体" w:hAnsi="宋体" w:eastAsia="宋体" w:cs="宋体"/>
                <w:i w:val="0"/>
                <w:iCs w:val="0"/>
                <w:color w:val="000000"/>
                <w:sz w:val="24"/>
                <w:szCs w:val="24"/>
                <w:highlight w:val="none"/>
                <w:u w:val="none"/>
              </w:rPr>
            </w:pPr>
          </w:p>
        </w:tc>
      </w:tr>
      <w:tr w14:paraId="1B631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BC7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184</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A0B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醪糟</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A5B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400g/袋</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F61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袋</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895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950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692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23C77">
            <w:pPr>
              <w:rPr>
                <w:rFonts w:hint="eastAsia" w:ascii="宋体" w:hAnsi="宋体" w:eastAsia="宋体" w:cs="宋体"/>
                <w:i w:val="0"/>
                <w:iCs w:val="0"/>
                <w:color w:val="000000"/>
                <w:sz w:val="24"/>
                <w:szCs w:val="24"/>
                <w:highlight w:val="none"/>
                <w:u w:val="none"/>
              </w:rPr>
            </w:pPr>
          </w:p>
        </w:tc>
      </w:tr>
      <w:tr w14:paraId="4EA40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219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185</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B83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花生碎</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651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1kg/盒</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D18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D22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6B1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B4AC1">
            <w:pPr>
              <w:rPr>
                <w:rFonts w:hint="eastAsia" w:ascii="宋体" w:hAnsi="宋体" w:eastAsia="宋体" w:cs="宋体"/>
                <w:i w:val="0"/>
                <w:iCs w:val="0"/>
                <w:color w:val="000000"/>
                <w:sz w:val="24"/>
                <w:szCs w:val="24"/>
                <w:highlight w:val="none"/>
                <w:u w:val="none"/>
              </w:rPr>
            </w:pPr>
          </w:p>
        </w:tc>
      </w:tr>
      <w:tr w14:paraId="7292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392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186</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141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金立黄油</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D5E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15kg/件</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BE5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712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8FE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10C3F">
            <w:pPr>
              <w:rPr>
                <w:rFonts w:hint="eastAsia" w:ascii="宋体" w:hAnsi="宋体" w:eastAsia="宋体" w:cs="宋体"/>
                <w:i w:val="0"/>
                <w:iCs w:val="0"/>
                <w:color w:val="000000"/>
                <w:sz w:val="24"/>
                <w:szCs w:val="24"/>
                <w:highlight w:val="none"/>
                <w:u w:val="none"/>
              </w:rPr>
            </w:pPr>
          </w:p>
        </w:tc>
      </w:tr>
      <w:tr w14:paraId="726EA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25D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187</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C85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白奶油</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C30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16kg/件</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0DD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C12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B39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A0DE8">
            <w:pPr>
              <w:rPr>
                <w:rFonts w:hint="eastAsia" w:ascii="宋体" w:hAnsi="宋体" w:eastAsia="宋体" w:cs="宋体"/>
                <w:i w:val="0"/>
                <w:iCs w:val="0"/>
                <w:color w:val="000000"/>
                <w:sz w:val="24"/>
                <w:szCs w:val="24"/>
                <w:highlight w:val="none"/>
                <w:u w:val="none"/>
              </w:rPr>
            </w:pPr>
          </w:p>
        </w:tc>
      </w:tr>
      <w:tr w14:paraId="466C1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B7A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188</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276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B级起酥油</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C7A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10kg/件</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429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D28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9A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46BB6">
            <w:pPr>
              <w:rPr>
                <w:rFonts w:hint="eastAsia" w:ascii="宋体" w:hAnsi="宋体" w:eastAsia="宋体" w:cs="宋体"/>
                <w:i w:val="0"/>
                <w:iCs w:val="0"/>
                <w:color w:val="000000"/>
                <w:sz w:val="24"/>
                <w:szCs w:val="24"/>
                <w:highlight w:val="none"/>
                <w:u w:val="none"/>
              </w:rPr>
            </w:pPr>
          </w:p>
        </w:tc>
      </w:tr>
      <w:tr w14:paraId="669B3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06B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189</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9D6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速发蛋糕油</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E67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3kg/桶</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3F9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51A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00C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4441D">
            <w:pPr>
              <w:rPr>
                <w:rFonts w:hint="eastAsia" w:ascii="宋体" w:hAnsi="宋体" w:eastAsia="宋体" w:cs="宋体"/>
                <w:i w:val="0"/>
                <w:iCs w:val="0"/>
                <w:color w:val="000000"/>
                <w:sz w:val="24"/>
                <w:szCs w:val="24"/>
                <w:highlight w:val="none"/>
                <w:u w:val="none"/>
              </w:rPr>
            </w:pPr>
          </w:p>
        </w:tc>
      </w:tr>
      <w:tr w14:paraId="52919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B7E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190</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EBF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面包粉</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9B1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25kg/袋</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7E4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EA1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19F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DF6D1">
            <w:pPr>
              <w:rPr>
                <w:rFonts w:hint="eastAsia" w:ascii="宋体" w:hAnsi="宋体" w:eastAsia="宋体" w:cs="宋体"/>
                <w:i w:val="0"/>
                <w:iCs w:val="0"/>
                <w:color w:val="000000"/>
                <w:sz w:val="24"/>
                <w:szCs w:val="24"/>
                <w:highlight w:val="none"/>
                <w:u w:val="none"/>
              </w:rPr>
            </w:pPr>
          </w:p>
        </w:tc>
      </w:tr>
      <w:tr w14:paraId="20320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34E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191</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153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吉士粉</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54A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3kg/桶</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49D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49E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912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ADA0E">
            <w:pPr>
              <w:rPr>
                <w:rFonts w:hint="eastAsia" w:ascii="宋体" w:hAnsi="宋体" w:eastAsia="宋体" w:cs="宋体"/>
                <w:i w:val="0"/>
                <w:iCs w:val="0"/>
                <w:color w:val="000000"/>
                <w:sz w:val="24"/>
                <w:szCs w:val="24"/>
                <w:highlight w:val="none"/>
                <w:u w:val="none"/>
              </w:rPr>
            </w:pPr>
          </w:p>
        </w:tc>
      </w:tr>
      <w:tr w14:paraId="22E01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730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192</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C54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豆沙馅</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D68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5kg/包</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246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E87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3C1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939A3">
            <w:pPr>
              <w:rPr>
                <w:rFonts w:hint="eastAsia" w:ascii="宋体" w:hAnsi="宋体" w:eastAsia="宋体" w:cs="宋体"/>
                <w:i w:val="0"/>
                <w:iCs w:val="0"/>
                <w:color w:val="000000"/>
                <w:sz w:val="24"/>
                <w:szCs w:val="24"/>
                <w:highlight w:val="none"/>
                <w:u w:val="none"/>
              </w:rPr>
            </w:pPr>
          </w:p>
        </w:tc>
      </w:tr>
      <w:tr w14:paraId="000F0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FD9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193</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0AE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黑米面</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431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25kg/袋</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AC7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5D9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68A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6.9</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3D81E">
            <w:pPr>
              <w:rPr>
                <w:rFonts w:hint="eastAsia" w:ascii="宋体" w:hAnsi="宋体" w:eastAsia="宋体" w:cs="宋体"/>
                <w:i w:val="0"/>
                <w:iCs w:val="0"/>
                <w:color w:val="000000"/>
                <w:sz w:val="24"/>
                <w:szCs w:val="24"/>
                <w:highlight w:val="none"/>
                <w:u w:val="none"/>
              </w:rPr>
            </w:pPr>
          </w:p>
        </w:tc>
      </w:tr>
      <w:tr w14:paraId="7AA5B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EBE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194</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EE3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风味豆豉</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45D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280g/瓶</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00E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0E4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124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37235">
            <w:pPr>
              <w:rPr>
                <w:rFonts w:hint="eastAsia" w:ascii="宋体" w:hAnsi="宋体" w:eastAsia="宋体" w:cs="宋体"/>
                <w:i w:val="0"/>
                <w:iCs w:val="0"/>
                <w:color w:val="000000"/>
                <w:sz w:val="24"/>
                <w:szCs w:val="24"/>
                <w:highlight w:val="none"/>
                <w:u w:val="none"/>
              </w:rPr>
            </w:pPr>
          </w:p>
        </w:tc>
      </w:tr>
      <w:tr w14:paraId="21695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F9A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195</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F0D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浓缩鲜香粉</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FB4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500g/包</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9E4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194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D44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D91BF">
            <w:pPr>
              <w:rPr>
                <w:rFonts w:hint="eastAsia" w:ascii="宋体" w:hAnsi="宋体" w:eastAsia="宋体" w:cs="宋体"/>
                <w:i w:val="0"/>
                <w:iCs w:val="0"/>
                <w:color w:val="000000"/>
                <w:sz w:val="24"/>
                <w:szCs w:val="24"/>
                <w:highlight w:val="none"/>
                <w:u w:val="none"/>
              </w:rPr>
            </w:pPr>
          </w:p>
        </w:tc>
      </w:tr>
      <w:tr w14:paraId="1C349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6F5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196</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027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大块腐乳</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422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340g/瓶</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7DC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C22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3AD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AAADE">
            <w:pPr>
              <w:rPr>
                <w:rFonts w:hint="eastAsia" w:ascii="宋体" w:hAnsi="宋体" w:eastAsia="宋体" w:cs="宋体"/>
                <w:i w:val="0"/>
                <w:iCs w:val="0"/>
                <w:color w:val="000000"/>
                <w:sz w:val="24"/>
                <w:szCs w:val="24"/>
                <w:highlight w:val="none"/>
                <w:u w:val="none"/>
              </w:rPr>
            </w:pPr>
          </w:p>
        </w:tc>
      </w:tr>
      <w:tr w14:paraId="46025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577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197</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6DF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小米椒</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3CC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2kg/袋</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D6F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35E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F33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90F5D">
            <w:pPr>
              <w:rPr>
                <w:rFonts w:hint="eastAsia" w:ascii="宋体" w:hAnsi="宋体" w:eastAsia="宋体" w:cs="宋体"/>
                <w:i w:val="0"/>
                <w:iCs w:val="0"/>
                <w:color w:val="000000"/>
                <w:sz w:val="24"/>
                <w:szCs w:val="24"/>
                <w:highlight w:val="none"/>
                <w:u w:val="none"/>
              </w:rPr>
            </w:pPr>
          </w:p>
        </w:tc>
      </w:tr>
      <w:tr w14:paraId="1B728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AB7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198</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C28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奶油奶酪</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CF7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1kg/盒</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B73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E70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4ED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15E68">
            <w:pPr>
              <w:rPr>
                <w:rFonts w:hint="eastAsia" w:ascii="宋体" w:hAnsi="宋体" w:eastAsia="宋体" w:cs="宋体"/>
                <w:i w:val="0"/>
                <w:iCs w:val="0"/>
                <w:color w:val="000000"/>
                <w:sz w:val="24"/>
                <w:szCs w:val="24"/>
                <w:highlight w:val="none"/>
                <w:u w:val="none"/>
              </w:rPr>
            </w:pPr>
          </w:p>
        </w:tc>
      </w:tr>
      <w:tr w14:paraId="7E81C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2A3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199</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8FD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酵母</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639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450g/包</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D37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653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D85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74C45">
            <w:pPr>
              <w:rPr>
                <w:rFonts w:hint="eastAsia" w:ascii="宋体" w:hAnsi="宋体" w:eastAsia="宋体" w:cs="宋体"/>
                <w:i w:val="0"/>
                <w:iCs w:val="0"/>
                <w:color w:val="000000"/>
                <w:sz w:val="24"/>
                <w:szCs w:val="24"/>
                <w:highlight w:val="none"/>
                <w:u w:val="none"/>
              </w:rPr>
            </w:pPr>
          </w:p>
        </w:tc>
      </w:tr>
      <w:tr w14:paraId="38F88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9C2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99C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油条膨松剂</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63E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400g/包</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9A4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A1A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CF9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3A439">
            <w:pPr>
              <w:rPr>
                <w:rFonts w:hint="eastAsia" w:ascii="宋体" w:hAnsi="宋体" w:eastAsia="宋体" w:cs="宋体"/>
                <w:i w:val="0"/>
                <w:iCs w:val="0"/>
                <w:color w:val="000000"/>
                <w:sz w:val="24"/>
                <w:szCs w:val="24"/>
                <w:highlight w:val="none"/>
                <w:u w:val="none"/>
              </w:rPr>
            </w:pPr>
          </w:p>
        </w:tc>
      </w:tr>
      <w:tr w14:paraId="206A0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140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EE6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碱面（散）</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9D7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国产国标</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F10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671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FC4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86215">
            <w:pPr>
              <w:rPr>
                <w:rFonts w:hint="eastAsia" w:ascii="宋体" w:hAnsi="宋体" w:eastAsia="宋体" w:cs="宋体"/>
                <w:i w:val="0"/>
                <w:iCs w:val="0"/>
                <w:color w:val="000000"/>
                <w:sz w:val="24"/>
                <w:szCs w:val="24"/>
                <w:highlight w:val="none"/>
                <w:u w:val="none"/>
              </w:rPr>
            </w:pPr>
          </w:p>
        </w:tc>
      </w:tr>
      <w:tr w14:paraId="2711F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F58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4C3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蓬灰（散）</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0E6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500g/包</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E83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D66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54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88673">
            <w:pPr>
              <w:rPr>
                <w:rFonts w:hint="eastAsia" w:ascii="宋体" w:hAnsi="宋体" w:eastAsia="宋体" w:cs="宋体"/>
                <w:i w:val="0"/>
                <w:iCs w:val="0"/>
                <w:color w:val="000000"/>
                <w:sz w:val="24"/>
                <w:szCs w:val="24"/>
                <w:highlight w:val="none"/>
                <w:u w:val="none"/>
              </w:rPr>
            </w:pPr>
          </w:p>
        </w:tc>
      </w:tr>
      <w:tr w14:paraId="70B0E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ECD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203</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95D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泡打粉</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A5A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1×250g/包</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CDA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C3C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2B4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C2265">
            <w:pPr>
              <w:rPr>
                <w:rFonts w:hint="eastAsia" w:ascii="宋体" w:hAnsi="宋体" w:eastAsia="宋体" w:cs="宋体"/>
                <w:i w:val="0"/>
                <w:iCs w:val="0"/>
                <w:color w:val="000000"/>
                <w:sz w:val="24"/>
                <w:szCs w:val="24"/>
                <w:highlight w:val="none"/>
                <w:u w:val="none"/>
              </w:rPr>
            </w:pPr>
          </w:p>
        </w:tc>
      </w:tr>
      <w:tr w14:paraId="6964D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49C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204</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E0F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小苏打</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FB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250g/袋</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95B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袋</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530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77F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2B407">
            <w:pPr>
              <w:rPr>
                <w:rFonts w:hint="eastAsia" w:ascii="宋体" w:hAnsi="宋体" w:eastAsia="宋体" w:cs="宋体"/>
                <w:i w:val="0"/>
                <w:iCs w:val="0"/>
                <w:color w:val="000000"/>
                <w:sz w:val="24"/>
                <w:szCs w:val="24"/>
                <w:highlight w:val="none"/>
                <w:u w:val="none"/>
              </w:rPr>
            </w:pPr>
          </w:p>
        </w:tc>
      </w:tr>
      <w:tr w14:paraId="20756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87A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205</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95E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红枣泥</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EDC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3公斤/包</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50E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922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039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5954F">
            <w:pPr>
              <w:rPr>
                <w:rFonts w:hint="eastAsia" w:ascii="宋体" w:hAnsi="宋体" w:eastAsia="宋体" w:cs="宋体"/>
                <w:i w:val="0"/>
                <w:iCs w:val="0"/>
                <w:color w:val="000000"/>
                <w:sz w:val="24"/>
                <w:szCs w:val="24"/>
                <w:highlight w:val="none"/>
                <w:u w:val="none"/>
              </w:rPr>
            </w:pPr>
          </w:p>
        </w:tc>
      </w:tr>
      <w:tr w14:paraId="0522B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FE7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206</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063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脱皮绿豆</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C30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25公斤/袋</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D51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8ADE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35F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531AF">
            <w:pPr>
              <w:rPr>
                <w:rFonts w:hint="eastAsia" w:ascii="宋体" w:hAnsi="宋体" w:eastAsia="宋体" w:cs="宋体"/>
                <w:i w:val="0"/>
                <w:iCs w:val="0"/>
                <w:color w:val="000000"/>
                <w:sz w:val="24"/>
                <w:szCs w:val="24"/>
                <w:highlight w:val="none"/>
                <w:u w:val="none"/>
              </w:rPr>
            </w:pPr>
          </w:p>
        </w:tc>
      </w:tr>
      <w:tr w14:paraId="52217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18E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207</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5E4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高活性酵母</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88B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500g/包</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0E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袋</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A06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C22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84B9B">
            <w:pPr>
              <w:rPr>
                <w:rFonts w:hint="eastAsia" w:ascii="宋体" w:hAnsi="宋体" w:eastAsia="宋体" w:cs="宋体"/>
                <w:i w:val="0"/>
                <w:iCs w:val="0"/>
                <w:color w:val="000000"/>
                <w:sz w:val="24"/>
                <w:szCs w:val="24"/>
                <w:highlight w:val="none"/>
                <w:u w:val="none"/>
              </w:rPr>
            </w:pPr>
          </w:p>
        </w:tc>
      </w:tr>
      <w:tr w14:paraId="38B95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DB7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245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当归</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950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国产国标</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535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kg</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F3C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1C7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FB106">
            <w:pPr>
              <w:rPr>
                <w:rFonts w:hint="eastAsia" w:ascii="宋体" w:hAnsi="宋体" w:eastAsia="宋体" w:cs="宋体"/>
                <w:i w:val="0"/>
                <w:iCs w:val="0"/>
                <w:color w:val="000000"/>
                <w:sz w:val="24"/>
                <w:szCs w:val="24"/>
                <w:highlight w:val="none"/>
                <w:u w:val="none"/>
              </w:rPr>
            </w:pPr>
          </w:p>
        </w:tc>
      </w:tr>
      <w:tr w14:paraId="3E29F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8ED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209</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45C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鲜花椒</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4FA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国产国标</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86E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kg</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43B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FED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97F52">
            <w:pPr>
              <w:rPr>
                <w:rFonts w:hint="eastAsia" w:ascii="宋体" w:hAnsi="宋体" w:eastAsia="宋体" w:cs="宋体"/>
                <w:i w:val="0"/>
                <w:iCs w:val="0"/>
                <w:color w:val="000000"/>
                <w:sz w:val="24"/>
                <w:szCs w:val="24"/>
                <w:highlight w:val="none"/>
                <w:u w:val="none"/>
              </w:rPr>
            </w:pPr>
          </w:p>
        </w:tc>
      </w:tr>
      <w:tr w14:paraId="2A006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0A4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71E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白芝麻(散称)</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F31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国产国标</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DB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F51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CF1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90546">
            <w:pPr>
              <w:rPr>
                <w:rFonts w:hint="eastAsia" w:ascii="宋体" w:hAnsi="宋体" w:eastAsia="宋体" w:cs="宋体"/>
                <w:i w:val="0"/>
                <w:iCs w:val="0"/>
                <w:color w:val="000000"/>
                <w:sz w:val="24"/>
                <w:szCs w:val="24"/>
                <w:highlight w:val="none"/>
                <w:u w:val="none"/>
              </w:rPr>
            </w:pPr>
          </w:p>
        </w:tc>
      </w:tr>
      <w:tr w14:paraId="5C841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0BF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211</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785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线椒</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0DD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国产国标</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303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2F5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564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1C143">
            <w:pPr>
              <w:rPr>
                <w:rFonts w:hint="eastAsia" w:ascii="宋体" w:hAnsi="宋体" w:eastAsia="宋体" w:cs="宋体"/>
                <w:i w:val="0"/>
                <w:iCs w:val="0"/>
                <w:color w:val="000000"/>
                <w:sz w:val="24"/>
                <w:szCs w:val="24"/>
                <w:highlight w:val="none"/>
                <w:u w:val="none"/>
              </w:rPr>
            </w:pPr>
          </w:p>
        </w:tc>
      </w:tr>
      <w:tr w14:paraId="34DF8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43D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212</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90C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香辣酥脆椒</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C7B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308g/包</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310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483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96B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04B13">
            <w:pPr>
              <w:rPr>
                <w:rFonts w:hint="eastAsia" w:ascii="宋体" w:hAnsi="宋体" w:eastAsia="宋体" w:cs="宋体"/>
                <w:i w:val="0"/>
                <w:iCs w:val="0"/>
                <w:color w:val="000000"/>
                <w:sz w:val="24"/>
                <w:szCs w:val="24"/>
                <w:highlight w:val="none"/>
                <w:u w:val="none"/>
              </w:rPr>
            </w:pPr>
          </w:p>
        </w:tc>
      </w:tr>
      <w:tr w14:paraId="4470D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942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213</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4A2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番茄酱</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FAD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4.5kg/桶</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998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kg</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13B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55C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E7F72">
            <w:pPr>
              <w:rPr>
                <w:rFonts w:hint="eastAsia" w:ascii="宋体" w:hAnsi="宋体" w:eastAsia="宋体" w:cs="宋体"/>
                <w:i w:val="0"/>
                <w:iCs w:val="0"/>
                <w:color w:val="000000"/>
                <w:sz w:val="24"/>
                <w:szCs w:val="24"/>
                <w:highlight w:val="none"/>
                <w:u w:val="none"/>
              </w:rPr>
            </w:pPr>
          </w:p>
        </w:tc>
      </w:tr>
      <w:tr w14:paraId="36F18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4F1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214</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DAC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酸菜鱼料</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FBC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300g/包</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6C0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48C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7FE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231B2">
            <w:pPr>
              <w:rPr>
                <w:rFonts w:hint="eastAsia" w:ascii="宋体" w:hAnsi="宋体" w:eastAsia="宋体" w:cs="宋体"/>
                <w:i w:val="0"/>
                <w:iCs w:val="0"/>
                <w:color w:val="000000"/>
                <w:sz w:val="24"/>
                <w:szCs w:val="24"/>
                <w:highlight w:val="none"/>
                <w:u w:val="none"/>
              </w:rPr>
            </w:pPr>
          </w:p>
        </w:tc>
      </w:tr>
      <w:tr w14:paraId="3663C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0C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215</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D93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板椒上色辣酱</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B24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500g/瓶</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790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960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3AA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22689">
            <w:pPr>
              <w:rPr>
                <w:rFonts w:hint="eastAsia" w:ascii="宋体" w:hAnsi="宋体" w:eastAsia="宋体" w:cs="宋体"/>
                <w:i w:val="0"/>
                <w:iCs w:val="0"/>
                <w:color w:val="000000"/>
                <w:sz w:val="24"/>
                <w:szCs w:val="24"/>
                <w:highlight w:val="none"/>
                <w:u w:val="none"/>
              </w:rPr>
            </w:pPr>
          </w:p>
        </w:tc>
      </w:tr>
      <w:tr w14:paraId="16EBA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C14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216</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3F4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寿司紫菜</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6C9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50g/包</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27C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E66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13A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7698E">
            <w:pPr>
              <w:rPr>
                <w:rFonts w:hint="eastAsia" w:ascii="宋体" w:hAnsi="宋体" w:eastAsia="宋体" w:cs="宋体"/>
                <w:i w:val="0"/>
                <w:iCs w:val="0"/>
                <w:color w:val="000000"/>
                <w:sz w:val="24"/>
                <w:szCs w:val="24"/>
                <w:highlight w:val="none"/>
                <w:u w:val="none"/>
              </w:rPr>
            </w:pPr>
          </w:p>
        </w:tc>
      </w:tr>
      <w:tr w14:paraId="11779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02C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217</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C74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紫菜</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EE6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30g/包</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377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658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7B6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75EA7">
            <w:pPr>
              <w:rPr>
                <w:rFonts w:hint="eastAsia" w:ascii="宋体" w:hAnsi="宋体" w:eastAsia="宋体" w:cs="宋体"/>
                <w:i w:val="0"/>
                <w:iCs w:val="0"/>
                <w:color w:val="000000"/>
                <w:sz w:val="24"/>
                <w:szCs w:val="24"/>
                <w:highlight w:val="none"/>
                <w:u w:val="none"/>
              </w:rPr>
            </w:pPr>
          </w:p>
        </w:tc>
      </w:tr>
      <w:tr w14:paraId="24917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7A8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218</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861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红豆</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DE9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3kg/袋</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26A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574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F11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B6CD4">
            <w:pPr>
              <w:rPr>
                <w:rFonts w:hint="eastAsia" w:ascii="宋体" w:hAnsi="宋体" w:eastAsia="宋体" w:cs="宋体"/>
                <w:i w:val="0"/>
                <w:iCs w:val="0"/>
                <w:color w:val="000000"/>
                <w:sz w:val="24"/>
                <w:szCs w:val="24"/>
                <w:highlight w:val="none"/>
                <w:u w:val="none"/>
              </w:rPr>
            </w:pPr>
          </w:p>
        </w:tc>
      </w:tr>
      <w:tr w14:paraId="31DEF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A31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219</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4CF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酸菜（散称）</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FE6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国产国标</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100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301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D3B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A9724">
            <w:pPr>
              <w:rPr>
                <w:rFonts w:hint="eastAsia" w:ascii="宋体" w:hAnsi="宋体" w:eastAsia="宋体" w:cs="宋体"/>
                <w:i w:val="0"/>
                <w:iCs w:val="0"/>
                <w:color w:val="000000"/>
                <w:sz w:val="24"/>
                <w:szCs w:val="24"/>
                <w:highlight w:val="none"/>
                <w:u w:val="none"/>
              </w:rPr>
            </w:pPr>
          </w:p>
        </w:tc>
      </w:tr>
      <w:tr w14:paraId="421EA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ED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220</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69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玉米羹</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56A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380g/瓶</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647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61B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CDB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E0573">
            <w:pPr>
              <w:rPr>
                <w:rFonts w:hint="eastAsia" w:ascii="宋体" w:hAnsi="宋体" w:eastAsia="宋体" w:cs="宋体"/>
                <w:i w:val="0"/>
                <w:iCs w:val="0"/>
                <w:color w:val="000000"/>
                <w:sz w:val="24"/>
                <w:szCs w:val="24"/>
                <w:highlight w:val="none"/>
                <w:u w:val="none"/>
              </w:rPr>
            </w:pPr>
          </w:p>
        </w:tc>
      </w:tr>
      <w:tr w14:paraId="028A1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A2D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221</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A93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防潮糖粉</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3CA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1kg/罐</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5B8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罐</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ADF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5F9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87601">
            <w:pPr>
              <w:rPr>
                <w:rFonts w:hint="eastAsia" w:ascii="宋体" w:hAnsi="宋体" w:eastAsia="宋体" w:cs="宋体"/>
                <w:i w:val="0"/>
                <w:iCs w:val="0"/>
                <w:color w:val="000000"/>
                <w:sz w:val="24"/>
                <w:szCs w:val="24"/>
                <w:highlight w:val="none"/>
                <w:u w:val="none"/>
              </w:rPr>
            </w:pPr>
          </w:p>
        </w:tc>
      </w:tr>
      <w:tr w14:paraId="49925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071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222</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98E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动物淡奶油</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42D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1升/盒</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641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276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834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C9E1F">
            <w:pPr>
              <w:rPr>
                <w:rFonts w:hint="eastAsia" w:ascii="宋体" w:hAnsi="宋体" w:eastAsia="宋体" w:cs="宋体"/>
                <w:i w:val="0"/>
                <w:iCs w:val="0"/>
                <w:color w:val="000000"/>
                <w:sz w:val="24"/>
                <w:szCs w:val="24"/>
                <w:highlight w:val="none"/>
                <w:u w:val="none"/>
              </w:rPr>
            </w:pPr>
          </w:p>
        </w:tc>
      </w:tr>
      <w:tr w14:paraId="2F77A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56E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223</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A89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蛋糕高温纸杯</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DEE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B22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D4A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21D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32800">
            <w:pPr>
              <w:rPr>
                <w:rFonts w:hint="eastAsia" w:ascii="宋体" w:hAnsi="宋体" w:eastAsia="宋体" w:cs="宋体"/>
                <w:i w:val="0"/>
                <w:iCs w:val="0"/>
                <w:color w:val="000000"/>
                <w:sz w:val="24"/>
                <w:szCs w:val="24"/>
                <w:highlight w:val="none"/>
                <w:u w:val="none"/>
              </w:rPr>
            </w:pPr>
          </w:p>
        </w:tc>
      </w:tr>
      <w:tr w14:paraId="526F8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7EC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32F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中细火锅面</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928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60包/件</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356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FE8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678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840F5">
            <w:pPr>
              <w:rPr>
                <w:rFonts w:hint="eastAsia" w:ascii="宋体" w:hAnsi="宋体" w:eastAsia="宋体" w:cs="宋体"/>
                <w:i w:val="0"/>
                <w:iCs w:val="0"/>
                <w:color w:val="000000"/>
                <w:sz w:val="24"/>
                <w:szCs w:val="24"/>
                <w:highlight w:val="none"/>
                <w:u w:val="none"/>
              </w:rPr>
            </w:pPr>
          </w:p>
        </w:tc>
      </w:tr>
      <w:tr w14:paraId="023C3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32E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225</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BE8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中粗干米粉</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0B0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25公斤/袋</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393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B95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A5B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27D83">
            <w:pPr>
              <w:rPr>
                <w:rFonts w:hint="eastAsia" w:ascii="宋体" w:hAnsi="宋体" w:eastAsia="宋体" w:cs="宋体"/>
                <w:i w:val="0"/>
                <w:iCs w:val="0"/>
                <w:color w:val="000000"/>
                <w:sz w:val="24"/>
                <w:szCs w:val="24"/>
                <w:highlight w:val="none"/>
                <w:u w:val="none"/>
              </w:rPr>
            </w:pPr>
          </w:p>
        </w:tc>
      </w:tr>
      <w:tr w14:paraId="25B2A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6B8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226</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783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大菠萝罐头</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D6A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1公斤/罐*12罐/件</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AD2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罐</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B5C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7C2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B6C68">
            <w:pPr>
              <w:rPr>
                <w:rFonts w:hint="eastAsia" w:ascii="宋体" w:hAnsi="宋体" w:eastAsia="宋体" w:cs="宋体"/>
                <w:i w:val="0"/>
                <w:iCs w:val="0"/>
                <w:color w:val="000000"/>
                <w:sz w:val="24"/>
                <w:szCs w:val="24"/>
                <w:highlight w:val="none"/>
                <w:u w:val="none"/>
              </w:rPr>
            </w:pPr>
          </w:p>
        </w:tc>
      </w:tr>
      <w:tr w14:paraId="1FDA1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CBB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227</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696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炸鸡哀粉</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BD0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1公斤（白色）</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D1E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3A8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158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9FEC3">
            <w:pPr>
              <w:rPr>
                <w:rFonts w:hint="eastAsia" w:ascii="宋体" w:hAnsi="宋体" w:eastAsia="宋体" w:cs="宋体"/>
                <w:i w:val="0"/>
                <w:iCs w:val="0"/>
                <w:color w:val="000000"/>
                <w:sz w:val="24"/>
                <w:szCs w:val="24"/>
                <w:highlight w:val="none"/>
                <w:u w:val="none"/>
              </w:rPr>
            </w:pPr>
          </w:p>
        </w:tc>
      </w:tr>
      <w:tr w14:paraId="2F4B4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4A4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228</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750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米粉酱</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F2C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3.6公斤/桶</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3A8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022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8D9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4E2D4">
            <w:pPr>
              <w:rPr>
                <w:rFonts w:hint="eastAsia" w:ascii="宋体" w:hAnsi="宋体" w:eastAsia="宋体" w:cs="宋体"/>
                <w:i w:val="0"/>
                <w:iCs w:val="0"/>
                <w:color w:val="000000"/>
                <w:sz w:val="24"/>
                <w:szCs w:val="24"/>
                <w:highlight w:val="none"/>
                <w:u w:val="none"/>
              </w:rPr>
            </w:pPr>
          </w:p>
        </w:tc>
      </w:tr>
      <w:tr w14:paraId="0C0A2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953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229</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1B1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咸蛋黄</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510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20个/包</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759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C37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9E5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4A7EF">
            <w:pPr>
              <w:rPr>
                <w:rFonts w:hint="eastAsia" w:ascii="宋体" w:hAnsi="宋体" w:eastAsia="宋体" w:cs="宋体"/>
                <w:i w:val="0"/>
                <w:iCs w:val="0"/>
                <w:color w:val="000000"/>
                <w:sz w:val="24"/>
                <w:szCs w:val="24"/>
                <w:highlight w:val="none"/>
                <w:u w:val="none"/>
              </w:rPr>
            </w:pPr>
          </w:p>
        </w:tc>
      </w:tr>
      <w:tr w14:paraId="3F3BE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858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230</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948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寿司火腿肠</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3BE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450g*18块/件</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D34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块</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B7E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331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D0333">
            <w:pPr>
              <w:rPr>
                <w:rFonts w:hint="eastAsia" w:ascii="宋体" w:hAnsi="宋体" w:eastAsia="宋体" w:cs="宋体"/>
                <w:i w:val="0"/>
                <w:iCs w:val="0"/>
                <w:color w:val="000000"/>
                <w:sz w:val="24"/>
                <w:szCs w:val="24"/>
                <w:highlight w:val="none"/>
                <w:u w:val="none"/>
              </w:rPr>
            </w:pPr>
          </w:p>
        </w:tc>
      </w:tr>
      <w:tr w14:paraId="6626E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4B6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231</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195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黑胡椒粒</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97A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500g瓶</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2CF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4D0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A7E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0575B">
            <w:pPr>
              <w:rPr>
                <w:rFonts w:hint="eastAsia" w:ascii="宋体" w:hAnsi="宋体" w:eastAsia="宋体" w:cs="宋体"/>
                <w:i w:val="0"/>
                <w:iCs w:val="0"/>
                <w:color w:val="000000"/>
                <w:sz w:val="24"/>
                <w:szCs w:val="24"/>
                <w:highlight w:val="none"/>
                <w:u w:val="none"/>
              </w:rPr>
            </w:pPr>
          </w:p>
        </w:tc>
      </w:tr>
      <w:tr w14:paraId="3CA1C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A40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232</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326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寿司萝卜大根</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BED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1*15包*500g</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39E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BFE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AD5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8B201">
            <w:pPr>
              <w:rPr>
                <w:rFonts w:hint="eastAsia" w:ascii="宋体" w:hAnsi="宋体" w:eastAsia="宋体" w:cs="宋体"/>
                <w:i w:val="0"/>
                <w:iCs w:val="0"/>
                <w:color w:val="000000"/>
                <w:sz w:val="24"/>
                <w:szCs w:val="24"/>
                <w:highlight w:val="none"/>
                <w:u w:val="none"/>
              </w:rPr>
            </w:pPr>
          </w:p>
        </w:tc>
      </w:tr>
      <w:tr w14:paraId="1B3A7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643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233</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5C9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寿司卷帘</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07A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3D3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CCB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1F8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5C0FE">
            <w:pPr>
              <w:rPr>
                <w:rFonts w:hint="eastAsia" w:ascii="宋体" w:hAnsi="宋体" w:eastAsia="宋体" w:cs="宋体"/>
                <w:i w:val="0"/>
                <w:iCs w:val="0"/>
                <w:color w:val="000000"/>
                <w:sz w:val="24"/>
                <w:szCs w:val="24"/>
                <w:highlight w:val="none"/>
                <w:u w:val="none"/>
              </w:rPr>
            </w:pPr>
          </w:p>
        </w:tc>
      </w:tr>
      <w:tr w14:paraId="4F264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331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234</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D50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珍鲜多寿司醋</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E8A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200g*12瓶/件</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5E4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1B4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52E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702E0">
            <w:pPr>
              <w:rPr>
                <w:rFonts w:hint="eastAsia" w:ascii="宋体" w:hAnsi="宋体" w:eastAsia="宋体" w:cs="宋体"/>
                <w:i w:val="0"/>
                <w:iCs w:val="0"/>
                <w:color w:val="000000"/>
                <w:sz w:val="24"/>
                <w:szCs w:val="24"/>
                <w:highlight w:val="none"/>
                <w:u w:val="none"/>
              </w:rPr>
            </w:pPr>
          </w:p>
        </w:tc>
      </w:tr>
      <w:tr w14:paraId="65081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031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235</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4EF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寿司拌饭紫菜</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35E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500G/袋</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B6A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袋</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20A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491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AF219">
            <w:pPr>
              <w:rPr>
                <w:rFonts w:hint="eastAsia" w:ascii="宋体" w:hAnsi="宋体" w:eastAsia="宋体" w:cs="宋体"/>
                <w:i w:val="0"/>
                <w:iCs w:val="0"/>
                <w:color w:val="000000"/>
                <w:sz w:val="24"/>
                <w:szCs w:val="24"/>
                <w:highlight w:val="none"/>
                <w:u w:val="none"/>
              </w:rPr>
            </w:pPr>
          </w:p>
        </w:tc>
      </w:tr>
      <w:tr w14:paraId="4DD3E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485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236</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3D3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去籽辣椒丝</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6BD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731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B9B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EE0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85F41">
            <w:pPr>
              <w:rPr>
                <w:rFonts w:hint="eastAsia" w:ascii="宋体" w:hAnsi="宋体" w:eastAsia="宋体" w:cs="宋体"/>
                <w:i w:val="0"/>
                <w:iCs w:val="0"/>
                <w:color w:val="000000"/>
                <w:sz w:val="24"/>
                <w:szCs w:val="24"/>
                <w:highlight w:val="none"/>
                <w:u w:val="none"/>
              </w:rPr>
            </w:pPr>
          </w:p>
        </w:tc>
      </w:tr>
      <w:tr w14:paraId="43001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387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237</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468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荞麦挂面</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ED4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1公斤*15包/件</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D85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C1F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5AE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8648D">
            <w:pPr>
              <w:rPr>
                <w:rFonts w:hint="eastAsia" w:ascii="宋体" w:hAnsi="宋体" w:eastAsia="宋体" w:cs="宋体"/>
                <w:i w:val="0"/>
                <w:iCs w:val="0"/>
                <w:color w:val="000000"/>
                <w:sz w:val="24"/>
                <w:szCs w:val="24"/>
                <w:highlight w:val="none"/>
                <w:u w:val="none"/>
              </w:rPr>
            </w:pPr>
          </w:p>
        </w:tc>
      </w:tr>
      <w:tr w14:paraId="4A497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535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238</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88F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泡仔姜</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197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1公斤/罐</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D0B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457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2C7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1B721">
            <w:pPr>
              <w:rPr>
                <w:rFonts w:hint="eastAsia" w:ascii="宋体" w:hAnsi="宋体" w:eastAsia="宋体" w:cs="宋体"/>
                <w:i w:val="0"/>
                <w:iCs w:val="0"/>
                <w:color w:val="000000"/>
                <w:sz w:val="24"/>
                <w:szCs w:val="24"/>
                <w:highlight w:val="none"/>
                <w:u w:val="none"/>
              </w:rPr>
            </w:pPr>
          </w:p>
        </w:tc>
      </w:tr>
      <w:tr w14:paraId="5232F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B60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239</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5BE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泡二斤条</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098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2公斤/包*6包/件</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04C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92C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D21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D0E76">
            <w:pPr>
              <w:rPr>
                <w:rFonts w:hint="eastAsia" w:ascii="宋体" w:hAnsi="宋体" w:eastAsia="宋体" w:cs="宋体"/>
                <w:i w:val="0"/>
                <w:iCs w:val="0"/>
                <w:color w:val="000000"/>
                <w:sz w:val="24"/>
                <w:szCs w:val="24"/>
                <w:highlight w:val="none"/>
                <w:u w:val="none"/>
              </w:rPr>
            </w:pPr>
          </w:p>
        </w:tc>
      </w:tr>
      <w:tr w14:paraId="16808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EB5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240</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FF0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酸菜鱼料</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9D3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3.6公斤/桶*2桶/件</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628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F9B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C4C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48B52">
            <w:pPr>
              <w:rPr>
                <w:rFonts w:hint="eastAsia" w:ascii="宋体" w:hAnsi="宋体" w:eastAsia="宋体" w:cs="宋体"/>
                <w:i w:val="0"/>
                <w:iCs w:val="0"/>
                <w:color w:val="000000"/>
                <w:sz w:val="24"/>
                <w:szCs w:val="24"/>
                <w:highlight w:val="none"/>
                <w:u w:val="none"/>
              </w:rPr>
            </w:pPr>
          </w:p>
        </w:tc>
      </w:tr>
      <w:tr w14:paraId="4B807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2C3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241</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78C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魔鬼椒</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541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029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9AA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546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D1744">
            <w:pPr>
              <w:rPr>
                <w:rFonts w:hint="eastAsia" w:ascii="宋体" w:hAnsi="宋体" w:eastAsia="宋体" w:cs="宋体"/>
                <w:i w:val="0"/>
                <w:iCs w:val="0"/>
                <w:color w:val="000000"/>
                <w:sz w:val="24"/>
                <w:szCs w:val="24"/>
                <w:highlight w:val="none"/>
                <w:u w:val="none"/>
              </w:rPr>
            </w:pPr>
          </w:p>
        </w:tc>
      </w:tr>
      <w:tr w14:paraId="112AC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39C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242</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A00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大厚肉椒</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A0A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BC3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1B6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B8C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F6127">
            <w:pPr>
              <w:rPr>
                <w:rFonts w:hint="eastAsia" w:ascii="宋体" w:hAnsi="宋体" w:eastAsia="宋体" w:cs="宋体"/>
                <w:i w:val="0"/>
                <w:iCs w:val="0"/>
                <w:color w:val="000000"/>
                <w:sz w:val="24"/>
                <w:szCs w:val="24"/>
                <w:highlight w:val="none"/>
                <w:u w:val="none"/>
              </w:rPr>
            </w:pPr>
          </w:p>
        </w:tc>
      </w:tr>
      <w:tr w14:paraId="5C6EC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234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243</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BD0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酸萝卜鸭料</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A65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2公斤/包*6包/件</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239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949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47B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6D113">
            <w:pPr>
              <w:rPr>
                <w:rFonts w:hint="eastAsia" w:ascii="宋体" w:hAnsi="宋体" w:eastAsia="宋体" w:cs="宋体"/>
                <w:i w:val="0"/>
                <w:iCs w:val="0"/>
                <w:color w:val="000000"/>
                <w:sz w:val="24"/>
                <w:szCs w:val="24"/>
                <w:highlight w:val="none"/>
                <w:u w:val="none"/>
              </w:rPr>
            </w:pPr>
          </w:p>
        </w:tc>
      </w:tr>
      <w:tr w14:paraId="5960E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E89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244</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B8E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蔓越莓干</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7DE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66F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814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E85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B67A6">
            <w:pPr>
              <w:rPr>
                <w:rFonts w:hint="eastAsia" w:ascii="宋体" w:hAnsi="宋体" w:eastAsia="宋体" w:cs="宋体"/>
                <w:i w:val="0"/>
                <w:iCs w:val="0"/>
                <w:color w:val="000000"/>
                <w:sz w:val="24"/>
                <w:szCs w:val="24"/>
                <w:highlight w:val="none"/>
                <w:u w:val="none"/>
              </w:rPr>
            </w:pPr>
          </w:p>
        </w:tc>
      </w:tr>
      <w:tr w14:paraId="0DAF3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C78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245</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409E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绿色花菜干</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7AC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1公斤/包</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2E1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DB9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B50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98733">
            <w:pPr>
              <w:rPr>
                <w:rFonts w:hint="eastAsia" w:ascii="宋体" w:hAnsi="宋体" w:eastAsia="宋体" w:cs="宋体"/>
                <w:i w:val="0"/>
                <w:iCs w:val="0"/>
                <w:color w:val="000000"/>
                <w:sz w:val="24"/>
                <w:szCs w:val="24"/>
                <w:highlight w:val="none"/>
                <w:u w:val="none"/>
              </w:rPr>
            </w:pPr>
          </w:p>
        </w:tc>
      </w:tr>
      <w:tr w14:paraId="0F71D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338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246</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20F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沙茶酱</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E71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260g/瓶</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8E6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55F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D09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006FE">
            <w:pPr>
              <w:rPr>
                <w:rFonts w:hint="eastAsia" w:ascii="宋体" w:hAnsi="宋体" w:eastAsia="宋体" w:cs="宋体"/>
                <w:i w:val="0"/>
                <w:iCs w:val="0"/>
                <w:color w:val="000000"/>
                <w:sz w:val="24"/>
                <w:szCs w:val="24"/>
                <w:highlight w:val="none"/>
                <w:u w:val="none"/>
              </w:rPr>
            </w:pPr>
          </w:p>
        </w:tc>
      </w:tr>
      <w:tr w14:paraId="1551A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2EF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247</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4BB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干锅酱</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A11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240g/袋</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998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袋</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2BB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87D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B22B5">
            <w:pPr>
              <w:rPr>
                <w:rFonts w:hint="eastAsia" w:ascii="宋体" w:hAnsi="宋体" w:eastAsia="宋体" w:cs="宋体"/>
                <w:i w:val="0"/>
                <w:iCs w:val="0"/>
                <w:color w:val="000000"/>
                <w:sz w:val="24"/>
                <w:szCs w:val="24"/>
                <w:highlight w:val="none"/>
                <w:u w:val="none"/>
              </w:rPr>
            </w:pPr>
          </w:p>
        </w:tc>
      </w:tr>
      <w:tr w14:paraId="361FB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40E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248</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D95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黄姜黄粉</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649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59A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4E0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DA7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0A33F">
            <w:pPr>
              <w:rPr>
                <w:rFonts w:hint="eastAsia" w:ascii="宋体" w:hAnsi="宋体" w:eastAsia="宋体" w:cs="宋体"/>
                <w:i w:val="0"/>
                <w:iCs w:val="0"/>
                <w:color w:val="000000"/>
                <w:sz w:val="24"/>
                <w:szCs w:val="24"/>
                <w:highlight w:val="none"/>
                <w:u w:val="none"/>
              </w:rPr>
            </w:pPr>
          </w:p>
        </w:tc>
      </w:tr>
      <w:tr w14:paraId="731DD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B62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249</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F01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黑豆豉</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D76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5公斤/件</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CCA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5EC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396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08CBC">
            <w:pPr>
              <w:rPr>
                <w:rFonts w:hint="eastAsia" w:ascii="宋体" w:hAnsi="宋体" w:eastAsia="宋体" w:cs="宋体"/>
                <w:i w:val="0"/>
                <w:iCs w:val="0"/>
                <w:color w:val="000000"/>
                <w:sz w:val="24"/>
                <w:szCs w:val="24"/>
                <w:highlight w:val="none"/>
                <w:u w:val="none"/>
              </w:rPr>
            </w:pPr>
          </w:p>
        </w:tc>
      </w:tr>
      <w:tr w14:paraId="360A8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538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D41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蒜蓉辣子酱</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CB4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260g*15瓶/件</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639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8BF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B4E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B496A">
            <w:pPr>
              <w:rPr>
                <w:rFonts w:hint="eastAsia" w:ascii="宋体" w:hAnsi="宋体" w:eastAsia="宋体" w:cs="宋体"/>
                <w:i w:val="0"/>
                <w:iCs w:val="0"/>
                <w:color w:val="000000"/>
                <w:sz w:val="24"/>
                <w:szCs w:val="24"/>
                <w:highlight w:val="none"/>
                <w:u w:val="none"/>
              </w:rPr>
            </w:pPr>
          </w:p>
        </w:tc>
      </w:tr>
      <w:tr w14:paraId="76A44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E8E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251</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F16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干黄花菜</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577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6公斤/件</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80C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937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498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E522B">
            <w:pPr>
              <w:rPr>
                <w:rFonts w:hint="eastAsia" w:ascii="宋体" w:hAnsi="宋体" w:eastAsia="宋体" w:cs="宋体"/>
                <w:i w:val="0"/>
                <w:iCs w:val="0"/>
                <w:color w:val="000000"/>
                <w:sz w:val="24"/>
                <w:szCs w:val="24"/>
                <w:highlight w:val="none"/>
                <w:u w:val="none"/>
              </w:rPr>
            </w:pPr>
          </w:p>
        </w:tc>
      </w:tr>
      <w:tr w14:paraId="6BE01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267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252</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3D2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干淮山</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CAD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15A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F57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2FA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40359">
            <w:pPr>
              <w:rPr>
                <w:rFonts w:hint="eastAsia" w:ascii="宋体" w:hAnsi="宋体" w:eastAsia="宋体" w:cs="宋体"/>
                <w:i w:val="0"/>
                <w:iCs w:val="0"/>
                <w:color w:val="000000"/>
                <w:sz w:val="24"/>
                <w:szCs w:val="24"/>
                <w:highlight w:val="none"/>
                <w:u w:val="none"/>
              </w:rPr>
            </w:pPr>
          </w:p>
        </w:tc>
      </w:tr>
      <w:tr w14:paraId="34BE6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F02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253</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EFF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干海带丝</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4CA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3公斤/件</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625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512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A02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902FB">
            <w:pPr>
              <w:rPr>
                <w:rFonts w:hint="eastAsia" w:ascii="宋体" w:hAnsi="宋体" w:eastAsia="宋体" w:cs="宋体"/>
                <w:i w:val="0"/>
                <w:iCs w:val="0"/>
                <w:color w:val="000000"/>
                <w:sz w:val="24"/>
                <w:szCs w:val="24"/>
                <w:highlight w:val="none"/>
                <w:u w:val="none"/>
              </w:rPr>
            </w:pPr>
          </w:p>
        </w:tc>
      </w:tr>
      <w:tr w14:paraId="54BBB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B26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254</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855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干锅酱</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AC8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260g/瓶</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D4C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F2E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74A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FADFB">
            <w:pPr>
              <w:rPr>
                <w:rFonts w:hint="eastAsia" w:ascii="宋体" w:hAnsi="宋体" w:eastAsia="宋体" w:cs="宋体"/>
                <w:i w:val="0"/>
                <w:iCs w:val="0"/>
                <w:color w:val="000000"/>
                <w:sz w:val="24"/>
                <w:szCs w:val="24"/>
                <w:highlight w:val="none"/>
                <w:u w:val="none"/>
              </w:rPr>
            </w:pPr>
          </w:p>
        </w:tc>
      </w:tr>
      <w:tr w14:paraId="3F6F0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351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255</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F95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干豆豉</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9F9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4.5kg/桶</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4A0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037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00A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AED28">
            <w:pPr>
              <w:rPr>
                <w:rFonts w:hint="eastAsia" w:ascii="宋体" w:hAnsi="宋体" w:eastAsia="宋体" w:cs="宋体"/>
                <w:i w:val="0"/>
                <w:iCs w:val="0"/>
                <w:color w:val="000000"/>
                <w:sz w:val="24"/>
                <w:szCs w:val="24"/>
                <w:highlight w:val="none"/>
                <w:u w:val="none"/>
              </w:rPr>
            </w:pPr>
          </w:p>
        </w:tc>
      </w:tr>
      <w:tr w14:paraId="2833E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333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256</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C8698">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FF0000"/>
                <w:kern w:val="0"/>
                <w:sz w:val="22"/>
                <w:szCs w:val="22"/>
                <w:highlight w:val="none"/>
                <w:u w:val="none"/>
                <w:lang w:val="en-US" w:eastAsia="zh-CN" w:bidi="ar"/>
              </w:rPr>
              <w:t>鸡精</w:t>
            </w:r>
            <w:r>
              <w:rPr>
                <w:rFonts w:hint="eastAsia" w:ascii="宋体" w:hAnsi="宋体" w:cs="宋体"/>
                <w:i w:val="0"/>
                <w:iCs w:val="0"/>
                <w:color w:val="FF0000"/>
                <w:kern w:val="0"/>
                <w:sz w:val="22"/>
                <w:szCs w:val="22"/>
                <w:highlight w:val="none"/>
                <w:u w:val="none"/>
                <w:lang w:val="en-US" w:eastAsia="zh-CN" w:bidi="ar"/>
              </w:rPr>
              <w:t>（核心产品）</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789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1公斤*10包 /件</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C8C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EBE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128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1D285">
            <w:pPr>
              <w:rPr>
                <w:rFonts w:hint="eastAsia" w:ascii="宋体" w:hAnsi="宋体" w:eastAsia="宋体" w:cs="宋体"/>
                <w:i w:val="0"/>
                <w:iCs w:val="0"/>
                <w:color w:val="000000"/>
                <w:sz w:val="24"/>
                <w:szCs w:val="24"/>
                <w:highlight w:val="none"/>
                <w:u w:val="none"/>
              </w:rPr>
            </w:pPr>
          </w:p>
        </w:tc>
      </w:tr>
      <w:tr w14:paraId="0B67B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137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257</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9B6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一品鲜</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D42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500g*12瓶/件</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90F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0D0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0D1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09106">
            <w:pPr>
              <w:rPr>
                <w:rFonts w:hint="eastAsia" w:ascii="宋体" w:hAnsi="宋体" w:eastAsia="宋体" w:cs="宋体"/>
                <w:i w:val="0"/>
                <w:iCs w:val="0"/>
                <w:color w:val="000000"/>
                <w:sz w:val="24"/>
                <w:szCs w:val="24"/>
                <w:highlight w:val="none"/>
                <w:u w:val="none"/>
              </w:rPr>
            </w:pPr>
          </w:p>
        </w:tc>
      </w:tr>
      <w:tr w14:paraId="11A08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492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258</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7B5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砖茶</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862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1.5公斤/块</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025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块</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9D4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9A5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CD82D">
            <w:pPr>
              <w:rPr>
                <w:rFonts w:hint="eastAsia" w:ascii="宋体" w:hAnsi="宋体" w:eastAsia="宋体" w:cs="宋体"/>
                <w:i w:val="0"/>
                <w:iCs w:val="0"/>
                <w:color w:val="000000"/>
                <w:sz w:val="24"/>
                <w:szCs w:val="24"/>
                <w:highlight w:val="none"/>
                <w:u w:val="none"/>
              </w:rPr>
            </w:pPr>
          </w:p>
        </w:tc>
      </w:tr>
      <w:tr w14:paraId="76D3D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0D2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259</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E92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大木耳</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B4A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CCA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E52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85D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EE6B9">
            <w:pPr>
              <w:rPr>
                <w:rFonts w:hint="eastAsia" w:ascii="宋体" w:hAnsi="宋体" w:eastAsia="宋体" w:cs="宋体"/>
                <w:i w:val="0"/>
                <w:iCs w:val="0"/>
                <w:color w:val="000000"/>
                <w:sz w:val="24"/>
                <w:szCs w:val="24"/>
                <w:highlight w:val="none"/>
                <w:u w:val="none"/>
              </w:rPr>
            </w:pPr>
          </w:p>
        </w:tc>
      </w:tr>
      <w:tr w14:paraId="125C5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562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260</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7E2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咖喱块</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40A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1公斤/包</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A1A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6B6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44A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25552">
            <w:pPr>
              <w:rPr>
                <w:rFonts w:hint="eastAsia" w:ascii="宋体" w:hAnsi="宋体" w:eastAsia="宋体" w:cs="宋体"/>
                <w:i w:val="0"/>
                <w:iCs w:val="0"/>
                <w:color w:val="000000"/>
                <w:sz w:val="24"/>
                <w:szCs w:val="24"/>
                <w:highlight w:val="none"/>
                <w:u w:val="none"/>
              </w:rPr>
            </w:pPr>
          </w:p>
        </w:tc>
      </w:tr>
      <w:tr w14:paraId="5C2E7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B9D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261</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25E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白芸豆</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D50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6F7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468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213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80B29">
            <w:pPr>
              <w:rPr>
                <w:rFonts w:hint="eastAsia" w:ascii="宋体" w:hAnsi="宋体" w:eastAsia="宋体" w:cs="宋体"/>
                <w:i w:val="0"/>
                <w:iCs w:val="0"/>
                <w:color w:val="000000"/>
                <w:sz w:val="24"/>
                <w:szCs w:val="24"/>
                <w:highlight w:val="none"/>
                <w:u w:val="none"/>
              </w:rPr>
            </w:pPr>
          </w:p>
        </w:tc>
      </w:tr>
      <w:tr w14:paraId="2C103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21D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262</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E4B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鹌鹑蛋</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2E9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2.7kg*6包/件</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153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304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D74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C4F4C">
            <w:pPr>
              <w:rPr>
                <w:rFonts w:hint="eastAsia" w:ascii="宋体" w:hAnsi="宋体" w:eastAsia="宋体" w:cs="宋体"/>
                <w:i w:val="0"/>
                <w:iCs w:val="0"/>
                <w:color w:val="000000"/>
                <w:sz w:val="24"/>
                <w:szCs w:val="24"/>
                <w:highlight w:val="none"/>
                <w:u w:val="none"/>
              </w:rPr>
            </w:pPr>
          </w:p>
        </w:tc>
      </w:tr>
      <w:tr w14:paraId="105A8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8D6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263</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144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馒头改良剂</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ABF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1*20包/件</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756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2F5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EBB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8F5E">
            <w:pPr>
              <w:rPr>
                <w:rFonts w:hint="eastAsia" w:ascii="宋体" w:hAnsi="宋体" w:eastAsia="宋体" w:cs="宋体"/>
                <w:i w:val="0"/>
                <w:iCs w:val="0"/>
                <w:color w:val="000000"/>
                <w:sz w:val="24"/>
                <w:szCs w:val="24"/>
                <w:highlight w:val="none"/>
                <w:u w:val="none"/>
              </w:rPr>
            </w:pPr>
          </w:p>
        </w:tc>
      </w:tr>
      <w:tr w14:paraId="3EC11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D77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264</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764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牛肉酱</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E05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250g*6瓶/件</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395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6C6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412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80EF4">
            <w:pPr>
              <w:rPr>
                <w:rFonts w:hint="eastAsia" w:ascii="宋体" w:hAnsi="宋体" w:eastAsia="宋体" w:cs="宋体"/>
                <w:i w:val="0"/>
                <w:iCs w:val="0"/>
                <w:color w:val="000000"/>
                <w:sz w:val="24"/>
                <w:szCs w:val="24"/>
                <w:highlight w:val="none"/>
                <w:u w:val="none"/>
              </w:rPr>
            </w:pPr>
          </w:p>
        </w:tc>
      </w:tr>
      <w:tr w14:paraId="3D6A3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823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265</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F27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干桂丁</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CA3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EB6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A0E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D23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2C727">
            <w:pPr>
              <w:rPr>
                <w:rFonts w:hint="eastAsia" w:ascii="宋体" w:hAnsi="宋体" w:eastAsia="宋体" w:cs="宋体"/>
                <w:i w:val="0"/>
                <w:iCs w:val="0"/>
                <w:color w:val="000000"/>
                <w:sz w:val="24"/>
                <w:szCs w:val="24"/>
                <w:highlight w:val="none"/>
                <w:u w:val="none"/>
              </w:rPr>
            </w:pPr>
          </w:p>
        </w:tc>
      </w:tr>
      <w:tr w14:paraId="07175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FB0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266</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F9C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排骨酱</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5F3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265g/瓶</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B10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7CC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912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1ED61">
            <w:pPr>
              <w:rPr>
                <w:rFonts w:hint="eastAsia" w:ascii="宋体" w:hAnsi="宋体" w:eastAsia="宋体" w:cs="宋体"/>
                <w:i w:val="0"/>
                <w:iCs w:val="0"/>
                <w:color w:val="000000"/>
                <w:sz w:val="24"/>
                <w:szCs w:val="24"/>
                <w:highlight w:val="none"/>
                <w:u w:val="none"/>
              </w:rPr>
            </w:pPr>
          </w:p>
        </w:tc>
      </w:tr>
      <w:tr w14:paraId="2408A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8FC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267</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FC3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绿豆沙</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3D4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5公斤/袋</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BA4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CB2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101</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5D2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B1852">
            <w:pPr>
              <w:rPr>
                <w:rFonts w:hint="eastAsia" w:ascii="宋体" w:hAnsi="宋体" w:eastAsia="宋体" w:cs="宋体"/>
                <w:i w:val="0"/>
                <w:iCs w:val="0"/>
                <w:color w:val="000000"/>
                <w:sz w:val="24"/>
                <w:szCs w:val="24"/>
                <w:highlight w:val="none"/>
                <w:u w:val="none"/>
              </w:rPr>
            </w:pPr>
          </w:p>
        </w:tc>
      </w:tr>
      <w:tr w14:paraId="1E818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361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268</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3BF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回味班椒酱</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CA0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3公斤/桶 6桶/件</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C26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D12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F28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6D766">
            <w:pPr>
              <w:rPr>
                <w:rFonts w:hint="eastAsia" w:ascii="宋体" w:hAnsi="宋体" w:eastAsia="宋体" w:cs="宋体"/>
                <w:i w:val="0"/>
                <w:iCs w:val="0"/>
                <w:color w:val="000000"/>
                <w:sz w:val="24"/>
                <w:szCs w:val="24"/>
                <w:highlight w:val="none"/>
                <w:u w:val="none"/>
              </w:rPr>
            </w:pPr>
          </w:p>
        </w:tc>
      </w:tr>
      <w:tr w14:paraId="06413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A68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269</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F00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耗油</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1B7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2.27/桶 4桶/件</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D53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E65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D0A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8F972">
            <w:pPr>
              <w:rPr>
                <w:rFonts w:hint="eastAsia" w:ascii="宋体" w:hAnsi="宋体" w:eastAsia="宋体" w:cs="宋体"/>
                <w:i w:val="0"/>
                <w:iCs w:val="0"/>
                <w:color w:val="000000"/>
                <w:sz w:val="24"/>
                <w:szCs w:val="24"/>
                <w:highlight w:val="none"/>
                <w:u w:val="none"/>
              </w:rPr>
            </w:pPr>
          </w:p>
        </w:tc>
      </w:tr>
      <w:tr w14:paraId="1291D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AD1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270</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436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咖喱粉</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7FF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500g/瓶</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386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2D7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D92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4AB6C">
            <w:pPr>
              <w:rPr>
                <w:rFonts w:hint="eastAsia" w:ascii="宋体" w:hAnsi="宋体" w:eastAsia="宋体" w:cs="宋体"/>
                <w:i w:val="0"/>
                <w:iCs w:val="0"/>
                <w:color w:val="000000"/>
                <w:sz w:val="24"/>
                <w:szCs w:val="24"/>
                <w:highlight w:val="none"/>
                <w:u w:val="none"/>
              </w:rPr>
            </w:pPr>
          </w:p>
        </w:tc>
      </w:tr>
      <w:tr w14:paraId="05C26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7A5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271</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131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酸辣粉专用料</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F80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3.6公斤/桶</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33A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CB9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5F5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E9DFA">
            <w:pPr>
              <w:rPr>
                <w:rFonts w:hint="eastAsia" w:ascii="宋体" w:hAnsi="宋体" w:eastAsia="宋体" w:cs="宋体"/>
                <w:i w:val="0"/>
                <w:iCs w:val="0"/>
                <w:color w:val="000000"/>
                <w:sz w:val="24"/>
                <w:szCs w:val="24"/>
                <w:highlight w:val="none"/>
                <w:u w:val="none"/>
              </w:rPr>
            </w:pPr>
          </w:p>
        </w:tc>
      </w:tr>
      <w:tr w14:paraId="2C43F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FE4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272</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882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粗酸辣粉条</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9F1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7BF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D8D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486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0D2EE">
            <w:pPr>
              <w:rPr>
                <w:rFonts w:hint="eastAsia" w:ascii="宋体" w:hAnsi="宋体" w:eastAsia="宋体" w:cs="宋体"/>
                <w:i w:val="0"/>
                <w:iCs w:val="0"/>
                <w:color w:val="000000"/>
                <w:sz w:val="24"/>
                <w:szCs w:val="24"/>
                <w:highlight w:val="none"/>
                <w:u w:val="none"/>
              </w:rPr>
            </w:pPr>
          </w:p>
        </w:tc>
      </w:tr>
      <w:tr w14:paraId="4CF0D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2FE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273</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5F8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扁豆</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6B1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C80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8C1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D45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A79A9">
            <w:pPr>
              <w:rPr>
                <w:rFonts w:hint="eastAsia" w:ascii="宋体" w:hAnsi="宋体" w:eastAsia="宋体" w:cs="宋体"/>
                <w:i w:val="0"/>
                <w:iCs w:val="0"/>
                <w:color w:val="000000"/>
                <w:sz w:val="24"/>
                <w:szCs w:val="24"/>
                <w:highlight w:val="none"/>
                <w:u w:val="none"/>
              </w:rPr>
            </w:pPr>
          </w:p>
        </w:tc>
      </w:tr>
      <w:tr w14:paraId="032C5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7EE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274</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9F8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香脆椒</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571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308g/袋</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C11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袋</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39D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F1F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A8E3A">
            <w:pPr>
              <w:rPr>
                <w:rFonts w:hint="eastAsia" w:ascii="宋体" w:hAnsi="宋体" w:eastAsia="宋体" w:cs="宋体"/>
                <w:i w:val="0"/>
                <w:iCs w:val="0"/>
                <w:color w:val="000000"/>
                <w:sz w:val="24"/>
                <w:szCs w:val="24"/>
                <w:highlight w:val="none"/>
                <w:u w:val="none"/>
              </w:rPr>
            </w:pPr>
          </w:p>
        </w:tc>
      </w:tr>
      <w:tr w14:paraId="27458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789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275</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CC6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干香纱</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D02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813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4C0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989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CFB78">
            <w:pPr>
              <w:rPr>
                <w:rFonts w:hint="eastAsia" w:ascii="宋体" w:hAnsi="宋体" w:eastAsia="宋体" w:cs="宋体"/>
                <w:i w:val="0"/>
                <w:iCs w:val="0"/>
                <w:color w:val="000000"/>
                <w:sz w:val="24"/>
                <w:szCs w:val="24"/>
                <w:highlight w:val="none"/>
                <w:u w:val="none"/>
              </w:rPr>
            </w:pPr>
          </w:p>
        </w:tc>
      </w:tr>
      <w:tr w14:paraId="36862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1E0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276</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6C9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牛肉肠</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78A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110g/块*18/件</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535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块</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E32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950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DDF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7614F">
            <w:pPr>
              <w:rPr>
                <w:rFonts w:hint="eastAsia" w:ascii="宋体" w:hAnsi="宋体" w:eastAsia="宋体" w:cs="宋体"/>
                <w:i w:val="0"/>
                <w:iCs w:val="0"/>
                <w:color w:val="000000"/>
                <w:sz w:val="24"/>
                <w:szCs w:val="24"/>
                <w:highlight w:val="none"/>
                <w:u w:val="none"/>
              </w:rPr>
            </w:pPr>
          </w:p>
        </w:tc>
      </w:tr>
      <w:tr w14:paraId="09F95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8E9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277</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FCF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椒盐</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557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150g*18瓶/件</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2FA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240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014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6A4F0">
            <w:pPr>
              <w:rPr>
                <w:rFonts w:hint="eastAsia" w:ascii="宋体" w:hAnsi="宋体" w:eastAsia="宋体" w:cs="宋体"/>
                <w:i w:val="0"/>
                <w:iCs w:val="0"/>
                <w:color w:val="000000"/>
                <w:sz w:val="24"/>
                <w:szCs w:val="24"/>
                <w:highlight w:val="none"/>
                <w:u w:val="none"/>
              </w:rPr>
            </w:pPr>
          </w:p>
        </w:tc>
      </w:tr>
      <w:tr w14:paraId="01D6B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391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278</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DE0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现淹鱼酸菜</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1F3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C25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C8D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BF8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9A4A1">
            <w:pPr>
              <w:rPr>
                <w:rFonts w:hint="eastAsia" w:ascii="宋体" w:hAnsi="宋体" w:eastAsia="宋体" w:cs="宋体"/>
                <w:i w:val="0"/>
                <w:iCs w:val="0"/>
                <w:color w:val="000000"/>
                <w:sz w:val="24"/>
                <w:szCs w:val="24"/>
                <w:highlight w:val="none"/>
                <w:u w:val="none"/>
              </w:rPr>
            </w:pPr>
          </w:p>
        </w:tc>
      </w:tr>
      <w:tr w14:paraId="3EA8A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6CA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279</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979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年糕</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71D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1*50包/件</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455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825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6FB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A467E">
            <w:pPr>
              <w:rPr>
                <w:rFonts w:hint="eastAsia" w:ascii="宋体" w:hAnsi="宋体" w:eastAsia="宋体" w:cs="宋体"/>
                <w:i w:val="0"/>
                <w:iCs w:val="0"/>
                <w:color w:val="000000"/>
                <w:sz w:val="24"/>
                <w:szCs w:val="24"/>
                <w:highlight w:val="none"/>
                <w:u w:val="none"/>
              </w:rPr>
            </w:pPr>
          </w:p>
        </w:tc>
      </w:tr>
      <w:tr w14:paraId="501CD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AB0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280</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C40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甜、咸麻花</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788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1*5公斤/件</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E1F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A47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B18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5C5C6">
            <w:pPr>
              <w:rPr>
                <w:rFonts w:hint="eastAsia" w:ascii="宋体" w:hAnsi="宋体" w:eastAsia="宋体" w:cs="宋体"/>
                <w:i w:val="0"/>
                <w:iCs w:val="0"/>
                <w:color w:val="000000"/>
                <w:sz w:val="24"/>
                <w:szCs w:val="24"/>
                <w:highlight w:val="none"/>
                <w:u w:val="none"/>
              </w:rPr>
            </w:pPr>
          </w:p>
        </w:tc>
      </w:tr>
      <w:tr w14:paraId="02716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131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281</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F21E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散粉丝</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6ED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239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公斤</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82B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59B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716E0">
            <w:pPr>
              <w:rPr>
                <w:rFonts w:hint="eastAsia" w:ascii="宋体" w:hAnsi="宋体" w:eastAsia="宋体" w:cs="宋体"/>
                <w:i w:val="0"/>
                <w:iCs w:val="0"/>
                <w:color w:val="000000"/>
                <w:sz w:val="24"/>
                <w:szCs w:val="24"/>
                <w:highlight w:val="none"/>
                <w:u w:val="none"/>
              </w:rPr>
            </w:pPr>
          </w:p>
        </w:tc>
      </w:tr>
      <w:tr w14:paraId="4D7F5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6CEB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0C40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6644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E1EC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F736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合计</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EE1DC">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5766.55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83D99">
            <w:pPr>
              <w:rPr>
                <w:rFonts w:hint="eastAsia" w:ascii="宋体" w:hAnsi="宋体" w:eastAsia="宋体" w:cs="宋体"/>
                <w:i w:val="0"/>
                <w:iCs w:val="0"/>
                <w:color w:val="000000"/>
                <w:sz w:val="24"/>
                <w:szCs w:val="24"/>
                <w:highlight w:val="none"/>
                <w:u w:val="none"/>
              </w:rPr>
            </w:pPr>
          </w:p>
        </w:tc>
      </w:tr>
    </w:tbl>
    <w:p w14:paraId="6177BFE9">
      <w:pPr>
        <w:pStyle w:val="41"/>
        <w:spacing w:line="360" w:lineRule="auto"/>
        <w:rPr>
          <w:rFonts w:hint="eastAsia"/>
          <w:snapToGrid w:val="0"/>
          <w:highlight w:val="none"/>
          <w:lang w:val="en-US" w:eastAsia="zh-CN"/>
        </w:rPr>
      </w:pPr>
      <w:r>
        <w:rPr>
          <w:rFonts w:hint="eastAsia"/>
          <w:snapToGrid w:val="0"/>
          <w:highlight w:val="none"/>
        </w:rPr>
        <w:t>注：</w:t>
      </w:r>
      <w:r>
        <w:rPr>
          <w:rFonts w:hint="eastAsia"/>
          <w:snapToGrid w:val="0"/>
          <w:highlight w:val="none"/>
          <w:lang w:val="en-US" w:eastAsia="zh-CN"/>
        </w:rPr>
        <w:t>所有食材均为一级及以上且是知名品牌商品。</w:t>
      </w:r>
    </w:p>
    <w:p w14:paraId="1CB87E99">
      <w:pPr>
        <w:pStyle w:val="41"/>
        <w:spacing w:line="360" w:lineRule="auto"/>
        <w:rPr>
          <w:snapToGrid w:val="0"/>
          <w:highlight w:val="none"/>
        </w:rPr>
      </w:pPr>
      <w:r>
        <w:rPr>
          <w:rFonts w:hint="eastAsia"/>
          <w:snapToGrid w:val="0"/>
          <w:highlight w:val="none"/>
          <w:lang w:val="en-US" w:eastAsia="zh-CN"/>
        </w:rPr>
        <w:t>2.乙方接到订单后12小时内送到，</w:t>
      </w:r>
      <w:r>
        <w:rPr>
          <w:rFonts w:hint="eastAsia"/>
          <w:snapToGrid w:val="0"/>
          <w:highlight w:val="none"/>
        </w:rPr>
        <w:t>上述货物交货期：每天上午8：00开始供货，9：30之前送货完毕。（如有改变以实际通知时间为准，</w:t>
      </w:r>
      <w:r>
        <w:rPr>
          <w:rFonts w:hint="eastAsia"/>
          <w:snapToGrid w:val="0"/>
          <w:highlight w:val="none"/>
          <w:lang w:eastAsia="zh-CN"/>
        </w:rPr>
        <w:t>临</w:t>
      </w:r>
      <w:r>
        <w:rPr>
          <w:rFonts w:hint="eastAsia"/>
          <w:snapToGrid w:val="0"/>
          <w:highlight w:val="none"/>
        </w:rPr>
        <w:t>时要货必须在两小时内送达</w:t>
      </w:r>
      <w:r>
        <w:rPr>
          <w:rFonts w:hint="eastAsia"/>
          <w:snapToGrid w:val="0"/>
          <w:highlight w:val="none"/>
          <w:lang w:eastAsia="zh-CN"/>
        </w:rPr>
        <w:t>，</w:t>
      </w:r>
      <w:r>
        <w:rPr>
          <w:rFonts w:hint="eastAsia"/>
          <w:snapToGrid w:val="0"/>
          <w:highlight w:val="none"/>
        </w:rPr>
        <w:t>运费自理</w:t>
      </w:r>
      <w:r>
        <w:rPr>
          <w:rFonts w:hint="eastAsia"/>
          <w:snapToGrid w:val="0"/>
          <w:highlight w:val="none"/>
          <w:lang w:eastAsia="zh-CN"/>
        </w:rPr>
        <w:t>。</w:t>
      </w:r>
      <w:r>
        <w:rPr>
          <w:rFonts w:hint="eastAsia"/>
          <w:snapToGrid w:val="0"/>
          <w:highlight w:val="none"/>
        </w:rPr>
        <w:t>）</w:t>
      </w:r>
    </w:p>
    <w:p w14:paraId="1209E29F">
      <w:pPr>
        <w:pStyle w:val="41"/>
        <w:spacing w:line="360" w:lineRule="auto"/>
        <w:rPr>
          <w:snapToGrid w:val="0"/>
          <w:highlight w:val="none"/>
        </w:rPr>
      </w:pPr>
      <w:r>
        <w:rPr>
          <w:rFonts w:hint="eastAsia"/>
          <w:snapToGrid w:val="0"/>
          <w:highlight w:val="none"/>
        </w:rPr>
        <w:t xml:space="preserve">3、本合同为固定单价，以上供货价格系指包括全部货品、税费、包装费、运输、装卸等费用，以及已支付或将支付的营业税和其它税费等所有费用。合同总额按照甲方实际采购且验收合格的数量结合上述固定单价进行结算，乙方应保证甲方除支付合同约定货款之外无需再行支付其他任何费用和款项。 </w:t>
      </w:r>
    </w:p>
    <w:p w14:paraId="70B8D1EF">
      <w:pPr>
        <w:pStyle w:val="41"/>
        <w:spacing w:line="360" w:lineRule="auto"/>
        <w:rPr>
          <w:snapToGrid w:val="0"/>
          <w:highlight w:val="none"/>
        </w:rPr>
      </w:pPr>
      <w:r>
        <w:rPr>
          <w:rFonts w:hint="eastAsia"/>
          <w:snapToGrid w:val="0"/>
          <w:highlight w:val="none"/>
        </w:rPr>
        <w:t>4、价格清单表是基于乙方在完全理解本项目所需为前提，同时甲方对清单中的名称、规格、技术参数及数量等没有校对的义务，乙方在合同有效期内不得对清单的综合费用提出任何费用的增加。实际供货数量以双方签字确认的数量为准。</w:t>
      </w:r>
    </w:p>
    <w:p w14:paraId="51C918EF">
      <w:pPr>
        <w:pStyle w:val="41"/>
        <w:spacing w:line="360" w:lineRule="auto"/>
        <w:rPr>
          <w:snapToGrid w:val="0"/>
          <w:highlight w:val="none"/>
        </w:rPr>
      </w:pPr>
      <w:r>
        <w:rPr>
          <w:rFonts w:hint="eastAsia"/>
          <w:snapToGrid w:val="0"/>
          <w:highlight w:val="none"/>
        </w:rPr>
        <w:t>5、甲方根据各餐厅实际使用需要，如需采购未在报价清单内物资，由甲方进行各大品类批发市场询价，采集物资价格。结合乙方供货商报价，协商价格后执行；甲方不定期的进行市场询价，考核乙方供货商的供货质量与价格。</w:t>
      </w:r>
    </w:p>
    <w:p w14:paraId="29DBB767">
      <w:pPr>
        <w:pStyle w:val="41"/>
        <w:spacing w:line="360" w:lineRule="auto"/>
        <w:rPr>
          <w:snapToGrid w:val="0"/>
          <w:highlight w:val="none"/>
        </w:rPr>
      </w:pPr>
      <w:r>
        <w:rPr>
          <w:rFonts w:hint="eastAsia"/>
          <w:snapToGrid w:val="0"/>
          <w:highlight w:val="none"/>
          <w:lang w:val="en-US" w:eastAsia="zh-CN"/>
        </w:rPr>
        <w:t>6</w:t>
      </w:r>
      <w:r>
        <w:rPr>
          <w:rFonts w:hint="eastAsia"/>
          <w:snapToGrid w:val="0"/>
          <w:highlight w:val="none"/>
        </w:rPr>
        <w:t>、本合同有效期为：壹年，自双方签字盖章后开始起算。自签订合同后，合同开始试用期3个月(包含在壹年合同有效期内),试用期不合格，甲方有权终止本合同。</w:t>
      </w:r>
    </w:p>
    <w:p w14:paraId="4770B02B">
      <w:pPr>
        <w:pStyle w:val="41"/>
        <w:spacing w:line="360" w:lineRule="auto"/>
        <w:rPr>
          <w:snapToGrid w:val="0"/>
          <w:highlight w:val="none"/>
        </w:rPr>
      </w:pPr>
      <w:r>
        <w:rPr>
          <w:rFonts w:hint="eastAsia"/>
          <w:snapToGrid w:val="0"/>
          <w:highlight w:val="none"/>
        </w:rPr>
        <w:t>若投标产品为国产的，投标分项报价表内货物品牌和规格型号必须详细如实填写，否则按废标处理；</w:t>
      </w:r>
      <w:r>
        <w:rPr>
          <w:snapToGrid w:val="0"/>
          <w:highlight w:val="none"/>
        </w:rPr>
        <w:t xml:space="preserve"> </w:t>
      </w:r>
    </w:p>
    <w:p w14:paraId="50FA89DF">
      <w:pPr>
        <w:pStyle w:val="4"/>
        <w:spacing w:before="0" w:after="0" w:line="360" w:lineRule="auto"/>
        <w:rPr>
          <w:highlight w:val="none"/>
        </w:rPr>
      </w:pPr>
      <w:r>
        <w:rPr>
          <w:rFonts w:hint="eastAsia"/>
          <w:highlight w:val="none"/>
        </w:rPr>
        <w:t xml:space="preserve">二、商务要求【根据项目实际需求调整，如有实质性响应条款要求的，以“★”号作醒目标识，其他非实质性条款明确是否允许负偏离，允许几项负偏离】 </w:t>
      </w:r>
    </w:p>
    <w:p w14:paraId="3F701BB9">
      <w:pPr>
        <w:pStyle w:val="41"/>
        <w:spacing w:line="360" w:lineRule="auto"/>
        <w:rPr>
          <w:snapToGrid w:val="0"/>
          <w:highlight w:val="none"/>
        </w:rPr>
      </w:pPr>
      <w:r>
        <w:rPr>
          <w:snapToGrid w:val="0"/>
          <w:highlight w:val="none"/>
        </w:rPr>
        <w:t xml:space="preserve">1. </w:t>
      </w:r>
      <w:r>
        <w:rPr>
          <w:rFonts w:hint="eastAsia"/>
          <w:b/>
          <w:bCs/>
          <w:snapToGrid w:val="0"/>
          <w:highlight w:val="none"/>
        </w:rPr>
        <w:t>★</w:t>
      </w:r>
      <w:r>
        <w:rPr>
          <w:rFonts w:hint="eastAsia"/>
          <w:snapToGrid w:val="0"/>
          <w:highlight w:val="none"/>
        </w:rPr>
        <w:t>交付（实施）的时间（期限）和地点（范围）</w:t>
      </w:r>
    </w:p>
    <w:p w14:paraId="26FFADD2">
      <w:pPr>
        <w:pStyle w:val="41"/>
        <w:spacing w:line="360" w:lineRule="auto"/>
        <w:rPr>
          <w:rFonts w:hint="eastAsia"/>
          <w:snapToGrid w:val="0"/>
          <w:highlight w:val="none"/>
        </w:rPr>
      </w:pPr>
      <w:r>
        <w:rPr>
          <w:rFonts w:hint="eastAsia"/>
          <w:snapToGrid w:val="0"/>
          <w:highlight w:val="none"/>
        </w:rPr>
        <w:t>交付（实施）的时间（期限）：</w:t>
      </w:r>
      <w:r>
        <w:rPr>
          <w:rFonts w:hint="eastAsia"/>
          <w:snapToGrid w:val="0"/>
          <w:highlight w:val="none"/>
          <w:lang w:val="en-US" w:eastAsia="zh-CN"/>
        </w:rPr>
        <w:t>乙方接到订单后12小时内送到，</w:t>
      </w:r>
      <w:r>
        <w:rPr>
          <w:rFonts w:hint="eastAsia"/>
          <w:snapToGrid w:val="0"/>
          <w:highlight w:val="none"/>
        </w:rPr>
        <w:t>上述货物交货期：每天上午8：00开始供货，9：30之前送货完毕。（如有改变以实际通知时间为准，</w:t>
      </w:r>
      <w:r>
        <w:rPr>
          <w:rFonts w:hint="eastAsia"/>
          <w:snapToGrid w:val="0"/>
          <w:highlight w:val="none"/>
          <w:lang w:eastAsia="zh-CN"/>
        </w:rPr>
        <w:t>临</w:t>
      </w:r>
      <w:r>
        <w:rPr>
          <w:rFonts w:hint="eastAsia"/>
          <w:snapToGrid w:val="0"/>
          <w:highlight w:val="none"/>
        </w:rPr>
        <w:t>时要货必须在两小时内送达</w:t>
      </w:r>
      <w:r>
        <w:rPr>
          <w:rFonts w:hint="eastAsia"/>
          <w:snapToGrid w:val="0"/>
          <w:highlight w:val="none"/>
          <w:lang w:eastAsia="zh-CN"/>
        </w:rPr>
        <w:t>，</w:t>
      </w:r>
      <w:r>
        <w:rPr>
          <w:rFonts w:hint="eastAsia"/>
          <w:snapToGrid w:val="0"/>
          <w:highlight w:val="none"/>
        </w:rPr>
        <w:t>运费自理</w:t>
      </w:r>
      <w:r>
        <w:rPr>
          <w:rFonts w:hint="eastAsia"/>
          <w:snapToGrid w:val="0"/>
          <w:highlight w:val="none"/>
          <w:lang w:eastAsia="zh-CN"/>
        </w:rPr>
        <w:t>。</w:t>
      </w:r>
      <w:r>
        <w:rPr>
          <w:rFonts w:hint="eastAsia"/>
          <w:snapToGrid w:val="0"/>
          <w:highlight w:val="none"/>
        </w:rPr>
        <w:t>）</w:t>
      </w:r>
    </w:p>
    <w:p w14:paraId="15EC0279">
      <w:pPr>
        <w:pStyle w:val="41"/>
        <w:spacing w:line="360" w:lineRule="auto"/>
        <w:rPr>
          <w:rFonts w:hint="eastAsia"/>
          <w:snapToGrid w:val="0"/>
          <w:highlight w:val="none"/>
        </w:rPr>
      </w:pPr>
      <w:r>
        <w:rPr>
          <w:rFonts w:hint="eastAsia"/>
          <w:snapToGrid w:val="0"/>
          <w:highlight w:val="none"/>
        </w:rPr>
        <w:t>根据各餐厅的具体要求进行配送，如乙方不能及时送货造成甲方餐厅无法正常营业者，乙方应向甲方支付伍万元违约金；二次出现同样情况者，甲方有权单方终止合同。有特殊需求的供货时间,由甲方指定供货时间与频次。</w:t>
      </w:r>
    </w:p>
    <w:p w14:paraId="65B1393E">
      <w:pPr>
        <w:pStyle w:val="41"/>
        <w:spacing w:line="360" w:lineRule="auto"/>
        <w:rPr>
          <w:rFonts w:hint="eastAsia"/>
          <w:snapToGrid w:val="0"/>
          <w:highlight w:val="none"/>
        </w:rPr>
      </w:pPr>
      <w:r>
        <w:rPr>
          <w:rFonts w:hint="eastAsia"/>
          <w:snapToGrid w:val="0"/>
          <w:highlight w:val="none"/>
        </w:rPr>
        <w:t>交货完成前（即货物交付完毕且经甲方书面验收合格前），本合同项下货物的损毁灭失风险由乙方承担，交货完成后（货物交付完毕且经过甲方书面验收合格后），货物的所有权及损毁灭失风险转移至甲方。</w:t>
      </w:r>
    </w:p>
    <w:p w14:paraId="6AE79CC5">
      <w:pPr>
        <w:pStyle w:val="41"/>
        <w:spacing w:line="360" w:lineRule="auto"/>
        <w:rPr>
          <w:rFonts w:hint="eastAsia"/>
          <w:snapToGrid w:val="0"/>
          <w:highlight w:val="none"/>
        </w:rPr>
      </w:pPr>
      <w:r>
        <w:rPr>
          <w:rFonts w:hint="eastAsia"/>
          <w:snapToGrid w:val="0"/>
          <w:highlight w:val="none"/>
        </w:rPr>
        <w:t>地点（范围）：1、乙方按甲方要求配送货物的日期将货物送达至以下指定地点：新疆医科大学肿瘤医院各餐厅库房，并确保及时配合甲方完成验收工作。</w:t>
      </w:r>
    </w:p>
    <w:p w14:paraId="324F4F90">
      <w:pPr>
        <w:pStyle w:val="41"/>
        <w:spacing w:line="360" w:lineRule="auto"/>
        <w:rPr>
          <w:rFonts w:hint="eastAsia" w:eastAsia="宋体"/>
          <w:snapToGrid w:val="0"/>
          <w:highlight w:val="none"/>
          <w:lang w:eastAsia="zh-CN"/>
        </w:rPr>
      </w:pPr>
      <w:r>
        <w:rPr>
          <w:rFonts w:hint="eastAsia"/>
          <w:snapToGrid w:val="0"/>
          <w:highlight w:val="none"/>
        </w:rPr>
        <w:t>2、到货地点和接货单位（或接货人）。甲方指定的接货人为：餐饮服务</w:t>
      </w:r>
      <w:r>
        <w:rPr>
          <w:rFonts w:hint="eastAsia"/>
          <w:snapToGrid w:val="0"/>
          <w:highlight w:val="none"/>
          <w:lang w:eastAsia="zh-CN"/>
        </w:rPr>
        <w:t>班</w:t>
      </w:r>
      <w:r>
        <w:rPr>
          <w:rFonts w:hint="eastAsia"/>
          <w:snapToGrid w:val="0"/>
          <w:highlight w:val="none"/>
        </w:rPr>
        <w:t>采购员、库管员、餐厅</w:t>
      </w:r>
      <w:r>
        <w:rPr>
          <w:rFonts w:hint="eastAsia"/>
          <w:snapToGrid w:val="0"/>
          <w:highlight w:val="none"/>
          <w:lang w:eastAsia="zh-CN"/>
        </w:rPr>
        <w:t>厨师长</w:t>
      </w:r>
      <w:r>
        <w:rPr>
          <w:rFonts w:hint="eastAsia"/>
          <w:snapToGrid w:val="0"/>
          <w:highlight w:val="none"/>
        </w:rPr>
        <w:t>指定的工作人员，双方明确，除该指定接货人外，其他任何人员（包括甲方的其他任何工作人员）签署的接货单，甲方均不予认可。</w:t>
      </w:r>
    </w:p>
    <w:p w14:paraId="594C7D64">
      <w:pPr>
        <w:pStyle w:val="41"/>
        <w:spacing w:line="360" w:lineRule="auto"/>
        <w:rPr>
          <w:snapToGrid w:val="0"/>
          <w:highlight w:val="none"/>
        </w:rPr>
      </w:pPr>
      <w:r>
        <w:rPr>
          <w:snapToGrid w:val="0"/>
          <w:highlight w:val="none"/>
        </w:rPr>
        <w:t xml:space="preserve">2. </w:t>
      </w:r>
      <w:r>
        <w:rPr>
          <w:rFonts w:hint="eastAsia"/>
          <w:b/>
          <w:bCs/>
          <w:snapToGrid w:val="0"/>
          <w:highlight w:val="none"/>
        </w:rPr>
        <w:t>★</w:t>
      </w:r>
      <w:r>
        <w:rPr>
          <w:rFonts w:hint="eastAsia"/>
          <w:snapToGrid w:val="0"/>
          <w:highlight w:val="none"/>
        </w:rPr>
        <w:t xml:space="preserve">付款条件（进度和方式） </w:t>
      </w:r>
    </w:p>
    <w:p w14:paraId="4FF78A0A">
      <w:pPr>
        <w:pStyle w:val="41"/>
        <w:spacing w:line="360" w:lineRule="auto"/>
        <w:rPr>
          <w:snapToGrid w:val="0"/>
          <w:highlight w:val="none"/>
        </w:rPr>
      </w:pPr>
      <w:r>
        <w:rPr>
          <w:rFonts w:hint="eastAsia"/>
          <w:snapToGrid w:val="0"/>
          <w:highlight w:val="none"/>
        </w:rPr>
        <w:t>1、甲方支付上述任何一笔款项前，乙方应提供符合甲方财务做账要求的正规增值税发票，否则，甲方有权拒付款项且不承担违约责任。</w:t>
      </w:r>
    </w:p>
    <w:p w14:paraId="49B6C6A6">
      <w:pPr>
        <w:pStyle w:val="41"/>
        <w:spacing w:line="360" w:lineRule="auto"/>
        <w:rPr>
          <w:snapToGrid w:val="0"/>
          <w:highlight w:val="none"/>
        </w:rPr>
      </w:pPr>
      <w:r>
        <w:rPr>
          <w:rFonts w:hint="eastAsia"/>
          <w:snapToGrid w:val="0"/>
          <w:highlight w:val="none"/>
        </w:rPr>
        <w:t>2、甲乙双方签订合同之后，每</w:t>
      </w:r>
      <w:r>
        <w:rPr>
          <w:rFonts w:hint="eastAsia"/>
          <w:snapToGrid w:val="0"/>
          <w:highlight w:val="none"/>
          <w:lang w:eastAsia="zh-CN"/>
        </w:rPr>
        <w:t>两</w:t>
      </w:r>
      <w:r>
        <w:rPr>
          <w:rFonts w:hint="eastAsia"/>
          <w:snapToGrid w:val="0"/>
          <w:highlight w:val="none"/>
        </w:rPr>
        <w:t>个月为一个付款周期，以实际验收合格数量乘以固定单价进行结算。如遇节假日、甲方财务扎帐等特殊情况，结账日期依次顺延。</w:t>
      </w:r>
    </w:p>
    <w:p w14:paraId="0C3D3D73">
      <w:pPr>
        <w:pStyle w:val="41"/>
        <w:spacing w:line="360" w:lineRule="auto"/>
        <w:rPr>
          <w:snapToGrid w:val="0"/>
          <w:highlight w:val="none"/>
        </w:rPr>
      </w:pPr>
      <w:r>
        <w:rPr>
          <w:rFonts w:hint="eastAsia"/>
          <w:snapToGrid w:val="0"/>
          <w:highlight w:val="none"/>
        </w:rPr>
        <w:t>3、甲方通知乙方结算货款时，乙方需认真核对结算清单和送货单，双方就当次货款结算完毕且乙方开具货款正规发票后即视为乙方对该期货款结算金额认可无异议。从发票开具之日起，乙方再发现当期货款存在错算、漏算的情况，甲方不予补付任何货款，产生的损失由乙方自行承担。</w:t>
      </w:r>
    </w:p>
    <w:p w14:paraId="202DE039">
      <w:pPr>
        <w:pStyle w:val="41"/>
        <w:spacing w:line="360" w:lineRule="auto"/>
        <w:rPr>
          <w:rFonts w:hint="eastAsia" w:eastAsia="宋体"/>
          <w:snapToGrid w:val="0"/>
          <w:highlight w:val="none"/>
          <w:lang w:eastAsia="zh-CN"/>
        </w:rPr>
      </w:pPr>
      <w:r>
        <w:rPr>
          <w:rFonts w:hint="eastAsia"/>
          <w:snapToGrid w:val="0"/>
          <w:highlight w:val="none"/>
        </w:rPr>
        <w:t>3</w:t>
      </w:r>
      <w:r>
        <w:rPr>
          <w:snapToGrid w:val="0"/>
          <w:highlight w:val="none"/>
        </w:rPr>
        <w:t>.</w:t>
      </w:r>
      <w:r>
        <w:rPr>
          <w:rFonts w:hint="eastAsia"/>
          <w:b/>
          <w:bCs/>
          <w:snapToGrid w:val="0"/>
          <w:highlight w:val="none"/>
        </w:rPr>
        <w:t>★</w:t>
      </w:r>
      <w:r>
        <w:rPr>
          <w:snapToGrid w:val="0"/>
          <w:highlight w:val="none"/>
        </w:rPr>
        <w:t>履约保证金：</w:t>
      </w:r>
      <w:r>
        <w:rPr>
          <w:rFonts w:hint="eastAsia"/>
          <w:snapToGrid w:val="0"/>
          <w:highlight w:val="none"/>
          <w:lang w:eastAsia="zh-CN"/>
        </w:rPr>
        <w:t>不收取</w:t>
      </w:r>
    </w:p>
    <w:p w14:paraId="7F2EF04A">
      <w:pPr>
        <w:pStyle w:val="41"/>
        <w:spacing w:line="360" w:lineRule="auto"/>
        <w:rPr>
          <w:rFonts w:hint="eastAsia"/>
          <w:snapToGrid w:val="0"/>
          <w:highlight w:val="none"/>
        </w:rPr>
      </w:pPr>
      <w:r>
        <w:rPr>
          <w:snapToGrid w:val="0"/>
          <w:highlight w:val="none"/>
        </w:rPr>
        <w:t>4.</w:t>
      </w:r>
      <w:r>
        <w:rPr>
          <w:rFonts w:hint="eastAsia"/>
          <w:b/>
          <w:bCs/>
          <w:snapToGrid w:val="0"/>
          <w:highlight w:val="none"/>
        </w:rPr>
        <w:t>★</w:t>
      </w:r>
      <w:r>
        <w:rPr>
          <w:rFonts w:hint="eastAsia"/>
          <w:snapToGrid w:val="0"/>
          <w:highlight w:val="none"/>
        </w:rPr>
        <w:t>包装和运输（如适用，须满足《关于印发〈商品包装政府采购需求标准（试行）〉、〈快递包装政府采购需求标准（试行）〉的通知》（财办库﹝</w:t>
      </w:r>
      <w:r>
        <w:rPr>
          <w:snapToGrid w:val="0"/>
          <w:highlight w:val="none"/>
        </w:rPr>
        <w:t>2020</w:t>
      </w:r>
      <w:r>
        <w:rPr>
          <w:rFonts w:hint="eastAsia"/>
          <w:snapToGrid w:val="0"/>
          <w:highlight w:val="none"/>
        </w:rPr>
        <w:t>﹞</w:t>
      </w:r>
      <w:r>
        <w:rPr>
          <w:snapToGrid w:val="0"/>
          <w:highlight w:val="none"/>
        </w:rPr>
        <w:t xml:space="preserve">123 </w:t>
      </w:r>
      <w:r>
        <w:rPr>
          <w:rFonts w:hint="eastAsia"/>
          <w:snapToGrid w:val="0"/>
          <w:highlight w:val="none"/>
        </w:rPr>
        <w:t xml:space="preserve">号）） </w:t>
      </w:r>
    </w:p>
    <w:p w14:paraId="5A45D98E">
      <w:pPr>
        <w:pStyle w:val="41"/>
        <w:spacing w:line="360" w:lineRule="auto"/>
        <w:rPr>
          <w:rFonts w:hint="eastAsia"/>
          <w:snapToGrid w:val="0"/>
          <w:highlight w:val="none"/>
        </w:rPr>
      </w:pPr>
      <w:r>
        <w:rPr>
          <w:rFonts w:hint="eastAsia"/>
          <w:snapToGrid w:val="0"/>
          <w:highlight w:val="none"/>
        </w:rPr>
        <w:t>１、包装必须与运输方式相适应，包装方式的确定和包装费用均由乙方负责;由于不适当的包装而造成的货物有任何的损坏由乙方负责。乙方所提供的货物不得敞露运输，货物装卸必须做到轻装轻卸。</w:t>
      </w:r>
    </w:p>
    <w:p w14:paraId="7759AB9D">
      <w:pPr>
        <w:pStyle w:val="41"/>
        <w:spacing w:line="360" w:lineRule="auto"/>
        <w:rPr>
          <w:rFonts w:hint="eastAsia"/>
          <w:snapToGrid w:val="0"/>
          <w:highlight w:val="none"/>
        </w:rPr>
      </w:pPr>
      <w:r>
        <w:rPr>
          <w:rFonts w:hint="eastAsia"/>
          <w:snapToGrid w:val="0"/>
          <w:highlight w:val="none"/>
        </w:rPr>
        <w:t>2、包装费、运输费、装卸费和保险费等均已包含在合同单价内。</w:t>
      </w:r>
    </w:p>
    <w:p w14:paraId="41126852">
      <w:pPr>
        <w:pStyle w:val="41"/>
        <w:spacing w:line="360" w:lineRule="auto"/>
        <w:rPr>
          <w:rFonts w:hint="eastAsia"/>
          <w:snapToGrid w:val="0"/>
          <w:highlight w:val="none"/>
        </w:rPr>
      </w:pPr>
      <w:r>
        <w:rPr>
          <w:rFonts w:hint="eastAsia"/>
          <w:snapToGrid w:val="0"/>
          <w:highlight w:val="none"/>
        </w:rPr>
        <w:t>3、采用定型包装的货物，包装必须符合国家对产品包装的有关规定。货品由生产厂家使用符合国家食品卫生要求的包装箱或包装袋进行完整包装，包装上必须有清晰的厂家信息、生产日期、保质期、净重量；必须有生产许可证、质量等级标识；包装破损甲方有权不予以接收。</w:t>
      </w:r>
    </w:p>
    <w:p w14:paraId="251C2299">
      <w:pPr>
        <w:pStyle w:val="41"/>
        <w:spacing w:line="360" w:lineRule="auto"/>
        <w:rPr>
          <w:rFonts w:hint="eastAsia"/>
          <w:snapToGrid w:val="0"/>
          <w:highlight w:val="none"/>
        </w:rPr>
      </w:pPr>
      <w:r>
        <w:rPr>
          <w:rFonts w:hint="eastAsia"/>
          <w:snapToGrid w:val="0"/>
          <w:highlight w:val="none"/>
        </w:rPr>
        <w:t>4、乙方保证运输周转的容器与车辆的清洁卫生和防止货物在运输过程中受到污染。</w:t>
      </w:r>
    </w:p>
    <w:p w14:paraId="52197731">
      <w:pPr>
        <w:pStyle w:val="41"/>
        <w:spacing w:line="360" w:lineRule="auto"/>
        <w:rPr>
          <w:rFonts w:hint="eastAsia"/>
          <w:snapToGrid w:val="0"/>
          <w:highlight w:val="none"/>
        </w:rPr>
      </w:pPr>
      <w:r>
        <w:rPr>
          <w:rFonts w:hint="eastAsia"/>
          <w:snapToGrid w:val="0"/>
          <w:highlight w:val="none"/>
        </w:rPr>
        <w:t>5、根据甲方需求，</w:t>
      </w:r>
      <w:r>
        <w:rPr>
          <w:rFonts w:hint="eastAsia"/>
          <w:snapToGrid w:val="0"/>
          <w:highlight w:val="none"/>
          <w:lang w:eastAsia="zh-CN"/>
        </w:rPr>
        <w:t>冬</w:t>
      </w:r>
      <w:r>
        <w:rPr>
          <w:rFonts w:hint="eastAsia"/>
          <w:snapToGrid w:val="0"/>
          <w:highlight w:val="none"/>
        </w:rPr>
        <w:t>夏季</w:t>
      </w:r>
      <w:r>
        <w:rPr>
          <w:rFonts w:hint="eastAsia"/>
          <w:snapToGrid w:val="0"/>
          <w:highlight w:val="none"/>
          <w:lang w:eastAsia="zh-CN"/>
        </w:rPr>
        <w:t>节</w:t>
      </w:r>
      <w:r>
        <w:rPr>
          <w:rFonts w:hint="eastAsia"/>
          <w:snapToGrid w:val="0"/>
          <w:highlight w:val="none"/>
        </w:rPr>
        <w:t>注意运输</w:t>
      </w:r>
      <w:r>
        <w:rPr>
          <w:rFonts w:hint="eastAsia"/>
          <w:snapToGrid w:val="0"/>
          <w:highlight w:val="none"/>
          <w:lang w:eastAsia="zh-CN"/>
        </w:rPr>
        <w:t>方式</w:t>
      </w:r>
      <w:r>
        <w:rPr>
          <w:rFonts w:hint="eastAsia"/>
          <w:snapToGrid w:val="0"/>
          <w:highlight w:val="none"/>
        </w:rPr>
        <w:t>，防止变质。</w:t>
      </w:r>
    </w:p>
    <w:p w14:paraId="2D68F3F8">
      <w:pPr>
        <w:pStyle w:val="41"/>
        <w:spacing w:line="360" w:lineRule="auto"/>
        <w:rPr>
          <w:rFonts w:hint="eastAsia"/>
          <w:snapToGrid w:val="0"/>
          <w:highlight w:val="none"/>
        </w:rPr>
      </w:pPr>
      <w:r>
        <w:rPr>
          <w:rFonts w:hint="eastAsia"/>
          <w:snapToGrid w:val="0"/>
          <w:highlight w:val="none"/>
        </w:rPr>
        <w:t>6、乙方在供应过程中，因送货车辆在甲方院内发生交通事故，乙方承担全部经济责任，甲方保留追究其相关法律责任的权利。</w:t>
      </w:r>
    </w:p>
    <w:p w14:paraId="6A6FC1B6">
      <w:pPr>
        <w:pStyle w:val="41"/>
        <w:spacing w:line="360" w:lineRule="auto"/>
        <w:rPr>
          <w:rFonts w:hint="eastAsia"/>
          <w:snapToGrid w:val="0"/>
          <w:highlight w:val="none"/>
        </w:rPr>
      </w:pPr>
      <w:r>
        <w:rPr>
          <w:b w:val="0"/>
          <w:bCs w:val="0"/>
          <w:snapToGrid w:val="0"/>
          <w:highlight w:val="none"/>
        </w:rPr>
        <w:t>5.</w:t>
      </w:r>
      <w:r>
        <w:rPr>
          <w:rFonts w:hint="eastAsia"/>
          <w:b w:val="0"/>
          <w:bCs w:val="0"/>
          <w:snapToGrid w:val="0"/>
          <w:highlight w:val="none"/>
        </w:rPr>
        <w:t>★质量保证：</w:t>
      </w:r>
      <w:r>
        <w:rPr>
          <w:rFonts w:hint="eastAsia"/>
          <w:snapToGrid w:val="0"/>
          <w:highlight w:val="none"/>
        </w:rPr>
        <w:t>1、乙方保证提供本合同项下的货物符合国家食品安全标准及招投标文件、答疑附件的质量要求，干净卫生、无杂质，无过期、变质、腐烂、以假充真、以次充好等现象，并保证其销售的产品不存在有造成甲方或任何第三人人身损害的现实或潜在的危险，并可溯源；若因此造成任何损失，由乙方承担全部赔偿责任。</w:t>
      </w:r>
    </w:p>
    <w:p w14:paraId="7A665EB6">
      <w:pPr>
        <w:pStyle w:val="41"/>
        <w:spacing w:line="360" w:lineRule="auto"/>
        <w:rPr>
          <w:rFonts w:hint="eastAsia"/>
          <w:snapToGrid w:val="0"/>
          <w:highlight w:val="none"/>
        </w:rPr>
      </w:pPr>
      <w:r>
        <w:rPr>
          <w:rFonts w:hint="eastAsia"/>
          <w:snapToGrid w:val="0"/>
          <w:highlight w:val="none"/>
        </w:rPr>
        <w:t>2、乙方应保证其配送的每一个批次的货物符合上述质量标准及相应的安全标准。提供所需证件及产品检验报告单。在实施中甲方将核实乙方投标书中的产品质量标准、检验报告、生产许可证与实际供货的产品的质量标准、检验报告、生产许可证是否一致，如发现偏离，甲方将取消乙方供货资格，并追究相关法律责任。</w:t>
      </w:r>
    </w:p>
    <w:p w14:paraId="08F4178C">
      <w:pPr>
        <w:pStyle w:val="41"/>
        <w:spacing w:line="360" w:lineRule="auto"/>
        <w:rPr>
          <w:rFonts w:hint="eastAsia"/>
          <w:snapToGrid w:val="0"/>
          <w:highlight w:val="none"/>
        </w:rPr>
      </w:pPr>
      <w:r>
        <w:rPr>
          <w:rFonts w:hint="eastAsia"/>
          <w:snapToGrid w:val="0"/>
          <w:highlight w:val="none"/>
        </w:rPr>
        <w:t>3、乙方需在本合同签署之日向甲方提供各种有效证照的复印件(需加盖乙方公章)，包括但不限于：营业执照、食品流通许可证、生产许可证、产品质量检验报告等与食品销售要求的相关资质证明，否则，甲方有权不予付款且不承担违约责任。在本合同有效期内，乙方必须保证上述各类证照始终处于合法、有效状态。</w:t>
      </w:r>
    </w:p>
    <w:p w14:paraId="38C081CA">
      <w:pPr>
        <w:pStyle w:val="41"/>
        <w:spacing w:line="360" w:lineRule="auto"/>
        <w:rPr>
          <w:rFonts w:hint="eastAsia"/>
          <w:snapToGrid w:val="0"/>
          <w:highlight w:val="none"/>
        </w:rPr>
      </w:pPr>
      <w:r>
        <w:rPr>
          <w:rFonts w:hint="eastAsia"/>
          <w:snapToGrid w:val="0"/>
          <w:highlight w:val="none"/>
        </w:rPr>
        <w:t>4、根据甲方采购计划单的品种数量，乙方不得缺斤少两，缺货少货由乙方当日12:00前（北京时间）必须补齐，运输费用乙方自理。乙方如发生不给甲方按时补齐货物的情况，第一次甲方有权按照同等金额扣除货款，并提出一次警告；二次出现同样情况者，甲方有权单方终止合同。</w:t>
      </w:r>
    </w:p>
    <w:p w14:paraId="712DA003">
      <w:pPr>
        <w:pStyle w:val="41"/>
        <w:spacing w:line="360" w:lineRule="auto"/>
        <w:rPr>
          <w:snapToGrid w:val="0"/>
          <w:highlight w:val="none"/>
        </w:rPr>
      </w:pPr>
      <w:r>
        <w:rPr>
          <w:rFonts w:hint="eastAsia"/>
          <w:snapToGrid w:val="0"/>
          <w:highlight w:val="none"/>
        </w:rPr>
        <w:t>5、如甲方应急临时需购货品，乙方必须按指定的品种、数量,在接到甲方的要货通知后2小时内及时送货，运输费用自理。</w:t>
      </w:r>
    </w:p>
    <w:p w14:paraId="1DE34C10">
      <w:pPr>
        <w:pStyle w:val="41"/>
        <w:spacing w:line="360" w:lineRule="auto"/>
        <w:rPr>
          <w:rFonts w:hint="eastAsia"/>
          <w:snapToGrid w:val="0"/>
          <w:highlight w:val="none"/>
        </w:rPr>
      </w:pPr>
      <w:r>
        <w:rPr>
          <w:snapToGrid w:val="0"/>
          <w:highlight w:val="none"/>
        </w:rPr>
        <w:t>6.</w:t>
      </w:r>
      <w:r>
        <w:rPr>
          <w:rFonts w:hint="eastAsia"/>
          <w:b w:val="0"/>
          <w:bCs w:val="0"/>
          <w:snapToGrid w:val="0"/>
          <w:highlight w:val="none"/>
        </w:rPr>
        <w:t>★</w:t>
      </w:r>
      <w:r>
        <w:rPr>
          <w:rFonts w:hint="eastAsia"/>
          <w:snapToGrid w:val="0"/>
          <w:highlight w:val="none"/>
        </w:rPr>
        <w:t>质量保证期：1、合同内配送的货物必须为有效期内且距到期时间</w:t>
      </w:r>
      <w:r>
        <w:rPr>
          <w:rFonts w:hint="eastAsia"/>
          <w:snapToGrid w:val="0"/>
          <w:highlight w:val="none"/>
          <w:lang w:eastAsia="zh-CN"/>
        </w:rPr>
        <w:t>六</w:t>
      </w:r>
      <w:r>
        <w:rPr>
          <w:rFonts w:hint="eastAsia"/>
          <w:snapToGrid w:val="0"/>
          <w:highlight w:val="none"/>
        </w:rPr>
        <w:t>个月以上生产产品。在质量保证期内，因货物出现融化、变质、过期</w:t>
      </w:r>
      <w:r>
        <w:rPr>
          <w:rFonts w:hint="eastAsia"/>
          <w:snapToGrid w:val="0"/>
          <w:highlight w:val="none"/>
          <w:lang w:eastAsia="zh-CN"/>
        </w:rPr>
        <w:t>、发霉、发潮</w:t>
      </w:r>
      <w:r>
        <w:rPr>
          <w:rFonts w:hint="eastAsia"/>
          <w:snapToGrid w:val="0"/>
          <w:highlight w:val="none"/>
        </w:rPr>
        <w:t>及其他质量问题等现象的，乙方负责免费无条件更换，并承担因更换货物所产生的包装、运费等一切相关费用。</w:t>
      </w:r>
    </w:p>
    <w:p w14:paraId="4F57C902">
      <w:pPr>
        <w:pStyle w:val="41"/>
        <w:spacing w:line="360" w:lineRule="auto"/>
        <w:rPr>
          <w:rFonts w:hint="eastAsia"/>
          <w:snapToGrid w:val="0"/>
          <w:highlight w:val="none"/>
        </w:rPr>
      </w:pPr>
      <w:r>
        <w:rPr>
          <w:rFonts w:hint="eastAsia"/>
          <w:snapToGrid w:val="0"/>
          <w:highlight w:val="none"/>
        </w:rPr>
        <w:t>2、质保期内，乙方未按甲方要求予以更换或者因情况紧急，甲方有权另行采购其他商家同类货物，由此产生的费用由乙方承担。</w:t>
      </w:r>
    </w:p>
    <w:p w14:paraId="26A20A35">
      <w:pPr>
        <w:pStyle w:val="41"/>
        <w:spacing w:line="360" w:lineRule="auto"/>
        <w:rPr>
          <w:rFonts w:hint="eastAsia"/>
          <w:snapToGrid w:val="0"/>
          <w:highlight w:val="none"/>
        </w:rPr>
      </w:pPr>
      <w:r>
        <w:rPr>
          <w:rFonts w:hint="eastAsia"/>
          <w:snapToGrid w:val="0"/>
          <w:highlight w:val="none"/>
        </w:rPr>
        <w:t>3、乙方不对供应甲方的货品进行长时间储藏，甲方有权无偿调换不符合配送期要求的货品。</w:t>
      </w:r>
    </w:p>
    <w:p w14:paraId="2A8B1123">
      <w:pPr>
        <w:pStyle w:val="41"/>
        <w:spacing w:line="360" w:lineRule="auto"/>
        <w:rPr>
          <w:rFonts w:hint="eastAsia"/>
          <w:snapToGrid w:val="0"/>
          <w:highlight w:val="none"/>
        </w:rPr>
      </w:pPr>
      <w:r>
        <w:rPr>
          <w:rFonts w:hint="eastAsia"/>
          <w:snapToGrid w:val="0"/>
          <w:highlight w:val="none"/>
        </w:rPr>
        <w:t>4、如发现质次价高的货品或同等质量货品价格虚高的现象，甲方有权要求乙方根据所验货物数量金额的双倍支付违约金或减半支付货款，并提出一次警告；二次出现同样情况者，甲方有权要求乙方根据所验货物数量金额的双倍支付违约金或减半支付货款的同时甲方有权单方解除合同。</w:t>
      </w:r>
    </w:p>
    <w:p w14:paraId="3DF0D169">
      <w:pPr>
        <w:pStyle w:val="41"/>
        <w:spacing w:line="360" w:lineRule="auto"/>
        <w:rPr>
          <w:rFonts w:hint="eastAsia"/>
          <w:snapToGrid w:val="0"/>
          <w:highlight w:val="none"/>
          <w:lang w:val="en-US" w:eastAsia="zh-CN"/>
        </w:rPr>
      </w:pPr>
      <w:r>
        <w:rPr>
          <w:rFonts w:hint="eastAsia"/>
          <w:snapToGrid w:val="0"/>
          <w:highlight w:val="none"/>
          <w:lang w:val="en-US" w:eastAsia="zh-CN"/>
        </w:rPr>
        <w:t>7.</w:t>
      </w:r>
      <w:r>
        <w:rPr>
          <w:rFonts w:hint="eastAsia"/>
          <w:b w:val="0"/>
          <w:bCs w:val="0"/>
          <w:snapToGrid w:val="0"/>
          <w:highlight w:val="none"/>
        </w:rPr>
        <w:t>★</w:t>
      </w:r>
      <w:r>
        <w:rPr>
          <w:rFonts w:hint="eastAsia"/>
          <w:snapToGrid w:val="0"/>
          <w:highlight w:val="none"/>
          <w:lang w:val="en-US" w:eastAsia="zh-CN"/>
        </w:rPr>
        <w:t>验收：1、验收标准：以招投标文件及本合同甲、乙双方约定的质量标准为货物的验收标准。甲方仅对乙方交付货物的数量、规格、外观等进行初步验收，初步验收合格不代表乙方对所交付货物潜在质量安全问题免责。按公斤单位验收的货品，除皮验收，去除送货包装箱重量。</w:t>
      </w:r>
    </w:p>
    <w:p w14:paraId="2DEE9D28">
      <w:pPr>
        <w:pStyle w:val="41"/>
        <w:spacing w:line="360" w:lineRule="auto"/>
        <w:rPr>
          <w:rFonts w:hint="eastAsia"/>
          <w:snapToGrid w:val="0"/>
          <w:highlight w:val="none"/>
          <w:lang w:val="en-US" w:eastAsia="zh-CN"/>
        </w:rPr>
      </w:pPr>
      <w:r>
        <w:rPr>
          <w:rFonts w:hint="eastAsia"/>
          <w:snapToGrid w:val="0"/>
          <w:highlight w:val="none"/>
          <w:lang w:val="en-US" w:eastAsia="zh-CN"/>
        </w:rPr>
        <w:t>2、数量的认定：乙方每日依据甲方提供的物资计划单中品种数量配送；甲方工作人员和乙方人员现场称重或点数完毕后，共同在送货单上核准并签字，并加盖乙方发票专用章作为结帐凭证。结算数量按照各餐厅实际进货数量进行结算。计量单位：按实际货物计量。</w:t>
      </w:r>
    </w:p>
    <w:p w14:paraId="608E9571">
      <w:pPr>
        <w:pStyle w:val="41"/>
        <w:spacing w:line="360" w:lineRule="auto"/>
        <w:rPr>
          <w:rFonts w:hint="default" w:eastAsia="宋体"/>
          <w:snapToGrid w:val="0"/>
          <w:highlight w:val="none"/>
          <w:lang w:val="en-US" w:eastAsia="zh-CN"/>
        </w:rPr>
      </w:pPr>
      <w:r>
        <w:rPr>
          <w:rFonts w:hint="eastAsia"/>
          <w:snapToGrid w:val="0"/>
          <w:highlight w:val="none"/>
          <w:lang w:val="en-US" w:eastAsia="zh-CN"/>
        </w:rPr>
        <w:t>3、自交货后当日，甲方应依照双方在本合同中约定的质量要求和验收标准进行验收。验收不合格的，应及时向乙方提出书面异议，乙方应在接到异议后及时进行更换，直至验收合格，如果因乙方供货质量原因造成的甲方受到的损失，乙方还应承担相应违约责任并承担相应赔偿。</w:t>
      </w:r>
    </w:p>
    <w:p w14:paraId="40D9A15E">
      <w:pPr>
        <w:pStyle w:val="41"/>
        <w:spacing w:line="360" w:lineRule="auto"/>
        <w:rPr>
          <w:rFonts w:hint="eastAsia"/>
          <w:snapToGrid w:val="0"/>
          <w:highlight w:val="none"/>
        </w:rPr>
      </w:pPr>
      <w:r>
        <w:rPr>
          <w:rFonts w:hint="eastAsia"/>
          <w:snapToGrid w:val="0"/>
          <w:highlight w:val="none"/>
          <w:lang w:val="en-US" w:eastAsia="zh-CN"/>
        </w:rPr>
        <w:t>8</w:t>
      </w:r>
      <w:r>
        <w:rPr>
          <w:rFonts w:hint="eastAsia"/>
          <w:snapToGrid w:val="0"/>
          <w:highlight w:val="none"/>
        </w:rPr>
        <w:t>.</w:t>
      </w:r>
      <w:r>
        <w:rPr>
          <w:rFonts w:hint="eastAsia"/>
          <w:b w:val="0"/>
          <w:bCs w:val="0"/>
          <w:snapToGrid w:val="0"/>
          <w:highlight w:val="none"/>
        </w:rPr>
        <w:t>★</w:t>
      </w:r>
      <w:r>
        <w:rPr>
          <w:rFonts w:hint="eastAsia"/>
          <w:snapToGrid w:val="0"/>
          <w:highlight w:val="none"/>
        </w:rPr>
        <w:t>其他要求：</w:t>
      </w:r>
      <w:r>
        <w:rPr>
          <w:rFonts w:hint="eastAsia"/>
          <w:snapToGrid w:val="0"/>
          <w:highlight w:val="none"/>
          <w:lang w:eastAsia="zh-CN"/>
        </w:rPr>
        <w:t>违约责任</w:t>
      </w:r>
      <w:r>
        <w:rPr>
          <w:rFonts w:hint="eastAsia"/>
          <w:snapToGrid w:val="0"/>
          <w:highlight w:val="none"/>
        </w:rPr>
        <w:t>1、合同签订后，乙方应严格按照合同固定单价履行合同，如乙方因价格原因，寻找借口，拒绝供货或不能根据合同约定的品种、规格、数量、质量等标准和要求向甲方配送货物，无法满足甲方采购需要，甲方有权解除合同，同时乙方承担违约责任。合同解除后，甲方有权与第三方供货商另行签订合同进行供货。如因乙方供货品质不符合标准，达不到甲方要求，经甲方三次书面告知后仍然不能达到甲方要求的，甲方有权通知乙方解除合同。</w:t>
      </w:r>
    </w:p>
    <w:p w14:paraId="408BB377">
      <w:pPr>
        <w:pStyle w:val="41"/>
        <w:spacing w:line="360" w:lineRule="auto"/>
        <w:rPr>
          <w:rFonts w:hint="eastAsia"/>
          <w:snapToGrid w:val="0"/>
          <w:highlight w:val="none"/>
        </w:rPr>
      </w:pPr>
      <w:r>
        <w:rPr>
          <w:rFonts w:hint="eastAsia"/>
          <w:snapToGrid w:val="0"/>
          <w:highlight w:val="none"/>
        </w:rPr>
        <w:t>2、乙方应严格按照甲方要求配送货物的日期交货，每逾期一次，乙方向甲方支付</w:t>
      </w:r>
      <w:r>
        <w:rPr>
          <w:rFonts w:hint="eastAsia"/>
          <w:snapToGrid w:val="0"/>
          <w:highlight w:val="none"/>
          <w:lang w:val="en-US" w:eastAsia="zh-CN"/>
        </w:rPr>
        <w:t>10</w:t>
      </w:r>
      <w:r>
        <w:rPr>
          <w:rFonts w:hint="eastAsia"/>
          <w:snapToGrid w:val="0"/>
          <w:highlight w:val="none"/>
        </w:rPr>
        <w:t>00元违约金；乙方逾期供货超出交付期</w:t>
      </w:r>
      <w:r>
        <w:rPr>
          <w:rFonts w:hint="eastAsia"/>
          <w:snapToGrid w:val="0"/>
          <w:highlight w:val="none"/>
          <w:lang w:val="en-US" w:eastAsia="zh-CN"/>
        </w:rPr>
        <w:t>10</w:t>
      </w:r>
      <w:r>
        <w:rPr>
          <w:rFonts w:hint="eastAsia"/>
          <w:snapToGrid w:val="0"/>
          <w:highlight w:val="none"/>
          <w:lang w:eastAsia="zh-CN"/>
        </w:rPr>
        <w:t>天</w:t>
      </w:r>
      <w:r>
        <w:rPr>
          <w:rFonts w:hint="eastAsia"/>
          <w:snapToGrid w:val="0"/>
          <w:highlight w:val="none"/>
        </w:rPr>
        <w:t>(含</w:t>
      </w:r>
      <w:r>
        <w:rPr>
          <w:rFonts w:hint="eastAsia"/>
          <w:snapToGrid w:val="0"/>
          <w:highlight w:val="none"/>
          <w:lang w:val="en-US" w:eastAsia="zh-CN"/>
        </w:rPr>
        <w:t>10</w:t>
      </w:r>
      <w:r>
        <w:rPr>
          <w:rFonts w:hint="eastAsia"/>
          <w:snapToGrid w:val="0"/>
          <w:highlight w:val="none"/>
          <w:lang w:eastAsia="zh-CN"/>
        </w:rPr>
        <w:t>天</w:t>
      </w:r>
      <w:r>
        <w:rPr>
          <w:rFonts w:hint="eastAsia"/>
          <w:snapToGrid w:val="0"/>
          <w:highlight w:val="none"/>
        </w:rPr>
        <w:t>)以上的，甲方有权解除合同，并有权拒绝支付任何货款。</w:t>
      </w:r>
    </w:p>
    <w:p w14:paraId="6CBB75A8">
      <w:pPr>
        <w:pStyle w:val="41"/>
        <w:spacing w:line="360" w:lineRule="auto"/>
        <w:rPr>
          <w:rFonts w:hint="eastAsia"/>
          <w:snapToGrid w:val="0"/>
          <w:highlight w:val="none"/>
        </w:rPr>
      </w:pPr>
      <w:r>
        <w:rPr>
          <w:rFonts w:hint="eastAsia"/>
          <w:snapToGrid w:val="0"/>
          <w:highlight w:val="none"/>
        </w:rPr>
        <w:t>3、在履行合同过程中，如果乙方遇到妨碍按时交货和提供服务的情况时，应及时以书面形式将拖延的事实，可能拖延的时间和原因通知甲方，经甲方同意延期交货后，及时采取补救措施，不得无故断货。</w:t>
      </w:r>
    </w:p>
    <w:p w14:paraId="7D7D3DF6">
      <w:pPr>
        <w:pStyle w:val="41"/>
        <w:spacing w:line="360" w:lineRule="auto"/>
        <w:rPr>
          <w:rFonts w:hint="eastAsia"/>
          <w:snapToGrid w:val="0"/>
          <w:highlight w:val="none"/>
        </w:rPr>
      </w:pPr>
      <w:r>
        <w:rPr>
          <w:rFonts w:hint="eastAsia"/>
          <w:snapToGrid w:val="0"/>
          <w:highlight w:val="none"/>
        </w:rPr>
        <w:t>4、乙方所交货物不符合招投标文件、答疑附件及合同规定的要求的，由乙方负责包换，并承担调换或退货而支付的实际费用。乙方不能调换或拒绝调换的，甲方有权解除合同，乙方按上个月（第一个月时按本月）结算货款的两倍向甲方支付违约金，还应当赔偿甲方因此产生的实际损失。</w:t>
      </w:r>
    </w:p>
    <w:p w14:paraId="5EB9E281">
      <w:pPr>
        <w:pStyle w:val="41"/>
        <w:spacing w:line="360" w:lineRule="auto"/>
        <w:rPr>
          <w:rFonts w:hint="eastAsia"/>
          <w:snapToGrid w:val="0"/>
          <w:highlight w:val="none"/>
        </w:rPr>
      </w:pPr>
      <w:r>
        <w:rPr>
          <w:rFonts w:hint="eastAsia"/>
          <w:snapToGrid w:val="0"/>
          <w:highlight w:val="none"/>
        </w:rPr>
        <w:t>5、若乙方提供的产品不符合本合同约定的质量标准，甲方或任何第三人发生食物中毒等食品安全事故，由乙方承担全部经济赔偿责任（包括但不限于第三方索赔、律师费、诉讼费、鉴定费、公证费、差旅费等甲方采取诉讼途径发生的一切费用）以及相关法律责任；除此之外，乙方应向甲方承担违约金。</w:t>
      </w:r>
    </w:p>
    <w:p w14:paraId="6E808B71">
      <w:pPr>
        <w:pStyle w:val="41"/>
        <w:spacing w:line="360" w:lineRule="auto"/>
        <w:rPr>
          <w:rFonts w:hint="eastAsia"/>
          <w:snapToGrid w:val="0"/>
          <w:highlight w:val="none"/>
        </w:rPr>
      </w:pPr>
      <w:r>
        <w:rPr>
          <w:rFonts w:hint="eastAsia"/>
          <w:snapToGrid w:val="0"/>
          <w:highlight w:val="none"/>
        </w:rPr>
        <w:t>6、乙方保证在供货时遵从甲方关于本项目的采购程序，保证不会将合同及（或）其中的权利、义务转让，保证不会转包、分包。如发现转包、分包现象，甲方有权扣除上月货款及终止合同。</w:t>
      </w:r>
    </w:p>
    <w:p w14:paraId="3CD36843">
      <w:pPr>
        <w:pStyle w:val="41"/>
        <w:spacing w:line="360" w:lineRule="auto"/>
        <w:rPr>
          <w:snapToGrid w:val="0"/>
          <w:highlight w:val="none"/>
        </w:rPr>
      </w:pPr>
      <w:r>
        <w:rPr>
          <w:rFonts w:hint="eastAsia"/>
          <w:snapToGrid w:val="0"/>
          <w:highlight w:val="none"/>
        </w:rPr>
        <w:t>7、乙方在供应过程中，因送货车辆在甲方院内发生交通事故，乙方承担全部经济责任，甲方保留追究其相关法律责任的权利。</w:t>
      </w:r>
    </w:p>
    <w:p w14:paraId="2B3C3AB8">
      <w:pPr>
        <w:pStyle w:val="4"/>
        <w:spacing w:before="0" w:after="0" w:line="360" w:lineRule="auto"/>
        <w:rPr>
          <w:highlight w:val="none"/>
        </w:rPr>
      </w:pPr>
      <w:r>
        <w:rPr>
          <w:rFonts w:hint="eastAsia"/>
          <w:highlight w:val="none"/>
        </w:rPr>
        <w:t xml:space="preserve">三、技术要求【根据项目实际需求调整，如有实质性响应条款要求的，以“★”号作醒目标识】 </w:t>
      </w:r>
    </w:p>
    <w:p w14:paraId="29211C8B">
      <w:pPr>
        <w:pStyle w:val="80"/>
        <w:spacing w:line="360" w:lineRule="auto"/>
        <w:rPr>
          <w:highlight w:val="none"/>
        </w:rPr>
      </w:pPr>
      <w:r>
        <w:rPr>
          <w:rFonts w:hint="eastAsia"/>
          <w:highlight w:val="none"/>
        </w:rPr>
        <w:t>（一）本项目</w:t>
      </w:r>
      <w:r>
        <w:rPr>
          <w:rFonts w:hint="eastAsia"/>
          <w:highlight w:val="none"/>
          <w:lang w:val="en-US" w:eastAsia="zh-CN"/>
        </w:rPr>
        <w:t>核心</w:t>
      </w:r>
      <w:r>
        <w:rPr>
          <w:rFonts w:hint="eastAsia"/>
          <w:highlight w:val="none"/>
        </w:rPr>
        <w:t>产品为：</w:t>
      </w:r>
      <w:r>
        <w:rPr>
          <w:rFonts w:hint="eastAsia"/>
          <w:highlight w:val="none"/>
          <w:u w:val="single"/>
          <w:lang w:val="en-US" w:eastAsia="zh-CN"/>
        </w:rPr>
        <w:t xml:space="preserve"> 味精、鸡粉、鸡精 </w:t>
      </w:r>
      <w:r>
        <w:rPr>
          <w:rFonts w:hint="eastAsia"/>
          <w:highlight w:val="none"/>
          <w:lang w:val="en-US" w:eastAsia="zh-CN"/>
        </w:rPr>
        <w:t xml:space="preserve"> </w:t>
      </w:r>
      <w:r>
        <w:rPr>
          <w:rFonts w:hint="eastAsia"/>
          <w:highlight w:val="none"/>
        </w:rPr>
        <w:t>。</w:t>
      </w:r>
    </w:p>
    <w:p w14:paraId="398CF8B3">
      <w:pPr>
        <w:spacing w:line="360" w:lineRule="auto"/>
        <w:ind w:firstLine="480" w:firstLineChars="200"/>
        <w:rPr>
          <w:highlight w:val="none"/>
        </w:rPr>
      </w:pPr>
      <w:r>
        <w:rPr>
          <w:rFonts w:hint="eastAsia"/>
          <w:highlight w:val="none"/>
          <w:lang w:val="en-US" w:eastAsia="zh-CN"/>
        </w:rPr>
        <w:t>核心</w:t>
      </w:r>
      <w:r>
        <w:rPr>
          <w:rFonts w:hint="eastAsia"/>
          <w:highlight w:val="none"/>
        </w:rPr>
        <w:t>产品提供相同品牌产品且通过资格审查、符合性审查的不同投标人，按一家投标人计算，评审后得分最高的同品牌投标人获得中标人推荐资格；评审得分相同的，按投标报价最低的获得中标人推荐资格；评审得分和投标报价均相同的，按商务技术评审得分最高的获得中标人推荐资格，评审得分、投标报价和商务技术评审得分三项均相同的由评标委员会采取随机抽取方式确定，其他同品牌投标人不作为中标候选人。</w:t>
      </w:r>
    </w:p>
    <w:p w14:paraId="5EE8351C">
      <w:pPr>
        <w:pStyle w:val="80"/>
        <w:spacing w:line="360" w:lineRule="auto"/>
        <w:rPr>
          <w:rFonts w:hint="eastAsia" w:eastAsia="宋体"/>
          <w:highlight w:val="none"/>
          <w:lang w:eastAsia="zh-CN"/>
        </w:rPr>
      </w:pPr>
      <w:r>
        <w:rPr>
          <w:rFonts w:hint="eastAsia"/>
          <w:highlight w:val="none"/>
        </w:rPr>
        <w:t>（一）</w:t>
      </w:r>
      <w:r>
        <w:rPr>
          <w:rFonts w:hint="eastAsia"/>
          <w:highlight w:val="none"/>
          <w:lang w:eastAsia="zh-CN"/>
        </w:rPr>
        <w:t>具体技术参数</w:t>
      </w:r>
    </w:p>
    <w:p w14:paraId="0B2986F5">
      <w:pPr>
        <w:pStyle w:val="80"/>
        <w:spacing w:line="360" w:lineRule="auto"/>
        <w:rPr>
          <w:rFonts w:hint="eastAsia"/>
          <w:highlight w:val="none"/>
        </w:rPr>
      </w:pPr>
      <w:r>
        <w:rPr>
          <w:rFonts w:hint="eastAsia"/>
          <w:highlight w:val="none"/>
        </w:rPr>
        <w:t>乙方提供的货物必须符合国家相关食品安全标准并遵守相关索票索证制度及医院各项制度。</w:t>
      </w:r>
    </w:p>
    <w:p w14:paraId="598E3850">
      <w:pPr>
        <w:pStyle w:val="80"/>
        <w:spacing w:line="360" w:lineRule="auto"/>
        <w:rPr>
          <w:rFonts w:hint="eastAsia"/>
          <w:highlight w:val="none"/>
          <w:lang w:eastAsia="zh-CN"/>
        </w:rPr>
      </w:pPr>
      <w:r>
        <w:rPr>
          <w:rFonts w:hint="eastAsia"/>
          <w:highlight w:val="none"/>
        </w:rPr>
        <w:t xml:space="preserve"> </w:t>
      </w:r>
      <w:r>
        <w:rPr>
          <w:rFonts w:hint="eastAsia"/>
          <w:highlight w:val="none"/>
          <w:lang w:val="en-US" w:eastAsia="zh-CN"/>
        </w:rPr>
        <w:t xml:space="preserve">  </w:t>
      </w:r>
      <w:r>
        <w:rPr>
          <w:rFonts w:hint="eastAsia"/>
          <w:highlight w:val="none"/>
          <w:lang w:eastAsia="zh-CN"/>
        </w:rPr>
        <w:t>杂粮</w:t>
      </w:r>
    </w:p>
    <w:p w14:paraId="7DBD1791">
      <w:pPr>
        <w:pStyle w:val="80"/>
        <w:spacing w:line="360" w:lineRule="auto"/>
        <w:rPr>
          <w:rFonts w:hint="eastAsia"/>
          <w:highlight w:val="none"/>
          <w:lang w:eastAsia="zh-CN"/>
        </w:rPr>
      </w:pPr>
      <w:r>
        <w:rPr>
          <w:rFonts w:hint="eastAsia"/>
          <w:highlight w:val="none"/>
        </w:rPr>
        <w:t>★</w:t>
      </w:r>
      <w:r>
        <w:rPr>
          <w:rFonts w:hint="eastAsia"/>
          <w:highlight w:val="none"/>
          <w:lang w:eastAsia="zh-CN"/>
        </w:rPr>
        <w:t>质量标准：杂粮同时需符合 GB 2715（粮食卫生标准）以及 GB 2761、GB 2762、GB 2763 等基础安全标准的规定。</w:t>
      </w:r>
    </w:p>
    <w:p w14:paraId="2CEF6F80">
      <w:pPr>
        <w:pStyle w:val="80"/>
        <w:spacing w:line="360" w:lineRule="auto"/>
        <w:rPr>
          <w:rFonts w:hint="eastAsia"/>
          <w:highlight w:val="none"/>
          <w:lang w:eastAsia="zh-CN"/>
        </w:rPr>
      </w:pPr>
      <w:r>
        <w:rPr>
          <w:rFonts w:hint="eastAsia"/>
          <w:highlight w:val="none"/>
          <w:lang w:eastAsia="zh-CN"/>
        </w:rPr>
        <w:t xml:space="preserve">  </w:t>
      </w:r>
      <w:r>
        <w:rPr>
          <w:rFonts w:hint="eastAsia"/>
          <w:highlight w:val="none"/>
          <w:lang w:val="en-US" w:eastAsia="zh-CN"/>
        </w:rPr>
        <w:t xml:space="preserve"> </w:t>
      </w:r>
      <w:r>
        <w:rPr>
          <w:rFonts w:hint="eastAsia"/>
          <w:highlight w:val="none"/>
        </w:rPr>
        <w:t>★</w:t>
      </w:r>
      <w:r>
        <w:rPr>
          <w:rFonts w:hint="eastAsia"/>
          <w:highlight w:val="none"/>
          <w:lang w:eastAsia="zh-CN"/>
        </w:rPr>
        <w:t>小米：符合 GB/T 11766（小米）质量标准。色泽均匀，呈金黄色，富有光泽，无异味，用温水清洗时水色不黄；水分 ≤ 13%，碎米 ≤ 4%，无杂质。</w:t>
      </w:r>
    </w:p>
    <w:p w14:paraId="46D58CC1">
      <w:pPr>
        <w:pStyle w:val="80"/>
        <w:spacing w:line="360" w:lineRule="auto"/>
        <w:rPr>
          <w:rFonts w:hint="eastAsia"/>
          <w:highlight w:val="none"/>
          <w:lang w:eastAsia="zh-CN"/>
        </w:rPr>
      </w:pPr>
      <w:r>
        <w:rPr>
          <w:rFonts w:hint="eastAsia"/>
          <w:highlight w:val="none"/>
          <w:lang w:eastAsia="zh-CN"/>
        </w:rPr>
        <w:t xml:space="preserve">   </w:t>
      </w:r>
      <w:r>
        <w:rPr>
          <w:rFonts w:hint="eastAsia"/>
          <w:highlight w:val="none"/>
        </w:rPr>
        <w:t>★</w:t>
      </w:r>
      <w:r>
        <w:rPr>
          <w:rFonts w:hint="eastAsia"/>
          <w:highlight w:val="none"/>
          <w:lang w:eastAsia="zh-CN"/>
        </w:rPr>
        <w:t>绿豆：符合 GB/T 10462（绿豆）标准。色泽均匀，富有光泽，水分 ≤ 13.5%，无霉变粒，无杂质。</w:t>
      </w:r>
    </w:p>
    <w:p w14:paraId="2AB000D0">
      <w:pPr>
        <w:pStyle w:val="80"/>
        <w:spacing w:line="360" w:lineRule="auto"/>
        <w:rPr>
          <w:rFonts w:hint="eastAsia"/>
          <w:highlight w:val="none"/>
          <w:lang w:eastAsia="zh-CN"/>
        </w:rPr>
      </w:pPr>
      <w:r>
        <w:rPr>
          <w:rFonts w:hint="eastAsia"/>
          <w:highlight w:val="none"/>
          <w:lang w:eastAsia="zh-CN"/>
        </w:rPr>
        <w:t xml:space="preserve">  </w:t>
      </w:r>
      <w:r>
        <w:rPr>
          <w:rFonts w:hint="eastAsia"/>
          <w:highlight w:val="none"/>
        </w:rPr>
        <w:t>★</w:t>
      </w:r>
      <w:r>
        <w:rPr>
          <w:rFonts w:hint="eastAsia"/>
          <w:highlight w:val="none"/>
          <w:lang w:eastAsia="zh-CN"/>
        </w:rPr>
        <w:t>玉米糁：符合 GB/T 22496（玉米糁）标准。色泽金黄，有光泽，大小均匀，无异味，水分 ≤ 14.5%，磁性金属含量 ≤ 0.003g/kg。</w:t>
      </w:r>
    </w:p>
    <w:p w14:paraId="19CEC7D1">
      <w:pPr>
        <w:pStyle w:val="80"/>
        <w:spacing w:line="360" w:lineRule="auto"/>
        <w:rPr>
          <w:rFonts w:hint="eastAsia"/>
          <w:highlight w:val="none"/>
          <w:lang w:eastAsia="zh-CN"/>
        </w:rPr>
      </w:pPr>
      <w:r>
        <w:rPr>
          <w:rFonts w:hint="eastAsia"/>
          <w:highlight w:val="none"/>
          <w:lang w:eastAsia="zh-CN"/>
        </w:rPr>
        <w:t>常用调味品</w:t>
      </w:r>
    </w:p>
    <w:p w14:paraId="2AEF6830">
      <w:pPr>
        <w:pStyle w:val="80"/>
        <w:spacing w:line="360" w:lineRule="auto"/>
        <w:rPr>
          <w:rFonts w:hint="eastAsia"/>
          <w:highlight w:val="none"/>
          <w:lang w:eastAsia="zh-CN"/>
        </w:rPr>
      </w:pPr>
      <w:r>
        <w:rPr>
          <w:rFonts w:hint="eastAsia"/>
          <w:highlight w:val="none"/>
        </w:rPr>
        <w:t>★</w:t>
      </w:r>
      <w:r>
        <w:rPr>
          <w:rFonts w:hint="eastAsia"/>
          <w:highlight w:val="none"/>
          <w:lang w:eastAsia="zh-CN"/>
        </w:rPr>
        <w:t>质量品级：要求采购满足国家食品安全标准的品牌调味品，避免散装调味品。</w:t>
      </w:r>
    </w:p>
    <w:p w14:paraId="723CF46A">
      <w:pPr>
        <w:pStyle w:val="80"/>
        <w:spacing w:line="360" w:lineRule="auto"/>
        <w:rPr>
          <w:rFonts w:hint="eastAsia"/>
          <w:highlight w:val="none"/>
          <w:lang w:eastAsia="zh-CN"/>
        </w:rPr>
      </w:pPr>
      <w:r>
        <w:rPr>
          <w:rFonts w:hint="eastAsia"/>
          <w:highlight w:val="none"/>
        </w:rPr>
        <w:t>★</w:t>
      </w:r>
      <w:r>
        <w:rPr>
          <w:rFonts w:hint="eastAsia"/>
          <w:highlight w:val="none"/>
          <w:lang w:eastAsia="zh-CN"/>
        </w:rPr>
        <w:t>包装标识：所有定型包装调味品（含醋、料酒、蚝油、酱油、味精、鸡精、盐等）须有SC标识，标签标明成分表、执行标准、生产日期、保质期等信息。</w:t>
      </w:r>
    </w:p>
    <w:p w14:paraId="1BA16E38">
      <w:pPr>
        <w:pStyle w:val="80"/>
        <w:spacing w:line="360" w:lineRule="auto"/>
        <w:rPr>
          <w:rFonts w:hint="eastAsia"/>
          <w:highlight w:val="none"/>
          <w:lang w:eastAsia="zh-CN"/>
        </w:rPr>
      </w:pPr>
      <w:r>
        <w:rPr>
          <w:rFonts w:hint="eastAsia"/>
          <w:highlight w:val="none"/>
          <w:lang w:eastAsia="zh-CN"/>
        </w:rPr>
        <w:t>执行标准和技术要求：</w:t>
      </w:r>
    </w:p>
    <w:p w14:paraId="79A84A6C">
      <w:pPr>
        <w:pStyle w:val="80"/>
        <w:spacing w:line="360" w:lineRule="auto"/>
        <w:rPr>
          <w:rFonts w:hint="eastAsia"/>
          <w:highlight w:val="none"/>
          <w:lang w:eastAsia="zh-CN"/>
        </w:rPr>
      </w:pPr>
      <w:r>
        <w:rPr>
          <w:rFonts w:hint="eastAsia"/>
          <w:highlight w:val="none"/>
          <w:lang w:eastAsia="zh-CN"/>
        </w:rPr>
        <w:t>品类 现行食品安全标准 推荐技术要求与品质</w:t>
      </w:r>
    </w:p>
    <w:p w14:paraId="6924AED2">
      <w:pPr>
        <w:pStyle w:val="80"/>
        <w:spacing w:line="360" w:lineRule="auto"/>
        <w:rPr>
          <w:rFonts w:hint="eastAsia"/>
          <w:highlight w:val="none"/>
          <w:lang w:eastAsia="zh-CN"/>
        </w:rPr>
      </w:pPr>
      <w:r>
        <w:rPr>
          <w:rFonts w:hint="eastAsia"/>
          <w:highlight w:val="none"/>
        </w:rPr>
        <w:t>★</w:t>
      </w:r>
      <w:r>
        <w:rPr>
          <w:rFonts w:hint="eastAsia"/>
          <w:highlight w:val="none"/>
          <w:lang w:eastAsia="zh-CN"/>
        </w:rPr>
        <w:t>酿造酱油 GB 2717（食品安全国家标准 酱油）；品质执行 GB/T 18186（酿造酱油） 氨基酸态氮含量（特级 ≥ 0.8g/100mL，一级 ≥ 0.7g/100mL）；铵盐比例 ≤ 30%</w:t>
      </w:r>
    </w:p>
    <w:p w14:paraId="0E5C956C">
      <w:pPr>
        <w:pStyle w:val="80"/>
        <w:spacing w:line="360" w:lineRule="auto"/>
        <w:rPr>
          <w:rFonts w:hint="eastAsia"/>
          <w:highlight w:val="none"/>
          <w:lang w:eastAsia="zh-CN"/>
        </w:rPr>
      </w:pPr>
      <w:r>
        <w:rPr>
          <w:rFonts w:hint="eastAsia"/>
          <w:highlight w:val="none"/>
        </w:rPr>
        <w:t>★</w:t>
      </w:r>
      <w:r>
        <w:rPr>
          <w:rFonts w:hint="eastAsia"/>
          <w:highlight w:val="none"/>
          <w:lang w:eastAsia="zh-CN"/>
        </w:rPr>
        <w:t>酿造食醋 GB 2719（食品安全国家标准 食醋）；品质执行 GB/T 18187（酿造食醋） 总酸（以乙酸计）含量（特级 ≥ 6.0g/100mL，一级 ≥ 5.0g/100mL，二级 ≥ 4.5g/100mL）；不得检出游离矿酸</w:t>
      </w:r>
    </w:p>
    <w:p w14:paraId="52A88233">
      <w:pPr>
        <w:pStyle w:val="80"/>
        <w:spacing w:line="360" w:lineRule="auto"/>
        <w:rPr>
          <w:rFonts w:hint="eastAsia"/>
          <w:highlight w:val="none"/>
          <w:lang w:eastAsia="zh-CN"/>
        </w:rPr>
      </w:pPr>
      <w:r>
        <w:rPr>
          <w:rFonts w:hint="eastAsia"/>
          <w:highlight w:val="none"/>
        </w:rPr>
        <w:t>★</w:t>
      </w:r>
      <w:r>
        <w:rPr>
          <w:rFonts w:hint="eastAsia"/>
          <w:highlight w:val="none"/>
          <w:lang w:eastAsia="zh-CN"/>
        </w:rPr>
        <w:t>味精 GB 2720（谷氨酸钠/味精）；品质执行 GB/T 8967 谷氨酸钠含量 ≥ 99.0%；干燥失重（粉状≤0.5%，结晶状≤0.1%）；无肉眼可见杂质</w:t>
      </w:r>
    </w:p>
    <w:p w14:paraId="06F4CA2F">
      <w:pPr>
        <w:pStyle w:val="80"/>
        <w:spacing w:line="360" w:lineRule="auto"/>
        <w:rPr>
          <w:rFonts w:hint="eastAsia"/>
          <w:highlight w:val="none"/>
          <w:lang w:eastAsia="zh-CN"/>
        </w:rPr>
      </w:pPr>
      <w:r>
        <w:rPr>
          <w:rFonts w:hint="eastAsia"/>
          <w:highlight w:val="none"/>
        </w:rPr>
        <w:t>★</w:t>
      </w:r>
      <w:r>
        <w:rPr>
          <w:rFonts w:hint="eastAsia"/>
          <w:highlight w:val="none"/>
          <w:lang w:eastAsia="zh-CN"/>
        </w:rPr>
        <w:t>食用盐 GB 2721（食用盐），品质执行 GB/T 5461（食用盐） 氯化钠含量（精制盐一级 ≥ 98.5g/100g 或 98.5%），硫酸根、水分、白度等指标须符合一级盐要求</w:t>
      </w:r>
    </w:p>
    <w:p w14:paraId="53935DA5">
      <w:pPr>
        <w:pStyle w:val="80"/>
        <w:spacing w:line="360" w:lineRule="auto"/>
        <w:rPr>
          <w:rFonts w:hint="eastAsia"/>
          <w:highlight w:val="none"/>
          <w:lang w:eastAsia="zh-CN"/>
        </w:rPr>
      </w:pPr>
      <w:r>
        <w:rPr>
          <w:rFonts w:hint="eastAsia"/>
          <w:highlight w:val="none"/>
          <w:lang w:eastAsia="zh-CN"/>
        </w:rPr>
        <w:t>鸡精调味料 SB/T 10371（行业标准） 谷氨酸钠呈味核苷酸二钠总含量 ≥ 35.0%（3.5g/100g）；干燥失重 ≤ 3.0%</w:t>
      </w:r>
    </w:p>
    <w:p w14:paraId="4405D14E">
      <w:pPr>
        <w:pStyle w:val="80"/>
        <w:spacing w:line="360" w:lineRule="auto"/>
        <w:rPr>
          <w:rFonts w:hint="eastAsia"/>
          <w:highlight w:val="none"/>
          <w:lang w:eastAsia="zh-CN"/>
        </w:rPr>
      </w:pPr>
      <w:r>
        <w:rPr>
          <w:rFonts w:hint="eastAsia"/>
          <w:highlight w:val="none"/>
        </w:rPr>
        <w:t>★</w:t>
      </w:r>
      <w:r>
        <w:rPr>
          <w:rFonts w:hint="eastAsia"/>
          <w:highlight w:val="none"/>
          <w:lang w:eastAsia="zh-CN"/>
        </w:rPr>
        <w:t>调味料酒 SB/T 10416 酒精度 ≥ 10.0%vol；氨基酸态氮（以氮计）≥ 0.2g/L；食盐（以氯化物计）≤ 20.0g/L</w:t>
      </w:r>
    </w:p>
    <w:p w14:paraId="24E86BCB">
      <w:pPr>
        <w:pStyle w:val="80"/>
        <w:spacing w:line="360" w:lineRule="auto"/>
        <w:rPr>
          <w:rFonts w:hint="eastAsia"/>
          <w:highlight w:val="none"/>
          <w:lang w:eastAsia="zh-CN"/>
        </w:rPr>
      </w:pPr>
      <w:r>
        <w:rPr>
          <w:rFonts w:hint="eastAsia"/>
          <w:highlight w:val="none"/>
        </w:rPr>
        <w:t>★</w:t>
      </w:r>
      <w:r>
        <w:rPr>
          <w:rFonts w:hint="eastAsia"/>
          <w:highlight w:val="none"/>
          <w:lang w:eastAsia="zh-CN"/>
        </w:rPr>
        <w:t>蚝油 GB/T 21999 氨基酸态氮 ≥ 0.3g/100g（特级 ≥ 0.5g/100g）；总酸 ≤ 1.2g/100ml；不得检出防腐剂（山梨酸、苯甲酸等超标）和二氧化硫残留</w:t>
      </w:r>
    </w:p>
    <w:p w14:paraId="44A4D058">
      <w:pPr>
        <w:pStyle w:val="80"/>
        <w:spacing w:line="360" w:lineRule="auto"/>
        <w:rPr>
          <w:rFonts w:hint="eastAsia"/>
          <w:highlight w:val="none"/>
          <w:lang w:eastAsia="zh-CN"/>
        </w:rPr>
      </w:pPr>
      <w:r>
        <w:rPr>
          <w:rFonts w:hint="eastAsia"/>
          <w:highlight w:val="none"/>
        </w:rPr>
        <w:t>★</w:t>
      </w:r>
      <w:r>
        <w:rPr>
          <w:rFonts w:hint="eastAsia"/>
          <w:highlight w:val="none"/>
          <w:lang w:eastAsia="zh-CN"/>
        </w:rPr>
        <w:t xml:space="preserve">白砂糖 GB/T 317（白砂糖） </w:t>
      </w:r>
    </w:p>
    <w:p w14:paraId="384E21FF">
      <w:pPr>
        <w:pStyle w:val="80"/>
        <w:spacing w:line="360" w:lineRule="auto"/>
        <w:rPr>
          <w:rFonts w:hint="eastAsia"/>
          <w:highlight w:val="none"/>
          <w:lang w:eastAsia="zh-CN"/>
        </w:rPr>
      </w:pPr>
      <w:r>
        <w:rPr>
          <w:rFonts w:hint="eastAsia"/>
          <w:highlight w:val="none"/>
        </w:rPr>
        <w:t>★</w:t>
      </w:r>
      <w:r>
        <w:rPr>
          <w:rFonts w:hint="eastAsia"/>
          <w:highlight w:val="none"/>
          <w:lang w:eastAsia="zh-CN"/>
        </w:rPr>
        <w:t>干杂与香辛料：八角、花椒、胡椒、干辣椒等须呈干燥状，具有该种香料植物所特有的色、香、味，没有不纯粹的气味和味道，无发霉、无虫蛀，不得检出二氧化硫过量熏制残留。</w:t>
      </w:r>
    </w:p>
    <w:p w14:paraId="6B7A8DB9">
      <w:pPr>
        <w:pStyle w:val="80"/>
        <w:spacing w:line="360" w:lineRule="auto"/>
        <w:rPr>
          <w:rFonts w:hint="eastAsia"/>
          <w:highlight w:val="none"/>
          <w:lang w:eastAsia="zh-CN"/>
        </w:rPr>
      </w:pPr>
      <w:r>
        <w:rPr>
          <w:rFonts w:hint="eastAsia"/>
          <w:highlight w:val="none"/>
          <w:lang w:eastAsia="zh-CN"/>
        </w:rPr>
        <w:t>质量通用条款</w:t>
      </w:r>
    </w:p>
    <w:p w14:paraId="443B4E27">
      <w:pPr>
        <w:pStyle w:val="80"/>
        <w:spacing w:line="360" w:lineRule="auto"/>
        <w:rPr>
          <w:rFonts w:hint="eastAsia"/>
          <w:highlight w:val="none"/>
          <w:lang w:eastAsia="zh-CN"/>
        </w:rPr>
      </w:pPr>
      <w:r>
        <w:rPr>
          <w:rFonts w:hint="eastAsia"/>
          <w:highlight w:val="none"/>
        </w:rPr>
        <w:t>★</w:t>
      </w:r>
      <w:r>
        <w:rPr>
          <w:rFonts w:hint="eastAsia"/>
          <w:highlight w:val="none"/>
          <w:lang w:eastAsia="zh-CN"/>
        </w:rPr>
        <w:t>食品安全底线：所有食品须符合现行《中华人民共和国食品安全法》及相关国家食品安全标准要求。有新旧标准变更时，一律执行就高不就低的原则。</w:t>
      </w:r>
    </w:p>
    <w:p w14:paraId="075DD322">
      <w:pPr>
        <w:pStyle w:val="80"/>
        <w:spacing w:line="360" w:lineRule="auto"/>
        <w:rPr>
          <w:rFonts w:hint="eastAsia"/>
          <w:highlight w:val="none"/>
          <w:lang w:eastAsia="zh-CN"/>
        </w:rPr>
      </w:pPr>
      <w:r>
        <w:rPr>
          <w:rFonts w:hint="eastAsia"/>
          <w:highlight w:val="none"/>
        </w:rPr>
        <w:t>★</w:t>
      </w:r>
      <w:r>
        <w:rPr>
          <w:rFonts w:hint="eastAsia"/>
          <w:highlight w:val="none"/>
          <w:lang w:eastAsia="zh-CN"/>
        </w:rPr>
        <w:t>包装与标签：预包装食品须具有食品生产许可证（SC）编号，包装标签须符合GB 7718和GB 28050规定。干货无外包装的须提供质检报告，散装品须通过质检报告证明其合格可靠。</w:t>
      </w:r>
    </w:p>
    <w:p w14:paraId="12821F23">
      <w:pPr>
        <w:pStyle w:val="80"/>
        <w:spacing w:line="360" w:lineRule="auto"/>
        <w:rPr>
          <w:rFonts w:hint="eastAsia"/>
          <w:highlight w:val="none"/>
          <w:lang w:eastAsia="zh-CN"/>
        </w:rPr>
      </w:pPr>
      <w:r>
        <w:rPr>
          <w:rFonts w:hint="eastAsia"/>
          <w:highlight w:val="none"/>
        </w:rPr>
        <w:t>★</w:t>
      </w:r>
      <w:r>
        <w:rPr>
          <w:rFonts w:hint="eastAsia"/>
          <w:highlight w:val="none"/>
          <w:lang w:eastAsia="zh-CN"/>
        </w:rPr>
        <w:t>合格凭证与溯源：供应商须随货提供出厂合格证或第三方权威质检报告。对伪造、篡改、提供虚假报告的，一旦发现直接除名。</w:t>
      </w:r>
    </w:p>
    <w:p w14:paraId="1C3E3556">
      <w:pPr>
        <w:pStyle w:val="80"/>
        <w:spacing w:line="360" w:lineRule="auto"/>
        <w:rPr>
          <w:rFonts w:hint="eastAsia"/>
          <w:highlight w:val="none"/>
          <w:lang w:eastAsia="zh-CN"/>
        </w:rPr>
      </w:pPr>
      <w:r>
        <w:rPr>
          <w:rFonts w:hint="eastAsia"/>
          <w:highlight w:val="none"/>
        </w:rPr>
        <w:t>★</w:t>
      </w:r>
      <w:r>
        <w:rPr>
          <w:rFonts w:hint="eastAsia"/>
          <w:highlight w:val="none"/>
          <w:lang w:eastAsia="zh-CN"/>
        </w:rPr>
        <w:t>保质期把控：配送的食材剩余有效期原则上不少于标注有效期的 2/3。预包装食品（供货时距保质期失效不得少于保质期的1/2至2/3），干货类不得超出保质期的三分之一。严禁供应过期食品及临期食品。</w:t>
      </w:r>
    </w:p>
    <w:p w14:paraId="45AC03D0">
      <w:pPr>
        <w:pStyle w:val="80"/>
        <w:spacing w:line="360" w:lineRule="auto"/>
        <w:rPr>
          <w:rFonts w:hint="eastAsia"/>
          <w:highlight w:val="none"/>
          <w:lang w:eastAsia="zh-CN"/>
        </w:rPr>
      </w:pPr>
      <w:r>
        <w:rPr>
          <w:rFonts w:hint="eastAsia"/>
          <w:highlight w:val="none"/>
        </w:rPr>
        <w:t>★</w:t>
      </w:r>
      <w:r>
        <w:rPr>
          <w:rFonts w:hint="eastAsia"/>
          <w:highlight w:val="none"/>
          <w:lang w:eastAsia="zh-CN"/>
        </w:rPr>
        <w:t>供应商资质：供应商须持有经营范围包含食品销售的营业执照、食品经营许可证或仅销售预包装食品备案证明。其提供的各品类须提供其食品生产许可获证企业（SC）的有效证明并已纳入国家及地方的可追溯体系。</w:t>
      </w:r>
    </w:p>
    <w:p w14:paraId="552648FC">
      <w:pPr>
        <w:pStyle w:val="80"/>
        <w:spacing w:line="360" w:lineRule="auto"/>
        <w:rPr>
          <w:rFonts w:hint="eastAsia"/>
          <w:highlight w:val="none"/>
          <w:lang w:eastAsia="zh-CN"/>
        </w:rPr>
      </w:pPr>
      <w:r>
        <w:rPr>
          <w:rFonts w:hint="eastAsia"/>
          <w:highlight w:val="none"/>
          <w:lang w:eastAsia="zh-CN"/>
        </w:rPr>
        <w:t>拒收与退换货机制：对出现异色异味、霉变虫蛀、污染物超标</w:t>
      </w:r>
      <w:r>
        <w:rPr>
          <w:rFonts w:hint="eastAsia"/>
          <w:highlight w:val="none"/>
          <w:lang w:val="en-US" w:eastAsia="zh-CN"/>
        </w:rPr>
        <w:t>等不符合餐厅验收标准</w:t>
      </w:r>
      <w:r>
        <w:rPr>
          <w:rFonts w:hint="eastAsia"/>
          <w:highlight w:val="none"/>
          <w:lang w:eastAsia="zh-CN"/>
        </w:rPr>
        <w:t>的任何批次产品，招标方有权整批拒收并要求供应商立即无偿调换合格品。</w:t>
      </w:r>
    </w:p>
    <w:p w14:paraId="63456AE1">
      <w:pPr>
        <w:pStyle w:val="80"/>
        <w:spacing w:line="360" w:lineRule="auto"/>
        <w:rPr>
          <w:rFonts w:hint="eastAsia"/>
          <w:highlight w:val="none"/>
          <w:lang w:eastAsia="zh-CN"/>
        </w:rPr>
      </w:pPr>
      <w:r>
        <w:rPr>
          <w:rFonts w:hint="eastAsia"/>
          <w:highlight w:val="none"/>
        </w:rPr>
        <w:t>注：乙方应当遵守甲方验货流程遵守验货制度按要求填写每批次验货单</w:t>
      </w:r>
      <w:r>
        <w:rPr>
          <w:rFonts w:hint="eastAsia"/>
          <w:highlight w:val="none"/>
          <w:lang w:eastAsia="zh-CN"/>
        </w:rPr>
        <w:t>。</w:t>
      </w:r>
    </w:p>
    <w:p w14:paraId="3F606992">
      <w:pPr>
        <w:pStyle w:val="80"/>
        <w:spacing w:line="360" w:lineRule="auto"/>
        <w:rPr>
          <w:highlight w:val="none"/>
        </w:rPr>
      </w:pPr>
    </w:p>
    <w:p w14:paraId="5F4627BF">
      <w:pPr>
        <w:spacing w:line="360" w:lineRule="auto"/>
        <w:rPr>
          <w:highlight w:val="none"/>
        </w:rPr>
      </w:pPr>
    </w:p>
    <w:p w14:paraId="3C7450A3">
      <w:pPr>
        <w:spacing w:line="360" w:lineRule="auto"/>
        <w:rPr>
          <w:highlight w:val="none"/>
        </w:rPr>
      </w:pPr>
    </w:p>
    <w:p w14:paraId="759A8B61">
      <w:pPr>
        <w:spacing w:line="360" w:lineRule="auto"/>
        <w:rPr>
          <w:rFonts w:hint="eastAsia"/>
          <w:highlight w:val="none"/>
        </w:rPr>
      </w:pPr>
      <w:r>
        <w:rPr>
          <w:rFonts w:hint="eastAsia"/>
          <w:highlight w:val="none"/>
        </w:rPr>
        <w:br w:type="page"/>
      </w:r>
    </w:p>
    <w:p w14:paraId="116AD867">
      <w:pPr>
        <w:pStyle w:val="3"/>
        <w:spacing w:line="360" w:lineRule="auto"/>
        <w:rPr>
          <w:highlight w:val="none"/>
        </w:rPr>
      </w:pPr>
      <w:bookmarkStart w:id="281" w:name="_Toc18577"/>
      <w:r>
        <w:rPr>
          <w:rFonts w:hint="eastAsia"/>
          <w:highlight w:val="none"/>
        </w:rPr>
        <w:t>第四章 资格审查</w:t>
      </w:r>
      <w:bookmarkEnd w:id="279"/>
      <w:bookmarkEnd w:id="280"/>
      <w:bookmarkEnd w:id="281"/>
    </w:p>
    <w:p w14:paraId="0D527F00">
      <w:pPr>
        <w:pStyle w:val="4"/>
        <w:spacing w:line="360" w:lineRule="auto"/>
        <w:rPr>
          <w:highlight w:val="none"/>
          <w:lang w:val="zh-CN"/>
        </w:rPr>
      </w:pPr>
      <w:bookmarkStart w:id="282" w:name="_Toc26583"/>
      <w:bookmarkStart w:id="283" w:name="_Toc4412"/>
      <w:r>
        <w:rPr>
          <w:rFonts w:hint="eastAsia"/>
          <w:highlight w:val="none"/>
        </w:rPr>
        <w:t>一、资格审查程序</w:t>
      </w:r>
      <w:bookmarkEnd w:id="282"/>
      <w:bookmarkEnd w:id="283"/>
      <w:r>
        <w:rPr>
          <w:rFonts w:hint="eastAsia"/>
          <w:highlight w:val="none"/>
        </w:rPr>
        <w:t xml:space="preserve"> </w:t>
      </w:r>
    </w:p>
    <w:p w14:paraId="67458B8A">
      <w:pPr>
        <w:pStyle w:val="41"/>
        <w:spacing w:line="360" w:lineRule="auto"/>
        <w:rPr>
          <w:highlight w:val="none"/>
        </w:rPr>
      </w:pPr>
      <w:r>
        <w:rPr>
          <w:rFonts w:hint="eastAsia"/>
          <w:highlight w:val="none"/>
        </w:rPr>
        <w:t xml:space="preserve">1 开标结束后，采购人或采购代理机构将根据《资格审查要求》中的规定，对投标人进行资格审查，并形成资格审查结果。 </w:t>
      </w:r>
    </w:p>
    <w:p w14:paraId="079857D2">
      <w:pPr>
        <w:pStyle w:val="41"/>
        <w:spacing w:line="360" w:lineRule="auto"/>
        <w:rPr>
          <w:highlight w:val="none"/>
        </w:rPr>
      </w:pPr>
      <w:r>
        <w:rPr>
          <w:rFonts w:hint="eastAsia"/>
          <w:highlight w:val="none"/>
        </w:rPr>
        <w:t>2 投标人《资格证明文件》有任何一项不符合《资格审查要求》的，资格审查不合格，其</w:t>
      </w:r>
      <w:r>
        <w:rPr>
          <w:rFonts w:hint="eastAsia"/>
          <w:b/>
          <w:bCs/>
          <w:highlight w:val="none"/>
        </w:rPr>
        <w:t>投标无效</w:t>
      </w:r>
      <w:r>
        <w:rPr>
          <w:rFonts w:hint="eastAsia"/>
          <w:highlight w:val="none"/>
        </w:rPr>
        <w:t xml:space="preserve">。 </w:t>
      </w:r>
    </w:p>
    <w:p w14:paraId="7BCC2D77">
      <w:pPr>
        <w:pStyle w:val="41"/>
        <w:spacing w:line="360" w:lineRule="auto"/>
        <w:rPr>
          <w:highlight w:val="none"/>
        </w:rPr>
      </w:pPr>
      <w:r>
        <w:rPr>
          <w:rFonts w:hint="eastAsia"/>
          <w:highlight w:val="none"/>
        </w:rPr>
        <w:t xml:space="preserve">3 资格审查合格的投标人不足 3 家的，不进行评标。 </w:t>
      </w:r>
    </w:p>
    <w:p w14:paraId="6255854D">
      <w:pPr>
        <w:pStyle w:val="4"/>
        <w:spacing w:line="360" w:lineRule="auto"/>
        <w:rPr>
          <w:highlight w:val="none"/>
        </w:rPr>
      </w:pPr>
      <w:bookmarkStart w:id="284" w:name="_Toc6358"/>
      <w:bookmarkStart w:id="285" w:name="_Toc32303"/>
      <w:r>
        <w:rPr>
          <w:rFonts w:hint="eastAsia"/>
          <w:highlight w:val="none"/>
        </w:rPr>
        <w:t>二、资格审查要求</w:t>
      </w:r>
      <w:bookmarkEnd w:id="284"/>
      <w:bookmarkEnd w:id="285"/>
      <w:r>
        <w:rPr>
          <w:rFonts w:hint="eastAsia"/>
          <w:highlight w:val="none"/>
        </w:rPr>
        <w:t xml:space="preserve"> </w:t>
      </w:r>
    </w:p>
    <w:tbl>
      <w:tblPr>
        <w:tblStyle w:val="33"/>
        <w:tblW w:w="5381" w:type="pct"/>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1122"/>
        <w:gridCol w:w="1945"/>
        <w:gridCol w:w="4976"/>
        <w:gridCol w:w="920"/>
        <w:gridCol w:w="818"/>
      </w:tblGrid>
      <w:tr w14:paraId="090EFF7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44" w:hRule="atLeast"/>
          <w:jc w:val="center"/>
        </w:trPr>
        <w:tc>
          <w:tcPr>
            <w:tcW w:w="1567" w:type="pct"/>
            <w:gridSpan w:val="2"/>
            <w:vMerge w:val="restart"/>
            <w:tcBorders>
              <w:top w:val="outset" w:color="auto" w:sz="6" w:space="0"/>
              <w:left w:val="outset" w:color="auto" w:sz="6" w:space="0"/>
              <w:bottom w:val="outset" w:color="auto" w:sz="6" w:space="0"/>
              <w:right w:val="outset" w:color="auto" w:sz="6" w:space="0"/>
            </w:tcBorders>
            <w:vAlign w:val="center"/>
          </w:tcPr>
          <w:p w14:paraId="4DE7235E">
            <w:pPr>
              <w:spacing w:line="360" w:lineRule="auto"/>
              <w:jc w:val="center"/>
              <w:rPr>
                <w:szCs w:val="24"/>
                <w:highlight w:val="none"/>
              </w:rPr>
            </w:pPr>
            <w:r>
              <w:rPr>
                <w:rFonts w:hint="eastAsia"/>
                <w:szCs w:val="24"/>
                <w:highlight w:val="none"/>
              </w:rPr>
              <w:t>评分因素</w:t>
            </w:r>
          </w:p>
        </w:tc>
        <w:tc>
          <w:tcPr>
            <w:tcW w:w="2543" w:type="pct"/>
            <w:vMerge w:val="restart"/>
            <w:tcBorders>
              <w:top w:val="outset" w:color="auto" w:sz="6" w:space="0"/>
              <w:left w:val="outset" w:color="auto" w:sz="6" w:space="0"/>
              <w:bottom w:val="outset" w:color="auto" w:sz="6" w:space="0"/>
              <w:right w:val="outset" w:color="auto" w:sz="6" w:space="0"/>
            </w:tcBorders>
            <w:vAlign w:val="center"/>
          </w:tcPr>
          <w:p w14:paraId="40980C72">
            <w:pPr>
              <w:spacing w:line="360" w:lineRule="auto"/>
              <w:jc w:val="center"/>
              <w:rPr>
                <w:szCs w:val="24"/>
                <w:highlight w:val="none"/>
              </w:rPr>
            </w:pPr>
            <w:r>
              <w:rPr>
                <w:rFonts w:hint="eastAsia"/>
                <w:szCs w:val="24"/>
                <w:highlight w:val="none"/>
              </w:rPr>
              <w:t>评审标准</w:t>
            </w:r>
          </w:p>
        </w:tc>
        <w:tc>
          <w:tcPr>
            <w:tcW w:w="888" w:type="pct"/>
            <w:gridSpan w:val="2"/>
            <w:tcBorders>
              <w:top w:val="outset" w:color="auto" w:sz="6" w:space="0"/>
              <w:left w:val="outset" w:color="auto" w:sz="6" w:space="0"/>
              <w:bottom w:val="outset" w:color="auto" w:sz="6" w:space="0"/>
              <w:right w:val="outset" w:color="auto" w:sz="6" w:space="0"/>
            </w:tcBorders>
            <w:vAlign w:val="center"/>
          </w:tcPr>
          <w:p w14:paraId="4923C78A">
            <w:pPr>
              <w:spacing w:line="360" w:lineRule="auto"/>
              <w:rPr>
                <w:szCs w:val="24"/>
                <w:highlight w:val="none"/>
              </w:rPr>
            </w:pPr>
            <w:r>
              <w:rPr>
                <w:rFonts w:hint="eastAsia"/>
                <w:szCs w:val="24"/>
                <w:highlight w:val="none"/>
              </w:rPr>
              <w:t>评审意见</w:t>
            </w:r>
          </w:p>
        </w:tc>
      </w:tr>
      <w:tr w14:paraId="6428E97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44" w:hRule="atLeast"/>
          <w:jc w:val="center"/>
        </w:trPr>
        <w:tc>
          <w:tcPr>
            <w:tcW w:w="1567" w:type="pct"/>
            <w:gridSpan w:val="2"/>
            <w:vMerge w:val="continue"/>
            <w:tcBorders>
              <w:top w:val="outset" w:color="auto" w:sz="6" w:space="0"/>
              <w:left w:val="outset" w:color="auto" w:sz="6" w:space="0"/>
              <w:bottom w:val="outset" w:color="auto" w:sz="6" w:space="0"/>
              <w:right w:val="outset" w:color="auto" w:sz="6" w:space="0"/>
            </w:tcBorders>
            <w:vAlign w:val="center"/>
          </w:tcPr>
          <w:p w14:paraId="2A909A04">
            <w:pPr>
              <w:spacing w:line="360" w:lineRule="auto"/>
              <w:rPr>
                <w:szCs w:val="24"/>
                <w:highlight w:val="none"/>
              </w:rPr>
            </w:pPr>
          </w:p>
        </w:tc>
        <w:tc>
          <w:tcPr>
            <w:tcW w:w="2543" w:type="pct"/>
            <w:vMerge w:val="continue"/>
            <w:tcBorders>
              <w:top w:val="outset" w:color="auto" w:sz="6" w:space="0"/>
              <w:left w:val="outset" w:color="auto" w:sz="6" w:space="0"/>
              <w:bottom w:val="outset" w:color="auto" w:sz="6" w:space="0"/>
              <w:right w:val="outset" w:color="auto" w:sz="6" w:space="0"/>
            </w:tcBorders>
            <w:vAlign w:val="center"/>
          </w:tcPr>
          <w:p w14:paraId="18A867CA">
            <w:pPr>
              <w:spacing w:line="360" w:lineRule="auto"/>
              <w:rPr>
                <w:szCs w:val="24"/>
                <w:highlight w:val="none"/>
              </w:rPr>
            </w:pPr>
          </w:p>
        </w:tc>
        <w:tc>
          <w:tcPr>
            <w:tcW w:w="470" w:type="pct"/>
            <w:tcBorders>
              <w:top w:val="outset" w:color="auto" w:sz="6" w:space="0"/>
              <w:left w:val="outset" w:color="auto" w:sz="6" w:space="0"/>
              <w:bottom w:val="outset" w:color="auto" w:sz="6" w:space="0"/>
              <w:right w:val="outset" w:color="auto" w:sz="6" w:space="0"/>
            </w:tcBorders>
            <w:vAlign w:val="center"/>
          </w:tcPr>
          <w:p w14:paraId="0218E882">
            <w:pPr>
              <w:spacing w:line="360" w:lineRule="auto"/>
              <w:rPr>
                <w:szCs w:val="24"/>
                <w:highlight w:val="none"/>
              </w:rPr>
            </w:pPr>
            <w:r>
              <w:rPr>
                <w:rFonts w:hint="eastAsia"/>
                <w:szCs w:val="24"/>
                <w:highlight w:val="none"/>
              </w:rPr>
              <w:t>是</w:t>
            </w:r>
          </w:p>
        </w:tc>
        <w:tc>
          <w:tcPr>
            <w:tcW w:w="417" w:type="pct"/>
            <w:tcBorders>
              <w:top w:val="outset" w:color="auto" w:sz="6" w:space="0"/>
              <w:left w:val="outset" w:color="auto" w:sz="6" w:space="0"/>
              <w:bottom w:val="outset" w:color="auto" w:sz="6" w:space="0"/>
              <w:right w:val="outset" w:color="auto" w:sz="6" w:space="0"/>
            </w:tcBorders>
            <w:vAlign w:val="center"/>
          </w:tcPr>
          <w:p w14:paraId="32881315">
            <w:pPr>
              <w:spacing w:line="360" w:lineRule="auto"/>
              <w:rPr>
                <w:szCs w:val="24"/>
                <w:highlight w:val="none"/>
              </w:rPr>
            </w:pPr>
            <w:r>
              <w:rPr>
                <w:rFonts w:hint="eastAsia"/>
                <w:szCs w:val="24"/>
                <w:highlight w:val="none"/>
              </w:rPr>
              <w:t>否</w:t>
            </w:r>
          </w:p>
        </w:tc>
      </w:tr>
      <w:tr w14:paraId="18E55C2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252" w:hRule="atLeast"/>
          <w:jc w:val="center"/>
        </w:trPr>
        <w:tc>
          <w:tcPr>
            <w:tcW w:w="573" w:type="pct"/>
            <w:vMerge w:val="restart"/>
            <w:tcBorders>
              <w:top w:val="outset" w:color="auto" w:sz="6" w:space="0"/>
              <w:left w:val="outset" w:color="auto" w:sz="6" w:space="0"/>
              <w:bottom w:val="outset" w:color="auto" w:sz="6" w:space="0"/>
              <w:right w:val="outset" w:color="auto" w:sz="6" w:space="0"/>
            </w:tcBorders>
            <w:vAlign w:val="center"/>
          </w:tcPr>
          <w:p w14:paraId="4D8C5268">
            <w:pPr>
              <w:spacing w:line="360" w:lineRule="auto"/>
              <w:rPr>
                <w:szCs w:val="24"/>
                <w:highlight w:val="none"/>
              </w:rPr>
            </w:pPr>
            <w:r>
              <w:rPr>
                <w:rFonts w:hint="eastAsia"/>
                <w:szCs w:val="24"/>
                <w:highlight w:val="none"/>
              </w:rPr>
              <w:t>资格检查</w:t>
            </w:r>
          </w:p>
        </w:tc>
        <w:tc>
          <w:tcPr>
            <w:tcW w:w="994" w:type="pct"/>
            <w:tcBorders>
              <w:top w:val="outset" w:color="auto" w:sz="6" w:space="0"/>
              <w:left w:val="outset" w:color="auto" w:sz="6" w:space="0"/>
              <w:bottom w:val="outset" w:color="auto" w:sz="6" w:space="0"/>
              <w:right w:val="outset" w:color="auto" w:sz="6" w:space="0"/>
            </w:tcBorders>
            <w:vAlign w:val="center"/>
          </w:tcPr>
          <w:p w14:paraId="441F20D4">
            <w:pPr>
              <w:pStyle w:val="63"/>
              <w:spacing w:line="360" w:lineRule="auto"/>
              <w:ind w:left="120" w:leftChars="50"/>
              <w:rPr>
                <w:rFonts w:ascii="宋体" w:hAnsi="宋体" w:cs="宋体"/>
                <w:highlight w:val="none"/>
              </w:rPr>
            </w:pPr>
            <w:r>
              <w:rPr>
                <w:rFonts w:hint="eastAsia" w:ascii="宋体" w:hAnsi="宋体" w:cs="宋体"/>
                <w:highlight w:val="none"/>
              </w:rPr>
              <w:t>具有独立承担民事责任的能力</w:t>
            </w:r>
          </w:p>
        </w:tc>
        <w:tc>
          <w:tcPr>
            <w:tcW w:w="2543" w:type="pct"/>
            <w:tcBorders>
              <w:top w:val="outset" w:color="auto" w:sz="6" w:space="0"/>
              <w:left w:val="outset" w:color="auto" w:sz="6" w:space="0"/>
              <w:bottom w:val="outset" w:color="auto" w:sz="6" w:space="0"/>
              <w:right w:val="outset" w:color="auto" w:sz="6" w:space="0"/>
            </w:tcBorders>
            <w:vAlign w:val="center"/>
          </w:tcPr>
          <w:p w14:paraId="5FC16FD9">
            <w:pPr>
              <w:pStyle w:val="63"/>
              <w:spacing w:line="360" w:lineRule="auto"/>
              <w:ind w:left="120" w:leftChars="50"/>
              <w:rPr>
                <w:rFonts w:ascii="宋体" w:hAnsi="宋体" w:cs="宋体"/>
                <w:highlight w:val="none"/>
              </w:rPr>
            </w:pPr>
            <w:r>
              <w:rPr>
                <w:rFonts w:hint="eastAsia" w:ascii="宋体" w:hAnsi="宋体" w:cs="宋体"/>
                <w:highlight w:val="none"/>
              </w:rPr>
              <w:t>投标时，提供在中华人民共和国境内注册的法人或其他组织的营业执照或事业单位法人证书或社会团体法人登记证书复印件</w:t>
            </w:r>
            <w:r>
              <w:rPr>
                <w:rFonts w:ascii="宋体" w:hAnsi="宋体" w:cs="宋体"/>
                <w:highlight w:val="none"/>
              </w:rPr>
              <w:t>/扫描件）</w:t>
            </w:r>
          </w:p>
        </w:tc>
        <w:tc>
          <w:tcPr>
            <w:tcW w:w="470" w:type="pct"/>
            <w:tcBorders>
              <w:top w:val="outset" w:color="auto" w:sz="6" w:space="0"/>
              <w:left w:val="outset" w:color="auto" w:sz="6" w:space="0"/>
              <w:bottom w:val="outset" w:color="auto" w:sz="6" w:space="0"/>
              <w:right w:val="outset" w:color="auto" w:sz="6" w:space="0"/>
            </w:tcBorders>
            <w:vAlign w:val="center"/>
          </w:tcPr>
          <w:p w14:paraId="5D07E7F7">
            <w:pPr>
              <w:spacing w:line="360" w:lineRule="auto"/>
              <w:rPr>
                <w:szCs w:val="24"/>
                <w:highlight w:val="none"/>
              </w:rPr>
            </w:pPr>
          </w:p>
        </w:tc>
        <w:tc>
          <w:tcPr>
            <w:tcW w:w="417" w:type="pct"/>
            <w:tcBorders>
              <w:top w:val="outset" w:color="auto" w:sz="6" w:space="0"/>
              <w:left w:val="outset" w:color="auto" w:sz="6" w:space="0"/>
              <w:bottom w:val="outset" w:color="auto" w:sz="6" w:space="0"/>
              <w:right w:val="outset" w:color="auto" w:sz="6" w:space="0"/>
            </w:tcBorders>
            <w:vAlign w:val="center"/>
          </w:tcPr>
          <w:p w14:paraId="10096DFE">
            <w:pPr>
              <w:spacing w:line="360" w:lineRule="auto"/>
              <w:rPr>
                <w:szCs w:val="24"/>
                <w:highlight w:val="none"/>
              </w:rPr>
            </w:pPr>
          </w:p>
        </w:tc>
      </w:tr>
      <w:tr w14:paraId="5370CEA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983"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2D53B566">
            <w:pPr>
              <w:spacing w:line="360" w:lineRule="auto"/>
              <w:rPr>
                <w:szCs w:val="24"/>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75364C73">
            <w:pPr>
              <w:pStyle w:val="63"/>
              <w:spacing w:line="360" w:lineRule="auto"/>
              <w:ind w:left="120" w:leftChars="50"/>
              <w:rPr>
                <w:rFonts w:ascii="宋体" w:hAnsi="宋体" w:cs="宋体"/>
                <w:highlight w:val="none"/>
              </w:rPr>
            </w:pPr>
            <w:r>
              <w:rPr>
                <w:rFonts w:hint="eastAsia" w:ascii="宋体" w:hAnsi="宋体" w:cs="宋体"/>
                <w:highlight w:val="none"/>
              </w:rPr>
              <w:t>具有良好的商业信誉和健全的财务会计制度</w:t>
            </w:r>
          </w:p>
        </w:tc>
        <w:tc>
          <w:tcPr>
            <w:tcW w:w="2543" w:type="pct"/>
            <w:tcBorders>
              <w:top w:val="outset" w:color="auto" w:sz="6" w:space="0"/>
              <w:left w:val="outset" w:color="auto" w:sz="6" w:space="0"/>
              <w:bottom w:val="outset" w:color="auto" w:sz="6" w:space="0"/>
              <w:right w:val="outset" w:color="auto" w:sz="6" w:space="0"/>
            </w:tcBorders>
            <w:vAlign w:val="center"/>
          </w:tcPr>
          <w:p w14:paraId="63C46854">
            <w:pPr>
              <w:pStyle w:val="63"/>
              <w:spacing w:line="360" w:lineRule="auto"/>
              <w:ind w:left="120" w:leftChars="50"/>
              <w:rPr>
                <w:rFonts w:hint="eastAsia" w:ascii="宋体" w:hAnsi="宋体" w:eastAsia="宋体" w:cs="宋体"/>
                <w:highlight w:val="none"/>
                <w:lang w:eastAsia="zh-CN"/>
              </w:rPr>
            </w:pPr>
            <w:r>
              <w:rPr>
                <w:rFonts w:hint="eastAsia" w:ascii="宋体" w:hAnsi="宋体" w:cs="宋体"/>
                <w:highlight w:val="none"/>
              </w:rPr>
              <w:t>提供2024年或2025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r>
              <w:rPr>
                <w:rFonts w:hint="eastAsia" w:ascii="宋体" w:hAnsi="宋体" w:cs="宋体"/>
                <w:highlight w:val="none"/>
                <w:lang w:eastAsia="zh-CN"/>
              </w:rPr>
              <w:t>；</w:t>
            </w:r>
          </w:p>
        </w:tc>
        <w:tc>
          <w:tcPr>
            <w:tcW w:w="470" w:type="pct"/>
            <w:tcBorders>
              <w:top w:val="outset" w:color="auto" w:sz="6" w:space="0"/>
              <w:left w:val="outset" w:color="auto" w:sz="6" w:space="0"/>
              <w:bottom w:val="outset" w:color="auto" w:sz="6" w:space="0"/>
              <w:right w:val="outset" w:color="auto" w:sz="6" w:space="0"/>
            </w:tcBorders>
            <w:vAlign w:val="center"/>
          </w:tcPr>
          <w:p w14:paraId="6E4D79CE">
            <w:pPr>
              <w:spacing w:line="360" w:lineRule="auto"/>
              <w:rPr>
                <w:szCs w:val="24"/>
                <w:highlight w:val="none"/>
              </w:rPr>
            </w:pPr>
          </w:p>
        </w:tc>
        <w:tc>
          <w:tcPr>
            <w:tcW w:w="417" w:type="pct"/>
            <w:tcBorders>
              <w:top w:val="outset" w:color="auto" w:sz="6" w:space="0"/>
              <w:left w:val="outset" w:color="auto" w:sz="6" w:space="0"/>
              <w:bottom w:val="outset" w:color="auto" w:sz="6" w:space="0"/>
              <w:right w:val="outset" w:color="auto" w:sz="6" w:space="0"/>
            </w:tcBorders>
            <w:vAlign w:val="center"/>
          </w:tcPr>
          <w:p w14:paraId="1126D1FF">
            <w:pPr>
              <w:spacing w:line="360" w:lineRule="auto"/>
              <w:rPr>
                <w:szCs w:val="24"/>
                <w:highlight w:val="none"/>
              </w:rPr>
            </w:pPr>
          </w:p>
        </w:tc>
      </w:tr>
      <w:tr w14:paraId="1DFEB48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993"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6E4EB6A2">
            <w:pPr>
              <w:spacing w:line="360" w:lineRule="auto"/>
              <w:rPr>
                <w:szCs w:val="24"/>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33A1E96D">
            <w:pPr>
              <w:pStyle w:val="63"/>
              <w:spacing w:line="360" w:lineRule="auto"/>
              <w:ind w:left="120" w:leftChars="50"/>
              <w:rPr>
                <w:rFonts w:ascii="宋体" w:hAnsi="宋体" w:cs="宋体"/>
                <w:highlight w:val="none"/>
              </w:rPr>
            </w:pPr>
            <w:r>
              <w:rPr>
                <w:rFonts w:hint="eastAsia" w:ascii="宋体" w:hAnsi="宋体" w:cs="宋体"/>
                <w:highlight w:val="none"/>
              </w:rPr>
              <w:t>有依法缴纳税收和社会保障资金的良好记录</w:t>
            </w:r>
          </w:p>
        </w:tc>
        <w:tc>
          <w:tcPr>
            <w:tcW w:w="2543" w:type="pct"/>
            <w:tcBorders>
              <w:top w:val="outset" w:color="auto" w:sz="6" w:space="0"/>
              <w:left w:val="outset" w:color="auto" w:sz="6" w:space="0"/>
              <w:bottom w:val="outset" w:color="auto" w:sz="6" w:space="0"/>
              <w:right w:val="outset" w:color="auto" w:sz="6" w:space="0"/>
            </w:tcBorders>
            <w:vAlign w:val="center"/>
          </w:tcPr>
          <w:p w14:paraId="1F0CF52E">
            <w:pPr>
              <w:pStyle w:val="63"/>
              <w:spacing w:line="360" w:lineRule="auto"/>
              <w:ind w:left="120" w:leftChars="50"/>
              <w:rPr>
                <w:rFonts w:ascii="宋体" w:hAnsi="宋体" w:cs="宋体"/>
                <w:highlight w:val="none"/>
              </w:rPr>
            </w:pPr>
            <w:r>
              <w:rPr>
                <w:rFonts w:hint="eastAsia" w:ascii="宋体" w:hAnsi="宋体" w:cs="宋体"/>
                <w:highlight w:val="none"/>
              </w:rPr>
              <w:t>提供至本项目投标截止日前一年内任意</w:t>
            </w:r>
            <w:r>
              <w:rPr>
                <w:rFonts w:ascii="宋体" w:hAnsi="宋体" w:cs="宋体"/>
                <w:highlight w:val="none"/>
              </w:rPr>
              <w:t>1个月缴纳税收凭据证明材料复印件/扫描件；如依法免税的，应提供相应文件证明；提供至本项目投标截止日前一年内任意1个月缴纳社会保险的凭据证明材料复印件/扫描件；如依法不需要缴纳社会保障资金的，应提供相应文件证明</w:t>
            </w:r>
          </w:p>
        </w:tc>
        <w:tc>
          <w:tcPr>
            <w:tcW w:w="470" w:type="pct"/>
            <w:tcBorders>
              <w:top w:val="outset" w:color="auto" w:sz="6" w:space="0"/>
              <w:left w:val="outset" w:color="auto" w:sz="6" w:space="0"/>
              <w:bottom w:val="outset" w:color="auto" w:sz="6" w:space="0"/>
              <w:right w:val="outset" w:color="auto" w:sz="6" w:space="0"/>
            </w:tcBorders>
            <w:vAlign w:val="center"/>
          </w:tcPr>
          <w:p w14:paraId="75675DC1">
            <w:pPr>
              <w:spacing w:line="360" w:lineRule="auto"/>
              <w:rPr>
                <w:szCs w:val="24"/>
                <w:highlight w:val="none"/>
              </w:rPr>
            </w:pPr>
          </w:p>
        </w:tc>
        <w:tc>
          <w:tcPr>
            <w:tcW w:w="417" w:type="pct"/>
            <w:tcBorders>
              <w:top w:val="outset" w:color="auto" w:sz="6" w:space="0"/>
              <w:left w:val="outset" w:color="auto" w:sz="6" w:space="0"/>
              <w:bottom w:val="outset" w:color="auto" w:sz="6" w:space="0"/>
              <w:right w:val="outset" w:color="auto" w:sz="6" w:space="0"/>
            </w:tcBorders>
            <w:vAlign w:val="center"/>
          </w:tcPr>
          <w:p w14:paraId="21E06394">
            <w:pPr>
              <w:spacing w:line="360" w:lineRule="auto"/>
              <w:rPr>
                <w:szCs w:val="24"/>
                <w:highlight w:val="none"/>
              </w:rPr>
            </w:pPr>
          </w:p>
        </w:tc>
      </w:tr>
      <w:tr w14:paraId="620372E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004"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20AD43EA">
            <w:pPr>
              <w:spacing w:line="360" w:lineRule="auto"/>
              <w:rPr>
                <w:szCs w:val="24"/>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748D6FEE">
            <w:pPr>
              <w:pStyle w:val="63"/>
              <w:spacing w:line="360" w:lineRule="auto"/>
              <w:ind w:left="120" w:leftChars="50"/>
              <w:rPr>
                <w:rFonts w:ascii="宋体" w:hAnsi="宋体" w:cs="宋体"/>
                <w:highlight w:val="none"/>
              </w:rPr>
            </w:pPr>
            <w:r>
              <w:rPr>
                <w:rFonts w:hint="eastAsia" w:ascii="宋体" w:hAnsi="宋体" w:cs="宋体"/>
                <w:highlight w:val="none"/>
              </w:rPr>
              <w:t>具有履行合同所必需的设备和专业技术能力</w:t>
            </w:r>
          </w:p>
        </w:tc>
        <w:tc>
          <w:tcPr>
            <w:tcW w:w="2543" w:type="pct"/>
            <w:tcBorders>
              <w:top w:val="outset" w:color="auto" w:sz="6" w:space="0"/>
              <w:left w:val="outset" w:color="auto" w:sz="6" w:space="0"/>
              <w:bottom w:val="outset" w:color="auto" w:sz="6" w:space="0"/>
              <w:right w:val="outset" w:color="auto" w:sz="6" w:space="0"/>
            </w:tcBorders>
            <w:vAlign w:val="center"/>
          </w:tcPr>
          <w:p w14:paraId="2E734AEA">
            <w:pPr>
              <w:pStyle w:val="63"/>
              <w:spacing w:line="360" w:lineRule="auto"/>
              <w:ind w:left="120" w:leftChars="50"/>
              <w:rPr>
                <w:rFonts w:ascii="宋体" w:hAnsi="宋体" w:cs="宋体"/>
                <w:highlight w:val="none"/>
              </w:rPr>
            </w:pPr>
            <w:r>
              <w:rPr>
                <w:rFonts w:hint="eastAsia" w:ascii="宋体" w:hAnsi="宋体" w:cs="宋体"/>
                <w:highlight w:val="none"/>
              </w:rPr>
              <w:t>投标人履行合同所必须的设备和专业技术能力的证明材料或声明。（投标时，投标人出具承诺函，承诺满足要求，加盖投标人公章。）</w:t>
            </w:r>
          </w:p>
        </w:tc>
        <w:tc>
          <w:tcPr>
            <w:tcW w:w="470" w:type="pct"/>
            <w:tcBorders>
              <w:top w:val="outset" w:color="auto" w:sz="6" w:space="0"/>
              <w:left w:val="outset" w:color="auto" w:sz="6" w:space="0"/>
              <w:bottom w:val="outset" w:color="auto" w:sz="6" w:space="0"/>
              <w:right w:val="outset" w:color="auto" w:sz="6" w:space="0"/>
            </w:tcBorders>
            <w:vAlign w:val="center"/>
          </w:tcPr>
          <w:p w14:paraId="44F35014">
            <w:pPr>
              <w:spacing w:line="360" w:lineRule="auto"/>
              <w:rPr>
                <w:szCs w:val="24"/>
                <w:highlight w:val="none"/>
              </w:rPr>
            </w:pPr>
          </w:p>
        </w:tc>
        <w:tc>
          <w:tcPr>
            <w:tcW w:w="417" w:type="pct"/>
            <w:tcBorders>
              <w:top w:val="outset" w:color="auto" w:sz="6" w:space="0"/>
              <w:left w:val="outset" w:color="auto" w:sz="6" w:space="0"/>
              <w:bottom w:val="outset" w:color="auto" w:sz="6" w:space="0"/>
              <w:right w:val="outset" w:color="auto" w:sz="6" w:space="0"/>
            </w:tcBorders>
            <w:vAlign w:val="center"/>
          </w:tcPr>
          <w:p w14:paraId="331F6C2E">
            <w:pPr>
              <w:spacing w:line="360" w:lineRule="auto"/>
              <w:rPr>
                <w:szCs w:val="24"/>
                <w:highlight w:val="none"/>
              </w:rPr>
            </w:pPr>
          </w:p>
        </w:tc>
      </w:tr>
      <w:tr w14:paraId="5FF97A0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642"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4C3DDAA6">
            <w:pPr>
              <w:spacing w:line="360" w:lineRule="auto"/>
              <w:rPr>
                <w:szCs w:val="24"/>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675F26C0">
            <w:pPr>
              <w:pStyle w:val="63"/>
              <w:spacing w:line="360" w:lineRule="auto"/>
              <w:ind w:left="120" w:leftChars="50"/>
              <w:rPr>
                <w:rFonts w:ascii="宋体" w:hAnsi="宋体" w:cs="宋体"/>
                <w:highlight w:val="none"/>
              </w:rPr>
            </w:pPr>
            <w:r>
              <w:rPr>
                <w:rFonts w:hint="eastAsia" w:ascii="宋体" w:hAnsi="宋体" w:cs="宋体"/>
                <w:highlight w:val="none"/>
              </w:rPr>
              <w:t>参加政府采购活动前三年内，在经营活动中没有重大违法记录</w:t>
            </w:r>
          </w:p>
        </w:tc>
        <w:tc>
          <w:tcPr>
            <w:tcW w:w="2543" w:type="pct"/>
            <w:tcBorders>
              <w:top w:val="outset" w:color="auto" w:sz="6" w:space="0"/>
              <w:left w:val="outset" w:color="auto" w:sz="6" w:space="0"/>
              <w:bottom w:val="outset" w:color="auto" w:sz="6" w:space="0"/>
              <w:right w:val="outset" w:color="auto" w:sz="6" w:space="0"/>
            </w:tcBorders>
            <w:vAlign w:val="center"/>
          </w:tcPr>
          <w:p w14:paraId="153A4FE3">
            <w:pPr>
              <w:pStyle w:val="63"/>
              <w:spacing w:line="360" w:lineRule="auto"/>
              <w:ind w:left="120" w:leftChars="50"/>
              <w:rPr>
                <w:rFonts w:ascii="宋体" w:hAnsi="宋体" w:cs="宋体"/>
                <w:highlight w:val="none"/>
              </w:rPr>
            </w:pPr>
            <w:r>
              <w:rPr>
                <w:rFonts w:hint="eastAsia" w:ascii="宋体" w:hAnsi="宋体" w:cs="宋体"/>
                <w:highlight w:val="none"/>
              </w:rPr>
              <w:t>参加政府采购活动前三年内在经营活动中没有重大违法记录的书面声明。（投标时，投标人出具承诺函，加盖投标人公章。）</w:t>
            </w:r>
          </w:p>
          <w:p w14:paraId="1F507CC7">
            <w:pPr>
              <w:pStyle w:val="63"/>
              <w:spacing w:line="360" w:lineRule="auto"/>
              <w:ind w:left="120" w:leftChars="50"/>
              <w:rPr>
                <w:rFonts w:ascii="宋体" w:hAnsi="宋体" w:cs="宋体"/>
                <w:highlight w:val="none"/>
              </w:rPr>
            </w:pPr>
            <w:r>
              <w:rPr>
                <w:rFonts w:hint="eastAsia" w:ascii="宋体" w:hAnsi="宋体" w:cs="宋体"/>
                <w:highlight w:val="none"/>
              </w:rPr>
              <w:t>注：重大违法记录，是指投标人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tc>
        <w:tc>
          <w:tcPr>
            <w:tcW w:w="470" w:type="pct"/>
            <w:tcBorders>
              <w:top w:val="outset" w:color="auto" w:sz="6" w:space="0"/>
              <w:left w:val="outset" w:color="auto" w:sz="6" w:space="0"/>
              <w:bottom w:val="outset" w:color="auto" w:sz="6" w:space="0"/>
              <w:right w:val="outset" w:color="auto" w:sz="6" w:space="0"/>
            </w:tcBorders>
            <w:vAlign w:val="center"/>
          </w:tcPr>
          <w:p w14:paraId="26ECFA5C">
            <w:pPr>
              <w:spacing w:line="360" w:lineRule="auto"/>
              <w:rPr>
                <w:szCs w:val="24"/>
                <w:highlight w:val="none"/>
              </w:rPr>
            </w:pPr>
          </w:p>
        </w:tc>
        <w:tc>
          <w:tcPr>
            <w:tcW w:w="417" w:type="pct"/>
            <w:tcBorders>
              <w:top w:val="outset" w:color="auto" w:sz="6" w:space="0"/>
              <w:left w:val="outset" w:color="auto" w:sz="6" w:space="0"/>
              <w:bottom w:val="outset" w:color="auto" w:sz="6" w:space="0"/>
              <w:right w:val="outset" w:color="auto" w:sz="6" w:space="0"/>
            </w:tcBorders>
            <w:vAlign w:val="center"/>
          </w:tcPr>
          <w:p w14:paraId="6749EEBE">
            <w:pPr>
              <w:spacing w:line="360" w:lineRule="auto"/>
              <w:rPr>
                <w:szCs w:val="24"/>
                <w:highlight w:val="none"/>
              </w:rPr>
            </w:pPr>
          </w:p>
        </w:tc>
      </w:tr>
      <w:tr w14:paraId="1B4C857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312"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3EA0902A">
            <w:pPr>
              <w:spacing w:line="360" w:lineRule="auto"/>
              <w:rPr>
                <w:szCs w:val="24"/>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0B000683">
            <w:pPr>
              <w:pStyle w:val="63"/>
              <w:spacing w:line="360" w:lineRule="auto"/>
              <w:ind w:left="120" w:leftChars="50"/>
              <w:rPr>
                <w:rFonts w:ascii="宋体" w:hAnsi="宋体" w:cs="宋体"/>
                <w:highlight w:val="none"/>
              </w:rPr>
            </w:pPr>
            <w:r>
              <w:rPr>
                <w:rFonts w:hint="eastAsia" w:ascii="宋体" w:hAnsi="宋体" w:cs="宋体"/>
                <w:highlight w:val="none"/>
              </w:rPr>
              <w:t>信用记录</w:t>
            </w:r>
          </w:p>
        </w:tc>
        <w:tc>
          <w:tcPr>
            <w:tcW w:w="2543" w:type="pct"/>
            <w:tcBorders>
              <w:top w:val="outset" w:color="auto" w:sz="6" w:space="0"/>
              <w:left w:val="outset" w:color="auto" w:sz="6" w:space="0"/>
              <w:bottom w:val="outset" w:color="auto" w:sz="6" w:space="0"/>
              <w:right w:val="outset" w:color="auto" w:sz="6" w:space="0"/>
            </w:tcBorders>
            <w:vAlign w:val="center"/>
          </w:tcPr>
          <w:p w14:paraId="7029D305">
            <w:pPr>
              <w:pStyle w:val="63"/>
              <w:wordWrap w:val="0"/>
              <w:spacing w:line="360" w:lineRule="auto"/>
              <w:ind w:left="120" w:leftChars="50"/>
              <w:rPr>
                <w:rFonts w:ascii="宋体" w:hAnsi="宋体" w:cs="宋体"/>
                <w:highlight w:val="none"/>
              </w:rPr>
            </w:pPr>
            <w:r>
              <w:rPr>
                <w:rFonts w:hint="eastAsia" w:ascii="宋体" w:hAnsi="宋体" w:cs="宋体"/>
                <w:highlight w:val="none"/>
              </w:rPr>
              <w:t>供应商未被列入“信用中国”网站</w:t>
            </w:r>
            <w:r>
              <w:rPr>
                <w:rFonts w:ascii="宋体" w:hAnsi="宋体" w:cs="宋体"/>
                <w:highlight w:val="none"/>
              </w:rPr>
              <w:t>(www.creditchina.gov.cn)“记录严重失信主体名单、失信被执行人、重大税收违法失信主体”记录名单；不处于中国政府采购网(www.ccgp.gov.cn)“政府采购严重违法失信行为信息记录”中的禁止参加政府采购活动期间。如相关失信记录已失效，供应商需提供相关证明资料，如在上述网站查询结果均显示没有相关记录，视为没有上述不良信用记录。）。</w:t>
            </w:r>
          </w:p>
        </w:tc>
        <w:tc>
          <w:tcPr>
            <w:tcW w:w="470" w:type="pct"/>
            <w:tcBorders>
              <w:top w:val="outset" w:color="auto" w:sz="6" w:space="0"/>
              <w:left w:val="outset" w:color="auto" w:sz="6" w:space="0"/>
              <w:bottom w:val="outset" w:color="auto" w:sz="6" w:space="0"/>
              <w:right w:val="outset" w:color="auto" w:sz="6" w:space="0"/>
            </w:tcBorders>
            <w:vAlign w:val="center"/>
          </w:tcPr>
          <w:p w14:paraId="45C20780">
            <w:pPr>
              <w:spacing w:line="360" w:lineRule="auto"/>
              <w:rPr>
                <w:szCs w:val="24"/>
                <w:highlight w:val="none"/>
              </w:rPr>
            </w:pPr>
          </w:p>
        </w:tc>
        <w:tc>
          <w:tcPr>
            <w:tcW w:w="417" w:type="pct"/>
            <w:tcBorders>
              <w:top w:val="outset" w:color="auto" w:sz="6" w:space="0"/>
              <w:left w:val="outset" w:color="auto" w:sz="6" w:space="0"/>
              <w:bottom w:val="outset" w:color="auto" w:sz="6" w:space="0"/>
              <w:right w:val="outset" w:color="auto" w:sz="6" w:space="0"/>
            </w:tcBorders>
            <w:vAlign w:val="center"/>
          </w:tcPr>
          <w:p w14:paraId="5DFFDB09">
            <w:pPr>
              <w:spacing w:line="360" w:lineRule="auto"/>
              <w:rPr>
                <w:szCs w:val="24"/>
                <w:highlight w:val="none"/>
              </w:rPr>
            </w:pPr>
          </w:p>
        </w:tc>
      </w:tr>
      <w:tr w14:paraId="74819BF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312"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5EB283AF">
            <w:pPr>
              <w:spacing w:line="360" w:lineRule="auto"/>
              <w:rPr>
                <w:szCs w:val="24"/>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797A9908">
            <w:pPr>
              <w:pStyle w:val="63"/>
              <w:spacing w:line="360" w:lineRule="auto"/>
              <w:ind w:left="120" w:leftChars="50"/>
              <w:rPr>
                <w:rFonts w:hint="eastAsia" w:ascii="宋体" w:hAnsi="宋体" w:cs="宋体"/>
                <w:highlight w:val="none"/>
              </w:rPr>
            </w:pPr>
            <w:r>
              <w:rPr>
                <w:rFonts w:ascii="宋体" w:hAnsi="宋体" w:cs="宋体"/>
                <w:highlight w:val="none"/>
              </w:rPr>
              <w:t>控股、管理关系</w:t>
            </w:r>
          </w:p>
        </w:tc>
        <w:tc>
          <w:tcPr>
            <w:tcW w:w="2543" w:type="pct"/>
            <w:tcBorders>
              <w:top w:val="outset" w:color="auto" w:sz="6" w:space="0"/>
              <w:left w:val="outset" w:color="auto" w:sz="6" w:space="0"/>
              <w:bottom w:val="outset" w:color="auto" w:sz="6" w:space="0"/>
              <w:right w:val="outset" w:color="auto" w:sz="6" w:space="0"/>
            </w:tcBorders>
            <w:vAlign w:val="center"/>
          </w:tcPr>
          <w:p w14:paraId="32A218EE">
            <w:pPr>
              <w:pStyle w:val="53"/>
              <w:spacing w:line="360" w:lineRule="auto"/>
              <w:rPr>
                <w:rFonts w:ascii="宋体" w:hAnsi="宋体" w:eastAsia="宋体" w:cs="宋体"/>
                <w:kern w:val="0"/>
                <w:sz w:val="24"/>
                <w:szCs w:val="24"/>
                <w:highlight w:val="none"/>
                <w:lang w:val="en-US" w:eastAsia="zh-CN" w:bidi="ar-SA"/>
              </w:rPr>
            </w:pPr>
            <w:r>
              <w:rPr>
                <w:rFonts w:ascii="宋体" w:hAnsi="宋体" w:eastAsia="宋体" w:cs="宋体"/>
                <w:kern w:val="0"/>
                <w:sz w:val="24"/>
                <w:szCs w:val="24"/>
                <w:highlight w:val="none"/>
                <w:lang w:val="en-US" w:eastAsia="zh-CN" w:bidi="ar-SA"/>
              </w:rPr>
              <w:t>单位负责人为同一人或者存在直接控股、管理关系的不同供应商，不得参加同一合同项下的政府采购活动。与采购人存在利害关系可能影响招标公正性的法人、其他组织或者个人，不得参加投标。</w:t>
            </w:r>
          </w:p>
          <w:p w14:paraId="64911665">
            <w:pPr>
              <w:pStyle w:val="63"/>
              <w:wordWrap w:val="0"/>
              <w:spacing w:line="360" w:lineRule="auto"/>
              <w:ind w:left="120" w:leftChars="50"/>
              <w:rPr>
                <w:rFonts w:hint="eastAsia" w:ascii="宋体" w:hAnsi="宋体" w:cs="宋体"/>
                <w:highlight w:val="none"/>
              </w:rPr>
            </w:pPr>
            <w:r>
              <w:rPr>
                <w:rFonts w:hint="eastAsia" w:ascii="宋体" w:hAnsi="宋体" w:eastAsia="宋体" w:cs="宋体"/>
                <w:kern w:val="0"/>
                <w:sz w:val="24"/>
                <w:szCs w:val="24"/>
                <w:highlight w:val="none"/>
                <w:lang w:val="en-US" w:eastAsia="zh-CN" w:bidi="ar-SA"/>
              </w:rPr>
              <w:t>（投标时，供应商需按照招标文件第七章 投标文件格式出具《控股、管理关系声明函》，加盖供应商公章）。</w:t>
            </w:r>
          </w:p>
        </w:tc>
        <w:tc>
          <w:tcPr>
            <w:tcW w:w="470" w:type="pct"/>
            <w:tcBorders>
              <w:top w:val="outset" w:color="auto" w:sz="6" w:space="0"/>
              <w:left w:val="outset" w:color="auto" w:sz="6" w:space="0"/>
              <w:bottom w:val="outset" w:color="auto" w:sz="6" w:space="0"/>
              <w:right w:val="outset" w:color="auto" w:sz="6" w:space="0"/>
            </w:tcBorders>
            <w:vAlign w:val="center"/>
          </w:tcPr>
          <w:p w14:paraId="1540A0B6">
            <w:pPr>
              <w:spacing w:line="360" w:lineRule="auto"/>
              <w:rPr>
                <w:szCs w:val="24"/>
                <w:highlight w:val="none"/>
              </w:rPr>
            </w:pPr>
          </w:p>
        </w:tc>
        <w:tc>
          <w:tcPr>
            <w:tcW w:w="417" w:type="pct"/>
            <w:tcBorders>
              <w:top w:val="outset" w:color="auto" w:sz="6" w:space="0"/>
              <w:left w:val="outset" w:color="auto" w:sz="6" w:space="0"/>
              <w:bottom w:val="outset" w:color="auto" w:sz="6" w:space="0"/>
              <w:right w:val="outset" w:color="auto" w:sz="6" w:space="0"/>
            </w:tcBorders>
            <w:vAlign w:val="center"/>
          </w:tcPr>
          <w:p w14:paraId="6F3975CB">
            <w:pPr>
              <w:spacing w:line="360" w:lineRule="auto"/>
              <w:rPr>
                <w:szCs w:val="24"/>
                <w:highlight w:val="none"/>
              </w:rPr>
            </w:pPr>
          </w:p>
        </w:tc>
      </w:tr>
      <w:tr w14:paraId="0AA9C02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004"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66FBF94A">
            <w:pPr>
              <w:spacing w:line="360" w:lineRule="auto"/>
              <w:rPr>
                <w:szCs w:val="24"/>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0391C9F6">
            <w:pPr>
              <w:pStyle w:val="63"/>
              <w:spacing w:line="360" w:lineRule="auto"/>
              <w:ind w:left="120" w:leftChars="50"/>
              <w:rPr>
                <w:rFonts w:ascii="宋体" w:hAnsi="宋体" w:cs="宋体"/>
                <w:highlight w:val="none"/>
              </w:rPr>
            </w:pPr>
            <w:r>
              <w:rPr>
                <w:rFonts w:hint="eastAsia" w:ascii="宋体" w:hAnsi="宋体" w:cs="宋体"/>
                <w:highlight w:val="none"/>
              </w:rPr>
              <w:t>存在利害关系</w:t>
            </w:r>
          </w:p>
        </w:tc>
        <w:tc>
          <w:tcPr>
            <w:tcW w:w="2543" w:type="pct"/>
            <w:tcBorders>
              <w:top w:val="outset" w:color="auto" w:sz="6" w:space="0"/>
              <w:left w:val="outset" w:color="auto" w:sz="6" w:space="0"/>
              <w:bottom w:val="outset" w:color="auto" w:sz="6" w:space="0"/>
              <w:right w:val="outset" w:color="auto" w:sz="6" w:space="0"/>
            </w:tcBorders>
            <w:vAlign w:val="center"/>
          </w:tcPr>
          <w:p w14:paraId="713B9965">
            <w:pPr>
              <w:pStyle w:val="63"/>
              <w:spacing w:line="360" w:lineRule="auto"/>
              <w:ind w:left="120" w:leftChars="50"/>
              <w:rPr>
                <w:rFonts w:hint="eastAsia" w:ascii="宋体" w:hAnsi="宋体" w:cs="宋体"/>
                <w:highlight w:val="none"/>
              </w:rPr>
            </w:pPr>
            <w:r>
              <w:rPr>
                <w:rFonts w:hint="eastAsia" w:ascii="宋体" w:hAnsi="宋体" w:cs="宋体"/>
                <w:highlight w:val="none"/>
              </w:rPr>
              <w:t>除单一来源采购项目外，为采购项目提供整体设计、规范编制或者项目管理、监理、检测等服务的供应商，不得再参加该采购项目的其他采购活动。</w:t>
            </w:r>
          </w:p>
          <w:p w14:paraId="78080653">
            <w:pPr>
              <w:pStyle w:val="63"/>
              <w:spacing w:line="360" w:lineRule="auto"/>
              <w:ind w:left="120" w:leftChars="50"/>
              <w:rPr>
                <w:rFonts w:ascii="宋体" w:hAnsi="宋体" w:cs="宋体"/>
                <w:highlight w:val="none"/>
              </w:rPr>
            </w:pPr>
            <w:r>
              <w:rPr>
                <w:rFonts w:hint="eastAsia" w:ascii="宋体" w:hAnsi="宋体" w:cs="宋体"/>
                <w:highlight w:val="none"/>
              </w:rPr>
              <w:t>（投标时，供应商出具承诺函，加盖供应商公章）</w:t>
            </w:r>
          </w:p>
        </w:tc>
        <w:tc>
          <w:tcPr>
            <w:tcW w:w="470" w:type="pct"/>
            <w:tcBorders>
              <w:top w:val="outset" w:color="auto" w:sz="6" w:space="0"/>
              <w:left w:val="outset" w:color="auto" w:sz="6" w:space="0"/>
              <w:bottom w:val="outset" w:color="auto" w:sz="6" w:space="0"/>
              <w:right w:val="outset" w:color="auto" w:sz="6" w:space="0"/>
            </w:tcBorders>
            <w:vAlign w:val="center"/>
          </w:tcPr>
          <w:p w14:paraId="00636E8B">
            <w:pPr>
              <w:spacing w:line="360" w:lineRule="auto"/>
              <w:rPr>
                <w:szCs w:val="24"/>
                <w:highlight w:val="none"/>
              </w:rPr>
            </w:pPr>
          </w:p>
        </w:tc>
        <w:tc>
          <w:tcPr>
            <w:tcW w:w="417" w:type="pct"/>
            <w:tcBorders>
              <w:top w:val="outset" w:color="auto" w:sz="6" w:space="0"/>
              <w:left w:val="outset" w:color="auto" w:sz="6" w:space="0"/>
              <w:bottom w:val="outset" w:color="auto" w:sz="6" w:space="0"/>
              <w:right w:val="outset" w:color="auto" w:sz="6" w:space="0"/>
            </w:tcBorders>
            <w:vAlign w:val="center"/>
          </w:tcPr>
          <w:p w14:paraId="1C470356">
            <w:pPr>
              <w:spacing w:line="360" w:lineRule="auto"/>
              <w:rPr>
                <w:szCs w:val="24"/>
                <w:highlight w:val="none"/>
              </w:rPr>
            </w:pPr>
          </w:p>
        </w:tc>
      </w:tr>
      <w:tr w14:paraId="320B86B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95"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76201137">
            <w:pPr>
              <w:spacing w:line="360" w:lineRule="auto"/>
              <w:rPr>
                <w:szCs w:val="24"/>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7BCCF28E">
            <w:pPr>
              <w:pStyle w:val="63"/>
              <w:spacing w:line="360" w:lineRule="auto"/>
              <w:ind w:left="120" w:leftChars="50"/>
              <w:rPr>
                <w:rFonts w:ascii="宋体" w:hAnsi="宋体" w:cs="宋体"/>
                <w:highlight w:val="none"/>
              </w:rPr>
            </w:pPr>
            <w:r>
              <w:rPr>
                <w:rFonts w:hint="eastAsia" w:ascii="宋体" w:hAnsi="宋体" w:cs="宋体"/>
                <w:highlight w:val="none"/>
              </w:rPr>
              <w:t>联合体</w:t>
            </w:r>
          </w:p>
        </w:tc>
        <w:tc>
          <w:tcPr>
            <w:tcW w:w="2543" w:type="pct"/>
            <w:tcBorders>
              <w:top w:val="outset" w:color="auto" w:sz="6" w:space="0"/>
              <w:left w:val="outset" w:color="auto" w:sz="6" w:space="0"/>
              <w:bottom w:val="outset" w:color="auto" w:sz="6" w:space="0"/>
              <w:right w:val="outset" w:color="auto" w:sz="6" w:space="0"/>
            </w:tcBorders>
            <w:vAlign w:val="center"/>
          </w:tcPr>
          <w:p w14:paraId="33527419">
            <w:pPr>
              <w:pStyle w:val="63"/>
              <w:spacing w:line="360" w:lineRule="auto"/>
              <w:rPr>
                <w:rFonts w:ascii="宋体" w:hAnsi="宋体" w:cs="宋体"/>
                <w:highlight w:val="none"/>
              </w:rPr>
            </w:pPr>
            <w:r>
              <w:rPr>
                <w:rFonts w:hint="eastAsia" w:ascii="宋体" w:hAnsi="宋体" w:cs="宋体"/>
                <w:highlight w:val="none"/>
              </w:rPr>
              <w:t>本项目不接受联合体投标。</w:t>
            </w:r>
          </w:p>
        </w:tc>
        <w:tc>
          <w:tcPr>
            <w:tcW w:w="470" w:type="pct"/>
            <w:tcBorders>
              <w:top w:val="outset" w:color="auto" w:sz="6" w:space="0"/>
              <w:left w:val="outset" w:color="auto" w:sz="6" w:space="0"/>
              <w:bottom w:val="outset" w:color="auto" w:sz="6" w:space="0"/>
              <w:right w:val="outset" w:color="auto" w:sz="6" w:space="0"/>
            </w:tcBorders>
            <w:vAlign w:val="center"/>
          </w:tcPr>
          <w:p w14:paraId="2A30323A">
            <w:pPr>
              <w:spacing w:line="360" w:lineRule="auto"/>
              <w:rPr>
                <w:szCs w:val="24"/>
                <w:highlight w:val="none"/>
              </w:rPr>
            </w:pPr>
          </w:p>
        </w:tc>
        <w:tc>
          <w:tcPr>
            <w:tcW w:w="417" w:type="pct"/>
            <w:tcBorders>
              <w:top w:val="outset" w:color="auto" w:sz="6" w:space="0"/>
              <w:left w:val="outset" w:color="auto" w:sz="6" w:space="0"/>
              <w:bottom w:val="outset" w:color="auto" w:sz="6" w:space="0"/>
              <w:right w:val="outset" w:color="auto" w:sz="6" w:space="0"/>
            </w:tcBorders>
            <w:vAlign w:val="center"/>
          </w:tcPr>
          <w:p w14:paraId="58A598D9">
            <w:pPr>
              <w:spacing w:line="360" w:lineRule="auto"/>
              <w:rPr>
                <w:szCs w:val="24"/>
                <w:highlight w:val="none"/>
              </w:rPr>
            </w:pPr>
          </w:p>
        </w:tc>
      </w:tr>
      <w:tr w14:paraId="25124C1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023"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30E069CF">
            <w:pPr>
              <w:spacing w:line="360" w:lineRule="auto"/>
              <w:rPr>
                <w:szCs w:val="24"/>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6822005F">
            <w:pPr>
              <w:pStyle w:val="63"/>
              <w:spacing w:line="360" w:lineRule="auto"/>
              <w:ind w:left="120" w:leftChars="50"/>
              <w:rPr>
                <w:rFonts w:ascii="宋体" w:hAnsi="宋体" w:cs="宋体"/>
                <w:highlight w:val="none"/>
              </w:rPr>
            </w:pPr>
            <w:r>
              <w:rPr>
                <w:rFonts w:hint="eastAsia" w:ascii="宋体" w:hAnsi="宋体" w:cs="宋体"/>
                <w:highlight w:val="none"/>
              </w:rPr>
              <w:t>落实政府采购政策需满足的资格要求</w:t>
            </w:r>
          </w:p>
        </w:tc>
        <w:tc>
          <w:tcPr>
            <w:tcW w:w="2543" w:type="pct"/>
            <w:tcBorders>
              <w:top w:val="outset" w:color="auto" w:sz="6" w:space="0"/>
              <w:left w:val="outset" w:color="auto" w:sz="6" w:space="0"/>
              <w:bottom w:val="outset" w:color="auto" w:sz="6" w:space="0"/>
              <w:right w:val="outset" w:color="auto" w:sz="6" w:space="0"/>
            </w:tcBorders>
            <w:vAlign w:val="center"/>
          </w:tcPr>
          <w:p w14:paraId="0CA5F3B9">
            <w:pPr>
              <w:pStyle w:val="63"/>
              <w:spacing w:line="360" w:lineRule="auto"/>
              <w:ind w:left="120" w:leftChars="50"/>
              <w:rPr>
                <w:rFonts w:hint="eastAsia" w:ascii="宋体" w:hAnsi="宋体" w:eastAsia="宋体" w:cs="宋体"/>
                <w:highlight w:val="none"/>
                <w:lang w:eastAsia="zh-CN"/>
              </w:rPr>
            </w:pPr>
            <w:r>
              <w:rPr>
                <w:rFonts w:hint="eastAsia"/>
                <w:highlight w:val="none"/>
              </w:rPr>
              <w:t>本项目属于非专门面向中小企业采购项目。</w:t>
            </w:r>
          </w:p>
        </w:tc>
        <w:tc>
          <w:tcPr>
            <w:tcW w:w="470" w:type="pct"/>
            <w:tcBorders>
              <w:top w:val="outset" w:color="auto" w:sz="6" w:space="0"/>
              <w:left w:val="outset" w:color="auto" w:sz="6" w:space="0"/>
              <w:bottom w:val="outset" w:color="auto" w:sz="6" w:space="0"/>
              <w:right w:val="outset" w:color="auto" w:sz="6" w:space="0"/>
            </w:tcBorders>
            <w:vAlign w:val="center"/>
          </w:tcPr>
          <w:p w14:paraId="184944C6">
            <w:pPr>
              <w:pStyle w:val="53"/>
              <w:spacing w:line="360" w:lineRule="auto"/>
              <w:jc w:val="center"/>
              <w:rPr>
                <w:rFonts w:cs="宋体"/>
                <w:szCs w:val="24"/>
                <w:highlight w:val="none"/>
              </w:rPr>
            </w:pPr>
          </w:p>
        </w:tc>
        <w:tc>
          <w:tcPr>
            <w:tcW w:w="417" w:type="pct"/>
            <w:tcBorders>
              <w:top w:val="outset" w:color="auto" w:sz="6" w:space="0"/>
              <w:left w:val="outset" w:color="auto" w:sz="6" w:space="0"/>
              <w:bottom w:val="outset" w:color="auto" w:sz="6" w:space="0"/>
              <w:right w:val="outset" w:color="auto" w:sz="6" w:space="0"/>
            </w:tcBorders>
            <w:vAlign w:val="center"/>
          </w:tcPr>
          <w:p w14:paraId="5AA45CDF">
            <w:pPr>
              <w:spacing w:line="360" w:lineRule="auto"/>
              <w:rPr>
                <w:szCs w:val="24"/>
                <w:highlight w:val="none"/>
              </w:rPr>
            </w:pPr>
          </w:p>
        </w:tc>
      </w:tr>
      <w:tr w14:paraId="69F8553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681"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5C510AA6">
            <w:pPr>
              <w:spacing w:line="360" w:lineRule="auto"/>
              <w:rPr>
                <w:szCs w:val="24"/>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4ED5B858">
            <w:pPr>
              <w:pStyle w:val="63"/>
              <w:spacing w:line="360" w:lineRule="auto"/>
              <w:ind w:left="120" w:leftChars="50"/>
              <w:rPr>
                <w:rFonts w:ascii="宋体" w:hAnsi="宋体" w:cs="宋体"/>
                <w:highlight w:val="none"/>
              </w:rPr>
            </w:pPr>
            <w:r>
              <w:rPr>
                <w:rFonts w:hint="eastAsia" w:ascii="宋体" w:hAnsi="宋体" w:cs="宋体"/>
                <w:highlight w:val="none"/>
              </w:rPr>
              <w:t>特定资格条件</w:t>
            </w:r>
          </w:p>
        </w:tc>
        <w:tc>
          <w:tcPr>
            <w:tcW w:w="2543" w:type="pct"/>
            <w:tcBorders>
              <w:top w:val="outset" w:color="auto" w:sz="6" w:space="0"/>
              <w:left w:val="outset" w:color="auto" w:sz="6" w:space="0"/>
              <w:bottom w:val="outset" w:color="auto" w:sz="6" w:space="0"/>
              <w:right w:val="outset" w:color="auto" w:sz="6" w:space="0"/>
            </w:tcBorders>
            <w:vAlign w:val="center"/>
          </w:tcPr>
          <w:p w14:paraId="4A6AEF87">
            <w:pPr>
              <w:pStyle w:val="63"/>
              <w:spacing w:line="360" w:lineRule="auto"/>
              <w:rPr>
                <w:rFonts w:ascii="宋体" w:hAnsi="宋体" w:cs="宋体"/>
                <w:highlight w:val="none"/>
              </w:rPr>
            </w:pPr>
            <w:r>
              <w:rPr>
                <w:rFonts w:hint="eastAsia" w:ascii="宋体" w:hAnsi="宋体" w:cs="宋体"/>
                <w:highlight w:val="none"/>
              </w:rPr>
              <w:t>满足招标公告中特定资格要求</w:t>
            </w:r>
          </w:p>
        </w:tc>
        <w:tc>
          <w:tcPr>
            <w:tcW w:w="470" w:type="pct"/>
            <w:tcBorders>
              <w:top w:val="outset" w:color="auto" w:sz="6" w:space="0"/>
              <w:left w:val="outset" w:color="auto" w:sz="6" w:space="0"/>
              <w:bottom w:val="outset" w:color="auto" w:sz="6" w:space="0"/>
              <w:right w:val="outset" w:color="auto" w:sz="6" w:space="0"/>
            </w:tcBorders>
            <w:vAlign w:val="center"/>
          </w:tcPr>
          <w:p w14:paraId="3BA14802">
            <w:pPr>
              <w:spacing w:line="360" w:lineRule="auto"/>
              <w:rPr>
                <w:szCs w:val="24"/>
                <w:highlight w:val="none"/>
              </w:rPr>
            </w:pPr>
          </w:p>
        </w:tc>
        <w:tc>
          <w:tcPr>
            <w:tcW w:w="417" w:type="pct"/>
            <w:tcBorders>
              <w:top w:val="outset" w:color="auto" w:sz="6" w:space="0"/>
              <w:left w:val="outset" w:color="auto" w:sz="6" w:space="0"/>
              <w:bottom w:val="outset" w:color="auto" w:sz="6" w:space="0"/>
              <w:right w:val="outset" w:color="auto" w:sz="6" w:space="0"/>
            </w:tcBorders>
            <w:vAlign w:val="center"/>
          </w:tcPr>
          <w:p w14:paraId="013FAE1B">
            <w:pPr>
              <w:spacing w:line="360" w:lineRule="auto"/>
              <w:rPr>
                <w:szCs w:val="24"/>
                <w:highlight w:val="none"/>
              </w:rPr>
            </w:pPr>
          </w:p>
        </w:tc>
      </w:tr>
    </w:tbl>
    <w:p w14:paraId="1D72EC9C">
      <w:pPr>
        <w:spacing w:line="360" w:lineRule="auto"/>
        <w:rPr>
          <w:highlight w:val="none"/>
        </w:rPr>
      </w:pPr>
      <w:r>
        <w:rPr>
          <w:rFonts w:hint="eastAsia"/>
          <w:highlight w:val="none"/>
          <w:lang w:bidi="ar"/>
        </w:rPr>
        <w:t xml:space="preserve"> </w:t>
      </w:r>
    </w:p>
    <w:p w14:paraId="64DF6EE9">
      <w:pPr>
        <w:spacing w:line="360" w:lineRule="auto"/>
        <w:rPr>
          <w:highlight w:val="none"/>
        </w:rPr>
      </w:pPr>
      <w:r>
        <w:rPr>
          <w:rFonts w:hint="eastAsia"/>
          <w:highlight w:val="none"/>
          <w:lang w:bidi="ar"/>
        </w:rPr>
        <w:t xml:space="preserve"> </w:t>
      </w:r>
    </w:p>
    <w:p w14:paraId="667C073D">
      <w:pPr>
        <w:pStyle w:val="3"/>
        <w:bidi w:val="0"/>
        <w:spacing w:line="360" w:lineRule="auto"/>
        <w:rPr>
          <w:rFonts w:hint="eastAsia"/>
          <w:highlight w:val="none"/>
        </w:rPr>
      </w:pPr>
      <w:bookmarkStart w:id="286" w:name="_Toc155185903"/>
      <w:bookmarkStart w:id="287" w:name="_Toc163492899"/>
      <w:bookmarkStart w:id="288" w:name="_Toc11221"/>
    </w:p>
    <w:p w14:paraId="36E64832">
      <w:pPr>
        <w:spacing w:line="360" w:lineRule="auto"/>
        <w:rPr>
          <w:rFonts w:hint="eastAsia"/>
          <w:highlight w:val="none"/>
        </w:rPr>
      </w:pPr>
      <w:r>
        <w:rPr>
          <w:rFonts w:hint="eastAsia"/>
          <w:highlight w:val="none"/>
        </w:rPr>
        <w:br w:type="page"/>
      </w:r>
    </w:p>
    <w:p w14:paraId="359BE85A">
      <w:pPr>
        <w:pStyle w:val="3"/>
        <w:bidi w:val="0"/>
        <w:spacing w:line="360" w:lineRule="auto"/>
        <w:rPr>
          <w:highlight w:val="none"/>
        </w:rPr>
      </w:pPr>
      <w:r>
        <w:rPr>
          <w:rFonts w:hint="eastAsia"/>
          <w:highlight w:val="none"/>
        </w:rPr>
        <w:t>第五章 评标方法</w:t>
      </w:r>
      <w:bookmarkEnd w:id="286"/>
      <w:r>
        <w:rPr>
          <w:rFonts w:hint="eastAsia"/>
          <w:highlight w:val="none"/>
        </w:rPr>
        <w:t>及标准</w:t>
      </w:r>
      <w:bookmarkEnd w:id="287"/>
      <w:r>
        <w:rPr>
          <w:rFonts w:hint="eastAsia"/>
          <w:highlight w:val="none"/>
        </w:rPr>
        <w:t>(综合评分法)</w:t>
      </w:r>
      <w:bookmarkEnd w:id="288"/>
    </w:p>
    <w:p w14:paraId="2A067B2B">
      <w:pPr>
        <w:pStyle w:val="41"/>
        <w:spacing w:line="360" w:lineRule="auto"/>
        <w:rPr>
          <w:highlight w:val="none"/>
        </w:rPr>
      </w:pPr>
      <w:r>
        <w:rPr>
          <w:rFonts w:hint="eastAsia"/>
          <w:highlight w:val="none"/>
        </w:rPr>
        <w:t>根据《中华人民共和国政府采购法》及其实施条例、《政府采购货物和服务招标投标管理办法》</w:t>
      </w:r>
      <w:r>
        <w:rPr>
          <w:rFonts w:hint="eastAsia"/>
          <w:highlight w:val="none"/>
          <w:lang w:val="en-US"/>
        </w:rPr>
        <w:t>及</w:t>
      </w:r>
      <w:r>
        <w:rPr>
          <w:rFonts w:hint="eastAsia"/>
          <w:highlight w:val="none"/>
        </w:rPr>
        <w:t>相关法律法规确定以下评标</w:t>
      </w:r>
      <w:r>
        <w:rPr>
          <w:rFonts w:hint="eastAsia"/>
          <w:highlight w:val="none"/>
          <w:lang w:val="en-US"/>
        </w:rPr>
        <w:t>方</w:t>
      </w:r>
      <w:r>
        <w:rPr>
          <w:rFonts w:hint="eastAsia"/>
          <w:highlight w:val="none"/>
        </w:rPr>
        <w:t>法及标准。</w:t>
      </w:r>
    </w:p>
    <w:p w14:paraId="59EE192E">
      <w:pPr>
        <w:pStyle w:val="4"/>
        <w:spacing w:line="360" w:lineRule="auto"/>
        <w:rPr>
          <w:highlight w:val="none"/>
          <w:lang w:val="zh-CN"/>
        </w:rPr>
      </w:pPr>
      <w:bookmarkStart w:id="289" w:name="_Toc18841"/>
      <w:bookmarkStart w:id="290" w:name="_Toc163492900"/>
      <w:bookmarkStart w:id="291" w:name="_Toc109900322"/>
      <w:bookmarkStart w:id="292" w:name="_Toc272247709"/>
      <w:bookmarkStart w:id="293" w:name="_Toc109899484"/>
      <w:bookmarkStart w:id="294" w:name="_Toc511894518"/>
      <w:bookmarkStart w:id="295" w:name="_Toc109899903"/>
      <w:bookmarkStart w:id="296" w:name="_Toc278891606"/>
      <w:bookmarkStart w:id="297" w:name="_Toc140132826"/>
      <w:bookmarkStart w:id="298" w:name="_Toc155185905"/>
      <w:bookmarkStart w:id="299" w:name="_Toc494561962"/>
      <w:bookmarkStart w:id="300" w:name="_Toc61280402"/>
      <w:r>
        <w:rPr>
          <w:rFonts w:hint="eastAsia"/>
          <w:highlight w:val="none"/>
          <w:lang w:val="zh-CN"/>
        </w:rPr>
        <w:t>一、评标</w:t>
      </w:r>
      <w:r>
        <w:rPr>
          <w:rFonts w:hint="eastAsia"/>
          <w:highlight w:val="none"/>
        </w:rPr>
        <w:t>方</w:t>
      </w:r>
      <w:r>
        <w:rPr>
          <w:rFonts w:hint="eastAsia"/>
          <w:highlight w:val="none"/>
          <w:lang w:val="zh-CN"/>
        </w:rPr>
        <w:t>法</w:t>
      </w:r>
      <w:bookmarkEnd w:id="289"/>
      <w:bookmarkEnd w:id="290"/>
    </w:p>
    <w:p w14:paraId="5D4836F1">
      <w:pPr>
        <w:pStyle w:val="41"/>
        <w:spacing w:line="360" w:lineRule="auto"/>
        <w:rPr>
          <w:highlight w:val="none"/>
        </w:rPr>
      </w:pPr>
      <w:r>
        <w:rPr>
          <w:rFonts w:hint="eastAsia"/>
          <w:highlight w:val="none"/>
        </w:rPr>
        <w:t>1.</w:t>
      </w:r>
      <w:r>
        <w:rPr>
          <w:rFonts w:hint="eastAsia"/>
          <w:b/>
          <w:bCs/>
          <w:highlight w:val="none"/>
        </w:rPr>
        <w:t>本项目采用综合评分法</w:t>
      </w:r>
      <w:r>
        <w:rPr>
          <w:rFonts w:hint="eastAsia"/>
          <w:highlight w:val="none"/>
        </w:rPr>
        <w:t>。综合评分法，是指投标文件满足招标文件全部实质性要求，且按照评审因素的量化指标评审得分最高的投标人为中标候选人的评标方法。</w:t>
      </w:r>
    </w:p>
    <w:p w14:paraId="4533A7D9">
      <w:pPr>
        <w:pStyle w:val="4"/>
        <w:spacing w:line="360" w:lineRule="auto"/>
        <w:rPr>
          <w:highlight w:val="none"/>
          <w:lang w:val="zh-CN"/>
        </w:rPr>
      </w:pPr>
      <w:bookmarkStart w:id="301" w:name="_Toc20986"/>
      <w:r>
        <w:rPr>
          <w:rFonts w:hint="eastAsia"/>
          <w:highlight w:val="none"/>
        </w:rPr>
        <w:t>二</w:t>
      </w:r>
      <w:r>
        <w:rPr>
          <w:rFonts w:hint="eastAsia"/>
          <w:highlight w:val="none"/>
          <w:lang w:val="zh-CN"/>
        </w:rPr>
        <w:t>、评标程序</w:t>
      </w:r>
      <w:bookmarkEnd w:id="301"/>
    </w:p>
    <w:p w14:paraId="63ABCD08">
      <w:pPr>
        <w:pStyle w:val="5"/>
        <w:spacing w:line="360" w:lineRule="auto"/>
        <w:rPr>
          <w:highlight w:val="none"/>
          <w:lang w:val="zh-CN"/>
        </w:rPr>
      </w:pPr>
      <w:r>
        <w:rPr>
          <w:rFonts w:hint="eastAsia"/>
          <w:highlight w:val="none"/>
          <w:lang w:val="zh-CN"/>
        </w:rPr>
        <w:t>（一）符合性审查</w:t>
      </w:r>
    </w:p>
    <w:p w14:paraId="4A0C45A9">
      <w:pPr>
        <w:pStyle w:val="41"/>
        <w:spacing w:line="360" w:lineRule="auto"/>
        <w:rPr>
          <w:highlight w:val="none"/>
        </w:rPr>
      </w:pPr>
      <w:r>
        <w:rPr>
          <w:rFonts w:hint="eastAsia"/>
          <w:highlight w:val="none"/>
          <w:lang w:val="en-US"/>
        </w:rPr>
        <w:t>2.</w:t>
      </w:r>
      <w:r>
        <w:rPr>
          <w:rFonts w:hint="eastAsia"/>
          <w:highlight w:val="none"/>
        </w:rPr>
        <w:t>评标委员会应当对</w:t>
      </w:r>
      <w:r>
        <w:rPr>
          <w:rFonts w:hint="eastAsia"/>
          <w:highlight w:val="none"/>
          <w:lang w:val="en-US"/>
        </w:rPr>
        <w:t>通过</w:t>
      </w:r>
      <w:r>
        <w:rPr>
          <w:rFonts w:hint="eastAsia"/>
          <w:highlight w:val="none"/>
        </w:rPr>
        <w:t>资格</w:t>
      </w:r>
      <w:r>
        <w:rPr>
          <w:rFonts w:hint="eastAsia"/>
          <w:highlight w:val="none"/>
          <w:lang w:val="en-US"/>
        </w:rPr>
        <w:t>审查</w:t>
      </w:r>
      <w:r>
        <w:rPr>
          <w:rFonts w:hint="eastAsia"/>
          <w:highlight w:val="none"/>
        </w:rPr>
        <w:t>的投标人的投标文件进行符合性审查，以确定其是否满足招标文件的实质性要求。投标人必须通过符合性审查的全部评审指标，不满足招标文件的实质性要求的，</w:t>
      </w:r>
      <w:r>
        <w:rPr>
          <w:rFonts w:hint="eastAsia"/>
          <w:highlight w:val="none"/>
          <w:lang w:val="en-US"/>
        </w:rPr>
        <w:t>其</w:t>
      </w:r>
      <w:r>
        <w:rPr>
          <w:rFonts w:hint="eastAsia"/>
          <w:b/>
          <w:bCs/>
          <w:highlight w:val="none"/>
        </w:rPr>
        <w:t>投标无效</w:t>
      </w:r>
      <w:r>
        <w:rPr>
          <w:rFonts w:hint="eastAsia"/>
          <w:highlight w:val="none"/>
        </w:rPr>
        <w:t>。</w:t>
      </w:r>
      <w:r>
        <w:rPr>
          <w:rFonts w:hint="eastAsia"/>
          <w:highlight w:val="none"/>
          <w:lang w:val="en-US"/>
        </w:rPr>
        <w:t>具体内容详见</w:t>
      </w:r>
      <w:r>
        <w:rPr>
          <w:rFonts w:hint="eastAsia"/>
          <w:highlight w:val="none"/>
        </w:rPr>
        <w:t>本章“</w:t>
      </w:r>
      <w:r>
        <w:rPr>
          <w:rFonts w:hint="eastAsia"/>
          <w:highlight w:val="none"/>
          <w:lang w:val="en-US"/>
        </w:rPr>
        <w:t>四</w:t>
      </w:r>
      <w:r>
        <w:rPr>
          <w:rFonts w:hint="eastAsia"/>
          <w:highlight w:val="none"/>
        </w:rPr>
        <w:t>、评标标准”中</w:t>
      </w:r>
      <w:r>
        <w:rPr>
          <w:rFonts w:hint="eastAsia"/>
          <w:highlight w:val="none"/>
          <w:lang w:val="en-US"/>
        </w:rPr>
        <w:t>的</w:t>
      </w:r>
      <w:r>
        <w:rPr>
          <w:rFonts w:hint="eastAsia"/>
          <w:highlight w:val="none"/>
        </w:rPr>
        <w:t>“（一）符合性审查”。</w:t>
      </w:r>
    </w:p>
    <w:p w14:paraId="1C0D931E">
      <w:pPr>
        <w:pStyle w:val="41"/>
        <w:spacing w:line="360" w:lineRule="auto"/>
        <w:rPr>
          <w:highlight w:val="none"/>
        </w:rPr>
      </w:pPr>
      <w:r>
        <w:rPr>
          <w:rFonts w:hint="eastAsia"/>
          <w:highlight w:val="none"/>
          <w:lang w:val="en-US"/>
        </w:rPr>
        <w:t>通过</w:t>
      </w:r>
      <w:r>
        <w:rPr>
          <w:rFonts w:hint="eastAsia"/>
          <w:highlight w:val="none"/>
        </w:rPr>
        <w:t>符合性审查</w:t>
      </w:r>
      <w:r>
        <w:rPr>
          <w:rFonts w:hint="eastAsia"/>
          <w:highlight w:val="none"/>
          <w:lang w:val="en-US"/>
        </w:rPr>
        <w:t>的</w:t>
      </w:r>
      <w:r>
        <w:rPr>
          <w:rFonts w:hint="eastAsia"/>
          <w:highlight w:val="none"/>
        </w:rPr>
        <w:t>有效供应商不足3家的应当终止采购活动，发布项目终止公告并说明原因，重新开展采购活动。</w:t>
      </w:r>
    </w:p>
    <w:p w14:paraId="1C213F69">
      <w:pPr>
        <w:pStyle w:val="5"/>
        <w:spacing w:line="360" w:lineRule="auto"/>
        <w:rPr>
          <w:highlight w:val="none"/>
          <w:lang w:val="zh-CN"/>
        </w:rPr>
      </w:pPr>
      <w:bookmarkStart w:id="302" w:name="_Toc155185907"/>
      <w:bookmarkStart w:id="303" w:name="_Toc102116178"/>
      <w:bookmarkStart w:id="304" w:name="_Toc102057744"/>
      <w:bookmarkStart w:id="305" w:name="_Toc102056244"/>
      <w:bookmarkStart w:id="306" w:name="_Toc102119879"/>
      <w:bookmarkStart w:id="307" w:name="_Toc102116048"/>
      <w:bookmarkStart w:id="308" w:name="_Toc102114946"/>
      <w:bookmarkStart w:id="309" w:name="_Toc163492903"/>
      <w:r>
        <w:rPr>
          <w:rFonts w:hint="eastAsia"/>
          <w:highlight w:val="none"/>
          <w:lang w:val="zh-CN"/>
        </w:rPr>
        <w:t>（</w:t>
      </w:r>
      <w:r>
        <w:rPr>
          <w:rFonts w:hint="eastAsia"/>
          <w:highlight w:val="none"/>
        </w:rPr>
        <w:t>二</w:t>
      </w:r>
      <w:r>
        <w:rPr>
          <w:rFonts w:hint="eastAsia"/>
          <w:highlight w:val="none"/>
          <w:lang w:val="zh-CN"/>
        </w:rPr>
        <w:t>）投标文件澄清</w:t>
      </w:r>
      <w:bookmarkEnd w:id="302"/>
      <w:bookmarkEnd w:id="303"/>
      <w:bookmarkEnd w:id="304"/>
      <w:bookmarkEnd w:id="305"/>
      <w:bookmarkEnd w:id="306"/>
      <w:bookmarkEnd w:id="307"/>
      <w:bookmarkEnd w:id="308"/>
      <w:r>
        <w:rPr>
          <w:rFonts w:hint="eastAsia"/>
          <w:highlight w:val="none"/>
          <w:lang w:val="zh-CN"/>
        </w:rPr>
        <w:t>及修正</w:t>
      </w:r>
      <w:bookmarkEnd w:id="309"/>
    </w:p>
    <w:p w14:paraId="1B9ECCD6">
      <w:pPr>
        <w:pStyle w:val="41"/>
        <w:spacing w:line="360" w:lineRule="auto"/>
        <w:rPr>
          <w:highlight w:val="none"/>
        </w:rPr>
      </w:pPr>
      <w:r>
        <w:rPr>
          <w:rFonts w:hint="eastAsia"/>
          <w:highlight w:val="none"/>
          <w:lang w:val="en-US"/>
        </w:rPr>
        <w:t>3</w:t>
      </w:r>
      <w:r>
        <w:rPr>
          <w:rFonts w:hint="eastAsia"/>
          <w:highlight w:val="none"/>
        </w:rPr>
        <w:t>.评标期间，对于投标文件中含义不明确、同类问题表述不一致或者有明显文字和计算错误的内容需要投标人作出必要的澄清、说明或者补正的，评标委员会应当在</w:t>
      </w:r>
      <w:r>
        <w:rPr>
          <w:rFonts w:hint="eastAsia"/>
          <w:highlight w:val="none"/>
          <w:lang w:val="en-US"/>
        </w:rPr>
        <w:t>政采云平台评标</w:t>
      </w:r>
      <w:r>
        <w:rPr>
          <w:rFonts w:hint="eastAsia"/>
          <w:highlight w:val="none"/>
        </w:rPr>
        <w:t>系统中以书面形式要求投标人作出必要的澄清、说明或者补正。</w:t>
      </w:r>
    </w:p>
    <w:p w14:paraId="3ABA2235">
      <w:pPr>
        <w:pStyle w:val="41"/>
        <w:spacing w:line="360" w:lineRule="auto"/>
        <w:rPr>
          <w:highlight w:val="none"/>
        </w:rPr>
      </w:pPr>
      <w:r>
        <w:rPr>
          <w:rFonts w:hint="eastAsia"/>
          <w:highlight w:val="none"/>
          <w:lang w:val="en-US"/>
        </w:rPr>
        <w:t>4</w:t>
      </w:r>
      <w:r>
        <w:rPr>
          <w:rFonts w:hint="eastAsia"/>
          <w:highlight w:val="none"/>
        </w:rPr>
        <w:t>.投标人应按照评标委员会要求在规定时间内作出澄清、说明或者补正，澄清、说明或者补正不得超出投标文件的范围或者改变投标文件的实质性内容。</w:t>
      </w:r>
    </w:p>
    <w:p w14:paraId="500C4A84">
      <w:pPr>
        <w:pStyle w:val="41"/>
        <w:spacing w:line="360" w:lineRule="auto"/>
        <w:rPr>
          <w:highlight w:val="none"/>
        </w:rPr>
      </w:pPr>
      <w:r>
        <w:rPr>
          <w:rFonts w:hint="eastAsia"/>
          <w:highlight w:val="none"/>
          <w:lang w:val="en-US"/>
        </w:rPr>
        <w:t>5</w:t>
      </w:r>
      <w:r>
        <w:rPr>
          <w:rFonts w:hint="eastAsia"/>
          <w:highlight w:val="none"/>
        </w:rPr>
        <w:t>.投标人的澄清、说明或者补正是其投标文件的有效组成部分，澄清、说明或者补正应当在</w:t>
      </w:r>
      <w:r>
        <w:rPr>
          <w:rFonts w:hint="eastAsia"/>
          <w:highlight w:val="none"/>
          <w:lang w:val="en-US"/>
        </w:rPr>
        <w:t>政采云平台评标</w:t>
      </w:r>
      <w:r>
        <w:rPr>
          <w:rFonts w:hint="eastAsia"/>
          <w:highlight w:val="none"/>
        </w:rPr>
        <w:t>系统中加盖电子印章后提交。</w:t>
      </w:r>
    </w:p>
    <w:p w14:paraId="2AF3276F">
      <w:pPr>
        <w:pStyle w:val="41"/>
        <w:spacing w:line="360" w:lineRule="auto"/>
        <w:rPr>
          <w:highlight w:val="none"/>
        </w:rPr>
      </w:pPr>
      <w:r>
        <w:rPr>
          <w:rFonts w:hint="eastAsia"/>
          <w:highlight w:val="none"/>
          <w:lang w:val="en-US"/>
        </w:rPr>
        <w:t>6</w:t>
      </w:r>
      <w:r>
        <w:rPr>
          <w:rFonts w:hint="eastAsia"/>
          <w:highlight w:val="none"/>
        </w:rPr>
        <w:t>.报价合理性说明：评标委员会认为投标人的报价明显低于其他通过符合性审查投标人的报价，有可能影响</w:t>
      </w:r>
      <w:r>
        <w:rPr>
          <w:rFonts w:hint="eastAsia"/>
          <w:highlight w:val="none"/>
          <w:lang w:val="en-US"/>
        </w:rPr>
        <w:t>货物</w:t>
      </w:r>
      <w:r>
        <w:rPr>
          <w:rFonts w:hint="eastAsia"/>
          <w:highlight w:val="none"/>
        </w:rPr>
        <w:t>质量或者不能诚信履约的，</w:t>
      </w:r>
      <w:r>
        <w:rPr>
          <w:rFonts w:hint="eastAsia"/>
          <w:highlight w:val="none"/>
          <w:lang w:val="en-US"/>
        </w:rPr>
        <w:t>应当</w:t>
      </w:r>
      <w:r>
        <w:rPr>
          <w:rFonts w:hint="eastAsia"/>
          <w:highlight w:val="none"/>
        </w:rPr>
        <w:t>要求</w:t>
      </w:r>
      <w:r>
        <w:rPr>
          <w:rFonts w:hint="eastAsia"/>
          <w:highlight w:val="none"/>
          <w:lang w:val="en-US"/>
        </w:rPr>
        <w:t>该投标人</w:t>
      </w:r>
      <w:r>
        <w:rPr>
          <w:rFonts w:hint="eastAsia"/>
          <w:highlight w:val="none"/>
        </w:rPr>
        <w:t>在合理的时间内提供说明，必要时提交相关证明材料；</w:t>
      </w:r>
      <w:r>
        <w:rPr>
          <w:rFonts w:hint="eastAsia"/>
          <w:highlight w:val="none"/>
          <w:lang w:val="en-US"/>
        </w:rPr>
        <w:t>若</w:t>
      </w:r>
      <w:r>
        <w:rPr>
          <w:rFonts w:hint="eastAsia"/>
          <w:highlight w:val="none"/>
        </w:rPr>
        <w:t>投标人不能证明其报价合理性的，评标委员</w:t>
      </w:r>
      <w:r>
        <w:rPr>
          <w:rFonts w:hint="eastAsia"/>
          <w:highlight w:val="none"/>
          <w:lang w:val="en-US"/>
        </w:rPr>
        <w:t>会应当</w:t>
      </w:r>
      <w:r>
        <w:rPr>
          <w:rFonts w:hint="eastAsia"/>
          <w:highlight w:val="none"/>
        </w:rPr>
        <w:t>将其作</w:t>
      </w:r>
      <w:r>
        <w:rPr>
          <w:rFonts w:hint="eastAsia"/>
          <w:b/>
          <w:bCs/>
          <w:highlight w:val="none"/>
        </w:rPr>
        <w:t>无效投标</w:t>
      </w:r>
      <w:r>
        <w:rPr>
          <w:rFonts w:hint="eastAsia"/>
          <w:highlight w:val="none"/>
        </w:rPr>
        <w:t>处理。</w:t>
      </w:r>
    </w:p>
    <w:p w14:paraId="0FE7BE40">
      <w:pPr>
        <w:pStyle w:val="41"/>
        <w:spacing w:line="360" w:lineRule="auto"/>
        <w:rPr>
          <w:highlight w:val="none"/>
        </w:rPr>
      </w:pPr>
      <w:r>
        <w:rPr>
          <w:rFonts w:hint="eastAsia"/>
          <w:highlight w:val="none"/>
        </w:rPr>
        <w:t>7.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b/>
          <w:bCs/>
          <w:highlight w:val="none"/>
        </w:rPr>
        <w:t>投标无效</w:t>
      </w:r>
      <w:r>
        <w:rPr>
          <w:rFonts w:hint="eastAsia"/>
          <w:highlight w:val="none"/>
        </w:rPr>
        <w:t>。</w:t>
      </w:r>
    </w:p>
    <w:p w14:paraId="1951460A">
      <w:pPr>
        <w:pStyle w:val="41"/>
        <w:spacing w:line="360" w:lineRule="auto"/>
        <w:rPr>
          <w:highlight w:val="none"/>
        </w:rPr>
      </w:pPr>
      <w:r>
        <w:rPr>
          <w:rFonts w:hint="eastAsia"/>
          <w:highlight w:val="none"/>
        </w:rPr>
        <w:t>8.投标文件报价出现前后不一致的，除招标文件另有规定外，按照下列规定修正：</w:t>
      </w:r>
    </w:p>
    <w:p w14:paraId="4535CAA5">
      <w:pPr>
        <w:pStyle w:val="41"/>
        <w:spacing w:line="360" w:lineRule="auto"/>
        <w:rPr>
          <w:highlight w:val="none"/>
        </w:rPr>
      </w:pPr>
      <w:r>
        <w:rPr>
          <w:rFonts w:hint="eastAsia"/>
          <w:highlight w:val="none"/>
        </w:rPr>
        <w:t>8.1</w:t>
      </w:r>
      <w:bookmarkStart w:id="310" w:name="OLE_LINK1"/>
      <w:r>
        <w:rPr>
          <w:rFonts w:hint="eastAsia"/>
          <w:highlight w:val="none"/>
        </w:rPr>
        <w:t>投标文件中开标一览表（报价表）内容与投标文件中相应内容不一致的，以开标一览表（报价表）为准；</w:t>
      </w:r>
      <w:bookmarkEnd w:id="310"/>
    </w:p>
    <w:p w14:paraId="7F15FF95">
      <w:pPr>
        <w:pStyle w:val="41"/>
        <w:spacing w:line="360" w:lineRule="auto"/>
        <w:rPr>
          <w:highlight w:val="none"/>
        </w:rPr>
      </w:pPr>
      <w:r>
        <w:rPr>
          <w:rFonts w:hint="eastAsia"/>
          <w:highlight w:val="none"/>
        </w:rPr>
        <w:t>8.2大写金额和小写金额不一致的，以大写金额为准；</w:t>
      </w:r>
    </w:p>
    <w:p w14:paraId="0556FBFB">
      <w:pPr>
        <w:pStyle w:val="41"/>
        <w:spacing w:line="360" w:lineRule="auto"/>
        <w:rPr>
          <w:highlight w:val="none"/>
        </w:rPr>
      </w:pPr>
      <w:r>
        <w:rPr>
          <w:rFonts w:hint="eastAsia"/>
          <w:highlight w:val="none"/>
        </w:rPr>
        <w:t>8.3单价金额小数点或者百分比有明显错位的，以开标一览表的总价为准，并修改单价；</w:t>
      </w:r>
    </w:p>
    <w:p w14:paraId="26E82AB8">
      <w:pPr>
        <w:pStyle w:val="41"/>
        <w:spacing w:line="360" w:lineRule="auto"/>
        <w:rPr>
          <w:highlight w:val="none"/>
        </w:rPr>
      </w:pPr>
      <w:r>
        <w:rPr>
          <w:rFonts w:hint="eastAsia"/>
          <w:highlight w:val="none"/>
        </w:rPr>
        <w:t>8.4总价金额与按单价汇总金额不一致的，以单价金额计算结果为准。</w:t>
      </w:r>
    </w:p>
    <w:p w14:paraId="40B2E35A">
      <w:pPr>
        <w:pStyle w:val="41"/>
        <w:spacing w:line="360" w:lineRule="auto"/>
        <w:rPr>
          <w:highlight w:val="none"/>
        </w:rPr>
      </w:pPr>
      <w:r>
        <w:rPr>
          <w:rFonts w:hint="eastAsia"/>
          <w:highlight w:val="none"/>
        </w:rPr>
        <w:t>同时出现两种以上不一致的，按照8.1—8.4的顺序修正。修正后的报价采用书面形式，并加盖公章，或者由法定代表人或其授权的代表签字，经投标人确认后产生约束力，投标人不确认的，其</w:t>
      </w:r>
      <w:r>
        <w:rPr>
          <w:rFonts w:hint="eastAsia"/>
          <w:b/>
          <w:bCs/>
          <w:highlight w:val="none"/>
        </w:rPr>
        <w:t>投标无效</w:t>
      </w:r>
      <w:r>
        <w:rPr>
          <w:rFonts w:hint="eastAsia"/>
          <w:highlight w:val="none"/>
        </w:rPr>
        <w:t>。</w:t>
      </w:r>
    </w:p>
    <w:p w14:paraId="0F569D39">
      <w:pPr>
        <w:pStyle w:val="5"/>
        <w:spacing w:line="360" w:lineRule="auto"/>
        <w:rPr>
          <w:highlight w:val="none"/>
          <w:lang w:val="zh-CN"/>
        </w:rPr>
      </w:pPr>
      <w:r>
        <w:rPr>
          <w:rFonts w:hint="eastAsia"/>
          <w:highlight w:val="none"/>
          <w:lang w:val="zh-CN"/>
        </w:rPr>
        <w:t>（</w:t>
      </w:r>
      <w:r>
        <w:rPr>
          <w:rFonts w:hint="eastAsia"/>
          <w:highlight w:val="none"/>
        </w:rPr>
        <w:t>三</w:t>
      </w:r>
      <w:r>
        <w:rPr>
          <w:rFonts w:hint="eastAsia"/>
          <w:highlight w:val="none"/>
          <w:lang w:val="zh-CN"/>
        </w:rPr>
        <w:t>）比较与评价</w:t>
      </w:r>
    </w:p>
    <w:p w14:paraId="3345EC1C">
      <w:pPr>
        <w:pStyle w:val="41"/>
        <w:spacing w:line="360" w:lineRule="auto"/>
        <w:rPr>
          <w:highlight w:val="none"/>
        </w:rPr>
      </w:pPr>
      <w:r>
        <w:rPr>
          <w:rFonts w:hint="eastAsia"/>
          <w:highlight w:val="none"/>
          <w:lang w:val="en-US"/>
        </w:rPr>
        <w:t>9.</w:t>
      </w:r>
      <w:r>
        <w:rPr>
          <w:rFonts w:hint="eastAsia"/>
          <w:highlight w:val="none"/>
        </w:rPr>
        <w:t>评标委员会应当按照招标文件中规定的评标方法和标准，对符合性审查合格的投标文件进行商务和技术评</w:t>
      </w:r>
      <w:r>
        <w:rPr>
          <w:rFonts w:hint="eastAsia"/>
          <w:highlight w:val="none"/>
          <w:lang w:val="en-US"/>
        </w:rPr>
        <w:t>估</w:t>
      </w:r>
      <w:r>
        <w:rPr>
          <w:rFonts w:hint="eastAsia"/>
          <w:highlight w:val="none"/>
        </w:rPr>
        <w:t>，综合比较与评价</w:t>
      </w:r>
      <w:r>
        <w:rPr>
          <w:rFonts w:hint="eastAsia"/>
          <w:highlight w:val="none"/>
          <w:lang w:val="en-US"/>
        </w:rPr>
        <w:t>；未通过符合性审查的投标文件不得进入比较与评价</w:t>
      </w:r>
      <w:r>
        <w:rPr>
          <w:rFonts w:hint="eastAsia"/>
          <w:highlight w:val="none"/>
        </w:rPr>
        <w:t>。评审因素包括投标报价、商务技术以及落实政府采购政策。评审因素及标准见本章“</w:t>
      </w:r>
      <w:r>
        <w:rPr>
          <w:rFonts w:hint="eastAsia"/>
          <w:highlight w:val="none"/>
          <w:lang w:val="en-US"/>
        </w:rPr>
        <w:t>四、</w:t>
      </w:r>
      <w:r>
        <w:rPr>
          <w:rFonts w:hint="eastAsia"/>
          <w:highlight w:val="none"/>
        </w:rPr>
        <w:t>评</w:t>
      </w:r>
      <w:r>
        <w:rPr>
          <w:rFonts w:hint="eastAsia"/>
          <w:highlight w:val="none"/>
          <w:lang w:val="en-US"/>
        </w:rPr>
        <w:t>标</w:t>
      </w:r>
      <w:r>
        <w:rPr>
          <w:rFonts w:hint="eastAsia"/>
          <w:highlight w:val="none"/>
        </w:rPr>
        <w:t>标准”。</w:t>
      </w:r>
    </w:p>
    <w:p w14:paraId="736D8FE5">
      <w:pPr>
        <w:pStyle w:val="41"/>
        <w:spacing w:line="360" w:lineRule="auto"/>
        <w:rPr>
          <w:highlight w:val="none"/>
        </w:rPr>
      </w:pPr>
      <w:r>
        <w:rPr>
          <w:rFonts w:hint="eastAsia"/>
          <w:highlight w:val="none"/>
        </w:rPr>
        <w:t>10.相同品牌处理原则</w:t>
      </w:r>
    </w:p>
    <w:p w14:paraId="424503F2">
      <w:pPr>
        <w:pStyle w:val="41"/>
        <w:spacing w:line="360" w:lineRule="auto"/>
        <w:rPr>
          <w:highlight w:val="none"/>
        </w:rPr>
      </w:pPr>
      <w:r>
        <w:rPr>
          <w:rFonts w:hint="eastAsia"/>
          <w:highlight w:val="none"/>
          <w:lang w:val="en-US"/>
        </w:rPr>
        <w:t>10</w:t>
      </w:r>
      <w:r>
        <w:rPr>
          <w:rFonts w:hint="eastAsia"/>
          <w:highlight w:val="none"/>
        </w:rPr>
        <w:t>.1单一产品采购（或非单一产品采购中的核心产品），提供相同品牌产品且通过资格审查、符合性审查的不同投标人参加同一合同项下投标的，按一家投标人计算。</w:t>
      </w:r>
    </w:p>
    <w:p w14:paraId="47AA11FD">
      <w:pPr>
        <w:pStyle w:val="41"/>
        <w:spacing w:line="360" w:lineRule="auto"/>
        <w:rPr>
          <w:highlight w:val="none"/>
        </w:rPr>
      </w:pPr>
      <w:r>
        <w:rPr>
          <w:rFonts w:hint="eastAsia"/>
          <w:highlight w:val="none"/>
          <w:lang w:val="en-US"/>
        </w:rPr>
        <w:t>10</w:t>
      </w:r>
      <w:r>
        <w:rPr>
          <w:rFonts w:hint="eastAsia"/>
          <w:highlight w:val="none"/>
        </w:rPr>
        <w:t>.2非单一产品采购项目，采购人应当根据采购项目技术构成、产品价格比重等合理确定核心产品（采购清单中作“与核心产品相同〈或同一〉品牌”实质性要求的产品，视为核心产品），并以“核心产品”在“投标人须知前附表”中载明，评审时按前款规定处理。</w:t>
      </w:r>
    </w:p>
    <w:p w14:paraId="6A5E40B0">
      <w:pPr>
        <w:pStyle w:val="41"/>
        <w:spacing w:line="360" w:lineRule="auto"/>
        <w:rPr>
          <w:highlight w:val="none"/>
        </w:rPr>
      </w:pPr>
      <w:r>
        <w:rPr>
          <w:rFonts w:hint="eastAsia"/>
          <w:highlight w:val="none"/>
          <w:lang w:val="en-US"/>
        </w:rPr>
        <w:t>10</w:t>
      </w:r>
      <w:r>
        <w:rPr>
          <w:rFonts w:hint="eastAsia"/>
          <w:highlight w:val="none"/>
        </w:rPr>
        <w:t>.3有效投标品牌不足3家的应按</w:t>
      </w:r>
      <w:r>
        <w:rPr>
          <w:rFonts w:hint="eastAsia"/>
          <w:b/>
          <w:bCs/>
          <w:highlight w:val="none"/>
        </w:rPr>
        <w:t>废标</w:t>
      </w:r>
      <w:r>
        <w:rPr>
          <w:rFonts w:hint="eastAsia"/>
          <w:highlight w:val="none"/>
        </w:rPr>
        <w:t>处理。</w:t>
      </w:r>
    </w:p>
    <w:p w14:paraId="218B6D8C">
      <w:pPr>
        <w:pStyle w:val="5"/>
        <w:spacing w:line="360" w:lineRule="auto"/>
        <w:rPr>
          <w:highlight w:val="none"/>
          <w:lang w:val="zh-CN"/>
        </w:rPr>
      </w:pPr>
      <w:r>
        <w:rPr>
          <w:rFonts w:hint="eastAsia"/>
          <w:highlight w:val="none"/>
          <w:lang w:val="zh-CN"/>
        </w:rPr>
        <w:t>（</w:t>
      </w:r>
      <w:r>
        <w:rPr>
          <w:rFonts w:hint="eastAsia"/>
          <w:highlight w:val="none"/>
        </w:rPr>
        <w:t>四</w:t>
      </w:r>
      <w:r>
        <w:rPr>
          <w:rFonts w:hint="eastAsia"/>
          <w:highlight w:val="none"/>
          <w:lang w:val="zh-CN"/>
        </w:rPr>
        <w:t>）报价评审</w:t>
      </w:r>
    </w:p>
    <w:p w14:paraId="66266F24">
      <w:pPr>
        <w:pStyle w:val="41"/>
        <w:spacing w:line="360" w:lineRule="auto"/>
        <w:rPr>
          <w:highlight w:val="none"/>
        </w:rPr>
      </w:pPr>
      <w:r>
        <w:rPr>
          <w:rFonts w:hint="eastAsia"/>
          <w:highlight w:val="none"/>
          <w:lang w:val="en-US"/>
        </w:rPr>
        <w:t>11.</w:t>
      </w:r>
      <w:r>
        <w:rPr>
          <w:rFonts w:hint="eastAsia"/>
          <w:highlight w:val="none"/>
        </w:rPr>
        <w:t>投标报价评审</w:t>
      </w:r>
    </w:p>
    <w:p w14:paraId="061501B4">
      <w:pPr>
        <w:pStyle w:val="41"/>
        <w:spacing w:line="360" w:lineRule="auto"/>
        <w:rPr>
          <w:highlight w:val="none"/>
        </w:rPr>
      </w:pPr>
      <w:r>
        <w:rPr>
          <w:rFonts w:hint="eastAsia"/>
          <w:highlight w:val="none"/>
          <w:lang w:val="en-US"/>
        </w:rPr>
        <w:t>11.</w:t>
      </w:r>
      <w:r>
        <w:rPr>
          <w:rFonts w:hint="eastAsia"/>
          <w:highlight w:val="none"/>
        </w:rPr>
        <w:t>1</w:t>
      </w:r>
      <w:r>
        <w:rPr>
          <w:rFonts w:hint="eastAsia"/>
          <w:highlight w:val="none"/>
          <w:lang w:val="en-US"/>
        </w:rPr>
        <w:t>货物项目的价格分值占总分值的比重不得低于30%。执行国家统一定价标准和采用固定价格采购的项目，其价格不列为评审因素。</w:t>
      </w:r>
      <w:r>
        <w:rPr>
          <w:rFonts w:hint="eastAsia"/>
          <w:highlight w:val="none"/>
        </w:rPr>
        <w:t>价格分应当采用低价优先法计算，即满足招标文件要求且投标价格最低的投标报价为评标基准价，其价格分为满分。其他投标人的价格分统一按照下列公式计算：</w:t>
      </w:r>
    </w:p>
    <w:p w14:paraId="453B48C3">
      <w:pPr>
        <w:pStyle w:val="41"/>
        <w:spacing w:line="360" w:lineRule="auto"/>
        <w:rPr>
          <w:highlight w:val="none"/>
        </w:rPr>
      </w:pPr>
      <w:r>
        <w:rPr>
          <w:rFonts w:hint="eastAsia"/>
          <w:highlight w:val="none"/>
        </w:rPr>
        <w:t>投标报价得分=（评标基准价／投标报价)×价格分值</w:t>
      </w:r>
    </w:p>
    <w:p w14:paraId="29D50798">
      <w:pPr>
        <w:pStyle w:val="41"/>
        <w:spacing w:line="360" w:lineRule="auto"/>
        <w:rPr>
          <w:highlight w:val="none"/>
        </w:rPr>
      </w:pPr>
      <w:r>
        <w:rPr>
          <w:rFonts w:hint="eastAsia"/>
          <w:highlight w:val="none"/>
        </w:rPr>
        <w:t>评标过程中，不得去掉报价中的最高报价和最低报价。</w:t>
      </w:r>
    </w:p>
    <w:p w14:paraId="6C7CAF51">
      <w:pPr>
        <w:pStyle w:val="41"/>
        <w:spacing w:line="360" w:lineRule="auto"/>
        <w:rPr>
          <w:highlight w:val="none"/>
        </w:rPr>
      </w:pPr>
      <w:r>
        <w:rPr>
          <w:rFonts w:hint="eastAsia"/>
          <w:highlight w:val="none"/>
          <w:lang w:val="en-US"/>
        </w:rPr>
        <w:t>11.</w:t>
      </w:r>
      <w:r>
        <w:rPr>
          <w:rFonts w:hint="eastAsia"/>
          <w:highlight w:val="none"/>
        </w:rPr>
        <w:t>2除算术修正和落实政府采购政策的价格扣除外，不对投标报价进行调整；</w:t>
      </w:r>
    </w:p>
    <w:p w14:paraId="4D131A7F">
      <w:pPr>
        <w:pStyle w:val="41"/>
        <w:spacing w:line="360" w:lineRule="auto"/>
        <w:rPr>
          <w:highlight w:val="none"/>
        </w:rPr>
      </w:pPr>
      <w:r>
        <w:rPr>
          <w:rFonts w:hint="eastAsia"/>
          <w:highlight w:val="none"/>
          <w:lang w:val="en-US"/>
        </w:rPr>
        <w:t>11.</w:t>
      </w:r>
      <w:r>
        <w:rPr>
          <w:rFonts w:hint="eastAsia"/>
          <w:highlight w:val="none"/>
        </w:rPr>
        <w:t>3价格分值见本章“</w:t>
      </w:r>
      <w:r>
        <w:rPr>
          <w:rFonts w:hint="eastAsia"/>
          <w:highlight w:val="none"/>
          <w:lang w:val="en-US"/>
        </w:rPr>
        <w:t>四、</w:t>
      </w:r>
      <w:r>
        <w:rPr>
          <w:rFonts w:hint="eastAsia"/>
          <w:highlight w:val="none"/>
        </w:rPr>
        <w:t>评</w:t>
      </w:r>
      <w:r>
        <w:rPr>
          <w:rFonts w:hint="eastAsia"/>
          <w:highlight w:val="none"/>
          <w:lang w:val="en-US"/>
        </w:rPr>
        <w:t>标</w:t>
      </w:r>
      <w:r>
        <w:rPr>
          <w:rFonts w:hint="eastAsia"/>
          <w:highlight w:val="none"/>
        </w:rPr>
        <w:t>标准”。</w:t>
      </w:r>
    </w:p>
    <w:p w14:paraId="038057F7">
      <w:pPr>
        <w:pStyle w:val="41"/>
        <w:spacing w:line="360" w:lineRule="auto"/>
        <w:rPr>
          <w:highlight w:val="none"/>
          <w:lang w:val="en-US"/>
        </w:rPr>
      </w:pPr>
      <w:r>
        <w:rPr>
          <w:rFonts w:hint="eastAsia"/>
          <w:highlight w:val="none"/>
          <w:lang w:val="en-US"/>
        </w:rPr>
        <w:t>12.</w:t>
      </w:r>
      <w:r>
        <w:rPr>
          <w:rFonts w:hint="eastAsia"/>
          <w:highlight w:val="none"/>
        </w:rPr>
        <w:t>政府采购异常低价审查</w:t>
      </w:r>
    </w:p>
    <w:p w14:paraId="1901E575">
      <w:pPr>
        <w:spacing w:line="360" w:lineRule="auto"/>
        <w:rPr>
          <w:highlight w:val="none"/>
        </w:rPr>
      </w:pPr>
      <w:r>
        <w:rPr>
          <w:rFonts w:hint="eastAsia"/>
          <w:highlight w:val="none"/>
        </w:rPr>
        <w:t>12.1政府采购评审中出现下列情形之一的，评审委员会应当启动异常低价投标（响应）审查程序：</w:t>
      </w:r>
    </w:p>
    <w:p w14:paraId="2CED877D">
      <w:pPr>
        <w:spacing w:line="360" w:lineRule="auto"/>
        <w:rPr>
          <w:highlight w:val="none"/>
        </w:rPr>
      </w:pPr>
      <w:r>
        <w:rPr>
          <w:rFonts w:hint="eastAsia"/>
          <w:highlight w:val="none"/>
        </w:rPr>
        <w:t>（1）投标（响应）报价低于全部通过符合性审查供应商投标（响应）报价平均值50%的，即投标（响应）报价&lt;全部通过符合性审查供应商投标（响应）报价平均值×50%；</w:t>
      </w:r>
    </w:p>
    <w:p w14:paraId="63360E9E">
      <w:pPr>
        <w:spacing w:line="360" w:lineRule="auto"/>
        <w:rPr>
          <w:highlight w:val="none"/>
        </w:rPr>
      </w:pPr>
      <w:r>
        <w:rPr>
          <w:rFonts w:hint="eastAsia"/>
          <w:highlight w:val="none"/>
        </w:rPr>
        <w:t>（2）投标（响应）报价低于通过符合性审查的次低报价供应商投标（响应）报价50%的，即投标（响应）报价&lt;通过符合性审查的次低报价供应商投标（响应）报价×50%；</w:t>
      </w:r>
    </w:p>
    <w:p w14:paraId="1840E08A">
      <w:pPr>
        <w:spacing w:line="360" w:lineRule="auto"/>
        <w:rPr>
          <w:highlight w:val="none"/>
        </w:rPr>
      </w:pPr>
      <w:r>
        <w:rPr>
          <w:rFonts w:hint="eastAsia"/>
          <w:highlight w:val="none"/>
        </w:rPr>
        <w:t>（3）投标（响应）报价低于采购项目最高限价45%的，即投标（响应）报价&lt;采购项目最高限价×45%；</w:t>
      </w:r>
    </w:p>
    <w:p w14:paraId="0778E388">
      <w:pPr>
        <w:spacing w:line="360" w:lineRule="auto"/>
        <w:rPr>
          <w:rFonts w:hint="eastAsia"/>
          <w:highlight w:val="none"/>
        </w:rPr>
      </w:pPr>
      <w:r>
        <w:rPr>
          <w:rFonts w:hint="eastAsia"/>
          <w:highlight w:val="none"/>
        </w:rPr>
        <w:t>（4）评审委员会基于专业判断，认为供应商报价过低，有可能影响产品质量或者不能诚信履约的其他情形。</w:t>
      </w:r>
    </w:p>
    <w:p w14:paraId="1DDD22C8">
      <w:pPr>
        <w:pStyle w:val="15"/>
        <w:spacing w:line="360" w:lineRule="auto"/>
        <w:rPr>
          <w:rFonts w:hint="eastAsia" w:ascii="宋体" w:hAnsi="宋体" w:eastAsia="宋体" w:cstheme="minorBidi"/>
          <w:kern w:val="2"/>
          <w:sz w:val="24"/>
          <w:szCs w:val="22"/>
          <w:highlight w:val="none"/>
          <w:lang w:val="en-US" w:eastAsia="zh-CN" w:bidi="ar-SA"/>
        </w:rPr>
      </w:pPr>
      <w:r>
        <w:rPr>
          <w:rFonts w:hint="eastAsia" w:ascii="宋体" w:hAnsi="宋体" w:eastAsia="宋体" w:cstheme="minorBidi"/>
          <w:kern w:val="2"/>
          <w:sz w:val="24"/>
          <w:szCs w:val="22"/>
          <w:highlight w:val="none"/>
          <w:lang w:val="en-US" w:eastAsia="zh-CN" w:bidi="ar-SA"/>
        </w:rPr>
        <w:t>采购人可以结合具体项目实际情况，提高上述第1项至第3项中启动异常低价投标（响应）审查的数值标准，但是最高不得超过65%。本项目启动异常低价投标（响应）审查的数值标准详见以上描述。</w:t>
      </w:r>
    </w:p>
    <w:p w14:paraId="3457F2CE">
      <w:pPr>
        <w:spacing w:line="360" w:lineRule="auto"/>
        <w:rPr>
          <w:highlight w:val="none"/>
        </w:rPr>
      </w:pPr>
      <w:r>
        <w:rPr>
          <w:rFonts w:hint="eastAsia"/>
          <w:highlight w:val="none"/>
        </w:rPr>
        <w:t>12.2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D936B22">
      <w:pPr>
        <w:spacing w:line="360" w:lineRule="auto"/>
        <w:rPr>
          <w:highlight w:val="none"/>
        </w:rPr>
      </w:pPr>
      <w:r>
        <w:rPr>
          <w:rFonts w:hint="eastAsia"/>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C98DDC0">
      <w:pPr>
        <w:pStyle w:val="41"/>
        <w:spacing w:line="360" w:lineRule="auto"/>
        <w:rPr>
          <w:highlight w:val="none"/>
        </w:rPr>
      </w:pPr>
      <w:r>
        <w:rPr>
          <w:rFonts w:hint="eastAsia"/>
          <w:highlight w:val="none"/>
        </w:rPr>
        <w:t>1</w:t>
      </w:r>
      <w:r>
        <w:rPr>
          <w:rFonts w:hint="eastAsia"/>
          <w:highlight w:val="none"/>
          <w:lang w:val="en-US"/>
        </w:rPr>
        <w:t>3</w:t>
      </w:r>
      <w:r>
        <w:rPr>
          <w:rFonts w:hint="eastAsia"/>
          <w:highlight w:val="none"/>
        </w:rPr>
        <w:t>.政府采购政策评审</w:t>
      </w:r>
    </w:p>
    <w:p w14:paraId="7AE757F9">
      <w:pPr>
        <w:pStyle w:val="41"/>
        <w:spacing w:line="360" w:lineRule="auto"/>
        <w:rPr>
          <w:highlight w:val="none"/>
        </w:rPr>
      </w:pPr>
      <w:r>
        <w:rPr>
          <w:rFonts w:hint="eastAsia"/>
          <w:highlight w:val="none"/>
        </w:rPr>
        <w:t>1</w:t>
      </w:r>
      <w:r>
        <w:rPr>
          <w:rFonts w:hint="eastAsia"/>
          <w:highlight w:val="none"/>
          <w:lang w:val="en-US"/>
        </w:rPr>
        <w:t>3</w:t>
      </w:r>
      <w:r>
        <w:rPr>
          <w:rFonts w:hint="eastAsia"/>
          <w:highlight w:val="none"/>
        </w:rPr>
        <w:t>.1非专门面向中小企业的采购项目或采购包，对符合规定的小微企业（</w:t>
      </w:r>
      <w:r>
        <w:rPr>
          <w:rFonts w:hint="eastAsia"/>
          <w:highlight w:val="none"/>
          <w:lang w:val="en-US"/>
        </w:rPr>
        <w:t>含</w:t>
      </w:r>
      <w:r>
        <w:rPr>
          <w:rFonts w:hint="eastAsia"/>
          <w:highlight w:val="none"/>
        </w:rPr>
        <w:t>监狱企业、残疾人福利性单位、联合体各方均为小微企业的联合体、符合小微企业划分标准的个体工商户视同小微企业）报价按照本招标文件“投标人须知前附表”中的规定扣除，对小微企业中的监狱企业、残疾人福利性单位的报价按照本</w:t>
      </w:r>
      <w:r>
        <w:rPr>
          <w:rFonts w:hint="eastAsia"/>
          <w:highlight w:val="none"/>
          <w:lang w:val="en-US"/>
        </w:rPr>
        <w:t>招标</w:t>
      </w:r>
      <w:r>
        <w:rPr>
          <w:rFonts w:hint="eastAsia"/>
          <w:highlight w:val="none"/>
        </w:rPr>
        <w:t>文件“</w:t>
      </w:r>
      <w:r>
        <w:rPr>
          <w:rFonts w:hint="eastAsia"/>
          <w:highlight w:val="none"/>
          <w:lang w:val="en-US"/>
        </w:rPr>
        <w:t>投标人</w:t>
      </w:r>
      <w:r>
        <w:rPr>
          <w:rFonts w:hint="eastAsia"/>
          <w:highlight w:val="none"/>
        </w:rPr>
        <w:t>须知前附表”中的规定扣除，用扣除后的价格</w:t>
      </w:r>
      <w:r>
        <w:rPr>
          <w:rFonts w:hint="eastAsia"/>
          <w:highlight w:val="none"/>
          <w:lang w:val="en-US"/>
        </w:rPr>
        <w:t>参与</w:t>
      </w:r>
      <w:r>
        <w:rPr>
          <w:rFonts w:hint="eastAsia"/>
          <w:highlight w:val="none"/>
        </w:rPr>
        <w:t>评审，采购产品纳入创新产品应用示范推荐目录内企业、采购产品获得节能产品或环境标志产品认证证书</w:t>
      </w:r>
      <w:r>
        <w:rPr>
          <w:rFonts w:hint="eastAsia"/>
          <w:highlight w:val="none"/>
          <w:lang w:val="en-US"/>
        </w:rPr>
        <w:t>的投标人</w:t>
      </w:r>
      <w:r>
        <w:rPr>
          <w:rFonts w:hint="eastAsia"/>
          <w:highlight w:val="none"/>
        </w:rPr>
        <w:t>按照本</w:t>
      </w:r>
      <w:r>
        <w:rPr>
          <w:rFonts w:hint="eastAsia"/>
          <w:highlight w:val="none"/>
          <w:lang w:val="en-US"/>
        </w:rPr>
        <w:t>招标</w:t>
      </w:r>
      <w:r>
        <w:rPr>
          <w:rFonts w:hint="eastAsia"/>
          <w:highlight w:val="none"/>
        </w:rPr>
        <w:t>文件“</w:t>
      </w:r>
      <w:r>
        <w:rPr>
          <w:rFonts w:hint="eastAsia"/>
          <w:highlight w:val="none"/>
          <w:lang w:val="en-US"/>
        </w:rPr>
        <w:t>投标人</w:t>
      </w:r>
      <w:r>
        <w:rPr>
          <w:rFonts w:hint="eastAsia"/>
          <w:highlight w:val="none"/>
        </w:rPr>
        <w:t>须知前附表”中的规定</w:t>
      </w:r>
      <w:r>
        <w:rPr>
          <w:rFonts w:hint="eastAsia"/>
          <w:highlight w:val="none"/>
          <w:lang w:val="en-US"/>
        </w:rPr>
        <w:t>给予评审优惠</w:t>
      </w:r>
      <w:r>
        <w:rPr>
          <w:rFonts w:hint="eastAsia"/>
          <w:highlight w:val="none"/>
        </w:rPr>
        <w:t>。</w:t>
      </w:r>
    </w:p>
    <w:p w14:paraId="1EC42C65">
      <w:pPr>
        <w:pStyle w:val="41"/>
        <w:spacing w:line="360" w:lineRule="auto"/>
        <w:rPr>
          <w:highlight w:val="none"/>
        </w:rPr>
      </w:pPr>
      <w:r>
        <w:rPr>
          <w:rFonts w:hint="eastAsia"/>
          <w:highlight w:val="none"/>
          <w:lang w:val="en-US"/>
        </w:rPr>
        <w:t>13.</w:t>
      </w:r>
      <w:r>
        <w:rPr>
          <w:rFonts w:hint="eastAsia"/>
          <w:highlight w:val="none"/>
        </w:rPr>
        <w:t>2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highlight w:val="none"/>
          <w:lang w:val="en-US"/>
        </w:rPr>
        <w:t>若供应商同时属于小型或微型企业、监狱企业、残疾人福利性单位 中的两种及以上，将不重复享受小微企业价格扣减的优惠政策。</w:t>
      </w:r>
    </w:p>
    <w:p w14:paraId="0E3E0ABD">
      <w:pPr>
        <w:pStyle w:val="41"/>
        <w:spacing w:line="360" w:lineRule="auto"/>
        <w:rPr>
          <w:highlight w:val="none"/>
        </w:rPr>
      </w:pPr>
      <w:r>
        <w:rPr>
          <w:rFonts w:hint="eastAsia"/>
          <w:highlight w:val="none"/>
        </w:rPr>
        <w:t>组成联合体或者接受分包的小微企业与联合体内其他企业、分包企业之间存在直接控股、管理关系的，不享受价格扣除优惠政策。</w:t>
      </w:r>
    </w:p>
    <w:p w14:paraId="293B1375">
      <w:pPr>
        <w:pStyle w:val="41"/>
        <w:spacing w:line="360" w:lineRule="auto"/>
        <w:rPr>
          <w:highlight w:val="none"/>
        </w:rPr>
      </w:pPr>
      <w:r>
        <w:rPr>
          <w:rFonts w:hint="eastAsia"/>
          <w:highlight w:val="none"/>
        </w:rPr>
        <w:t>价格扣除比例对小型企业和微型企业同等对待，不作区分。</w:t>
      </w:r>
    </w:p>
    <w:p w14:paraId="52040EA0">
      <w:pPr>
        <w:pStyle w:val="41"/>
        <w:spacing w:line="360" w:lineRule="auto"/>
        <w:rPr>
          <w:highlight w:val="none"/>
        </w:rPr>
      </w:pPr>
      <w:r>
        <w:rPr>
          <w:rFonts w:hint="eastAsia"/>
          <w:highlight w:val="none"/>
          <w:lang w:val="en-US"/>
        </w:rPr>
        <w:t>13.</w:t>
      </w:r>
      <w:r>
        <w:rPr>
          <w:rFonts w:hint="eastAsia"/>
          <w:highlight w:val="none"/>
        </w:rPr>
        <w:t>3专门面向中小企业、预留部分采购份额面向中小企业采购的项目或采购包，评审时不再进行价格扣除。</w:t>
      </w:r>
    </w:p>
    <w:p w14:paraId="575F7C0D">
      <w:pPr>
        <w:pStyle w:val="41"/>
        <w:spacing w:line="360" w:lineRule="auto"/>
        <w:rPr>
          <w:highlight w:val="none"/>
        </w:rPr>
      </w:pPr>
      <w:r>
        <w:rPr>
          <w:rFonts w:hint="eastAsia"/>
          <w:highlight w:val="none"/>
          <w:lang w:val="en-US"/>
        </w:rPr>
        <w:t>13.4</w:t>
      </w:r>
      <w:r>
        <w:rPr>
          <w:rFonts w:hint="eastAsia"/>
          <w:highlight w:val="none"/>
        </w:rPr>
        <w:t>对于未预留份额专门面向中小企业的政府采购项目，以及预留份额政府采购项目中的非预留部分标项，对小型和微型企业的投标报价给予10%-20%的扣除，用扣除后的价格参与评审。接受大中型企业与小微企业组成联合体或者允许大中型企业向一家或者多家小微企业分包的政府采购项目，对于联合</w:t>
      </w:r>
      <w:r>
        <w:rPr>
          <w:rFonts w:hint="eastAsia"/>
          <w:highlight w:val="none"/>
          <w:lang w:val="en-US"/>
        </w:rPr>
        <w:t>体</w:t>
      </w:r>
      <w:r>
        <w:rPr>
          <w:rFonts w:hint="eastAsia"/>
          <w:highlight w:val="none"/>
        </w:rPr>
        <w:t>协议</w:t>
      </w:r>
      <w:r>
        <w:rPr>
          <w:rFonts w:hint="eastAsia"/>
          <w:highlight w:val="none"/>
          <w:lang w:val="en-US"/>
        </w:rPr>
        <w:t>书</w:t>
      </w:r>
      <w:r>
        <w:rPr>
          <w:rFonts w:hint="eastAsia"/>
          <w:highlight w:val="none"/>
        </w:rPr>
        <w:t>或者分包意向协议</w:t>
      </w:r>
      <w:r>
        <w:rPr>
          <w:rFonts w:hint="eastAsia"/>
          <w:highlight w:val="none"/>
          <w:lang w:val="en-US"/>
        </w:rPr>
        <w:t>书</w:t>
      </w:r>
      <w:r>
        <w:rPr>
          <w:rFonts w:hint="eastAsia"/>
          <w:highlight w:val="none"/>
        </w:rPr>
        <w:t>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0056A096">
      <w:pPr>
        <w:pStyle w:val="41"/>
        <w:spacing w:line="360" w:lineRule="auto"/>
        <w:rPr>
          <w:highlight w:val="none"/>
        </w:rPr>
      </w:pPr>
      <w:r>
        <w:rPr>
          <w:rFonts w:hint="eastAsia"/>
          <w:highlight w:val="none"/>
        </w:rPr>
        <w:t>13.5供应商对其提供的产品出具《关于符合本国产品标准的声明函》（样式见附件1，以下简称《声明函》）或财政部会同有关部门规定的有关证明文件。出具符合要求的《声明函》或有关证明文件的，该产品视为本国产品。</w:t>
      </w:r>
    </w:p>
    <w:p w14:paraId="5B10FE45">
      <w:pPr>
        <w:pStyle w:val="41"/>
        <w:spacing w:line="360" w:lineRule="auto"/>
        <w:rPr>
          <w:highlight w:val="none"/>
        </w:rPr>
      </w:pPr>
      <w:r>
        <w:rPr>
          <w:rFonts w:hint="eastAsia"/>
          <w:highlight w:val="none"/>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5361F1A">
      <w:pPr>
        <w:pStyle w:val="41"/>
        <w:spacing w:line="360" w:lineRule="auto"/>
        <w:rPr>
          <w:highlight w:val="none"/>
        </w:rPr>
      </w:pPr>
      <w:r>
        <w:rPr>
          <w:rFonts w:hint="eastAsia"/>
          <w:snapToGrid w:val="0"/>
          <w:highlight w:val="none"/>
        </w:rPr>
        <w:t>13.6采购标的仅包含单一产品时，</w:t>
      </w:r>
      <w:r>
        <w:rPr>
          <w:rFonts w:hint="eastAsia"/>
          <w:highlight w:val="none"/>
        </w:rPr>
        <w:t>政府采购活动中既有本国产品又有非本国产品参与竞争的，</w:t>
      </w:r>
      <w:r>
        <w:rPr>
          <w:rFonts w:hint="eastAsia"/>
          <w:snapToGrid w:val="0"/>
          <w:highlight w:val="none"/>
        </w:rPr>
        <w:t>供应商对其提供的产品出具《关于符合本国产品标准的声明函》，</w:t>
      </w:r>
      <w:r>
        <w:rPr>
          <w:rFonts w:hint="eastAsia"/>
          <w:highlight w:val="none"/>
        </w:rPr>
        <w:t>依法对本国产品给予价格评审优惠，对本国产品的报价给予20%的价格扣除，用扣除后的价格参与评审。</w:t>
      </w:r>
    </w:p>
    <w:p w14:paraId="0173A9BF">
      <w:pPr>
        <w:pStyle w:val="41"/>
        <w:spacing w:line="360" w:lineRule="auto"/>
        <w:rPr>
          <w:snapToGrid w:val="0"/>
          <w:highlight w:val="none"/>
        </w:rPr>
      </w:pPr>
      <w:r>
        <w:rPr>
          <w:rFonts w:hint="eastAsia"/>
          <w:snapToGrid w:val="0"/>
          <w:highlight w:val="none"/>
        </w:rPr>
        <w:t>13.7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1A386A19">
      <w:pPr>
        <w:pStyle w:val="41"/>
        <w:spacing w:line="360" w:lineRule="auto"/>
        <w:rPr>
          <w:snapToGrid w:val="0"/>
          <w:highlight w:val="none"/>
        </w:rPr>
      </w:pPr>
      <w:r>
        <w:rPr>
          <w:rFonts w:hint="eastAsia"/>
          <w:snapToGrid w:val="0"/>
          <w:highlight w:val="none"/>
        </w:rPr>
        <w:t>13.8对于仅有本国产品参与竞争的政府采购项目，本国产品不享受价格扣除评审优惠。</w:t>
      </w:r>
    </w:p>
    <w:p w14:paraId="2A4A7717">
      <w:pPr>
        <w:pStyle w:val="41"/>
        <w:spacing w:line="360" w:lineRule="auto"/>
        <w:rPr>
          <w:snapToGrid w:val="0"/>
          <w:highlight w:val="none"/>
        </w:rPr>
      </w:pPr>
      <w:r>
        <w:rPr>
          <w:rFonts w:hint="eastAsia"/>
          <w:snapToGrid w:val="0"/>
          <w:highlight w:val="none"/>
        </w:rPr>
        <w:t>13.9评审委员会应对《声明函》的完整性、准确性进行审查，对含义不明确、同类事项与投标（响应）文件表述不一致或者有明显文字错误等情况的，应当以书面形式要求供应商作出必要的澄清、说明或者补正。经澄清、说明或者补正的《声明函》仍然不符合要求的，供应商提供的相关产品视为不符合本国产品标准。</w:t>
      </w:r>
    </w:p>
    <w:p w14:paraId="7514F59F">
      <w:pPr>
        <w:pStyle w:val="41"/>
        <w:spacing w:line="360" w:lineRule="auto"/>
        <w:rPr>
          <w:snapToGrid w:val="0"/>
          <w:highlight w:val="none"/>
        </w:rPr>
      </w:pPr>
      <w:r>
        <w:rPr>
          <w:rFonts w:hint="eastAsia"/>
          <w:snapToGrid w:val="0"/>
          <w:highlight w:val="none"/>
        </w:rPr>
        <w:t>对医疗器械产品，提供取得药品监督管理部门授予的准字号医疗器械注册证的，视为符合本国产品标准，无须填写《声明函》，</w:t>
      </w:r>
      <w:r>
        <w:rPr>
          <w:rFonts w:hint="eastAsia" w:cs="宋体"/>
          <w:szCs w:val="24"/>
          <w:highlight w:val="none"/>
        </w:rPr>
        <w:t>报价给予20%的价格扣除，用扣除后的价格参与评审。</w:t>
      </w:r>
    </w:p>
    <w:p w14:paraId="47ED6261">
      <w:pPr>
        <w:pStyle w:val="41"/>
        <w:spacing w:line="360" w:lineRule="auto"/>
        <w:rPr>
          <w:snapToGrid w:val="0"/>
          <w:highlight w:val="none"/>
        </w:rPr>
      </w:pPr>
      <w:r>
        <w:rPr>
          <w:rFonts w:hint="eastAsia"/>
          <w:snapToGrid w:val="0"/>
          <w:highlight w:val="none"/>
        </w:rPr>
        <w:t>13.10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14:paraId="2D48E9A3">
      <w:pPr>
        <w:pStyle w:val="5"/>
        <w:spacing w:line="360" w:lineRule="auto"/>
        <w:rPr>
          <w:highlight w:val="none"/>
          <w:lang w:val="zh-CN"/>
        </w:rPr>
      </w:pPr>
      <w:r>
        <w:rPr>
          <w:rFonts w:hint="eastAsia"/>
          <w:highlight w:val="none"/>
          <w:lang w:val="zh-CN"/>
        </w:rPr>
        <w:t>（</w:t>
      </w:r>
      <w:r>
        <w:rPr>
          <w:rFonts w:hint="eastAsia"/>
          <w:highlight w:val="none"/>
        </w:rPr>
        <w:t>五</w:t>
      </w:r>
      <w:r>
        <w:rPr>
          <w:rFonts w:hint="eastAsia"/>
          <w:highlight w:val="none"/>
          <w:lang w:val="zh-CN"/>
        </w:rPr>
        <w:t>）评标得分及复核</w:t>
      </w:r>
    </w:p>
    <w:p w14:paraId="04F5DF70">
      <w:pPr>
        <w:pStyle w:val="41"/>
        <w:spacing w:line="360" w:lineRule="auto"/>
        <w:rPr>
          <w:highlight w:val="none"/>
        </w:rPr>
      </w:pPr>
      <w:r>
        <w:rPr>
          <w:rFonts w:hint="eastAsia"/>
          <w:highlight w:val="none"/>
          <w:lang w:val="en-US"/>
        </w:rPr>
        <w:t>14.</w:t>
      </w:r>
      <w:r>
        <w:rPr>
          <w:rFonts w:hint="eastAsia"/>
          <w:highlight w:val="none"/>
        </w:rPr>
        <w:t>评标过程中，各项分值一般精确到小数点后两位，评标得分应为商务评分、技术评分、报价评分之和。评标委员会各成员应汇总每个投标人的得分。</w:t>
      </w:r>
    </w:p>
    <w:p w14:paraId="4FE906AE">
      <w:pPr>
        <w:pStyle w:val="41"/>
        <w:spacing w:line="360" w:lineRule="auto"/>
        <w:rPr>
          <w:highlight w:val="none"/>
        </w:rPr>
      </w:pPr>
      <w:r>
        <w:rPr>
          <w:rFonts w:hint="eastAsia"/>
          <w:highlight w:val="none"/>
          <w:lang w:val="en-US"/>
        </w:rPr>
        <w:t>14.1</w:t>
      </w:r>
      <w:r>
        <w:rPr>
          <w:rFonts w:hint="eastAsia"/>
          <w:highlight w:val="none"/>
        </w:rPr>
        <w:t>评标结果汇总完成后，采购代理机构应对评标结果进行复核。经复核发现存在以下情形之一的，评标委员会应当当场修改评标结果，并在评标报告中记载：</w:t>
      </w:r>
    </w:p>
    <w:p w14:paraId="5C5C5F9C">
      <w:pPr>
        <w:pStyle w:val="41"/>
        <w:spacing w:line="360" w:lineRule="auto"/>
        <w:rPr>
          <w:highlight w:val="none"/>
        </w:rPr>
      </w:pPr>
      <w:r>
        <w:rPr>
          <w:rFonts w:hint="eastAsia"/>
          <w:highlight w:val="none"/>
          <w:lang w:val="en-US"/>
        </w:rPr>
        <w:t>（1）</w:t>
      </w:r>
      <w:r>
        <w:rPr>
          <w:rFonts w:hint="eastAsia"/>
          <w:highlight w:val="none"/>
        </w:rPr>
        <w:t>分值汇总计算错误的；</w:t>
      </w:r>
    </w:p>
    <w:p w14:paraId="16132527">
      <w:pPr>
        <w:pStyle w:val="41"/>
        <w:spacing w:line="360" w:lineRule="auto"/>
        <w:rPr>
          <w:highlight w:val="none"/>
        </w:rPr>
      </w:pPr>
      <w:r>
        <w:rPr>
          <w:rFonts w:hint="eastAsia"/>
          <w:highlight w:val="none"/>
          <w:lang w:val="en-US"/>
        </w:rPr>
        <w:t>（2）</w:t>
      </w:r>
      <w:r>
        <w:rPr>
          <w:rFonts w:hint="eastAsia"/>
          <w:highlight w:val="none"/>
        </w:rPr>
        <w:t>分项评分超出评分标准范围的；</w:t>
      </w:r>
    </w:p>
    <w:p w14:paraId="4A488E57">
      <w:pPr>
        <w:pStyle w:val="41"/>
        <w:spacing w:line="360" w:lineRule="auto"/>
        <w:rPr>
          <w:highlight w:val="none"/>
        </w:rPr>
      </w:pPr>
      <w:r>
        <w:rPr>
          <w:rFonts w:hint="eastAsia"/>
          <w:highlight w:val="none"/>
          <w:lang w:val="en-US"/>
        </w:rPr>
        <w:t>（3）</w:t>
      </w:r>
      <w:r>
        <w:rPr>
          <w:rFonts w:hint="eastAsia"/>
          <w:highlight w:val="none"/>
        </w:rPr>
        <w:t>评标委员会成员对客观评审因素评分不一致的；</w:t>
      </w:r>
    </w:p>
    <w:p w14:paraId="3F4F6B58">
      <w:pPr>
        <w:pStyle w:val="41"/>
        <w:spacing w:line="360" w:lineRule="auto"/>
        <w:rPr>
          <w:highlight w:val="none"/>
        </w:rPr>
      </w:pPr>
      <w:r>
        <w:rPr>
          <w:rFonts w:hint="eastAsia"/>
          <w:highlight w:val="none"/>
          <w:lang w:val="en-US"/>
        </w:rPr>
        <w:t>（4）</w:t>
      </w:r>
      <w:r>
        <w:rPr>
          <w:rFonts w:hint="eastAsia"/>
          <w:highlight w:val="none"/>
        </w:rPr>
        <w:t>经评标委员会认定评分畸高、畸低的。</w:t>
      </w:r>
    </w:p>
    <w:p w14:paraId="14C15E37">
      <w:pPr>
        <w:pStyle w:val="41"/>
        <w:spacing w:line="360" w:lineRule="auto"/>
        <w:rPr>
          <w:highlight w:val="none"/>
        </w:rPr>
      </w:pPr>
      <w:r>
        <w:rPr>
          <w:rFonts w:hint="eastAsia"/>
          <w:highlight w:val="none"/>
          <w:lang w:val="en-US"/>
        </w:rPr>
        <w:t>15.</w:t>
      </w:r>
      <w:r>
        <w:rPr>
          <w:rFonts w:hint="eastAsia"/>
          <w:highlight w:val="none"/>
        </w:rPr>
        <w:t>各投标人的最终得分为评标委员会所有成员对各投标人评标得分汇总后的算术平均值。</w:t>
      </w:r>
    </w:p>
    <w:p w14:paraId="5F249DF0">
      <w:pPr>
        <w:pStyle w:val="41"/>
        <w:spacing w:line="360" w:lineRule="auto"/>
        <w:rPr>
          <w:highlight w:val="none"/>
        </w:rPr>
      </w:pPr>
      <w:r>
        <w:rPr>
          <w:rFonts w:hint="eastAsia"/>
          <w:highlight w:val="none"/>
        </w:rPr>
        <w:t>15.1除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75D09144">
      <w:pPr>
        <w:pStyle w:val="41"/>
        <w:spacing w:line="360" w:lineRule="auto"/>
        <w:rPr>
          <w:highlight w:val="none"/>
        </w:rPr>
      </w:pPr>
      <w:r>
        <w:rPr>
          <w:rFonts w:hint="eastAsia"/>
          <w:highlight w:val="none"/>
        </w:rPr>
        <w:t>15.2采购人或者采购代理机构不得通过对样品进行检测、对投标人进行考察等方式改变评审结果。</w:t>
      </w:r>
    </w:p>
    <w:p w14:paraId="3867F7E7">
      <w:pPr>
        <w:pStyle w:val="5"/>
        <w:spacing w:line="360" w:lineRule="auto"/>
        <w:rPr>
          <w:highlight w:val="none"/>
          <w:lang w:val="zh-CN"/>
        </w:rPr>
      </w:pPr>
      <w:r>
        <w:rPr>
          <w:rFonts w:hint="eastAsia"/>
          <w:highlight w:val="none"/>
          <w:lang w:val="zh-CN"/>
        </w:rPr>
        <w:t>（</w:t>
      </w:r>
      <w:r>
        <w:rPr>
          <w:rFonts w:hint="eastAsia"/>
          <w:highlight w:val="none"/>
        </w:rPr>
        <w:t>六</w:t>
      </w:r>
      <w:r>
        <w:rPr>
          <w:rFonts w:hint="eastAsia"/>
          <w:highlight w:val="none"/>
          <w:lang w:val="zh-CN"/>
        </w:rPr>
        <w:t>）排序与推荐</w:t>
      </w:r>
    </w:p>
    <w:p w14:paraId="4EF6ED73">
      <w:pPr>
        <w:pStyle w:val="41"/>
        <w:spacing w:line="360" w:lineRule="auto"/>
        <w:rPr>
          <w:highlight w:val="none"/>
        </w:rPr>
      </w:pPr>
      <w:r>
        <w:rPr>
          <w:rFonts w:hint="eastAsia"/>
          <w:highlight w:val="none"/>
        </w:rPr>
        <w:t>16.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按技术指标优劣顺序排列。</w:t>
      </w:r>
    </w:p>
    <w:p w14:paraId="288ECAD8">
      <w:pPr>
        <w:pStyle w:val="41"/>
        <w:spacing w:line="360" w:lineRule="auto"/>
        <w:rPr>
          <w:highlight w:val="none"/>
        </w:rPr>
      </w:pPr>
      <w:r>
        <w:rPr>
          <w:rFonts w:hint="eastAsia"/>
          <w:highlight w:val="none"/>
        </w:rPr>
        <w:t>17.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招标文件未规定的采取随机抽取方式确定，其他同品牌投标人不作为中标候选人。</w:t>
      </w:r>
    </w:p>
    <w:p w14:paraId="2D4B7557">
      <w:pPr>
        <w:pStyle w:val="41"/>
        <w:spacing w:line="360" w:lineRule="auto"/>
        <w:rPr>
          <w:highlight w:val="none"/>
        </w:rPr>
      </w:pPr>
      <w:r>
        <w:rPr>
          <w:rFonts w:hint="eastAsia"/>
          <w:highlight w:val="none"/>
        </w:rPr>
        <w:t>18.中标候选人推荐家数详见“投标人须知前附表”。</w:t>
      </w:r>
    </w:p>
    <w:p w14:paraId="717AA9CE">
      <w:pPr>
        <w:pStyle w:val="5"/>
        <w:spacing w:line="360" w:lineRule="auto"/>
        <w:rPr>
          <w:highlight w:val="none"/>
          <w:lang w:val="zh-CN"/>
        </w:rPr>
      </w:pPr>
      <w:r>
        <w:rPr>
          <w:rFonts w:hint="eastAsia"/>
          <w:highlight w:val="none"/>
          <w:lang w:val="zh-CN"/>
        </w:rPr>
        <w:t>（</w:t>
      </w:r>
      <w:r>
        <w:rPr>
          <w:rFonts w:hint="eastAsia"/>
          <w:highlight w:val="none"/>
        </w:rPr>
        <w:t>七</w:t>
      </w:r>
      <w:r>
        <w:rPr>
          <w:rFonts w:hint="eastAsia"/>
          <w:highlight w:val="none"/>
          <w:lang w:val="zh-CN"/>
        </w:rPr>
        <w:t>）编写评标报告</w:t>
      </w:r>
    </w:p>
    <w:p w14:paraId="10E82CC0">
      <w:pPr>
        <w:pStyle w:val="41"/>
        <w:spacing w:line="360" w:lineRule="auto"/>
        <w:rPr>
          <w:highlight w:val="none"/>
        </w:rPr>
      </w:pPr>
      <w:r>
        <w:rPr>
          <w:rFonts w:hint="eastAsia"/>
          <w:highlight w:val="none"/>
          <w:lang w:val="en-US"/>
        </w:rPr>
        <w:t>19.</w:t>
      </w:r>
      <w:r>
        <w:rPr>
          <w:rFonts w:hint="eastAsia"/>
          <w:highlight w:val="none"/>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bookmarkStart w:id="311" w:name="_Toc155185913"/>
      <w:bookmarkStart w:id="312" w:name="_Toc163492906"/>
      <w:bookmarkStart w:id="313" w:name="_Toc102116151"/>
      <w:bookmarkStart w:id="314" w:name="_Toc102057717"/>
      <w:bookmarkStart w:id="315" w:name="_Toc102114919"/>
      <w:bookmarkStart w:id="316" w:name="_Toc102116021"/>
      <w:bookmarkStart w:id="317" w:name="_Toc102119852"/>
      <w:bookmarkStart w:id="318" w:name="_Toc102056217"/>
    </w:p>
    <w:p w14:paraId="4D476182">
      <w:pPr>
        <w:pStyle w:val="5"/>
        <w:spacing w:line="360" w:lineRule="auto"/>
        <w:rPr>
          <w:highlight w:val="none"/>
          <w:lang w:val="zh-CN"/>
        </w:rPr>
      </w:pPr>
      <w:r>
        <w:rPr>
          <w:rFonts w:hint="eastAsia"/>
          <w:highlight w:val="none"/>
          <w:lang w:val="zh-CN"/>
        </w:rPr>
        <w:t>（</w:t>
      </w:r>
      <w:r>
        <w:rPr>
          <w:rFonts w:hint="eastAsia"/>
          <w:highlight w:val="none"/>
        </w:rPr>
        <w:t>八</w:t>
      </w:r>
      <w:r>
        <w:rPr>
          <w:rFonts w:hint="eastAsia"/>
          <w:highlight w:val="none"/>
          <w:lang w:val="zh-CN"/>
        </w:rPr>
        <w:t>）</w:t>
      </w:r>
      <w:r>
        <w:rPr>
          <w:rFonts w:hint="eastAsia"/>
          <w:highlight w:val="none"/>
        </w:rPr>
        <w:t>投标无效及</w:t>
      </w:r>
      <w:r>
        <w:rPr>
          <w:rFonts w:hint="eastAsia"/>
          <w:highlight w:val="none"/>
          <w:lang w:val="zh-CN"/>
        </w:rPr>
        <w:t>应予废标的情形</w:t>
      </w:r>
      <w:bookmarkEnd w:id="311"/>
      <w:bookmarkEnd w:id="312"/>
      <w:bookmarkEnd w:id="313"/>
      <w:bookmarkEnd w:id="314"/>
      <w:bookmarkEnd w:id="315"/>
      <w:bookmarkEnd w:id="316"/>
      <w:bookmarkEnd w:id="317"/>
      <w:bookmarkEnd w:id="318"/>
    </w:p>
    <w:p w14:paraId="6BDFE51F">
      <w:pPr>
        <w:pStyle w:val="41"/>
        <w:spacing w:line="360" w:lineRule="auto"/>
        <w:rPr>
          <w:highlight w:val="none"/>
        </w:rPr>
      </w:pPr>
      <w:r>
        <w:rPr>
          <w:rFonts w:hint="eastAsia"/>
          <w:highlight w:val="none"/>
        </w:rPr>
        <w:t>20.投标人存在下列情形之一的，</w:t>
      </w:r>
      <w:r>
        <w:rPr>
          <w:rFonts w:hint="eastAsia"/>
          <w:b/>
          <w:bCs/>
          <w:highlight w:val="none"/>
        </w:rPr>
        <w:t>投标无效</w:t>
      </w:r>
      <w:r>
        <w:rPr>
          <w:rFonts w:hint="eastAsia"/>
          <w:highlight w:val="none"/>
        </w:rPr>
        <w:t>：</w:t>
      </w:r>
    </w:p>
    <w:p w14:paraId="379A23A7">
      <w:pPr>
        <w:pStyle w:val="41"/>
        <w:spacing w:line="360" w:lineRule="auto"/>
        <w:rPr>
          <w:highlight w:val="none"/>
        </w:rPr>
      </w:pPr>
      <w:r>
        <w:rPr>
          <w:rFonts w:hint="eastAsia"/>
          <w:highlight w:val="none"/>
          <w:lang w:val="en-US"/>
        </w:rPr>
        <w:t>20.</w:t>
      </w:r>
      <w:r>
        <w:rPr>
          <w:rFonts w:hint="eastAsia"/>
          <w:highlight w:val="none"/>
        </w:rPr>
        <w:t>1</w:t>
      </w:r>
      <w:r>
        <w:rPr>
          <w:rFonts w:hint="eastAsia"/>
          <w:highlight w:val="none"/>
          <w:lang w:val="en-US"/>
        </w:rPr>
        <w:t>投标人</w:t>
      </w:r>
      <w:r>
        <w:rPr>
          <w:rFonts w:hint="eastAsia"/>
          <w:highlight w:val="none"/>
        </w:rPr>
        <w:t>不具备《中华人民共和国政府采购法》第二十二条规定条件</w:t>
      </w:r>
      <w:r>
        <w:rPr>
          <w:rFonts w:hint="eastAsia"/>
          <w:highlight w:val="none"/>
          <w:lang w:val="en-US"/>
        </w:rPr>
        <w:t>；</w:t>
      </w:r>
    </w:p>
    <w:p w14:paraId="4C4A705D">
      <w:pPr>
        <w:pStyle w:val="41"/>
        <w:spacing w:line="360" w:lineRule="auto"/>
        <w:rPr>
          <w:highlight w:val="none"/>
          <w:lang w:val="en-US"/>
        </w:rPr>
      </w:pPr>
      <w:r>
        <w:rPr>
          <w:rFonts w:hint="eastAsia"/>
          <w:highlight w:val="none"/>
          <w:lang w:val="en-US"/>
        </w:rPr>
        <w:t>20.</w:t>
      </w:r>
      <w:r>
        <w:rPr>
          <w:rFonts w:hint="eastAsia"/>
          <w:highlight w:val="none"/>
        </w:rPr>
        <w:t>2投标文件未按招标文件要求签署、盖章的</w:t>
      </w:r>
      <w:r>
        <w:rPr>
          <w:rFonts w:hint="eastAsia"/>
          <w:highlight w:val="none"/>
          <w:lang w:val="en-US"/>
        </w:rPr>
        <w:t>；</w:t>
      </w:r>
    </w:p>
    <w:p w14:paraId="45A98F75">
      <w:pPr>
        <w:pStyle w:val="41"/>
        <w:spacing w:line="360" w:lineRule="auto"/>
        <w:rPr>
          <w:highlight w:val="none"/>
        </w:rPr>
      </w:pPr>
      <w:r>
        <w:rPr>
          <w:rFonts w:hint="eastAsia"/>
          <w:highlight w:val="none"/>
        </w:rPr>
        <w:t>20.3不具备招标文件中规定的资格要求的（投标人未提供有效资格文件的，视为投标人不具备招标文件中规定的资格要求）；</w:t>
      </w:r>
    </w:p>
    <w:p w14:paraId="0C616130">
      <w:pPr>
        <w:pStyle w:val="41"/>
        <w:spacing w:line="360" w:lineRule="auto"/>
        <w:rPr>
          <w:highlight w:val="none"/>
        </w:rPr>
      </w:pPr>
      <w:r>
        <w:rPr>
          <w:rFonts w:hint="eastAsia"/>
          <w:highlight w:val="none"/>
          <w:lang w:val="en-US"/>
        </w:rPr>
        <w:t>20.</w:t>
      </w:r>
      <w:r>
        <w:rPr>
          <w:rFonts w:hint="eastAsia"/>
          <w:highlight w:val="none"/>
        </w:rPr>
        <w:t>4</w:t>
      </w:r>
      <w:r>
        <w:rPr>
          <w:rFonts w:hint="eastAsia"/>
          <w:highlight w:val="none"/>
          <w:lang w:val="en-US"/>
        </w:rPr>
        <w:t>投标</w:t>
      </w:r>
      <w:r>
        <w:rPr>
          <w:rFonts w:hint="eastAsia"/>
          <w:highlight w:val="none"/>
        </w:rPr>
        <w:t>文件提供虚假材料的</w:t>
      </w:r>
      <w:r>
        <w:rPr>
          <w:rFonts w:hint="eastAsia"/>
          <w:highlight w:val="none"/>
          <w:lang w:val="en-US"/>
        </w:rPr>
        <w:t>；</w:t>
      </w:r>
    </w:p>
    <w:p w14:paraId="37ACC796">
      <w:pPr>
        <w:pStyle w:val="41"/>
        <w:spacing w:line="360" w:lineRule="auto"/>
        <w:rPr>
          <w:highlight w:val="none"/>
        </w:rPr>
      </w:pPr>
      <w:r>
        <w:rPr>
          <w:rFonts w:hint="eastAsia"/>
          <w:highlight w:val="none"/>
          <w:lang w:val="en-US"/>
        </w:rPr>
        <w:t>20.</w:t>
      </w:r>
      <w:r>
        <w:rPr>
          <w:rFonts w:hint="eastAsia"/>
          <w:highlight w:val="none"/>
        </w:rPr>
        <w:t>5</w:t>
      </w:r>
      <w:r>
        <w:rPr>
          <w:rFonts w:hint="eastAsia"/>
          <w:highlight w:val="none"/>
          <w:lang w:val="en-US"/>
        </w:rPr>
        <w:t>投标</w:t>
      </w:r>
      <w:r>
        <w:rPr>
          <w:rFonts w:hint="eastAsia"/>
          <w:highlight w:val="none"/>
        </w:rPr>
        <w:t>文件不满足</w:t>
      </w:r>
      <w:r>
        <w:rPr>
          <w:rFonts w:hint="eastAsia"/>
          <w:highlight w:val="none"/>
          <w:lang w:val="en-US"/>
        </w:rPr>
        <w:t>招标</w:t>
      </w:r>
      <w:r>
        <w:rPr>
          <w:rFonts w:hint="eastAsia"/>
          <w:highlight w:val="none"/>
        </w:rPr>
        <w:t>文件中标注“★”号的实质性条款（或指标）要求的</w:t>
      </w:r>
      <w:r>
        <w:rPr>
          <w:rFonts w:hint="eastAsia"/>
          <w:highlight w:val="none"/>
          <w:lang w:val="en-US"/>
        </w:rPr>
        <w:t>；</w:t>
      </w:r>
    </w:p>
    <w:p w14:paraId="068B3E67">
      <w:pPr>
        <w:pStyle w:val="41"/>
        <w:spacing w:line="360" w:lineRule="auto"/>
        <w:rPr>
          <w:highlight w:val="none"/>
          <w:lang w:val="en-US"/>
        </w:rPr>
      </w:pPr>
      <w:r>
        <w:rPr>
          <w:rFonts w:hint="eastAsia"/>
          <w:highlight w:val="none"/>
          <w:lang w:val="en-US"/>
        </w:rPr>
        <w:t>20.</w:t>
      </w:r>
      <w:r>
        <w:rPr>
          <w:rFonts w:hint="eastAsia"/>
          <w:highlight w:val="none"/>
        </w:rPr>
        <w:t>6</w:t>
      </w:r>
      <w:r>
        <w:rPr>
          <w:rFonts w:hint="eastAsia"/>
          <w:highlight w:val="none"/>
          <w:lang w:val="en-US"/>
        </w:rPr>
        <w:t>投标人</w:t>
      </w:r>
      <w:r>
        <w:rPr>
          <w:rFonts w:hint="eastAsia"/>
          <w:highlight w:val="none"/>
        </w:rPr>
        <w:t>报价超过招标文件中规定的最高限价或者预算金额的</w:t>
      </w:r>
      <w:r>
        <w:rPr>
          <w:rFonts w:hint="eastAsia"/>
          <w:highlight w:val="none"/>
          <w:lang w:val="en-US"/>
        </w:rPr>
        <w:t>；</w:t>
      </w:r>
    </w:p>
    <w:p w14:paraId="2FFF900A">
      <w:pPr>
        <w:pStyle w:val="41"/>
        <w:spacing w:line="360" w:lineRule="auto"/>
        <w:rPr>
          <w:highlight w:val="none"/>
        </w:rPr>
      </w:pPr>
      <w:r>
        <w:rPr>
          <w:rFonts w:hint="eastAsia"/>
          <w:highlight w:val="none"/>
          <w:lang w:val="en-US"/>
        </w:rPr>
        <w:t>20.</w:t>
      </w:r>
      <w:r>
        <w:rPr>
          <w:rFonts w:hint="eastAsia"/>
          <w:highlight w:val="none"/>
        </w:rPr>
        <w:t>7联合体的供应商未提交各方共同签署的</w:t>
      </w:r>
      <w:r>
        <w:rPr>
          <w:rFonts w:hint="eastAsia"/>
          <w:highlight w:val="none"/>
          <w:lang w:val="en-US"/>
        </w:rPr>
        <w:t>联合体</w:t>
      </w:r>
      <w:r>
        <w:rPr>
          <w:rFonts w:hint="eastAsia"/>
          <w:highlight w:val="none"/>
        </w:rPr>
        <w:t>协议</w:t>
      </w:r>
      <w:r>
        <w:rPr>
          <w:rFonts w:hint="eastAsia"/>
          <w:highlight w:val="none"/>
          <w:lang w:val="en-US"/>
        </w:rPr>
        <w:t>的；</w:t>
      </w:r>
    </w:p>
    <w:p w14:paraId="6CCA8DA8">
      <w:pPr>
        <w:pStyle w:val="41"/>
        <w:spacing w:line="360" w:lineRule="auto"/>
        <w:rPr>
          <w:highlight w:val="none"/>
        </w:rPr>
      </w:pPr>
      <w:r>
        <w:rPr>
          <w:rFonts w:hint="eastAsia"/>
          <w:highlight w:val="none"/>
        </w:rPr>
        <w:t>20.8投标人未按招标文件的规定交纳投标保证金的；</w:t>
      </w:r>
    </w:p>
    <w:p w14:paraId="414297DF">
      <w:pPr>
        <w:pStyle w:val="41"/>
        <w:spacing w:line="360" w:lineRule="auto"/>
        <w:rPr>
          <w:highlight w:val="none"/>
        </w:rPr>
      </w:pPr>
      <w:r>
        <w:rPr>
          <w:rFonts w:hint="eastAsia"/>
          <w:highlight w:val="none"/>
          <w:lang w:val="en-US"/>
        </w:rPr>
        <w:t>20.</w:t>
      </w:r>
      <w:r>
        <w:rPr>
          <w:rFonts w:hint="eastAsia"/>
          <w:highlight w:val="none"/>
        </w:rPr>
        <w:t>9评审期间，</w:t>
      </w:r>
      <w:r>
        <w:rPr>
          <w:rFonts w:hint="eastAsia"/>
          <w:highlight w:val="none"/>
          <w:lang w:val="en-US"/>
        </w:rPr>
        <w:t>投标人</w:t>
      </w:r>
      <w:r>
        <w:rPr>
          <w:rFonts w:hint="eastAsia"/>
          <w:highlight w:val="none"/>
        </w:rPr>
        <w:t>没有按评标委员会的要求提交经授权代表签字的澄清、说明、补正或改变了</w:t>
      </w:r>
      <w:r>
        <w:rPr>
          <w:rFonts w:hint="eastAsia"/>
          <w:highlight w:val="none"/>
          <w:lang w:val="en-US"/>
        </w:rPr>
        <w:t>投标</w:t>
      </w:r>
      <w:r>
        <w:rPr>
          <w:rFonts w:hint="eastAsia"/>
          <w:highlight w:val="none"/>
        </w:rPr>
        <w:t>文件的实质性内容</w:t>
      </w:r>
      <w:r>
        <w:rPr>
          <w:rFonts w:hint="eastAsia"/>
          <w:highlight w:val="none"/>
          <w:lang w:val="en-US"/>
        </w:rPr>
        <w:t>的；</w:t>
      </w:r>
    </w:p>
    <w:p w14:paraId="379E4985">
      <w:pPr>
        <w:pStyle w:val="41"/>
        <w:spacing w:line="360" w:lineRule="auto"/>
        <w:rPr>
          <w:highlight w:val="none"/>
          <w:lang w:val="en-US"/>
        </w:rPr>
      </w:pPr>
      <w:r>
        <w:rPr>
          <w:rFonts w:hint="eastAsia"/>
          <w:highlight w:val="none"/>
          <w:lang w:val="en-US"/>
        </w:rPr>
        <w:t>20.</w:t>
      </w:r>
      <w:r>
        <w:rPr>
          <w:rFonts w:hint="eastAsia"/>
          <w:highlight w:val="none"/>
        </w:rPr>
        <w:t>10</w:t>
      </w:r>
      <w:r>
        <w:rPr>
          <w:rFonts w:hint="eastAsia"/>
          <w:highlight w:val="none"/>
          <w:lang w:val="en-US"/>
        </w:rPr>
        <w:t>投标人</w:t>
      </w:r>
      <w:r>
        <w:rPr>
          <w:rFonts w:hint="eastAsia"/>
          <w:highlight w:val="none"/>
        </w:rPr>
        <w:t>对采购人、采购代理机构、评标委员会及其工作人员施加影响，有碍公平、公正</w:t>
      </w:r>
      <w:r>
        <w:rPr>
          <w:rFonts w:hint="eastAsia"/>
          <w:highlight w:val="none"/>
          <w:lang w:val="en-US"/>
        </w:rPr>
        <w:t>的；</w:t>
      </w:r>
    </w:p>
    <w:p w14:paraId="0E68F4EB">
      <w:pPr>
        <w:pStyle w:val="41"/>
        <w:spacing w:line="360" w:lineRule="auto"/>
        <w:rPr>
          <w:highlight w:val="none"/>
        </w:rPr>
      </w:pPr>
      <w:r>
        <w:rPr>
          <w:rFonts w:hint="eastAsia"/>
          <w:highlight w:val="none"/>
        </w:rPr>
        <w:t>20.11投标文件含有采购人不能接受的附加条件的；</w:t>
      </w:r>
    </w:p>
    <w:p w14:paraId="50E76903">
      <w:pPr>
        <w:pStyle w:val="41"/>
        <w:spacing w:line="360" w:lineRule="auto"/>
        <w:rPr>
          <w:highlight w:val="none"/>
          <w:lang w:val="en-US"/>
        </w:rPr>
      </w:pPr>
      <w:r>
        <w:rPr>
          <w:rFonts w:hint="eastAsia"/>
          <w:highlight w:val="none"/>
          <w:lang w:val="en-US"/>
        </w:rPr>
        <w:t>20.</w:t>
      </w:r>
      <w:r>
        <w:rPr>
          <w:rFonts w:hint="eastAsia"/>
          <w:highlight w:val="none"/>
        </w:rPr>
        <w:t>1</w:t>
      </w:r>
      <w:r>
        <w:rPr>
          <w:rFonts w:hint="eastAsia"/>
          <w:highlight w:val="none"/>
          <w:lang w:val="en-US"/>
        </w:rPr>
        <w:t>2</w:t>
      </w:r>
      <w:r>
        <w:rPr>
          <w:rFonts w:hint="eastAsia"/>
          <w:highlight w:val="none"/>
        </w:rPr>
        <w:t>法律、法规、规章规定属于</w:t>
      </w:r>
      <w:r>
        <w:rPr>
          <w:rFonts w:hint="eastAsia"/>
          <w:highlight w:val="none"/>
          <w:lang w:val="en-US"/>
        </w:rPr>
        <w:t>投标</w:t>
      </w:r>
      <w:r>
        <w:rPr>
          <w:rFonts w:hint="eastAsia"/>
          <w:highlight w:val="none"/>
        </w:rPr>
        <w:t>无效的其他情形。</w:t>
      </w:r>
    </w:p>
    <w:p w14:paraId="16D36936">
      <w:pPr>
        <w:pStyle w:val="41"/>
        <w:spacing w:line="360" w:lineRule="auto"/>
        <w:rPr>
          <w:highlight w:val="none"/>
        </w:rPr>
      </w:pPr>
      <w:r>
        <w:rPr>
          <w:rFonts w:hint="eastAsia"/>
          <w:highlight w:val="none"/>
        </w:rPr>
        <w:t>21.有下列情形之一的，视为投标人串通投标，其</w:t>
      </w:r>
      <w:r>
        <w:rPr>
          <w:rFonts w:hint="eastAsia"/>
          <w:b/>
          <w:bCs/>
          <w:highlight w:val="none"/>
        </w:rPr>
        <w:t>投标无效</w:t>
      </w:r>
      <w:r>
        <w:rPr>
          <w:rFonts w:hint="eastAsia"/>
          <w:highlight w:val="none"/>
        </w:rPr>
        <w:t>：</w:t>
      </w:r>
    </w:p>
    <w:p w14:paraId="4DBF702D">
      <w:pPr>
        <w:pStyle w:val="41"/>
        <w:spacing w:line="360" w:lineRule="auto"/>
        <w:rPr>
          <w:highlight w:val="none"/>
        </w:rPr>
      </w:pPr>
      <w:r>
        <w:rPr>
          <w:rFonts w:hint="eastAsia"/>
          <w:highlight w:val="none"/>
        </w:rPr>
        <w:t>21.1不同投标人的投标文件由同一单位或者个人编制；</w:t>
      </w:r>
    </w:p>
    <w:p w14:paraId="6B330755">
      <w:pPr>
        <w:pStyle w:val="41"/>
        <w:spacing w:line="360" w:lineRule="auto"/>
        <w:rPr>
          <w:highlight w:val="none"/>
        </w:rPr>
      </w:pPr>
      <w:r>
        <w:rPr>
          <w:rFonts w:hint="eastAsia"/>
          <w:highlight w:val="none"/>
        </w:rPr>
        <w:t>21.2不同投标人委托同一单位或者个人办理投标事宜；</w:t>
      </w:r>
    </w:p>
    <w:p w14:paraId="764082CE">
      <w:pPr>
        <w:pStyle w:val="41"/>
        <w:spacing w:line="360" w:lineRule="auto"/>
        <w:rPr>
          <w:highlight w:val="none"/>
        </w:rPr>
      </w:pPr>
      <w:r>
        <w:rPr>
          <w:rFonts w:hint="eastAsia"/>
          <w:highlight w:val="none"/>
        </w:rPr>
        <w:t>21.3不同投标人的投标文件载明的项目管理成员或者联系人员为同一人；</w:t>
      </w:r>
    </w:p>
    <w:p w14:paraId="59A267B2">
      <w:pPr>
        <w:pStyle w:val="41"/>
        <w:spacing w:line="360" w:lineRule="auto"/>
        <w:rPr>
          <w:highlight w:val="none"/>
        </w:rPr>
      </w:pPr>
      <w:r>
        <w:rPr>
          <w:rFonts w:hint="eastAsia"/>
          <w:highlight w:val="none"/>
        </w:rPr>
        <w:t>21.4不同投标人的投标文件异常一致或者投标报价呈规律性差异；</w:t>
      </w:r>
    </w:p>
    <w:p w14:paraId="5772D14E">
      <w:pPr>
        <w:pStyle w:val="41"/>
        <w:spacing w:line="360" w:lineRule="auto"/>
        <w:rPr>
          <w:highlight w:val="none"/>
        </w:rPr>
      </w:pPr>
      <w:r>
        <w:rPr>
          <w:rFonts w:hint="eastAsia"/>
          <w:highlight w:val="none"/>
        </w:rPr>
        <w:t>21.5不同投标人的投标文件相互混装；</w:t>
      </w:r>
    </w:p>
    <w:p w14:paraId="153B6329">
      <w:pPr>
        <w:pStyle w:val="41"/>
        <w:spacing w:line="360" w:lineRule="auto"/>
        <w:rPr>
          <w:highlight w:val="none"/>
        </w:rPr>
      </w:pPr>
      <w:r>
        <w:rPr>
          <w:rFonts w:hint="eastAsia"/>
          <w:highlight w:val="none"/>
        </w:rPr>
        <w:t>21.6不同投标人的投标保证金从同一单位或者个人的账户转出；</w:t>
      </w:r>
    </w:p>
    <w:p w14:paraId="3FB64D53">
      <w:pPr>
        <w:pStyle w:val="41"/>
        <w:spacing w:line="360" w:lineRule="auto"/>
        <w:rPr>
          <w:highlight w:val="none"/>
          <w:lang w:val="en-US"/>
        </w:rPr>
      </w:pPr>
      <w:r>
        <w:rPr>
          <w:rFonts w:hint="eastAsia"/>
          <w:highlight w:val="none"/>
          <w:lang w:val="en-US"/>
        </w:rPr>
        <w:t>21.7</w:t>
      </w:r>
      <w:r>
        <w:rPr>
          <w:rFonts w:hint="eastAsia"/>
          <w:highlight w:val="none"/>
        </w:rPr>
        <w:t>不同投标人使用同一电脑（机器特征值一致：如MAC地址等）或使用同一电子密钥，编制或上传电子投标文件</w:t>
      </w:r>
      <w:r>
        <w:rPr>
          <w:rFonts w:hint="eastAsia"/>
          <w:highlight w:val="none"/>
          <w:lang w:val="en-US"/>
        </w:rPr>
        <w:t>；</w:t>
      </w:r>
    </w:p>
    <w:p w14:paraId="7C9F7438">
      <w:pPr>
        <w:pStyle w:val="41"/>
        <w:spacing w:line="360" w:lineRule="auto"/>
        <w:rPr>
          <w:highlight w:val="none"/>
        </w:rPr>
      </w:pPr>
      <w:r>
        <w:rPr>
          <w:rFonts w:hint="eastAsia"/>
          <w:highlight w:val="none"/>
        </w:rPr>
        <w:t>21.8法律、法规、规章规定属于投标人串通投标的其他情形。</w:t>
      </w:r>
    </w:p>
    <w:p w14:paraId="2378CD94">
      <w:pPr>
        <w:pStyle w:val="41"/>
        <w:spacing w:line="360" w:lineRule="auto"/>
        <w:rPr>
          <w:highlight w:val="none"/>
        </w:rPr>
      </w:pPr>
      <w:r>
        <w:rPr>
          <w:rFonts w:hint="eastAsia"/>
          <w:highlight w:val="none"/>
          <w:lang w:val="en-US"/>
        </w:rPr>
        <w:t>22</w:t>
      </w:r>
      <w:r>
        <w:rPr>
          <w:rFonts w:hint="eastAsia"/>
          <w:highlight w:val="none"/>
        </w:rPr>
        <w:t>.根据《中华人民共和国政府采购法》第三十六条之规定，在招标采购过程中，出现下列情形之一的，应予</w:t>
      </w:r>
      <w:r>
        <w:rPr>
          <w:rFonts w:hint="eastAsia"/>
          <w:b/>
          <w:bCs/>
          <w:highlight w:val="none"/>
        </w:rPr>
        <w:t>废标</w:t>
      </w:r>
      <w:r>
        <w:rPr>
          <w:rFonts w:hint="eastAsia"/>
          <w:highlight w:val="none"/>
        </w:rPr>
        <w:t>：</w:t>
      </w:r>
    </w:p>
    <w:p w14:paraId="53B4C00C">
      <w:pPr>
        <w:pStyle w:val="41"/>
        <w:spacing w:line="360" w:lineRule="auto"/>
        <w:rPr>
          <w:highlight w:val="none"/>
        </w:rPr>
      </w:pPr>
      <w:r>
        <w:rPr>
          <w:rFonts w:hint="eastAsia"/>
          <w:highlight w:val="none"/>
          <w:lang w:val="en-US"/>
        </w:rPr>
        <w:t>22</w:t>
      </w:r>
      <w:r>
        <w:rPr>
          <w:rFonts w:hint="eastAsia"/>
          <w:highlight w:val="none"/>
        </w:rPr>
        <w:t>.1符合专业条件的供应商或者对招标文件作实质响应的供应商不足3家的；</w:t>
      </w:r>
    </w:p>
    <w:p w14:paraId="0DF07E0F">
      <w:pPr>
        <w:pStyle w:val="41"/>
        <w:spacing w:line="360" w:lineRule="auto"/>
        <w:rPr>
          <w:highlight w:val="none"/>
        </w:rPr>
      </w:pPr>
      <w:r>
        <w:rPr>
          <w:rFonts w:hint="eastAsia"/>
          <w:highlight w:val="none"/>
          <w:lang w:val="en-US"/>
        </w:rPr>
        <w:t>22</w:t>
      </w:r>
      <w:r>
        <w:rPr>
          <w:rFonts w:hint="eastAsia"/>
          <w:highlight w:val="none"/>
        </w:rPr>
        <w:t>.2出现影响采购公正的违法、违规行为的；</w:t>
      </w:r>
    </w:p>
    <w:p w14:paraId="1F2AE266">
      <w:pPr>
        <w:pStyle w:val="41"/>
        <w:spacing w:line="360" w:lineRule="auto"/>
        <w:rPr>
          <w:highlight w:val="none"/>
        </w:rPr>
      </w:pPr>
      <w:r>
        <w:rPr>
          <w:rFonts w:hint="eastAsia"/>
          <w:highlight w:val="none"/>
          <w:lang w:val="en-US"/>
        </w:rPr>
        <w:t>22</w:t>
      </w:r>
      <w:r>
        <w:rPr>
          <w:rFonts w:hint="eastAsia"/>
          <w:highlight w:val="none"/>
        </w:rPr>
        <w:t>.3投标人的报价均超过了采购预算，采购人不能支付的；</w:t>
      </w:r>
    </w:p>
    <w:p w14:paraId="572C965B">
      <w:pPr>
        <w:pStyle w:val="41"/>
        <w:spacing w:line="360" w:lineRule="auto"/>
        <w:rPr>
          <w:highlight w:val="none"/>
          <w:lang w:val="en-US"/>
        </w:rPr>
      </w:pPr>
      <w:r>
        <w:rPr>
          <w:rFonts w:hint="eastAsia"/>
          <w:highlight w:val="none"/>
          <w:lang w:val="en-US"/>
        </w:rPr>
        <w:t>22</w:t>
      </w:r>
      <w:r>
        <w:rPr>
          <w:rFonts w:hint="eastAsia"/>
          <w:highlight w:val="none"/>
        </w:rPr>
        <w:t>.4因重大变故，采购任务取消的</w:t>
      </w:r>
      <w:r>
        <w:rPr>
          <w:rFonts w:hint="eastAsia"/>
          <w:highlight w:val="none"/>
          <w:lang w:val="en-US"/>
        </w:rPr>
        <w:t>；</w:t>
      </w:r>
    </w:p>
    <w:p w14:paraId="3659CDD5">
      <w:pPr>
        <w:pStyle w:val="41"/>
        <w:spacing w:line="360" w:lineRule="auto"/>
        <w:rPr>
          <w:highlight w:val="none"/>
        </w:rPr>
      </w:pPr>
      <w:r>
        <w:rPr>
          <w:rFonts w:hint="eastAsia"/>
          <w:highlight w:val="none"/>
          <w:lang w:val="en-US"/>
        </w:rPr>
        <w:t xml:space="preserve">22.5 </w:t>
      </w:r>
      <w:r>
        <w:rPr>
          <w:rFonts w:hint="eastAsia"/>
          <w:highlight w:val="none"/>
        </w:rPr>
        <w:t>法律、法规、规章规定属于</w:t>
      </w:r>
      <w:r>
        <w:rPr>
          <w:rFonts w:hint="eastAsia"/>
          <w:highlight w:val="none"/>
          <w:lang w:val="en-US"/>
        </w:rPr>
        <w:t>废标</w:t>
      </w:r>
      <w:r>
        <w:rPr>
          <w:rFonts w:hint="eastAsia"/>
          <w:highlight w:val="none"/>
        </w:rPr>
        <w:t>的其他情形。</w:t>
      </w:r>
    </w:p>
    <w:p w14:paraId="0B570E98">
      <w:pPr>
        <w:pStyle w:val="41"/>
        <w:spacing w:line="360" w:lineRule="auto"/>
        <w:rPr>
          <w:highlight w:val="none"/>
        </w:rPr>
      </w:pPr>
      <w:r>
        <w:rPr>
          <w:rFonts w:hint="eastAsia"/>
          <w:highlight w:val="none"/>
          <w:lang w:val="en-US"/>
        </w:rPr>
        <w:t>23.</w:t>
      </w:r>
      <w:r>
        <w:rPr>
          <w:rFonts w:hint="eastAsia"/>
          <w:highlight w:val="none"/>
        </w:rPr>
        <w:t>废标后，采购人应当将废标理由通知所有投标人。</w:t>
      </w:r>
    </w:p>
    <w:p w14:paraId="5A151912">
      <w:pPr>
        <w:pStyle w:val="5"/>
        <w:spacing w:line="360" w:lineRule="auto"/>
        <w:rPr>
          <w:highlight w:val="none"/>
          <w:lang w:val="zh-CN"/>
        </w:rPr>
      </w:pPr>
      <w:bookmarkStart w:id="319" w:name="_Toc163492907"/>
      <w:bookmarkStart w:id="320" w:name="_Toc102114920"/>
      <w:bookmarkStart w:id="321" w:name="_Toc155185914"/>
      <w:bookmarkStart w:id="322" w:name="_Toc102116152"/>
      <w:bookmarkStart w:id="323" w:name="_Toc102116022"/>
      <w:bookmarkStart w:id="324" w:name="_Toc102119853"/>
      <w:bookmarkStart w:id="325" w:name="_Toc102056218"/>
      <w:bookmarkStart w:id="326" w:name="_Toc102057718"/>
      <w:r>
        <w:rPr>
          <w:rFonts w:hint="eastAsia"/>
          <w:highlight w:val="none"/>
          <w:lang w:val="zh-CN"/>
        </w:rPr>
        <w:t>（</w:t>
      </w:r>
      <w:r>
        <w:rPr>
          <w:rFonts w:hint="eastAsia"/>
          <w:highlight w:val="none"/>
        </w:rPr>
        <w:t>九</w:t>
      </w:r>
      <w:r>
        <w:rPr>
          <w:rFonts w:hint="eastAsia"/>
          <w:highlight w:val="none"/>
          <w:lang w:val="zh-CN"/>
        </w:rPr>
        <w:t>）停止评标的情形</w:t>
      </w:r>
      <w:bookmarkEnd w:id="319"/>
      <w:bookmarkEnd w:id="320"/>
      <w:bookmarkEnd w:id="321"/>
      <w:bookmarkEnd w:id="322"/>
      <w:bookmarkEnd w:id="323"/>
      <w:bookmarkEnd w:id="324"/>
      <w:bookmarkEnd w:id="325"/>
      <w:bookmarkEnd w:id="326"/>
    </w:p>
    <w:p w14:paraId="2E993390">
      <w:pPr>
        <w:pStyle w:val="41"/>
        <w:spacing w:line="360" w:lineRule="auto"/>
        <w:rPr>
          <w:highlight w:val="none"/>
        </w:rPr>
      </w:pPr>
      <w:r>
        <w:rPr>
          <w:rFonts w:hint="eastAsia"/>
          <w:highlight w:val="none"/>
          <w:lang w:val="en-US"/>
        </w:rPr>
        <w:t>24</w:t>
      </w:r>
      <w:r>
        <w:rPr>
          <w:rFonts w:hint="eastAsia"/>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151A8283">
      <w:pPr>
        <w:pStyle w:val="5"/>
        <w:spacing w:line="360" w:lineRule="auto"/>
        <w:rPr>
          <w:highlight w:val="none"/>
          <w:lang w:val="zh-CN"/>
        </w:rPr>
      </w:pPr>
      <w:r>
        <w:rPr>
          <w:rFonts w:hint="eastAsia"/>
          <w:highlight w:val="none"/>
          <w:lang w:val="zh-CN"/>
        </w:rPr>
        <w:t>（</w:t>
      </w:r>
      <w:r>
        <w:rPr>
          <w:rFonts w:hint="eastAsia"/>
          <w:highlight w:val="none"/>
        </w:rPr>
        <w:t>十</w:t>
      </w:r>
      <w:r>
        <w:rPr>
          <w:rFonts w:hint="eastAsia"/>
          <w:highlight w:val="none"/>
          <w:lang w:val="zh-CN"/>
        </w:rPr>
        <w:t>）重新开展采购</w:t>
      </w:r>
    </w:p>
    <w:p w14:paraId="1BB0BA25">
      <w:pPr>
        <w:pStyle w:val="41"/>
        <w:spacing w:line="360" w:lineRule="auto"/>
        <w:rPr>
          <w:highlight w:val="none"/>
        </w:rPr>
      </w:pPr>
      <w:r>
        <w:rPr>
          <w:rFonts w:hint="eastAsia"/>
          <w:highlight w:val="none"/>
          <w:lang w:val="en-US"/>
        </w:rPr>
        <w:t>25.</w:t>
      </w:r>
      <w:r>
        <w:rPr>
          <w:rFonts w:hint="eastAsia"/>
          <w:highlight w:val="none"/>
        </w:rPr>
        <w:t>有《中华人民共和国政府采购法》第七十一条、第七十二条规定的违法行为之一，影响或者可能影响中标结果的，依照下列规定处理：</w:t>
      </w:r>
    </w:p>
    <w:p w14:paraId="0D9C1B2D">
      <w:pPr>
        <w:pStyle w:val="41"/>
        <w:spacing w:line="360" w:lineRule="auto"/>
        <w:rPr>
          <w:highlight w:val="none"/>
        </w:rPr>
      </w:pPr>
      <w:r>
        <w:rPr>
          <w:rFonts w:hint="eastAsia"/>
          <w:highlight w:val="none"/>
          <w:lang w:val="en-US"/>
        </w:rPr>
        <w:t>25</w:t>
      </w:r>
      <w:r>
        <w:rPr>
          <w:rFonts w:hint="eastAsia"/>
          <w:highlight w:val="none"/>
        </w:rPr>
        <w:t>.1未确定中标供应商的，终止本次政府采购活动，重新开展政府采购活动。</w:t>
      </w:r>
    </w:p>
    <w:p w14:paraId="0547863C">
      <w:pPr>
        <w:pStyle w:val="41"/>
        <w:spacing w:line="360" w:lineRule="auto"/>
        <w:rPr>
          <w:highlight w:val="none"/>
        </w:rPr>
      </w:pPr>
      <w:r>
        <w:rPr>
          <w:rFonts w:hint="eastAsia"/>
          <w:highlight w:val="none"/>
          <w:lang w:val="en-US"/>
        </w:rPr>
        <w:t>25</w:t>
      </w:r>
      <w:r>
        <w:rPr>
          <w:rFonts w:hint="eastAsia"/>
          <w:highlight w:val="none"/>
        </w:rPr>
        <w:t>.2已确定中标供应商但尚未签订政府采购合同的，中标结果无效，从合格的中标候选人中另行确定中标供应商；没有合格的中标候选人的，重新开展政府采购活动。</w:t>
      </w:r>
    </w:p>
    <w:p w14:paraId="64D21FB9">
      <w:pPr>
        <w:pStyle w:val="41"/>
        <w:spacing w:line="360" w:lineRule="auto"/>
        <w:rPr>
          <w:highlight w:val="none"/>
        </w:rPr>
      </w:pPr>
      <w:r>
        <w:rPr>
          <w:rFonts w:hint="eastAsia"/>
          <w:highlight w:val="none"/>
          <w:lang w:val="en-US"/>
        </w:rPr>
        <w:t>25</w:t>
      </w:r>
      <w:r>
        <w:rPr>
          <w:rFonts w:hint="eastAsia"/>
          <w:highlight w:val="none"/>
        </w:rPr>
        <w:t>.3政府采购合同已签订但尚未履行的，撤销合同，从合格的中标候选人中另行确定中标供应商；没有合格的中标候选人的，重新开展政府采购活动。</w:t>
      </w:r>
    </w:p>
    <w:p w14:paraId="45A81838">
      <w:pPr>
        <w:pStyle w:val="41"/>
        <w:spacing w:line="360" w:lineRule="auto"/>
        <w:rPr>
          <w:highlight w:val="none"/>
        </w:rPr>
      </w:pPr>
      <w:r>
        <w:rPr>
          <w:rFonts w:hint="eastAsia"/>
          <w:highlight w:val="none"/>
          <w:lang w:val="en-US"/>
        </w:rPr>
        <w:t>25</w:t>
      </w:r>
      <w:r>
        <w:rPr>
          <w:rFonts w:hint="eastAsia"/>
          <w:highlight w:val="none"/>
        </w:rPr>
        <w:t>.4政府采购合同已经履行，给采购人、供应商造成损失的，由责任人承担赔偿责任。</w:t>
      </w:r>
    </w:p>
    <w:p w14:paraId="1A2B55B2">
      <w:pPr>
        <w:pStyle w:val="41"/>
        <w:spacing w:line="360" w:lineRule="auto"/>
        <w:rPr>
          <w:highlight w:val="none"/>
        </w:rPr>
      </w:pPr>
      <w:r>
        <w:rPr>
          <w:rFonts w:hint="eastAsia"/>
          <w:highlight w:val="none"/>
          <w:lang w:val="en-US"/>
        </w:rPr>
        <w:t>25</w:t>
      </w:r>
      <w:r>
        <w:rPr>
          <w:rFonts w:hint="eastAsia"/>
          <w:highlight w:val="none"/>
        </w:rPr>
        <w:t>.5政府采购当事人有其他违反《中华人民共和国政府采购法》或者《中华人民共和国政府采购法实施条例》等法律法规规定的行为，经改正后仍然影响或者可能影响中标结果或者依法被认定为中标无效的，依照</w:t>
      </w:r>
      <w:r>
        <w:rPr>
          <w:rFonts w:hint="eastAsia"/>
          <w:highlight w:val="none"/>
          <w:lang w:val="en-US"/>
        </w:rPr>
        <w:t>25</w:t>
      </w:r>
      <w:r>
        <w:rPr>
          <w:rFonts w:hint="eastAsia"/>
          <w:highlight w:val="none"/>
        </w:rPr>
        <w:t>.1—</w:t>
      </w:r>
      <w:r>
        <w:rPr>
          <w:rFonts w:hint="eastAsia"/>
          <w:highlight w:val="none"/>
          <w:lang w:val="en-US"/>
        </w:rPr>
        <w:t>25</w:t>
      </w:r>
      <w:r>
        <w:rPr>
          <w:rFonts w:hint="eastAsia"/>
          <w:highlight w:val="none"/>
        </w:rPr>
        <w:t>.4规定处理。</w:t>
      </w:r>
    </w:p>
    <w:bookmarkEnd w:id="291"/>
    <w:bookmarkEnd w:id="292"/>
    <w:bookmarkEnd w:id="293"/>
    <w:bookmarkEnd w:id="294"/>
    <w:bookmarkEnd w:id="295"/>
    <w:bookmarkEnd w:id="296"/>
    <w:bookmarkEnd w:id="297"/>
    <w:bookmarkEnd w:id="298"/>
    <w:bookmarkEnd w:id="299"/>
    <w:bookmarkEnd w:id="300"/>
    <w:p w14:paraId="01721EBD">
      <w:pPr>
        <w:pStyle w:val="4"/>
        <w:spacing w:line="360" w:lineRule="auto"/>
        <w:rPr>
          <w:highlight w:val="none"/>
        </w:rPr>
      </w:pPr>
      <w:bookmarkStart w:id="327" w:name="_Toc8700"/>
      <w:r>
        <w:rPr>
          <w:rFonts w:hint="eastAsia"/>
          <w:highlight w:val="none"/>
          <w:lang w:val="zh-CN"/>
        </w:rPr>
        <w:t>三、评标</w:t>
      </w:r>
      <w:r>
        <w:rPr>
          <w:rFonts w:hint="eastAsia"/>
          <w:highlight w:val="none"/>
        </w:rPr>
        <w:t>其他要求</w:t>
      </w:r>
      <w:bookmarkEnd w:id="327"/>
    </w:p>
    <w:p w14:paraId="79AD4A72">
      <w:pPr>
        <w:pStyle w:val="41"/>
        <w:spacing w:line="360" w:lineRule="auto"/>
        <w:rPr>
          <w:highlight w:val="none"/>
        </w:rPr>
      </w:pPr>
      <w:r>
        <w:rPr>
          <w:rFonts w:hint="eastAsia"/>
          <w:highlight w:val="none"/>
        </w:rPr>
        <w:t>【可根据项目的情况增加上述内容中未包含的要求】</w:t>
      </w:r>
    </w:p>
    <w:p w14:paraId="40EC80FF">
      <w:pPr>
        <w:pStyle w:val="4"/>
        <w:spacing w:line="360" w:lineRule="auto"/>
        <w:rPr>
          <w:highlight w:val="none"/>
          <w:lang w:val="zh-CN"/>
        </w:rPr>
      </w:pPr>
      <w:bookmarkStart w:id="328" w:name="_Toc3058"/>
      <w:bookmarkStart w:id="329" w:name="_Toc155185915"/>
      <w:bookmarkStart w:id="330" w:name="_Toc163492908"/>
      <w:r>
        <w:rPr>
          <w:rFonts w:hint="eastAsia"/>
          <w:highlight w:val="none"/>
        </w:rPr>
        <w:t>四</w:t>
      </w:r>
      <w:r>
        <w:rPr>
          <w:rFonts w:hint="eastAsia"/>
          <w:highlight w:val="none"/>
          <w:lang w:val="zh-CN"/>
        </w:rPr>
        <w:t>、评标标准</w:t>
      </w:r>
      <w:bookmarkEnd w:id="328"/>
      <w:bookmarkEnd w:id="329"/>
      <w:bookmarkEnd w:id="330"/>
    </w:p>
    <w:p w14:paraId="5F161E02">
      <w:pPr>
        <w:spacing w:line="360" w:lineRule="auto"/>
        <w:rPr>
          <w:rFonts w:hint="eastAsia"/>
          <w:highlight w:val="none"/>
          <w:lang w:val="zh-CN"/>
        </w:rPr>
      </w:pPr>
      <w:r>
        <w:rPr>
          <w:rFonts w:hint="eastAsia"/>
          <w:highlight w:val="none"/>
          <w:lang w:val="zh-CN"/>
        </w:rPr>
        <w:br w:type="page"/>
      </w:r>
    </w:p>
    <w:p w14:paraId="0A21DE81">
      <w:pPr>
        <w:pStyle w:val="5"/>
        <w:spacing w:line="360" w:lineRule="auto"/>
        <w:rPr>
          <w:highlight w:val="none"/>
          <w:lang w:val="zh-CN"/>
        </w:rPr>
      </w:pPr>
      <w:bookmarkStart w:id="331" w:name="_Toc163492909"/>
      <w:r>
        <w:rPr>
          <w:rFonts w:hint="eastAsia"/>
          <w:highlight w:val="none"/>
          <w:lang w:val="zh-CN"/>
        </w:rPr>
        <w:t>（一）符合性审查表</w:t>
      </w:r>
      <w:bookmarkEnd w:id="331"/>
    </w:p>
    <w:tbl>
      <w:tblPr>
        <w:tblStyle w:val="33"/>
        <w:tblW w:w="5509" w:type="pct"/>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24"/>
        <w:gridCol w:w="1718"/>
        <w:gridCol w:w="6257"/>
        <w:gridCol w:w="735"/>
        <w:gridCol w:w="1000"/>
      </w:tblGrid>
      <w:tr w14:paraId="3874F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256" w:type="pct"/>
            <w:vMerge w:val="restart"/>
            <w:shd w:val="clear" w:color="auto" w:fill="9FD3A4" w:themeFill="background1" w:themeFillShade="D9"/>
            <w:vAlign w:val="center"/>
          </w:tcPr>
          <w:p w14:paraId="5CC54AC0">
            <w:pPr>
              <w:pStyle w:val="53"/>
              <w:spacing w:line="360" w:lineRule="auto"/>
              <w:jc w:val="center"/>
              <w:rPr>
                <w:rFonts w:cs="宋体"/>
                <w:b/>
                <w:bCs/>
                <w:sz w:val="21"/>
                <w:szCs w:val="21"/>
                <w:highlight w:val="none"/>
                <w:lang w:val="zh-CN"/>
              </w:rPr>
            </w:pPr>
            <w:r>
              <w:rPr>
                <w:rFonts w:hint="eastAsia" w:cs="宋体"/>
                <w:b/>
                <w:bCs/>
                <w:sz w:val="21"/>
                <w:szCs w:val="21"/>
                <w:highlight w:val="none"/>
                <w:lang w:val="zh-CN"/>
              </w:rPr>
              <w:t>序号</w:t>
            </w:r>
          </w:p>
        </w:tc>
        <w:tc>
          <w:tcPr>
            <w:tcW w:w="839" w:type="pct"/>
            <w:vMerge w:val="restart"/>
            <w:shd w:val="clear" w:color="auto" w:fill="9FD3A4" w:themeFill="background1" w:themeFillShade="D9"/>
            <w:vAlign w:val="center"/>
          </w:tcPr>
          <w:p w14:paraId="6DEC7F16">
            <w:pPr>
              <w:pStyle w:val="53"/>
              <w:spacing w:line="360" w:lineRule="auto"/>
              <w:jc w:val="center"/>
              <w:rPr>
                <w:rFonts w:cs="宋体"/>
                <w:b/>
                <w:bCs/>
                <w:sz w:val="21"/>
                <w:szCs w:val="21"/>
                <w:highlight w:val="none"/>
                <w:lang w:val="zh-CN"/>
              </w:rPr>
            </w:pPr>
            <w:r>
              <w:rPr>
                <w:rFonts w:hint="eastAsia" w:cs="宋体"/>
                <w:b/>
                <w:bCs/>
                <w:sz w:val="21"/>
                <w:szCs w:val="21"/>
                <w:highlight w:val="none"/>
                <w:lang w:val="zh-CN"/>
              </w:rPr>
              <w:t>审查项名称</w:t>
            </w:r>
          </w:p>
        </w:tc>
        <w:tc>
          <w:tcPr>
            <w:tcW w:w="3056" w:type="pct"/>
            <w:vMerge w:val="restart"/>
            <w:shd w:val="clear" w:color="auto" w:fill="9FD3A4" w:themeFill="background1" w:themeFillShade="D9"/>
            <w:vAlign w:val="center"/>
          </w:tcPr>
          <w:p w14:paraId="73EC81B0">
            <w:pPr>
              <w:pStyle w:val="53"/>
              <w:spacing w:line="360" w:lineRule="auto"/>
              <w:jc w:val="center"/>
              <w:rPr>
                <w:rFonts w:cs="宋体"/>
                <w:b/>
                <w:bCs/>
                <w:sz w:val="21"/>
                <w:szCs w:val="21"/>
                <w:highlight w:val="none"/>
                <w:lang w:val="zh-CN"/>
              </w:rPr>
            </w:pPr>
            <w:r>
              <w:rPr>
                <w:rFonts w:hint="eastAsia" w:cs="宋体"/>
                <w:b/>
                <w:bCs/>
                <w:sz w:val="21"/>
                <w:szCs w:val="21"/>
                <w:highlight w:val="none"/>
                <w:lang w:val="zh-CN"/>
              </w:rPr>
              <w:t>审查内容</w:t>
            </w:r>
          </w:p>
        </w:tc>
        <w:tc>
          <w:tcPr>
            <w:tcW w:w="847" w:type="pct"/>
            <w:gridSpan w:val="2"/>
            <w:shd w:val="clear" w:color="auto" w:fill="9FD3A4" w:themeFill="background1" w:themeFillShade="D9"/>
            <w:vAlign w:val="center"/>
          </w:tcPr>
          <w:p w14:paraId="18A798BD">
            <w:pPr>
              <w:pStyle w:val="53"/>
              <w:spacing w:line="360" w:lineRule="auto"/>
              <w:jc w:val="center"/>
              <w:rPr>
                <w:rFonts w:cs="宋体"/>
                <w:b/>
                <w:bCs/>
                <w:sz w:val="21"/>
                <w:szCs w:val="21"/>
                <w:highlight w:val="none"/>
              </w:rPr>
            </w:pPr>
            <w:r>
              <w:rPr>
                <w:rFonts w:hint="eastAsia" w:cs="宋体"/>
                <w:b/>
                <w:bCs/>
                <w:sz w:val="21"/>
                <w:szCs w:val="21"/>
                <w:highlight w:val="none"/>
              </w:rPr>
              <w:t>审查结果</w:t>
            </w:r>
          </w:p>
        </w:tc>
      </w:tr>
      <w:tr w14:paraId="79A20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56" w:type="pct"/>
            <w:vMerge w:val="continue"/>
            <w:shd w:val="clear" w:color="auto" w:fill="9FD3A4" w:themeFill="background1" w:themeFillShade="D9"/>
            <w:vAlign w:val="center"/>
          </w:tcPr>
          <w:p w14:paraId="0277DD7B">
            <w:pPr>
              <w:pStyle w:val="53"/>
              <w:spacing w:line="360" w:lineRule="auto"/>
              <w:jc w:val="center"/>
              <w:rPr>
                <w:rFonts w:cs="宋体"/>
                <w:b/>
                <w:bCs/>
                <w:sz w:val="21"/>
                <w:szCs w:val="21"/>
                <w:highlight w:val="none"/>
                <w:lang w:val="zh-CN"/>
              </w:rPr>
            </w:pPr>
          </w:p>
        </w:tc>
        <w:tc>
          <w:tcPr>
            <w:tcW w:w="839" w:type="pct"/>
            <w:vMerge w:val="continue"/>
            <w:shd w:val="clear" w:color="auto" w:fill="9FD3A4" w:themeFill="background1" w:themeFillShade="D9"/>
            <w:vAlign w:val="center"/>
          </w:tcPr>
          <w:p w14:paraId="670E1F5C">
            <w:pPr>
              <w:pStyle w:val="53"/>
              <w:spacing w:line="360" w:lineRule="auto"/>
              <w:jc w:val="center"/>
              <w:rPr>
                <w:rFonts w:cs="宋体"/>
                <w:b/>
                <w:bCs/>
                <w:sz w:val="21"/>
                <w:szCs w:val="21"/>
                <w:highlight w:val="none"/>
                <w:lang w:val="zh-CN"/>
              </w:rPr>
            </w:pPr>
          </w:p>
        </w:tc>
        <w:tc>
          <w:tcPr>
            <w:tcW w:w="3056" w:type="pct"/>
            <w:vMerge w:val="continue"/>
            <w:shd w:val="clear" w:color="auto" w:fill="9FD3A4" w:themeFill="background1" w:themeFillShade="D9"/>
            <w:vAlign w:val="center"/>
          </w:tcPr>
          <w:p w14:paraId="51AA1D6C">
            <w:pPr>
              <w:pStyle w:val="53"/>
              <w:spacing w:line="360" w:lineRule="auto"/>
              <w:jc w:val="center"/>
              <w:rPr>
                <w:rFonts w:cs="宋体"/>
                <w:b/>
                <w:bCs/>
                <w:sz w:val="21"/>
                <w:szCs w:val="21"/>
                <w:highlight w:val="none"/>
                <w:lang w:val="zh-CN"/>
              </w:rPr>
            </w:pPr>
          </w:p>
        </w:tc>
        <w:tc>
          <w:tcPr>
            <w:tcW w:w="359" w:type="pct"/>
            <w:shd w:val="clear" w:color="auto" w:fill="9FD3A4" w:themeFill="background1" w:themeFillShade="D9"/>
            <w:vAlign w:val="center"/>
          </w:tcPr>
          <w:p w14:paraId="38758EB4">
            <w:pPr>
              <w:pStyle w:val="53"/>
              <w:spacing w:line="360" w:lineRule="auto"/>
              <w:jc w:val="center"/>
              <w:rPr>
                <w:rFonts w:cs="宋体"/>
                <w:b/>
                <w:bCs/>
                <w:sz w:val="21"/>
                <w:szCs w:val="21"/>
                <w:highlight w:val="none"/>
              </w:rPr>
            </w:pPr>
            <w:r>
              <w:rPr>
                <w:rFonts w:hint="eastAsia" w:cs="宋体"/>
                <w:b/>
                <w:bCs/>
                <w:sz w:val="21"/>
                <w:szCs w:val="21"/>
                <w:highlight w:val="none"/>
              </w:rPr>
              <w:t>符合</w:t>
            </w:r>
          </w:p>
        </w:tc>
        <w:tc>
          <w:tcPr>
            <w:tcW w:w="488" w:type="pct"/>
            <w:shd w:val="clear" w:color="auto" w:fill="9FD3A4" w:themeFill="background1" w:themeFillShade="D9"/>
            <w:vAlign w:val="center"/>
          </w:tcPr>
          <w:p w14:paraId="024444D5">
            <w:pPr>
              <w:pStyle w:val="53"/>
              <w:spacing w:line="360" w:lineRule="auto"/>
              <w:jc w:val="center"/>
              <w:rPr>
                <w:rFonts w:cs="宋体"/>
                <w:b/>
                <w:bCs/>
                <w:sz w:val="21"/>
                <w:szCs w:val="21"/>
                <w:highlight w:val="none"/>
              </w:rPr>
            </w:pPr>
            <w:r>
              <w:rPr>
                <w:rFonts w:hint="eastAsia" w:cs="宋体"/>
                <w:b/>
                <w:bCs/>
                <w:sz w:val="21"/>
                <w:szCs w:val="21"/>
                <w:highlight w:val="none"/>
              </w:rPr>
              <w:t>不符合</w:t>
            </w:r>
          </w:p>
        </w:tc>
      </w:tr>
      <w:tr w14:paraId="74A75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256" w:type="pct"/>
            <w:shd w:val="clear" w:color="auto" w:fill="auto"/>
            <w:vAlign w:val="center"/>
          </w:tcPr>
          <w:p w14:paraId="3E734F2E">
            <w:pPr>
              <w:pStyle w:val="53"/>
              <w:spacing w:line="360" w:lineRule="auto"/>
              <w:ind w:left="420" w:hanging="420"/>
              <w:jc w:val="center"/>
              <w:rPr>
                <w:rFonts w:cs="宋体"/>
                <w:sz w:val="21"/>
                <w:szCs w:val="21"/>
                <w:highlight w:val="none"/>
                <w:lang w:val="zh-CN"/>
              </w:rPr>
            </w:pPr>
            <w:r>
              <w:rPr>
                <w:rFonts w:hint="eastAsia" w:cs="宋体"/>
                <w:sz w:val="21"/>
                <w:szCs w:val="21"/>
                <w:highlight w:val="none"/>
                <w:lang w:val="zh-CN"/>
              </w:rPr>
              <w:t>1</w:t>
            </w:r>
          </w:p>
        </w:tc>
        <w:tc>
          <w:tcPr>
            <w:tcW w:w="839" w:type="pct"/>
            <w:vAlign w:val="center"/>
          </w:tcPr>
          <w:p w14:paraId="4E711BE3">
            <w:pPr>
              <w:pStyle w:val="53"/>
              <w:spacing w:line="360" w:lineRule="auto"/>
              <w:rPr>
                <w:rFonts w:cs="宋体"/>
                <w:sz w:val="21"/>
                <w:szCs w:val="21"/>
                <w:highlight w:val="none"/>
                <w:lang w:val="zh-CN"/>
              </w:rPr>
            </w:pPr>
            <w:r>
              <w:rPr>
                <w:rFonts w:hint="eastAsia" w:cs="宋体"/>
                <w:sz w:val="21"/>
                <w:szCs w:val="21"/>
                <w:highlight w:val="none"/>
                <w:lang w:val="zh-CN"/>
              </w:rPr>
              <w:t>投标文件</w:t>
            </w:r>
            <w:r>
              <w:rPr>
                <w:rFonts w:hint="eastAsia" w:cs="宋体"/>
                <w:sz w:val="21"/>
                <w:szCs w:val="21"/>
                <w:highlight w:val="none"/>
              </w:rPr>
              <w:t>签署</w:t>
            </w:r>
          </w:p>
        </w:tc>
        <w:tc>
          <w:tcPr>
            <w:tcW w:w="3056" w:type="pct"/>
            <w:shd w:val="clear" w:color="auto" w:fill="auto"/>
            <w:vAlign w:val="center"/>
          </w:tcPr>
          <w:p w14:paraId="2DF52334">
            <w:pPr>
              <w:pStyle w:val="53"/>
              <w:spacing w:line="360" w:lineRule="auto"/>
              <w:rPr>
                <w:rFonts w:cs="宋体"/>
                <w:sz w:val="21"/>
                <w:szCs w:val="21"/>
                <w:highlight w:val="none"/>
                <w:lang w:val="zh-CN"/>
              </w:rPr>
            </w:pPr>
            <w:r>
              <w:rPr>
                <w:rFonts w:hint="eastAsia" w:cs="宋体"/>
                <w:sz w:val="21"/>
                <w:szCs w:val="21"/>
                <w:highlight w:val="none"/>
              </w:rPr>
              <w:t>投标文件按招标文件要求签署、盖章的</w:t>
            </w:r>
          </w:p>
        </w:tc>
        <w:tc>
          <w:tcPr>
            <w:tcW w:w="359" w:type="pct"/>
            <w:shd w:val="clear" w:color="auto" w:fill="auto"/>
            <w:vAlign w:val="center"/>
          </w:tcPr>
          <w:p w14:paraId="7C88CBF2">
            <w:pPr>
              <w:pStyle w:val="53"/>
              <w:spacing w:line="360" w:lineRule="auto"/>
              <w:rPr>
                <w:rFonts w:cs="宋体"/>
                <w:sz w:val="21"/>
                <w:szCs w:val="21"/>
                <w:highlight w:val="none"/>
                <w:lang w:val="zh-CN"/>
              </w:rPr>
            </w:pPr>
          </w:p>
        </w:tc>
        <w:tc>
          <w:tcPr>
            <w:tcW w:w="488" w:type="pct"/>
            <w:shd w:val="clear" w:color="auto" w:fill="auto"/>
            <w:vAlign w:val="center"/>
          </w:tcPr>
          <w:p w14:paraId="5BC72869">
            <w:pPr>
              <w:pStyle w:val="53"/>
              <w:spacing w:line="360" w:lineRule="auto"/>
              <w:rPr>
                <w:rFonts w:cs="宋体"/>
                <w:sz w:val="21"/>
                <w:szCs w:val="21"/>
                <w:highlight w:val="none"/>
                <w:lang w:val="zh-CN"/>
              </w:rPr>
            </w:pPr>
          </w:p>
        </w:tc>
      </w:tr>
      <w:tr w14:paraId="15016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256" w:type="pct"/>
            <w:shd w:val="clear" w:color="auto" w:fill="auto"/>
            <w:vAlign w:val="center"/>
          </w:tcPr>
          <w:p w14:paraId="0957379E">
            <w:pPr>
              <w:pStyle w:val="53"/>
              <w:spacing w:line="360" w:lineRule="auto"/>
              <w:ind w:left="420" w:leftChars="0" w:hanging="420" w:firstLineChars="0"/>
              <w:jc w:val="center"/>
              <w:rPr>
                <w:rFonts w:hint="eastAsia" w:ascii="宋体" w:hAnsi="宋体" w:eastAsia="宋体" w:cs="宋体"/>
                <w:kern w:val="2"/>
                <w:sz w:val="21"/>
                <w:szCs w:val="21"/>
                <w:highlight w:val="none"/>
                <w:lang w:val="zh-CN" w:eastAsia="zh-CN" w:bidi="ar-SA"/>
              </w:rPr>
            </w:pPr>
            <w:r>
              <w:rPr>
                <w:rFonts w:hint="eastAsia" w:cs="宋体"/>
                <w:sz w:val="21"/>
                <w:szCs w:val="21"/>
                <w:highlight w:val="none"/>
                <w:lang w:val="zh-CN"/>
              </w:rPr>
              <w:t>2</w:t>
            </w:r>
          </w:p>
        </w:tc>
        <w:tc>
          <w:tcPr>
            <w:tcW w:w="839" w:type="pct"/>
            <w:vAlign w:val="center"/>
          </w:tcPr>
          <w:p w14:paraId="4E22DDF1">
            <w:pPr>
              <w:pStyle w:val="53"/>
              <w:spacing w:line="360" w:lineRule="auto"/>
              <w:rPr>
                <w:rFonts w:hint="eastAsia" w:cs="宋体"/>
                <w:sz w:val="21"/>
                <w:szCs w:val="21"/>
                <w:highlight w:val="none"/>
                <w:lang w:val="zh-CN"/>
              </w:rPr>
            </w:pPr>
            <w:r>
              <w:rPr>
                <w:rFonts w:hint="eastAsia" w:cs="宋体"/>
                <w:sz w:val="21"/>
                <w:szCs w:val="21"/>
                <w:highlight w:val="none"/>
                <w:lang w:val="zh-CN"/>
              </w:rPr>
              <w:t>实质性要求</w:t>
            </w:r>
          </w:p>
        </w:tc>
        <w:tc>
          <w:tcPr>
            <w:tcW w:w="3056" w:type="pct"/>
            <w:shd w:val="clear" w:color="auto" w:fill="auto"/>
            <w:vAlign w:val="center"/>
          </w:tcPr>
          <w:p w14:paraId="6E2A8E5D">
            <w:pPr>
              <w:pStyle w:val="53"/>
              <w:spacing w:line="360" w:lineRule="auto"/>
              <w:rPr>
                <w:rFonts w:hint="eastAsia" w:cs="宋体"/>
                <w:sz w:val="21"/>
                <w:szCs w:val="21"/>
                <w:highlight w:val="none"/>
              </w:rPr>
            </w:pPr>
            <w:r>
              <w:rPr>
                <w:rFonts w:hint="eastAsia" w:cs="宋体"/>
                <w:sz w:val="21"/>
                <w:szCs w:val="21"/>
                <w:highlight w:val="none"/>
              </w:rPr>
              <w:t>投标</w:t>
            </w:r>
            <w:r>
              <w:rPr>
                <w:rFonts w:hint="eastAsia" w:cs="宋体"/>
                <w:sz w:val="21"/>
                <w:szCs w:val="21"/>
                <w:highlight w:val="none"/>
                <w:lang w:val="zh-CN"/>
              </w:rPr>
              <w:t>文件满足</w:t>
            </w:r>
            <w:r>
              <w:rPr>
                <w:rFonts w:hint="eastAsia" w:cs="宋体"/>
                <w:sz w:val="21"/>
                <w:szCs w:val="21"/>
                <w:highlight w:val="none"/>
              </w:rPr>
              <w:t>招标</w:t>
            </w:r>
            <w:r>
              <w:rPr>
                <w:rFonts w:hint="eastAsia" w:cs="宋体"/>
                <w:sz w:val="21"/>
                <w:szCs w:val="21"/>
                <w:highlight w:val="none"/>
                <w:lang w:val="zh-CN"/>
              </w:rPr>
              <w:t>文件中标注“★”号的实质性条款（或指标）要求的</w:t>
            </w:r>
            <w:r>
              <w:rPr>
                <w:rFonts w:hint="eastAsia" w:cs="宋体"/>
                <w:sz w:val="21"/>
                <w:szCs w:val="21"/>
                <w:highlight w:val="none"/>
              </w:rPr>
              <w:t>，具体详见</w:t>
            </w:r>
            <w:r>
              <w:rPr>
                <w:rFonts w:hint="eastAsia" w:cs="宋体"/>
                <w:sz w:val="21"/>
                <w:szCs w:val="21"/>
                <w:highlight w:val="none"/>
                <w:lang w:val="zh-CN"/>
              </w:rPr>
              <w:t>“实质性响应一览表”</w:t>
            </w:r>
          </w:p>
        </w:tc>
        <w:tc>
          <w:tcPr>
            <w:tcW w:w="359" w:type="pct"/>
            <w:shd w:val="clear" w:color="auto" w:fill="auto"/>
            <w:vAlign w:val="center"/>
          </w:tcPr>
          <w:p w14:paraId="0BFA3F0F">
            <w:pPr>
              <w:pStyle w:val="53"/>
              <w:spacing w:line="360" w:lineRule="auto"/>
              <w:rPr>
                <w:rFonts w:cs="宋体"/>
                <w:sz w:val="21"/>
                <w:szCs w:val="21"/>
                <w:highlight w:val="none"/>
                <w:lang w:val="zh-CN"/>
              </w:rPr>
            </w:pPr>
          </w:p>
        </w:tc>
        <w:tc>
          <w:tcPr>
            <w:tcW w:w="488" w:type="pct"/>
            <w:shd w:val="clear" w:color="auto" w:fill="auto"/>
            <w:vAlign w:val="center"/>
          </w:tcPr>
          <w:p w14:paraId="742F90C2">
            <w:pPr>
              <w:pStyle w:val="53"/>
              <w:spacing w:line="360" w:lineRule="auto"/>
              <w:rPr>
                <w:rFonts w:cs="宋体"/>
                <w:sz w:val="21"/>
                <w:szCs w:val="21"/>
                <w:highlight w:val="none"/>
                <w:lang w:val="zh-CN"/>
              </w:rPr>
            </w:pPr>
          </w:p>
        </w:tc>
      </w:tr>
      <w:tr w14:paraId="0EFE8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trPr>
        <w:tc>
          <w:tcPr>
            <w:tcW w:w="256" w:type="pct"/>
            <w:shd w:val="clear" w:color="auto" w:fill="auto"/>
            <w:vAlign w:val="center"/>
          </w:tcPr>
          <w:p w14:paraId="6434299E">
            <w:pPr>
              <w:pStyle w:val="53"/>
              <w:spacing w:line="360" w:lineRule="auto"/>
              <w:jc w:val="center"/>
              <w:rPr>
                <w:rFonts w:hint="eastAsia" w:eastAsia="宋体" w:cs="宋体"/>
                <w:sz w:val="21"/>
                <w:szCs w:val="21"/>
                <w:highlight w:val="none"/>
                <w:lang w:val="en-US" w:eastAsia="zh-CN"/>
              </w:rPr>
            </w:pPr>
            <w:r>
              <w:rPr>
                <w:rFonts w:hint="eastAsia" w:cs="宋体"/>
                <w:sz w:val="21"/>
                <w:szCs w:val="21"/>
                <w:highlight w:val="none"/>
                <w:lang w:val="en-US" w:eastAsia="zh-CN"/>
              </w:rPr>
              <w:t>3</w:t>
            </w:r>
          </w:p>
        </w:tc>
        <w:tc>
          <w:tcPr>
            <w:tcW w:w="839" w:type="pct"/>
            <w:vAlign w:val="center"/>
          </w:tcPr>
          <w:p w14:paraId="1CC187B2">
            <w:pPr>
              <w:pStyle w:val="53"/>
              <w:spacing w:line="360" w:lineRule="auto"/>
              <w:rPr>
                <w:rFonts w:hint="eastAsia" w:cs="宋体"/>
                <w:sz w:val="21"/>
                <w:szCs w:val="21"/>
                <w:highlight w:val="none"/>
                <w:lang w:val="zh-CN"/>
              </w:rPr>
            </w:pPr>
            <w:r>
              <w:rPr>
                <w:rFonts w:hint="eastAsia" w:cs="宋体"/>
                <w:sz w:val="21"/>
                <w:szCs w:val="21"/>
                <w:highlight w:val="none"/>
                <w:lang w:val="zh-CN"/>
              </w:rPr>
              <w:t>投标报价</w:t>
            </w:r>
          </w:p>
        </w:tc>
        <w:tc>
          <w:tcPr>
            <w:tcW w:w="3056" w:type="pct"/>
            <w:shd w:val="clear" w:color="auto" w:fill="auto"/>
            <w:vAlign w:val="center"/>
          </w:tcPr>
          <w:p w14:paraId="2831E1F8">
            <w:pPr>
              <w:pStyle w:val="53"/>
              <w:spacing w:line="360" w:lineRule="auto"/>
              <w:rPr>
                <w:rFonts w:hint="eastAsia" w:cs="宋体"/>
                <w:sz w:val="21"/>
                <w:szCs w:val="21"/>
                <w:highlight w:val="none"/>
              </w:rPr>
            </w:pPr>
            <w:r>
              <w:rPr>
                <w:rFonts w:hint="eastAsia" w:cs="宋体"/>
                <w:sz w:val="21"/>
                <w:szCs w:val="21"/>
                <w:highlight w:val="none"/>
              </w:rPr>
              <w:t>投标人报价未超过招标文件中规定的最高限价或者预算金额的，同时投标单价未高于本项目单个采购</w:t>
            </w:r>
            <w:r>
              <w:rPr>
                <w:rFonts w:hint="eastAsia" w:cs="宋体"/>
                <w:sz w:val="21"/>
                <w:szCs w:val="21"/>
                <w:highlight w:val="none"/>
                <w:lang w:eastAsia="zh-CN"/>
              </w:rPr>
              <w:t>品种</w:t>
            </w:r>
            <w:r>
              <w:rPr>
                <w:rFonts w:hint="eastAsia" w:cs="宋体"/>
                <w:sz w:val="21"/>
                <w:szCs w:val="21"/>
                <w:highlight w:val="none"/>
              </w:rPr>
              <w:t>最高限价单价的</w:t>
            </w:r>
          </w:p>
        </w:tc>
        <w:tc>
          <w:tcPr>
            <w:tcW w:w="359" w:type="pct"/>
            <w:shd w:val="clear" w:color="auto" w:fill="auto"/>
            <w:vAlign w:val="center"/>
          </w:tcPr>
          <w:p w14:paraId="154D6662">
            <w:pPr>
              <w:pStyle w:val="53"/>
              <w:spacing w:line="360" w:lineRule="auto"/>
              <w:rPr>
                <w:rFonts w:cs="宋体"/>
                <w:sz w:val="21"/>
                <w:szCs w:val="21"/>
                <w:highlight w:val="none"/>
                <w:lang w:val="zh-CN"/>
              </w:rPr>
            </w:pPr>
          </w:p>
        </w:tc>
        <w:tc>
          <w:tcPr>
            <w:tcW w:w="488" w:type="pct"/>
            <w:shd w:val="clear" w:color="auto" w:fill="auto"/>
            <w:vAlign w:val="center"/>
          </w:tcPr>
          <w:p w14:paraId="5FB82816">
            <w:pPr>
              <w:pStyle w:val="53"/>
              <w:spacing w:line="360" w:lineRule="auto"/>
              <w:rPr>
                <w:rFonts w:cs="宋体"/>
                <w:sz w:val="21"/>
                <w:szCs w:val="21"/>
                <w:highlight w:val="none"/>
                <w:lang w:val="zh-CN"/>
              </w:rPr>
            </w:pPr>
          </w:p>
        </w:tc>
      </w:tr>
      <w:tr w14:paraId="19A75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256" w:type="pct"/>
            <w:shd w:val="clear" w:color="auto" w:fill="auto"/>
            <w:vAlign w:val="center"/>
          </w:tcPr>
          <w:p w14:paraId="6FFBEFAF">
            <w:pPr>
              <w:pStyle w:val="53"/>
              <w:spacing w:line="360" w:lineRule="auto"/>
              <w:ind w:left="420" w:leftChars="0" w:hanging="420" w:firstLineChars="0"/>
              <w:jc w:val="center"/>
              <w:rPr>
                <w:rFonts w:hint="eastAsia" w:ascii="宋体" w:hAnsi="宋体" w:eastAsia="宋体" w:cs="宋体"/>
                <w:kern w:val="2"/>
                <w:sz w:val="21"/>
                <w:szCs w:val="21"/>
                <w:highlight w:val="none"/>
                <w:lang w:val="zh-CN" w:eastAsia="zh-CN" w:bidi="ar-SA"/>
              </w:rPr>
            </w:pPr>
            <w:r>
              <w:rPr>
                <w:rFonts w:hint="eastAsia" w:cs="宋体"/>
                <w:sz w:val="21"/>
                <w:szCs w:val="21"/>
                <w:highlight w:val="none"/>
                <w:lang w:val="en-US" w:eastAsia="zh-CN"/>
              </w:rPr>
              <w:t>4</w:t>
            </w:r>
          </w:p>
        </w:tc>
        <w:tc>
          <w:tcPr>
            <w:tcW w:w="839" w:type="pct"/>
            <w:vAlign w:val="center"/>
          </w:tcPr>
          <w:p w14:paraId="1D516D30">
            <w:pPr>
              <w:pStyle w:val="53"/>
              <w:spacing w:line="360" w:lineRule="auto"/>
              <w:rPr>
                <w:rFonts w:cs="宋体"/>
                <w:sz w:val="21"/>
                <w:szCs w:val="21"/>
                <w:highlight w:val="none"/>
                <w:lang w:val="zh-CN"/>
              </w:rPr>
            </w:pPr>
            <w:r>
              <w:rPr>
                <w:rFonts w:hint="eastAsia" w:cs="宋体"/>
                <w:sz w:val="21"/>
                <w:szCs w:val="21"/>
                <w:highlight w:val="none"/>
              </w:rPr>
              <w:t>采购清单</w:t>
            </w:r>
          </w:p>
        </w:tc>
        <w:tc>
          <w:tcPr>
            <w:tcW w:w="3056" w:type="pct"/>
            <w:shd w:val="clear" w:color="auto" w:fill="auto"/>
            <w:vAlign w:val="center"/>
          </w:tcPr>
          <w:p w14:paraId="18D4F43E">
            <w:pPr>
              <w:pStyle w:val="53"/>
              <w:spacing w:line="360" w:lineRule="auto"/>
              <w:rPr>
                <w:rFonts w:cs="宋体"/>
                <w:sz w:val="21"/>
                <w:szCs w:val="21"/>
                <w:highlight w:val="none"/>
              </w:rPr>
            </w:pPr>
            <w:r>
              <w:rPr>
                <w:rFonts w:hint="eastAsia" w:cs="宋体"/>
                <w:sz w:val="21"/>
                <w:szCs w:val="21"/>
                <w:highlight w:val="none"/>
              </w:rPr>
              <w:t>未改变招标文件提供的采购标的清单数量和缺漏项的</w:t>
            </w:r>
          </w:p>
        </w:tc>
        <w:tc>
          <w:tcPr>
            <w:tcW w:w="359" w:type="pct"/>
            <w:shd w:val="clear" w:color="auto" w:fill="auto"/>
            <w:vAlign w:val="center"/>
          </w:tcPr>
          <w:p w14:paraId="3B26CED9">
            <w:pPr>
              <w:pStyle w:val="53"/>
              <w:spacing w:line="360" w:lineRule="auto"/>
              <w:rPr>
                <w:rFonts w:cs="宋体"/>
                <w:sz w:val="21"/>
                <w:szCs w:val="21"/>
                <w:highlight w:val="none"/>
                <w:lang w:val="zh-CN"/>
              </w:rPr>
            </w:pPr>
          </w:p>
        </w:tc>
        <w:tc>
          <w:tcPr>
            <w:tcW w:w="488" w:type="pct"/>
            <w:shd w:val="clear" w:color="auto" w:fill="auto"/>
            <w:vAlign w:val="center"/>
          </w:tcPr>
          <w:p w14:paraId="4327FBDD">
            <w:pPr>
              <w:pStyle w:val="53"/>
              <w:spacing w:line="360" w:lineRule="auto"/>
              <w:rPr>
                <w:rFonts w:cs="宋体"/>
                <w:sz w:val="21"/>
                <w:szCs w:val="21"/>
                <w:highlight w:val="none"/>
                <w:lang w:val="zh-CN"/>
              </w:rPr>
            </w:pPr>
          </w:p>
        </w:tc>
      </w:tr>
      <w:tr w14:paraId="167B7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trPr>
        <w:tc>
          <w:tcPr>
            <w:tcW w:w="256" w:type="pct"/>
            <w:shd w:val="clear" w:color="auto" w:fill="auto"/>
            <w:vAlign w:val="center"/>
          </w:tcPr>
          <w:p w14:paraId="263D5062">
            <w:pPr>
              <w:pStyle w:val="53"/>
              <w:spacing w:line="360" w:lineRule="auto"/>
              <w:ind w:left="420" w:leftChars="0" w:hanging="420" w:firstLineChars="0"/>
              <w:jc w:val="center"/>
              <w:rPr>
                <w:rFonts w:hint="eastAsia" w:ascii="宋体" w:hAnsi="宋体" w:eastAsia="宋体" w:cs="宋体"/>
                <w:kern w:val="2"/>
                <w:sz w:val="21"/>
                <w:szCs w:val="21"/>
                <w:highlight w:val="none"/>
                <w:lang w:val="zh-CN" w:eastAsia="zh-CN" w:bidi="ar-SA"/>
              </w:rPr>
            </w:pPr>
            <w:r>
              <w:rPr>
                <w:rFonts w:hint="eastAsia" w:cs="宋体"/>
                <w:sz w:val="21"/>
                <w:szCs w:val="21"/>
                <w:highlight w:val="none"/>
                <w:lang w:val="en-US" w:eastAsia="zh-CN"/>
              </w:rPr>
              <w:t>5</w:t>
            </w:r>
          </w:p>
        </w:tc>
        <w:tc>
          <w:tcPr>
            <w:tcW w:w="839" w:type="pct"/>
            <w:shd w:val="clear" w:color="auto" w:fill="auto"/>
            <w:vAlign w:val="center"/>
          </w:tcPr>
          <w:p w14:paraId="0A6C7FBE">
            <w:pPr>
              <w:pStyle w:val="53"/>
              <w:spacing w:line="360" w:lineRule="auto"/>
              <w:rPr>
                <w:rFonts w:cs="宋体"/>
                <w:sz w:val="21"/>
                <w:szCs w:val="21"/>
                <w:highlight w:val="none"/>
                <w:lang w:val="zh-CN"/>
              </w:rPr>
            </w:pPr>
            <w:r>
              <w:rPr>
                <w:rFonts w:hint="eastAsia" w:cs="宋体"/>
                <w:sz w:val="21"/>
                <w:szCs w:val="21"/>
                <w:highlight w:val="none"/>
              </w:rPr>
              <w:t>虚假材料</w:t>
            </w:r>
          </w:p>
        </w:tc>
        <w:tc>
          <w:tcPr>
            <w:tcW w:w="3056" w:type="pct"/>
            <w:shd w:val="clear" w:color="auto" w:fill="auto"/>
            <w:vAlign w:val="center"/>
          </w:tcPr>
          <w:p w14:paraId="7AEEE88E">
            <w:pPr>
              <w:pStyle w:val="53"/>
              <w:spacing w:line="360" w:lineRule="auto"/>
              <w:rPr>
                <w:rFonts w:cs="宋体"/>
                <w:sz w:val="21"/>
                <w:szCs w:val="21"/>
                <w:highlight w:val="none"/>
              </w:rPr>
            </w:pPr>
            <w:r>
              <w:rPr>
                <w:rFonts w:hint="eastAsia" w:cs="宋体"/>
                <w:sz w:val="21"/>
                <w:szCs w:val="21"/>
                <w:highlight w:val="none"/>
              </w:rPr>
              <w:t>投标</w:t>
            </w:r>
            <w:r>
              <w:rPr>
                <w:rFonts w:hint="eastAsia" w:cs="宋体"/>
                <w:sz w:val="21"/>
                <w:szCs w:val="21"/>
                <w:highlight w:val="none"/>
                <w:lang w:val="zh-CN"/>
              </w:rPr>
              <w:t>文件</w:t>
            </w:r>
            <w:r>
              <w:rPr>
                <w:rFonts w:hint="eastAsia" w:cs="宋体"/>
                <w:sz w:val="21"/>
                <w:szCs w:val="21"/>
                <w:highlight w:val="none"/>
              </w:rPr>
              <w:t>未</w:t>
            </w:r>
            <w:r>
              <w:rPr>
                <w:rFonts w:hint="eastAsia" w:cs="宋体"/>
                <w:sz w:val="21"/>
                <w:szCs w:val="21"/>
                <w:highlight w:val="none"/>
                <w:lang w:val="zh-CN"/>
              </w:rPr>
              <w:t>提供虚假材料的</w:t>
            </w:r>
          </w:p>
        </w:tc>
        <w:tc>
          <w:tcPr>
            <w:tcW w:w="359" w:type="pct"/>
            <w:shd w:val="clear" w:color="auto" w:fill="auto"/>
            <w:vAlign w:val="center"/>
          </w:tcPr>
          <w:p w14:paraId="490B5610">
            <w:pPr>
              <w:pStyle w:val="53"/>
              <w:spacing w:line="360" w:lineRule="auto"/>
              <w:rPr>
                <w:rFonts w:cs="宋体"/>
                <w:sz w:val="21"/>
                <w:szCs w:val="21"/>
                <w:highlight w:val="none"/>
                <w:lang w:val="zh-CN"/>
              </w:rPr>
            </w:pPr>
          </w:p>
        </w:tc>
        <w:tc>
          <w:tcPr>
            <w:tcW w:w="488" w:type="pct"/>
            <w:shd w:val="clear" w:color="auto" w:fill="auto"/>
            <w:vAlign w:val="center"/>
          </w:tcPr>
          <w:p w14:paraId="7836B0B0">
            <w:pPr>
              <w:pStyle w:val="53"/>
              <w:spacing w:line="360" w:lineRule="auto"/>
              <w:rPr>
                <w:rFonts w:cs="宋体"/>
                <w:sz w:val="21"/>
                <w:szCs w:val="21"/>
                <w:highlight w:val="none"/>
                <w:lang w:val="zh-CN"/>
              </w:rPr>
            </w:pPr>
          </w:p>
        </w:tc>
      </w:tr>
      <w:tr w14:paraId="56956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256" w:type="pct"/>
            <w:shd w:val="clear" w:color="auto" w:fill="auto"/>
            <w:vAlign w:val="center"/>
          </w:tcPr>
          <w:p w14:paraId="7A8062A6">
            <w:pPr>
              <w:pStyle w:val="53"/>
              <w:spacing w:line="360" w:lineRule="auto"/>
              <w:jc w:val="center"/>
              <w:rPr>
                <w:rFonts w:hint="eastAsia" w:ascii="宋体" w:hAnsi="宋体" w:eastAsia="宋体" w:cs="宋体"/>
                <w:kern w:val="2"/>
                <w:sz w:val="21"/>
                <w:szCs w:val="21"/>
                <w:highlight w:val="none"/>
                <w:lang w:val="zh-CN" w:eastAsia="zh-CN" w:bidi="ar-SA"/>
              </w:rPr>
            </w:pPr>
            <w:r>
              <w:rPr>
                <w:rFonts w:hint="eastAsia" w:cs="宋体"/>
                <w:sz w:val="21"/>
                <w:szCs w:val="21"/>
                <w:highlight w:val="none"/>
                <w:lang w:val="en-US" w:eastAsia="zh-CN"/>
              </w:rPr>
              <w:t>6</w:t>
            </w:r>
          </w:p>
        </w:tc>
        <w:tc>
          <w:tcPr>
            <w:tcW w:w="839" w:type="pct"/>
            <w:vAlign w:val="center"/>
          </w:tcPr>
          <w:p w14:paraId="32AF7CC4">
            <w:pPr>
              <w:pStyle w:val="53"/>
              <w:spacing w:line="360" w:lineRule="auto"/>
              <w:rPr>
                <w:rFonts w:cs="宋体"/>
                <w:sz w:val="21"/>
                <w:szCs w:val="21"/>
                <w:highlight w:val="none"/>
              </w:rPr>
            </w:pPr>
            <w:r>
              <w:rPr>
                <w:rFonts w:hint="eastAsia" w:cs="宋体"/>
                <w:sz w:val="21"/>
                <w:szCs w:val="21"/>
                <w:highlight w:val="none"/>
              </w:rPr>
              <w:t>投标保证金</w:t>
            </w:r>
          </w:p>
        </w:tc>
        <w:tc>
          <w:tcPr>
            <w:tcW w:w="3056" w:type="pct"/>
            <w:shd w:val="clear" w:color="auto" w:fill="auto"/>
            <w:vAlign w:val="center"/>
          </w:tcPr>
          <w:p w14:paraId="28C7BF8B">
            <w:pPr>
              <w:pStyle w:val="53"/>
              <w:spacing w:line="360" w:lineRule="auto"/>
              <w:rPr>
                <w:rFonts w:cs="宋体"/>
                <w:sz w:val="21"/>
                <w:szCs w:val="21"/>
                <w:highlight w:val="none"/>
                <w:lang w:val="zh-CN"/>
              </w:rPr>
            </w:pPr>
            <w:r>
              <w:rPr>
                <w:rFonts w:hint="eastAsia" w:cs="宋体"/>
                <w:sz w:val="21"/>
                <w:szCs w:val="21"/>
                <w:highlight w:val="none"/>
              </w:rPr>
              <w:t>投标人按招标文件的规定交纳投标保证金的</w:t>
            </w:r>
          </w:p>
        </w:tc>
        <w:tc>
          <w:tcPr>
            <w:tcW w:w="359" w:type="pct"/>
            <w:shd w:val="clear" w:color="auto" w:fill="auto"/>
            <w:vAlign w:val="center"/>
          </w:tcPr>
          <w:p w14:paraId="26BF62E0">
            <w:pPr>
              <w:pStyle w:val="53"/>
              <w:spacing w:line="360" w:lineRule="auto"/>
              <w:rPr>
                <w:rFonts w:cs="宋体"/>
                <w:sz w:val="21"/>
                <w:szCs w:val="21"/>
                <w:highlight w:val="none"/>
                <w:lang w:val="zh-CN"/>
              </w:rPr>
            </w:pPr>
          </w:p>
        </w:tc>
        <w:tc>
          <w:tcPr>
            <w:tcW w:w="488" w:type="pct"/>
            <w:shd w:val="clear" w:color="auto" w:fill="auto"/>
            <w:vAlign w:val="center"/>
          </w:tcPr>
          <w:p w14:paraId="3B821674">
            <w:pPr>
              <w:pStyle w:val="53"/>
              <w:spacing w:line="360" w:lineRule="auto"/>
              <w:rPr>
                <w:rFonts w:cs="宋体"/>
                <w:sz w:val="21"/>
                <w:szCs w:val="21"/>
                <w:highlight w:val="none"/>
                <w:lang w:val="zh-CN"/>
              </w:rPr>
            </w:pPr>
          </w:p>
        </w:tc>
      </w:tr>
      <w:tr w14:paraId="43EEF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4" w:hRule="atLeast"/>
        </w:trPr>
        <w:tc>
          <w:tcPr>
            <w:tcW w:w="256" w:type="pct"/>
            <w:shd w:val="clear" w:color="auto" w:fill="auto"/>
            <w:vAlign w:val="center"/>
          </w:tcPr>
          <w:p w14:paraId="1E562393">
            <w:pPr>
              <w:pStyle w:val="53"/>
              <w:spacing w:line="360" w:lineRule="auto"/>
              <w:ind w:left="420" w:leftChars="0" w:hanging="420" w:firstLineChars="0"/>
              <w:jc w:val="center"/>
              <w:rPr>
                <w:rFonts w:hint="eastAsia" w:ascii="宋体" w:hAnsi="宋体" w:eastAsia="宋体" w:cs="宋体"/>
                <w:kern w:val="2"/>
                <w:sz w:val="21"/>
                <w:szCs w:val="21"/>
                <w:highlight w:val="none"/>
                <w:lang w:val="zh-CN" w:eastAsia="zh-CN" w:bidi="ar-SA"/>
              </w:rPr>
            </w:pPr>
            <w:r>
              <w:rPr>
                <w:rFonts w:hint="eastAsia" w:cs="宋体"/>
                <w:sz w:val="21"/>
                <w:szCs w:val="21"/>
                <w:highlight w:val="none"/>
                <w:lang w:val="en-US" w:eastAsia="zh-CN"/>
              </w:rPr>
              <w:t>7</w:t>
            </w:r>
          </w:p>
        </w:tc>
        <w:tc>
          <w:tcPr>
            <w:tcW w:w="839" w:type="pct"/>
            <w:vAlign w:val="center"/>
          </w:tcPr>
          <w:p w14:paraId="367CBC78">
            <w:pPr>
              <w:pStyle w:val="53"/>
              <w:spacing w:line="360" w:lineRule="auto"/>
              <w:rPr>
                <w:rFonts w:hint="eastAsia" w:eastAsia="宋体" w:cs="宋体"/>
                <w:color w:val="FF0000"/>
                <w:sz w:val="21"/>
                <w:szCs w:val="21"/>
                <w:highlight w:val="none"/>
                <w:lang w:eastAsia="zh-CN"/>
              </w:rPr>
            </w:pPr>
            <w:r>
              <w:rPr>
                <w:rFonts w:hint="eastAsia" w:cs="宋体"/>
                <w:sz w:val="21"/>
                <w:szCs w:val="21"/>
                <w:highlight w:val="none"/>
              </w:rPr>
              <w:t>投标文件的澄清、说明、补正</w:t>
            </w:r>
          </w:p>
        </w:tc>
        <w:tc>
          <w:tcPr>
            <w:tcW w:w="3056" w:type="pct"/>
            <w:shd w:val="clear" w:color="auto" w:fill="auto"/>
            <w:vAlign w:val="center"/>
          </w:tcPr>
          <w:p w14:paraId="54BD4250">
            <w:pPr>
              <w:pStyle w:val="53"/>
              <w:spacing w:line="360" w:lineRule="auto"/>
              <w:rPr>
                <w:rFonts w:cs="宋体"/>
                <w:color w:val="FF0000"/>
                <w:sz w:val="21"/>
                <w:szCs w:val="21"/>
                <w:highlight w:val="none"/>
              </w:rPr>
            </w:pPr>
            <w:r>
              <w:rPr>
                <w:rFonts w:hint="eastAsia" w:cs="宋体"/>
                <w:sz w:val="21"/>
                <w:szCs w:val="21"/>
                <w:highlight w:val="none"/>
                <w:lang w:val="zh-CN"/>
              </w:rPr>
              <w:t>评审期间，</w:t>
            </w:r>
            <w:r>
              <w:rPr>
                <w:rFonts w:hint="eastAsia" w:cs="宋体"/>
                <w:sz w:val="21"/>
                <w:szCs w:val="21"/>
                <w:highlight w:val="none"/>
              </w:rPr>
              <w:t>投标人</w:t>
            </w:r>
            <w:r>
              <w:rPr>
                <w:rFonts w:hint="eastAsia" w:cs="宋体"/>
                <w:sz w:val="21"/>
                <w:szCs w:val="21"/>
                <w:highlight w:val="none"/>
                <w:lang w:val="zh-CN"/>
              </w:rPr>
              <w:t>按评标委员会的要求提交经授权代表签字的澄清、说明、补正或</w:t>
            </w:r>
            <w:r>
              <w:rPr>
                <w:rFonts w:hint="eastAsia" w:cs="宋体"/>
                <w:sz w:val="21"/>
                <w:szCs w:val="21"/>
                <w:highlight w:val="none"/>
              </w:rPr>
              <w:t>未</w:t>
            </w:r>
            <w:r>
              <w:rPr>
                <w:rFonts w:hint="eastAsia" w:cs="宋体"/>
                <w:sz w:val="21"/>
                <w:szCs w:val="21"/>
                <w:highlight w:val="none"/>
                <w:lang w:val="zh-CN"/>
              </w:rPr>
              <w:t>改变</w:t>
            </w:r>
            <w:r>
              <w:rPr>
                <w:rFonts w:hint="eastAsia" w:cs="宋体"/>
                <w:sz w:val="21"/>
                <w:szCs w:val="21"/>
                <w:highlight w:val="none"/>
              </w:rPr>
              <w:t>投标</w:t>
            </w:r>
            <w:r>
              <w:rPr>
                <w:rFonts w:hint="eastAsia" w:cs="宋体"/>
                <w:sz w:val="21"/>
                <w:szCs w:val="21"/>
                <w:highlight w:val="none"/>
                <w:lang w:val="zh-CN"/>
              </w:rPr>
              <w:t>文件的实质性内容</w:t>
            </w:r>
          </w:p>
        </w:tc>
        <w:tc>
          <w:tcPr>
            <w:tcW w:w="359" w:type="pct"/>
            <w:shd w:val="clear" w:color="auto" w:fill="auto"/>
            <w:vAlign w:val="center"/>
          </w:tcPr>
          <w:p w14:paraId="56176F35">
            <w:pPr>
              <w:pStyle w:val="53"/>
              <w:spacing w:line="360" w:lineRule="auto"/>
              <w:rPr>
                <w:rFonts w:cs="宋体"/>
                <w:sz w:val="21"/>
                <w:szCs w:val="21"/>
                <w:highlight w:val="none"/>
                <w:lang w:val="zh-CN"/>
              </w:rPr>
            </w:pPr>
          </w:p>
        </w:tc>
        <w:tc>
          <w:tcPr>
            <w:tcW w:w="488" w:type="pct"/>
            <w:shd w:val="clear" w:color="auto" w:fill="auto"/>
            <w:vAlign w:val="center"/>
          </w:tcPr>
          <w:p w14:paraId="78261505">
            <w:pPr>
              <w:pStyle w:val="53"/>
              <w:spacing w:line="360" w:lineRule="auto"/>
              <w:rPr>
                <w:rFonts w:cs="宋体"/>
                <w:sz w:val="21"/>
                <w:szCs w:val="21"/>
                <w:highlight w:val="none"/>
                <w:lang w:val="zh-CN"/>
              </w:rPr>
            </w:pPr>
          </w:p>
        </w:tc>
      </w:tr>
      <w:tr w14:paraId="69F9B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trPr>
        <w:tc>
          <w:tcPr>
            <w:tcW w:w="256" w:type="pct"/>
            <w:shd w:val="clear" w:color="auto" w:fill="auto"/>
            <w:vAlign w:val="center"/>
          </w:tcPr>
          <w:p w14:paraId="3A174278">
            <w:pPr>
              <w:pStyle w:val="53"/>
              <w:spacing w:line="360" w:lineRule="auto"/>
              <w:ind w:left="420" w:leftChars="0" w:hanging="420" w:firstLineChars="0"/>
              <w:jc w:val="center"/>
              <w:rPr>
                <w:rFonts w:hint="eastAsia" w:ascii="宋体" w:hAnsi="宋体" w:eastAsia="宋体" w:cs="宋体"/>
                <w:kern w:val="2"/>
                <w:sz w:val="21"/>
                <w:szCs w:val="21"/>
                <w:highlight w:val="none"/>
                <w:lang w:val="zh-CN" w:eastAsia="zh-CN" w:bidi="ar-SA"/>
              </w:rPr>
            </w:pPr>
            <w:r>
              <w:rPr>
                <w:rFonts w:hint="eastAsia" w:cs="宋体"/>
                <w:sz w:val="21"/>
                <w:szCs w:val="21"/>
                <w:highlight w:val="none"/>
                <w:lang w:val="en-US" w:eastAsia="zh-CN"/>
              </w:rPr>
              <w:t>8</w:t>
            </w:r>
          </w:p>
        </w:tc>
        <w:tc>
          <w:tcPr>
            <w:tcW w:w="839" w:type="pct"/>
            <w:vAlign w:val="center"/>
          </w:tcPr>
          <w:p w14:paraId="13000016">
            <w:pPr>
              <w:pStyle w:val="53"/>
              <w:spacing w:line="360" w:lineRule="auto"/>
              <w:rPr>
                <w:rFonts w:cs="宋体"/>
                <w:sz w:val="21"/>
                <w:szCs w:val="21"/>
                <w:highlight w:val="none"/>
              </w:rPr>
            </w:pPr>
            <w:r>
              <w:rPr>
                <w:rFonts w:hint="eastAsia" w:cs="宋体"/>
                <w:sz w:val="21"/>
                <w:szCs w:val="21"/>
                <w:highlight w:val="none"/>
              </w:rPr>
              <w:t>投标人影响评标</w:t>
            </w:r>
          </w:p>
        </w:tc>
        <w:tc>
          <w:tcPr>
            <w:tcW w:w="3056" w:type="pct"/>
            <w:shd w:val="clear" w:color="auto" w:fill="auto"/>
            <w:vAlign w:val="center"/>
          </w:tcPr>
          <w:p w14:paraId="6C2ECE98">
            <w:pPr>
              <w:pStyle w:val="53"/>
              <w:spacing w:line="360" w:lineRule="auto"/>
              <w:rPr>
                <w:rFonts w:cs="宋体"/>
                <w:sz w:val="21"/>
                <w:szCs w:val="21"/>
                <w:highlight w:val="none"/>
                <w:lang w:val="zh-CN"/>
              </w:rPr>
            </w:pPr>
            <w:r>
              <w:rPr>
                <w:rFonts w:hint="eastAsia" w:cs="宋体"/>
                <w:sz w:val="21"/>
                <w:szCs w:val="21"/>
                <w:highlight w:val="none"/>
              </w:rPr>
              <w:t>投标人</w:t>
            </w:r>
            <w:r>
              <w:rPr>
                <w:rFonts w:hint="eastAsia" w:cs="宋体"/>
                <w:sz w:val="21"/>
                <w:szCs w:val="21"/>
                <w:highlight w:val="none"/>
                <w:lang w:val="zh-CN"/>
              </w:rPr>
              <w:t>对采购人、采购代理机构、评标委员会及其工作人员</w:t>
            </w:r>
            <w:r>
              <w:rPr>
                <w:rFonts w:hint="eastAsia" w:cs="宋体"/>
                <w:sz w:val="21"/>
                <w:szCs w:val="21"/>
                <w:highlight w:val="none"/>
              </w:rPr>
              <w:t>未</w:t>
            </w:r>
            <w:r>
              <w:rPr>
                <w:rFonts w:hint="eastAsia" w:cs="宋体"/>
                <w:sz w:val="21"/>
                <w:szCs w:val="21"/>
                <w:highlight w:val="none"/>
                <w:lang w:val="zh-CN"/>
              </w:rPr>
              <w:t>施加影响，</w:t>
            </w:r>
            <w:r>
              <w:rPr>
                <w:rFonts w:hint="eastAsia" w:cs="宋体"/>
                <w:sz w:val="21"/>
                <w:szCs w:val="21"/>
                <w:highlight w:val="none"/>
              </w:rPr>
              <w:t>无</w:t>
            </w:r>
            <w:r>
              <w:rPr>
                <w:rFonts w:hint="eastAsia" w:cs="宋体"/>
                <w:sz w:val="21"/>
                <w:szCs w:val="21"/>
                <w:highlight w:val="none"/>
                <w:lang w:val="zh-CN"/>
              </w:rPr>
              <w:t>有碍公平、公正</w:t>
            </w:r>
            <w:r>
              <w:rPr>
                <w:rFonts w:hint="eastAsia" w:cs="宋体"/>
                <w:sz w:val="21"/>
                <w:szCs w:val="21"/>
                <w:highlight w:val="none"/>
              </w:rPr>
              <w:t>的</w:t>
            </w:r>
          </w:p>
        </w:tc>
        <w:tc>
          <w:tcPr>
            <w:tcW w:w="359" w:type="pct"/>
            <w:shd w:val="clear" w:color="auto" w:fill="auto"/>
            <w:vAlign w:val="center"/>
          </w:tcPr>
          <w:p w14:paraId="34977B6D">
            <w:pPr>
              <w:pStyle w:val="53"/>
              <w:spacing w:line="360" w:lineRule="auto"/>
              <w:rPr>
                <w:rFonts w:cs="宋体"/>
                <w:sz w:val="21"/>
                <w:szCs w:val="21"/>
                <w:highlight w:val="none"/>
                <w:lang w:val="zh-CN"/>
              </w:rPr>
            </w:pPr>
          </w:p>
        </w:tc>
        <w:tc>
          <w:tcPr>
            <w:tcW w:w="488" w:type="pct"/>
            <w:shd w:val="clear" w:color="auto" w:fill="auto"/>
            <w:vAlign w:val="center"/>
          </w:tcPr>
          <w:p w14:paraId="1A7D7E8E">
            <w:pPr>
              <w:pStyle w:val="53"/>
              <w:spacing w:line="360" w:lineRule="auto"/>
              <w:rPr>
                <w:rFonts w:cs="宋体"/>
                <w:sz w:val="21"/>
                <w:szCs w:val="21"/>
                <w:highlight w:val="none"/>
                <w:lang w:val="zh-CN"/>
              </w:rPr>
            </w:pPr>
          </w:p>
        </w:tc>
      </w:tr>
      <w:tr w14:paraId="1858B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0" w:hRule="atLeast"/>
        </w:trPr>
        <w:tc>
          <w:tcPr>
            <w:tcW w:w="256" w:type="pct"/>
            <w:shd w:val="clear" w:color="auto" w:fill="auto"/>
            <w:vAlign w:val="center"/>
          </w:tcPr>
          <w:p w14:paraId="7BB1A18A">
            <w:pPr>
              <w:pStyle w:val="53"/>
              <w:spacing w:line="360" w:lineRule="auto"/>
              <w:ind w:left="420" w:leftChars="0" w:hanging="420" w:firstLineChars="0"/>
              <w:jc w:val="center"/>
              <w:rPr>
                <w:rFonts w:hint="eastAsia" w:ascii="宋体" w:hAnsi="宋体" w:eastAsia="宋体" w:cs="宋体"/>
                <w:kern w:val="2"/>
                <w:sz w:val="21"/>
                <w:szCs w:val="21"/>
                <w:highlight w:val="none"/>
                <w:lang w:val="zh-CN" w:eastAsia="zh-CN" w:bidi="ar-SA"/>
              </w:rPr>
            </w:pPr>
            <w:r>
              <w:rPr>
                <w:rFonts w:hint="eastAsia" w:cs="宋体"/>
                <w:sz w:val="21"/>
                <w:szCs w:val="21"/>
                <w:highlight w:val="none"/>
                <w:lang w:val="en-US" w:eastAsia="zh-CN"/>
              </w:rPr>
              <w:t>9</w:t>
            </w:r>
          </w:p>
        </w:tc>
        <w:tc>
          <w:tcPr>
            <w:tcW w:w="839" w:type="pct"/>
            <w:vAlign w:val="center"/>
          </w:tcPr>
          <w:p w14:paraId="504187C9">
            <w:pPr>
              <w:pStyle w:val="53"/>
              <w:spacing w:line="360" w:lineRule="auto"/>
              <w:rPr>
                <w:rFonts w:cs="宋体"/>
                <w:sz w:val="21"/>
                <w:szCs w:val="21"/>
                <w:highlight w:val="none"/>
              </w:rPr>
            </w:pPr>
            <w:r>
              <w:rPr>
                <w:rFonts w:hint="eastAsia" w:cs="宋体"/>
                <w:sz w:val="21"/>
                <w:szCs w:val="21"/>
                <w:highlight w:val="none"/>
              </w:rPr>
              <w:t>围标串标情形</w:t>
            </w:r>
          </w:p>
        </w:tc>
        <w:tc>
          <w:tcPr>
            <w:tcW w:w="3056" w:type="pct"/>
            <w:shd w:val="clear" w:color="auto" w:fill="auto"/>
            <w:vAlign w:val="center"/>
          </w:tcPr>
          <w:p w14:paraId="4BE0BEAE">
            <w:pPr>
              <w:pStyle w:val="53"/>
              <w:spacing w:line="360" w:lineRule="auto"/>
              <w:rPr>
                <w:rFonts w:cs="宋体"/>
                <w:sz w:val="21"/>
                <w:szCs w:val="21"/>
                <w:highlight w:val="none"/>
                <w:lang w:val="zh-CN"/>
              </w:rPr>
            </w:pPr>
            <w:r>
              <w:rPr>
                <w:rFonts w:hint="eastAsia" w:cs="宋体"/>
                <w:sz w:val="21"/>
                <w:szCs w:val="21"/>
                <w:highlight w:val="none"/>
              </w:rPr>
              <w:t>没有</w:t>
            </w:r>
            <w:r>
              <w:rPr>
                <w:rFonts w:hint="eastAsia" w:cs="宋体"/>
                <w:sz w:val="21"/>
                <w:szCs w:val="21"/>
                <w:highlight w:val="none"/>
                <w:lang w:val="zh-CN"/>
              </w:rPr>
              <w:t>“第五章 评标方法及标准”</w:t>
            </w:r>
            <w:r>
              <w:rPr>
                <w:rFonts w:hint="eastAsia" w:cs="宋体"/>
                <w:sz w:val="21"/>
                <w:szCs w:val="21"/>
                <w:highlight w:val="none"/>
              </w:rPr>
              <w:t>第21条情形之一的</w:t>
            </w:r>
          </w:p>
        </w:tc>
        <w:tc>
          <w:tcPr>
            <w:tcW w:w="359" w:type="pct"/>
            <w:shd w:val="clear" w:color="auto" w:fill="auto"/>
            <w:vAlign w:val="center"/>
          </w:tcPr>
          <w:p w14:paraId="1CEDC4E5">
            <w:pPr>
              <w:pStyle w:val="53"/>
              <w:spacing w:line="360" w:lineRule="auto"/>
              <w:rPr>
                <w:rFonts w:cs="宋体"/>
                <w:sz w:val="21"/>
                <w:szCs w:val="21"/>
                <w:highlight w:val="none"/>
                <w:lang w:val="zh-CN"/>
              </w:rPr>
            </w:pPr>
          </w:p>
        </w:tc>
        <w:tc>
          <w:tcPr>
            <w:tcW w:w="488" w:type="pct"/>
            <w:shd w:val="clear" w:color="auto" w:fill="auto"/>
            <w:vAlign w:val="center"/>
          </w:tcPr>
          <w:p w14:paraId="4BD0AA0A">
            <w:pPr>
              <w:pStyle w:val="53"/>
              <w:spacing w:line="360" w:lineRule="auto"/>
              <w:rPr>
                <w:rFonts w:cs="宋体"/>
                <w:sz w:val="21"/>
                <w:szCs w:val="21"/>
                <w:highlight w:val="none"/>
                <w:lang w:val="zh-CN"/>
              </w:rPr>
            </w:pPr>
          </w:p>
        </w:tc>
      </w:tr>
      <w:tr w14:paraId="7EE55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trPr>
        <w:tc>
          <w:tcPr>
            <w:tcW w:w="256" w:type="pct"/>
            <w:shd w:val="clear" w:color="auto" w:fill="auto"/>
            <w:vAlign w:val="center"/>
          </w:tcPr>
          <w:p w14:paraId="53DFF7DC">
            <w:pPr>
              <w:pStyle w:val="53"/>
              <w:spacing w:line="360" w:lineRule="auto"/>
              <w:ind w:left="420" w:leftChars="0" w:hanging="420" w:firstLineChars="0"/>
              <w:jc w:val="center"/>
              <w:rPr>
                <w:rFonts w:hint="default" w:ascii="宋体" w:hAnsi="宋体" w:eastAsia="宋体" w:cs="宋体"/>
                <w:kern w:val="2"/>
                <w:sz w:val="21"/>
                <w:szCs w:val="21"/>
                <w:highlight w:val="none"/>
                <w:lang w:val="en-US" w:eastAsia="zh-CN" w:bidi="ar-SA"/>
              </w:rPr>
            </w:pPr>
            <w:r>
              <w:rPr>
                <w:rFonts w:hint="eastAsia" w:cs="宋体"/>
                <w:kern w:val="2"/>
                <w:sz w:val="21"/>
                <w:szCs w:val="21"/>
                <w:highlight w:val="none"/>
                <w:lang w:val="en-US" w:eastAsia="zh-CN" w:bidi="ar-SA"/>
              </w:rPr>
              <w:t>10</w:t>
            </w:r>
          </w:p>
        </w:tc>
        <w:tc>
          <w:tcPr>
            <w:tcW w:w="839" w:type="pct"/>
            <w:vAlign w:val="center"/>
          </w:tcPr>
          <w:p w14:paraId="47FAE0CB">
            <w:pPr>
              <w:pStyle w:val="53"/>
              <w:spacing w:line="360" w:lineRule="auto"/>
              <w:rPr>
                <w:rFonts w:cs="宋体"/>
                <w:sz w:val="21"/>
                <w:szCs w:val="21"/>
                <w:highlight w:val="none"/>
              </w:rPr>
            </w:pPr>
            <w:r>
              <w:rPr>
                <w:rFonts w:hint="eastAsia" w:cs="宋体"/>
                <w:sz w:val="21"/>
                <w:szCs w:val="21"/>
                <w:highlight w:val="none"/>
              </w:rPr>
              <w:t>附加条件</w:t>
            </w:r>
          </w:p>
        </w:tc>
        <w:tc>
          <w:tcPr>
            <w:tcW w:w="3056" w:type="pct"/>
            <w:shd w:val="clear" w:color="auto" w:fill="auto"/>
            <w:vAlign w:val="center"/>
          </w:tcPr>
          <w:p w14:paraId="24E0CE54">
            <w:pPr>
              <w:pStyle w:val="53"/>
              <w:spacing w:line="360" w:lineRule="auto"/>
              <w:rPr>
                <w:rFonts w:cs="宋体"/>
                <w:sz w:val="21"/>
                <w:szCs w:val="21"/>
                <w:highlight w:val="none"/>
              </w:rPr>
            </w:pPr>
            <w:r>
              <w:rPr>
                <w:rFonts w:hint="eastAsia" w:cs="宋体"/>
                <w:sz w:val="21"/>
                <w:szCs w:val="21"/>
                <w:highlight w:val="none"/>
              </w:rPr>
              <w:t>投标文件没有采购人不能接受的附加条件的</w:t>
            </w:r>
          </w:p>
        </w:tc>
        <w:tc>
          <w:tcPr>
            <w:tcW w:w="359" w:type="pct"/>
            <w:shd w:val="clear" w:color="auto" w:fill="auto"/>
            <w:vAlign w:val="center"/>
          </w:tcPr>
          <w:p w14:paraId="775CB888">
            <w:pPr>
              <w:pStyle w:val="53"/>
              <w:spacing w:line="360" w:lineRule="auto"/>
              <w:rPr>
                <w:rFonts w:cs="宋体"/>
                <w:sz w:val="21"/>
                <w:szCs w:val="21"/>
                <w:highlight w:val="none"/>
                <w:lang w:val="zh-CN"/>
              </w:rPr>
            </w:pPr>
          </w:p>
        </w:tc>
        <w:tc>
          <w:tcPr>
            <w:tcW w:w="488" w:type="pct"/>
            <w:shd w:val="clear" w:color="auto" w:fill="auto"/>
            <w:vAlign w:val="center"/>
          </w:tcPr>
          <w:p w14:paraId="1473EC52">
            <w:pPr>
              <w:pStyle w:val="53"/>
              <w:spacing w:line="360" w:lineRule="auto"/>
              <w:rPr>
                <w:rFonts w:cs="宋体"/>
                <w:sz w:val="21"/>
                <w:szCs w:val="21"/>
                <w:highlight w:val="none"/>
                <w:lang w:val="zh-CN"/>
              </w:rPr>
            </w:pPr>
          </w:p>
        </w:tc>
      </w:tr>
    </w:tbl>
    <w:p w14:paraId="671FFB9C">
      <w:pPr>
        <w:spacing w:line="360" w:lineRule="auto"/>
        <w:rPr>
          <w:highlight w:val="none"/>
        </w:rPr>
      </w:pPr>
    </w:p>
    <w:p w14:paraId="545463FD">
      <w:pPr>
        <w:spacing w:line="360" w:lineRule="auto"/>
        <w:rPr>
          <w:rFonts w:hint="eastAsia"/>
          <w:highlight w:val="none"/>
        </w:rPr>
      </w:pPr>
      <w:r>
        <w:rPr>
          <w:rFonts w:hint="eastAsia"/>
          <w:highlight w:val="none"/>
        </w:rPr>
        <w:br w:type="page"/>
      </w:r>
    </w:p>
    <w:p w14:paraId="610CCF3B">
      <w:pPr>
        <w:spacing w:line="360" w:lineRule="auto"/>
        <w:rPr>
          <w:highlight w:val="none"/>
        </w:rPr>
      </w:pPr>
      <w:r>
        <w:rPr>
          <w:rFonts w:hint="eastAsia"/>
          <w:highlight w:val="none"/>
        </w:rPr>
        <w:t>符合性审查表－附表</w:t>
      </w:r>
    </w:p>
    <w:p w14:paraId="6E218CEB">
      <w:pPr>
        <w:pStyle w:val="5"/>
        <w:spacing w:line="360" w:lineRule="auto"/>
        <w:jc w:val="center"/>
        <w:rPr>
          <w:highlight w:val="none"/>
          <w:lang w:val="zh-CN"/>
        </w:rPr>
      </w:pPr>
      <w:r>
        <w:rPr>
          <w:rFonts w:hint="eastAsia"/>
          <w:highlight w:val="none"/>
          <w:lang w:val="zh-CN"/>
        </w:rPr>
        <w:t>实质性响应一览表</w:t>
      </w:r>
    </w:p>
    <w:p w14:paraId="51F77063">
      <w:pPr>
        <w:spacing w:line="360" w:lineRule="auto"/>
        <w:rPr>
          <w:highlight w:val="none"/>
        </w:rPr>
      </w:pPr>
      <w:r>
        <w:rPr>
          <w:rFonts w:hint="eastAsia"/>
          <w:highlight w:val="none"/>
        </w:rPr>
        <w:t>（投标人须对本附表所有内容逐条响应且无负偏离，否则其</w:t>
      </w:r>
      <w:r>
        <w:rPr>
          <w:rFonts w:hint="eastAsia"/>
          <w:b/>
          <w:highlight w:val="none"/>
        </w:rPr>
        <w:t>投标无效</w:t>
      </w:r>
      <w:r>
        <w:rPr>
          <w:rFonts w:hint="eastAsia"/>
          <w:highlight w:val="none"/>
        </w:rPr>
        <w:t>）</w:t>
      </w:r>
    </w:p>
    <w:p w14:paraId="153F8BF4">
      <w:pPr>
        <w:pStyle w:val="26"/>
        <w:spacing w:line="360" w:lineRule="auto"/>
        <w:rPr>
          <w:highlight w:val="none"/>
        </w:rPr>
      </w:pPr>
    </w:p>
    <w:tbl>
      <w:tblPr>
        <w:tblStyle w:val="33"/>
        <w:tblW w:w="5244"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2096"/>
        <w:gridCol w:w="4480"/>
        <w:gridCol w:w="1969"/>
        <w:gridCol w:w="768"/>
      </w:tblGrid>
      <w:tr w14:paraId="5E0E0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19" w:type="pct"/>
            <w:vMerge w:val="restart"/>
            <w:vAlign w:val="center"/>
          </w:tcPr>
          <w:p w14:paraId="123C5E35">
            <w:pPr>
              <w:spacing w:line="360" w:lineRule="auto"/>
              <w:rPr>
                <w:highlight w:val="none"/>
              </w:rPr>
            </w:pPr>
            <w:r>
              <w:rPr>
                <w:rFonts w:hint="eastAsia"/>
                <w:highlight w:val="none"/>
              </w:rPr>
              <w:t>序号</w:t>
            </w:r>
          </w:p>
        </w:tc>
        <w:tc>
          <w:tcPr>
            <w:tcW w:w="3374" w:type="pct"/>
            <w:gridSpan w:val="2"/>
            <w:vAlign w:val="center"/>
          </w:tcPr>
          <w:p w14:paraId="773F412A">
            <w:pPr>
              <w:spacing w:line="360" w:lineRule="auto"/>
              <w:rPr>
                <w:highlight w:val="none"/>
              </w:rPr>
            </w:pPr>
            <w:r>
              <w:rPr>
                <w:rFonts w:hint="eastAsia"/>
                <w:highlight w:val="none"/>
              </w:rPr>
              <w:t>招标文件要求的实质性响应内容</w:t>
            </w:r>
          </w:p>
        </w:tc>
        <w:tc>
          <w:tcPr>
            <w:tcW w:w="1010" w:type="pct"/>
            <w:vMerge w:val="restart"/>
            <w:vAlign w:val="center"/>
          </w:tcPr>
          <w:p w14:paraId="61FF0C4B">
            <w:pPr>
              <w:spacing w:line="360" w:lineRule="auto"/>
              <w:rPr>
                <w:highlight w:val="none"/>
              </w:rPr>
            </w:pPr>
            <w:r>
              <w:rPr>
                <w:rFonts w:hint="eastAsia"/>
                <w:highlight w:val="none"/>
              </w:rPr>
              <w:t>投标文件响应的具体内容</w:t>
            </w:r>
          </w:p>
        </w:tc>
        <w:tc>
          <w:tcPr>
            <w:tcW w:w="394" w:type="pct"/>
            <w:vMerge w:val="restart"/>
            <w:vAlign w:val="center"/>
          </w:tcPr>
          <w:p w14:paraId="5355821F">
            <w:pPr>
              <w:spacing w:line="360" w:lineRule="auto"/>
              <w:rPr>
                <w:highlight w:val="none"/>
              </w:rPr>
            </w:pPr>
            <w:r>
              <w:rPr>
                <w:rFonts w:hint="eastAsia"/>
                <w:highlight w:val="none"/>
              </w:rPr>
              <w:t>备注</w:t>
            </w:r>
          </w:p>
        </w:tc>
      </w:tr>
      <w:tr w14:paraId="7857B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19" w:type="pct"/>
            <w:vMerge w:val="continue"/>
            <w:vAlign w:val="center"/>
          </w:tcPr>
          <w:p w14:paraId="76BF9804">
            <w:pPr>
              <w:spacing w:line="360" w:lineRule="auto"/>
              <w:rPr>
                <w:highlight w:val="none"/>
              </w:rPr>
            </w:pPr>
          </w:p>
        </w:tc>
        <w:tc>
          <w:tcPr>
            <w:tcW w:w="1075" w:type="pct"/>
            <w:shd w:val="clear" w:color="auto" w:fill="auto"/>
            <w:vAlign w:val="center"/>
          </w:tcPr>
          <w:p w14:paraId="2B5ED6BA">
            <w:pPr>
              <w:spacing w:line="360" w:lineRule="auto"/>
              <w:rPr>
                <w:highlight w:val="none"/>
              </w:rPr>
            </w:pPr>
            <w:r>
              <w:rPr>
                <w:rFonts w:hint="eastAsia"/>
                <w:highlight w:val="none"/>
              </w:rPr>
              <w:t>实质性要求</w:t>
            </w:r>
          </w:p>
        </w:tc>
        <w:tc>
          <w:tcPr>
            <w:tcW w:w="2299" w:type="pct"/>
            <w:shd w:val="clear" w:color="auto" w:fill="auto"/>
            <w:vAlign w:val="center"/>
          </w:tcPr>
          <w:p w14:paraId="21473917">
            <w:pPr>
              <w:spacing w:line="360" w:lineRule="auto"/>
              <w:rPr>
                <w:highlight w:val="none"/>
              </w:rPr>
            </w:pPr>
            <w:r>
              <w:rPr>
                <w:rFonts w:hint="eastAsia"/>
                <w:highlight w:val="none"/>
              </w:rPr>
              <w:t>招标文件中的规定</w:t>
            </w:r>
          </w:p>
        </w:tc>
        <w:tc>
          <w:tcPr>
            <w:tcW w:w="1010" w:type="pct"/>
            <w:vMerge w:val="continue"/>
            <w:vAlign w:val="center"/>
          </w:tcPr>
          <w:p w14:paraId="7E074CA1">
            <w:pPr>
              <w:spacing w:line="360" w:lineRule="auto"/>
              <w:rPr>
                <w:highlight w:val="none"/>
              </w:rPr>
            </w:pPr>
          </w:p>
        </w:tc>
        <w:tc>
          <w:tcPr>
            <w:tcW w:w="394" w:type="pct"/>
            <w:vMerge w:val="continue"/>
            <w:vAlign w:val="center"/>
          </w:tcPr>
          <w:p w14:paraId="641D33AF">
            <w:pPr>
              <w:spacing w:line="360" w:lineRule="auto"/>
              <w:rPr>
                <w:highlight w:val="none"/>
              </w:rPr>
            </w:pPr>
          </w:p>
        </w:tc>
      </w:tr>
      <w:tr w14:paraId="67E4B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19" w:type="pct"/>
            <w:vAlign w:val="center"/>
          </w:tcPr>
          <w:p w14:paraId="2722F611">
            <w:pPr>
              <w:spacing w:line="360" w:lineRule="auto"/>
              <w:rPr>
                <w:highlight w:val="none"/>
              </w:rPr>
            </w:pPr>
            <w:r>
              <w:rPr>
                <w:rFonts w:hint="eastAsia"/>
                <w:highlight w:val="none"/>
              </w:rPr>
              <w:t>1</w:t>
            </w:r>
          </w:p>
        </w:tc>
        <w:tc>
          <w:tcPr>
            <w:tcW w:w="1075" w:type="pct"/>
            <w:shd w:val="clear" w:color="auto" w:fill="auto"/>
            <w:vAlign w:val="center"/>
          </w:tcPr>
          <w:p w14:paraId="136DF3E9">
            <w:pPr>
              <w:spacing w:line="360" w:lineRule="auto"/>
              <w:rPr>
                <w:rFonts w:hint="eastAsia"/>
                <w:highlight w:val="none"/>
              </w:rPr>
            </w:pPr>
            <w:r>
              <w:rPr>
                <w:rFonts w:hint="eastAsia"/>
                <w:highlight w:val="none"/>
              </w:rPr>
              <w:t>投标内容</w:t>
            </w:r>
          </w:p>
        </w:tc>
        <w:tc>
          <w:tcPr>
            <w:tcW w:w="2299" w:type="pct"/>
            <w:shd w:val="clear" w:color="auto" w:fill="auto"/>
            <w:vAlign w:val="center"/>
          </w:tcPr>
          <w:p w14:paraId="0756B887">
            <w:pPr>
              <w:spacing w:line="360" w:lineRule="auto"/>
              <w:rPr>
                <w:rFonts w:hint="eastAsia"/>
                <w:highlight w:val="none"/>
              </w:rPr>
            </w:pPr>
            <w:r>
              <w:rPr>
                <w:rFonts w:hint="eastAsia"/>
                <w:highlight w:val="none"/>
              </w:rPr>
              <w:t>对采购标的全部报价，无缺项漏项或改变清单数量</w:t>
            </w:r>
          </w:p>
        </w:tc>
        <w:tc>
          <w:tcPr>
            <w:tcW w:w="1010" w:type="pct"/>
            <w:vAlign w:val="center"/>
          </w:tcPr>
          <w:p w14:paraId="38CE613B">
            <w:pPr>
              <w:spacing w:line="360" w:lineRule="auto"/>
              <w:rPr>
                <w:highlight w:val="none"/>
              </w:rPr>
            </w:pPr>
            <w:r>
              <w:rPr>
                <w:rFonts w:hint="eastAsia"/>
                <w:highlight w:val="none"/>
              </w:rPr>
              <w:t>【投标人在此处填写投标文件的相关内容】</w:t>
            </w:r>
          </w:p>
        </w:tc>
        <w:tc>
          <w:tcPr>
            <w:tcW w:w="394" w:type="pct"/>
            <w:vAlign w:val="center"/>
          </w:tcPr>
          <w:p w14:paraId="06CA1B07">
            <w:pPr>
              <w:spacing w:line="360" w:lineRule="auto"/>
              <w:rPr>
                <w:highlight w:val="none"/>
              </w:rPr>
            </w:pPr>
          </w:p>
        </w:tc>
      </w:tr>
      <w:tr w14:paraId="0C11A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9" w:type="pct"/>
            <w:vAlign w:val="center"/>
          </w:tcPr>
          <w:p w14:paraId="64ED593E">
            <w:pPr>
              <w:spacing w:line="360" w:lineRule="auto"/>
              <w:rPr>
                <w:highlight w:val="none"/>
              </w:rPr>
            </w:pPr>
            <w:r>
              <w:rPr>
                <w:highlight w:val="none"/>
              </w:rPr>
              <w:t>2</w:t>
            </w:r>
          </w:p>
        </w:tc>
        <w:tc>
          <w:tcPr>
            <w:tcW w:w="1075" w:type="pct"/>
            <w:shd w:val="clear" w:color="auto" w:fill="auto"/>
            <w:vAlign w:val="center"/>
          </w:tcPr>
          <w:p w14:paraId="0B77057A">
            <w:pPr>
              <w:spacing w:line="360" w:lineRule="auto"/>
              <w:rPr>
                <w:highlight w:val="none"/>
              </w:rPr>
            </w:pPr>
            <w:r>
              <w:rPr>
                <w:rFonts w:hint="eastAsia"/>
                <w:highlight w:val="none"/>
              </w:rPr>
              <w:t>投标有效期</w:t>
            </w:r>
          </w:p>
        </w:tc>
        <w:tc>
          <w:tcPr>
            <w:tcW w:w="2299" w:type="pct"/>
            <w:shd w:val="clear" w:color="auto" w:fill="auto"/>
            <w:vAlign w:val="center"/>
          </w:tcPr>
          <w:p w14:paraId="1C0ED6A8">
            <w:pPr>
              <w:spacing w:line="360" w:lineRule="auto"/>
              <w:rPr>
                <w:highlight w:val="none"/>
              </w:rPr>
            </w:pPr>
            <w:r>
              <w:rPr>
                <w:rFonts w:hint="eastAsia"/>
                <w:highlight w:val="none"/>
              </w:rPr>
              <w:t>招标文件“第二章 投标须知”关于投标有效期的规定</w:t>
            </w:r>
          </w:p>
        </w:tc>
        <w:tc>
          <w:tcPr>
            <w:tcW w:w="1010" w:type="pct"/>
            <w:shd w:val="clear" w:color="auto" w:fill="auto"/>
            <w:vAlign w:val="center"/>
          </w:tcPr>
          <w:p w14:paraId="615B7F8C">
            <w:pPr>
              <w:spacing w:line="360" w:lineRule="auto"/>
              <w:rPr>
                <w:highlight w:val="none"/>
              </w:rPr>
            </w:pPr>
          </w:p>
        </w:tc>
        <w:tc>
          <w:tcPr>
            <w:tcW w:w="394" w:type="pct"/>
            <w:vAlign w:val="center"/>
          </w:tcPr>
          <w:p w14:paraId="0B5294FE">
            <w:pPr>
              <w:spacing w:line="360" w:lineRule="auto"/>
              <w:rPr>
                <w:highlight w:val="none"/>
              </w:rPr>
            </w:pPr>
          </w:p>
        </w:tc>
      </w:tr>
      <w:tr w14:paraId="5A93B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219" w:type="pct"/>
            <w:vAlign w:val="center"/>
          </w:tcPr>
          <w:p w14:paraId="3FCEA4F5">
            <w:pPr>
              <w:spacing w:line="360" w:lineRule="auto"/>
              <w:rPr>
                <w:highlight w:val="none"/>
              </w:rPr>
            </w:pPr>
            <w:r>
              <w:rPr>
                <w:highlight w:val="none"/>
              </w:rPr>
              <w:t>3</w:t>
            </w:r>
          </w:p>
        </w:tc>
        <w:tc>
          <w:tcPr>
            <w:tcW w:w="1075" w:type="pct"/>
            <w:shd w:val="clear" w:color="auto" w:fill="auto"/>
            <w:vAlign w:val="center"/>
          </w:tcPr>
          <w:p w14:paraId="6F630530">
            <w:pPr>
              <w:spacing w:line="360" w:lineRule="auto"/>
              <w:rPr>
                <w:highlight w:val="none"/>
              </w:rPr>
            </w:pPr>
            <w:r>
              <w:rPr>
                <w:rFonts w:hint="eastAsia"/>
                <w:highlight w:val="none"/>
              </w:rPr>
              <w:t>交货期</w:t>
            </w:r>
          </w:p>
        </w:tc>
        <w:tc>
          <w:tcPr>
            <w:tcW w:w="2299" w:type="pct"/>
            <w:shd w:val="clear" w:color="auto" w:fill="auto"/>
            <w:vAlign w:val="center"/>
          </w:tcPr>
          <w:p w14:paraId="63560D21">
            <w:pPr>
              <w:spacing w:line="360" w:lineRule="auto"/>
              <w:rPr>
                <w:highlight w:val="none"/>
              </w:rPr>
            </w:pPr>
            <w:r>
              <w:rPr>
                <w:rFonts w:hint="eastAsia"/>
                <w:highlight w:val="none"/>
              </w:rPr>
              <w:t>招标文件“第三章 采购需求”-商务要求关于交货期的规定</w:t>
            </w:r>
          </w:p>
        </w:tc>
        <w:tc>
          <w:tcPr>
            <w:tcW w:w="1010" w:type="pct"/>
            <w:shd w:val="clear" w:color="auto" w:fill="auto"/>
            <w:vAlign w:val="center"/>
          </w:tcPr>
          <w:p w14:paraId="76F1076D">
            <w:pPr>
              <w:spacing w:line="360" w:lineRule="auto"/>
              <w:rPr>
                <w:highlight w:val="none"/>
              </w:rPr>
            </w:pPr>
          </w:p>
        </w:tc>
        <w:tc>
          <w:tcPr>
            <w:tcW w:w="394" w:type="pct"/>
            <w:vAlign w:val="center"/>
          </w:tcPr>
          <w:p w14:paraId="3B4AD46C">
            <w:pPr>
              <w:spacing w:line="360" w:lineRule="auto"/>
              <w:rPr>
                <w:highlight w:val="none"/>
              </w:rPr>
            </w:pPr>
          </w:p>
        </w:tc>
      </w:tr>
      <w:tr w14:paraId="4DFF7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19" w:type="pct"/>
            <w:shd w:val="clear" w:color="auto" w:fill="auto"/>
            <w:vAlign w:val="center"/>
          </w:tcPr>
          <w:p w14:paraId="503F74E3">
            <w:pPr>
              <w:spacing w:line="360" w:lineRule="auto"/>
              <w:rPr>
                <w:highlight w:val="none"/>
              </w:rPr>
            </w:pPr>
            <w:r>
              <w:rPr>
                <w:highlight w:val="none"/>
              </w:rPr>
              <w:t>4</w:t>
            </w:r>
          </w:p>
        </w:tc>
        <w:tc>
          <w:tcPr>
            <w:tcW w:w="1075" w:type="pct"/>
            <w:shd w:val="clear" w:color="auto" w:fill="auto"/>
            <w:vAlign w:val="center"/>
          </w:tcPr>
          <w:p w14:paraId="7F8ACA54">
            <w:pPr>
              <w:spacing w:line="360" w:lineRule="auto"/>
              <w:rPr>
                <w:highlight w:val="none"/>
              </w:rPr>
            </w:pPr>
            <w:r>
              <w:rPr>
                <w:rFonts w:hint="eastAsia"/>
                <w:highlight w:val="none"/>
              </w:rPr>
              <w:t>交货地点</w:t>
            </w:r>
          </w:p>
        </w:tc>
        <w:tc>
          <w:tcPr>
            <w:tcW w:w="2299" w:type="pct"/>
            <w:shd w:val="clear" w:color="auto" w:fill="auto"/>
            <w:vAlign w:val="center"/>
          </w:tcPr>
          <w:p w14:paraId="3B338933">
            <w:pPr>
              <w:pStyle w:val="53"/>
              <w:spacing w:line="360" w:lineRule="auto"/>
              <w:rPr>
                <w:highlight w:val="none"/>
              </w:rPr>
            </w:pPr>
            <w:r>
              <w:rPr>
                <w:rFonts w:hint="eastAsia"/>
                <w:highlight w:val="none"/>
              </w:rPr>
              <w:t>招标文件“第三章 采购需求”-商务要求关于交货地点的规定</w:t>
            </w:r>
          </w:p>
        </w:tc>
        <w:tc>
          <w:tcPr>
            <w:tcW w:w="1010" w:type="pct"/>
            <w:shd w:val="clear" w:color="auto" w:fill="auto"/>
            <w:vAlign w:val="center"/>
          </w:tcPr>
          <w:p w14:paraId="5C1D8A85">
            <w:pPr>
              <w:spacing w:line="360" w:lineRule="auto"/>
              <w:rPr>
                <w:highlight w:val="none"/>
              </w:rPr>
            </w:pPr>
          </w:p>
        </w:tc>
        <w:tc>
          <w:tcPr>
            <w:tcW w:w="394" w:type="pct"/>
            <w:vAlign w:val="center"/>
          </w:tcPr>
          <w:p w14:paraId="05B081F7">
            <w:pPr>
              <w:spacing w:line="360" w:lineRule="auto"/>
              <w:rPr>
                <w:highlight w:val="none"/>
              </w:rPr>
            </w:pPr>
          </w:p>
        </w:tc>
      </w:tr>
      <w:tr w14:paraId="16F41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19" w:type="pct"/>
            <w:shd w:val="clear" w:color="auto" w:fill="auto"/>
            <w:vAlign w:val="center"/>
          </w:tcPr>
          <w:p w14:paraId="085E1DF1">
            <w:pPr>
              <w:spacing w:line="360" w:lineRule="auto"/>
              <w:rPr>
                <w:highlight w:val="none"/>
              </w:rPr>
            </w:pPr>
            <w:r>
              <w:rPr>
                <w:highlight w:val="none"/>
              </w:rPr>
              <w:t>5</w:t>
            </w:r>
          </w:p>
        </w:tc>
        <w:tc>
          <w:tcPr>
            <w:tcW w:w="1075" w:type="pct"/>
            <w:shd w:val="clear" w:color="auto" w:fill="auto"/>
            <w:vAlign w:val="center"/>
          </w:tcPr>
          <w:p w14:paraId="1B21B6B2">
            <w:pPr>
              <w:spacing w:line="360" w:lineRule="auto"/>
              <w:rPr>
                <w:highlight w:val="none"/>
              </w:rPr>
            </w:pPr>
            <w:r>
              <w:rPr>
                <w:rFonts w:hint="eastAsia"/>
                <w:highlight w:val="none"/>
              </w:rPr>
              <w:t>付款方式</w:t>
            </w:r>
          </w:p>
        </w:tc>
        <w:tc>
          <w:tcPr>
            <w:tcW w:w="2299" w:type="pct"/>
            <w:shd w:val="clear" w:color="auto" w:fill="auto"/>
            <w:vAlign w:val="center"/>
          </w:tcPr>
          <w:p w14:paraId="40DBB43C">
            <w:pPr>
              <w:pStyle w:val="53"/>
              <w:spacing w:line="360" w:lineRule="auto"/>
              <w:rPr>
                <w:highlight w:val="none"/>
              </w:rPr>
            </w:pPr>
            <w:r>
              <w:rPr>
                <w:rFonts w:hint="eastAsia"/>
                <w:highlight w:val="none"/>
              </w:rPr>
              <w:t>招标文件“第三章 采购需求”-商务要求关于付款方式的规定</w:t>
            </w:r>
          </w:p>
        </w:tc>
        <w:tc>
          <w:tcPr>
            <w:tcW w:w="1010" w:type="pct"/>
            <w:shd w:val="clear" w:color="auto" w:fill="auto"/>
            <w:vAlign w:val="center"/>
          </w:tcPr>
          <w:p w14:paraId="1FD60917">
            <w:pPr>
              <w:spacing w:line="360" w:lineRule="auto"/>
              <w:rPr>
                <w:highlight w:val="none"/>
              </w:rPr>
            </w:pPr>
          </w:p>
        </w:tc>
        <w:tc>
          <w:tcPr>
            <w:tcW w:w="394" w:type="pct"/>
            <w:vAlign w:val="center"/>
          </w:tcPr>
          <w:p w14:paraId="49D3EE34">
            <w:pPr>
              <w:spacing w:line="360" w:lineRule="auto"/>
              <w:rPr>
                <w:highlight w:val="none"/>
              </w:rPr>
            </w:pPr>
          </w:p>
        </w:tc>
      </w:tr>
      <w:tr w14:paraId="04F61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19" w:type="pct"/>
            <w:shd w:val="clear" w:color="auto" w:fill="auto"/>
            <w:vAlign w:val="center"/>
          </w:tcPr>
          <w:p w14:paraId="6AE913A7">
            <w:pPr>
              <w:spacing w:line="360" w:lineRule="auto"/>
              <w:rPr>
                <w:rFonts w:hint="eastAsia"/>
                <w:highlight w:val="none"/>
              </w:rPr>
            </w:pPr>
            <w:r>
              <w:rPr>
                <w:highlight w:val="none"/>
              </w:rPr>
              <w:t>6</w:t>
            </w:r>
          </w:p>
        </w:tc>
        <w:tc>
          <w:tcPr>
            <w:tcW w:w="1075" w:type="pct"/>
            <w:shd w:val="clear" w:color="auto" w:fill="auto"/>
            <w:vAlign w:val="center"/>
          </w:tcPr>
          <w:p w14:paraId="3923588D">
            <w:pPr>
              <w:spacing w:line="360" w:lineRule="auto"/>
              <w:rPr>
                <w:rFonts w:hint="eastAsia"/>
                <w:highlight w:val="none"/>
              </w:rPr>
            </w:pPr>
            <w:r>
              <w:rPr>
                <w:rFonts w:hint="eastAsia"/>
                <w:highlight w:val="none"/>
              </w:rPr>
              <w:t>履约保证金</w:t>
            </w:r>
          </w:p>
        </w:tc>
        <w:tc>
          <w:tcPr>
            <w:tcW w:w="2299" w:type="pct"/>
            <w:shd w:val="clear" w:color="auto" w:fill="auto"/>
            <w:vAlign w:val="center"/>
          </w:tcPr>
          <w:p w14:paraId="38989B40">
            <w:pPr>
              <w:pStyle w:val="53"/>
              <w:spacing w:line="360" w:lineRule="auto"/>
              <w:rPr>
                <w:rFonts w:hint="eastAsia"/>
                <w:highlight w:val="none"/>
              </w:rPr>
            </w:pPr>
            <w:r>
              <w:rPr>
                <w:rFonts w:hint="eastAsia"/>
                <w:highlight w:val="none"/>
              </w:rPr>
              <w:t>招标文件“第三章 采购需求”-商务要求关于履约保证金的规定</w:t>
            </w:r>
          </w:p>
        </w:tc>
        <w:tc>
          <w:tcPr>
            <w:tcW w:w="1010" w:type="pct"/>
            <w:shd w:val="clear" w:color="auto" w:fill="auto"/>
            <w:vAlign w:val="center"/>
          </w:tcPr>
          <w:p w14:paraId="594B8F10">
            <w:pPr>
              <w:spacing w:line="360" w:lineRule="auto"/>
              <w:rPr>
                <w:highlight w:val="none"/>
              </w:rPr>
            </w:pPr>
          </w:p>
        </w:tc>
        <w:tc>
          <w:tcPr>
            <w:tcW w:w="394" w:type="pct"/>
            <w:vAlign w:val="center"/>
          </w:tcPr>
          <w:p w14:paraId="4695EB59">
            <w:pPr>
              <w:spacing w:line="360" w:lineRule="auto"/>
              <w:rPr>
                <w:highlight w:val="none"/>
              </w:rPr>
            </w:pPr>
          </w:p>
        </w:tc>
      </w:tr>
      <w:tr w14:paraId="218A4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 w:type="pct"/>
            <w:shd w:val="clear" w:color="auto" w:fill="auto"/>
            <w:vAlign w:val="center"/>
          </w:tcPr>
          <w:p w14:paraId="6DFE23C3">
            <w:pPr>
              <w:spacing w:line="360" w:lineRule="auto"/>
              <w:rPr>
                <w:highlight w:val="none"/>
              </w:rPr>
            </w:pPr>
            <w:r>
              <w:rPr>
                <w:highlight w:val="none"/>
              </w:rPr>
              <w:t>7</w:t>
            </w:r>
          </w:p>
        </w:tc>
        <w:tc>
          <w:tcPr>
            <w:tcW w:w="1075" w:type="pct"/>
            <w:shd w:val="clear" w:color="auto" w:fill="auto"/>
            <w:vAlign w:val="center"/>
          </w:tcPr>
          <w:p w14:paraId="56E08B37">
            <w:pPr>
              <w:spacing w:line="360" w:lineRule="auto"/>
              <w:rPr>
                <w:highlight w:val="none"/>
              </w:rPr>
            </w:pPr>
            <w:r>
              <w:rPr>
                <w:rFonts w:hint="eastAsia"/>
                <w:highlight w:val="none"/>
              </w:rPr>
              <w:t>技术要求</w:t>
            </w:r>
          </w:p>
        </w:tc>
        <w:tc>
          <w:tcPr>
            <w:tcW w:w="2299" w:type="pct"/>
            <w:shd w:val="clear" w:color="auto" w:fill="auto"/>
            <w:vAlign w:val="center"/>
          </w:tcPr>
          <w:p w14:paraId="70F6238C">
            <w:pPr>
              <w:spacing w:line="360" w:lineRule="auto"/>
              <w:rPr>
                <w:highlight w:val="none"/>
              </w:rPr>
            </w:pPr>
            <w:r>
              <w:rPr>
                <w:rFonts w:hint="eastAsia"/>
                <w:highlight w:val="none"/>
              </w:rPr>
              <w:t>如有，详见招标文件“第三章 采购需求”关于技术要求★的规定，以及非★条款重大偏差的规定</w:t>
            </w:r>
          </w:p>
        </w:tc>
        <w:tc>
          <w:tcPr>
            <w:tcW w:w="1010" w:type="pct"/>
            <w:shd w:val="clear" w:color="auto" w:fill="auto"/>
            <w:vAlign w:val="center"/>
          </w:tcPr>
          <w:p w14:paraId="6F494014">
            <w:pPr>
              <w:spacing w:line="360" w:lineRule="auto"/>
              <w:rPr>
                <w:highlight w:val="none"/>
              </w:rPr>
            </w:pPr>
          </w:p>
        </w:tc>
        <w:tc>
          <w:tcPr>
            <w:tcW w:w="394" w:type="pct"/>
            <w:vAlign w:val="center"/>
          </w:tcPr>
          <w:p w14:paraId="773E1457">
            <w:pPr>
              <w:spacing w:line="360" w:lineRule="auto"/>
              <w:rPr>
                <w:highlight w:val="none"/>
              </w:rPr>
            </w:pPr>
          </w:p>
        </w:tc>
      </w:tr>
      <w:tr w14:paraId="455E7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219" w:type="pct"/>
            <w:vAlign w:val="center"/>
          </w:tcPr>
          <w:p w14:paraId="509A63AB">
            <w:pPr>
              <w:spacing w:line="360" w:lineRule="auto"/>
              <w:jc w:val="center"/>
              <w:rPr>
                <w:highlight w:val="none"/>
              </w:rPr>
            </w:pPr>
            <w:r>
              <w:rPr>
                <w:rFonts w:hint="eastAsia"/>
                <w:highlight w:val="none"/>
              </w:rPr>
              <w:t>8</w:t>
            </w:r>
          </w:p>
        </w:tc>
        <w:tc>
          <w:tcPr>
            <w:tcW w:w="1075" w:type="pct"/>
            <w:shd w:val="clear" w:color="auto" w:fill="auto"/>
            <w:vAlign w:val="center"/>
          </w:tcPr>
          <w:p w14:paraId="5708B351">
            <w:pPr>
              <w:spacing w:line="360" w:lineRule="auto"/>
              <w:rPr>
                <w:highlight w:val="none"/>
                <w:lang w:val="zh-CN"/>
              </w:rPr>
            </w:pPr>
            <w:r>
              <w:rPr>
                <w:rFonts w:hint="eastAsia"/>
                <w:highlight w:val="none"/>
                <w:lang w:val="zh-CN"/>
              </w:rPr>
              <w:t>其他实质性要求</w:t>
            </w:r>
          </w:p>
        </w:tc>
        <w:tc>
          <w:tcPr>
            <w:tcW w:w="2299" w:type="pct"/>
            <w:vAlign w:val="center"/>
          </w:tcPr>
          <w:p w14:paraId="49C20CFC">
            <w:pPr>
              <w:spacing w:line="360" w:lineRule="auto"/>
              <w:rPr>
                <w:rFonts w:hint="eastAsia"/>
                <w:highlight w:val="none"/>
              </w:rPr>
            </w:pPr>
            <w:r>
              <w:rPr>
                <w:highlight w:val="none"/>
              </w:rPr>
              <w:t>详见招标文件中明确投标无效的条款规定</w:t>
            </w:r>
          </w:p>
        </w:tc>
        <w:tc>
          <w:tcPr>
            <w:tcW w:w="1010" w:type="pct"/>
            <w:vAlign w:val="center"/>
          </w:tcPr>
          <w:p w14:paraId="44774458">
            <w:pPr>
              <w:spacing w:line="360" w:lineRule="auto"/>
              <w:rPr>
                <w:highlight w:val="none"/>
              </w:rPr>
            </w:pPr>
          </w:p>
        </w:tc>
        <w:tc>
          <w:tcPr>
            <w:tcW w:w="394" w:type="pct"/>
            <w:vAlign w:val="center"/>
          </w:tcPr>
          <w:p w14:paraId="31A13FA2">
            <w:pPr>
              <w:spacing w:line="360" w:lineRule="auto"/>
              <w:rPr>
                <w:highlight w:val="none"/>
              </w:rPr>
            </w:pPr>
          </w:p>
        </w:tc>
      </w:tr>
    </w:tbl>
    <w:p w14:paraId="584D272E">
      <w:pPr>
        <w:spacing w:line="360" w:lineRule="auto"/>
        <w:rPr>
          <w:highlight w:val="none"/>
        </w:rPr>
      </w:pPr>
    </w:p>
    <w:p w14:paraId="172C5EF7">
      <w:pPr>
        <w:spacing w:line="360" w:lineRule="auto"/>
        <w:rPr>
          <w:highlight w:val="none"/>
        </w:rPr>
      </w:pPr>
      <w:r>
        <w:rPr>
          <w:rFonts w:hint="eastAsia"/>
          <w:highlight w:val="none"/>
        </w:rPr>
        <w:t>注：“实质性响应一览表”中的内容为参考，可根据项目情况自行设置。</w:t>
      </w:r>
    </w:p>
    <w:p w14:paraId="4947C104">
      <w:pPr>
        <w:spacing w:line="360" w:lineRule="auto"/>
        <w:rPr>
          <w:highlight w:val="none"/>
          <w:lang w:val="zh-CN"/>
        </w:rPr>
      </w:pPr>
      <w:bookmarkStart w:id="332" w:name="_Toc155185917"/>
      <w:bookmarkStart w:id="333" w:name="_Toc163492910"/>
      <w:r>
        <w:rPr>
          <w:rFonts w:hint="eastAsia"/>
          <w:highlight w:val="none"/>
          <w:lang w:val="zh-CN"/>
        </w:rPr>
        <w:br w:type="page"/>
      </w:r>
    </w:p>
    <w:p w14:paraId="48606EF8">
      <w:pPr>
        <w:pStyle w:val="5"/>
        <w:spacing w:line="360" w:lineRule="auto"/>
        <w:rPr>
          <w:highlight w:val="none"/>
          <w:lang w:val="zh-CN"/>
        </w:rPr>
      </w:pPr>
      <w:r>
        <w:rPr>
          <w:rFonts w:hint="eastAsia"/>
          <w:highlight w:val="none"/>
          <w:lang w:val="zh-CN"/>
        </w:rPr>
        <w:t>（二）评分标准</w:t>
      </w:r>
      <w:bookmarkEnd w:id="332"/>
      <w:bookmarkEnd w:id="333"/>
    </w:p>
    <w:tbl>
      <w:tblPr>
        <w:tblStyle w:val="33"/>
        <w:tblW w:w="9287" w:type="dxa"/>
        <w:jc w:val="center"/>
        <w:tblLayout w:type="autofit"/>
        <w:tblCellMar>
          <w:top w:w="0" w:type="dxa"/>
          <w:left w:w="108" w:type="dxa"/>
          <w:bottom w:w="0" w:type="dxa"/>
          <w:right w:w="108" w:type="dxa"/>
        </w:tblCellMar>
      </w:tblPr>
      <w:tblGrid>
        <w:gridCol w:w="1320"/>
        <w:gridCol w:w="1320"/>
        <w:gridCol w:w="5947"/>
        <w:gridCol w:w="700"/>
      </w:tblGrid>
      <w:tr w14:paraId="05C880D9">
        <w:tblPrEx>
          <w:tblCellMar>
            <w:top w:w="0" w:type="dxa"/>
            <w:left w:w="108" w:type="dxa"/>
            <w:bottom w:w="0" w:type="dxa"/>
            <w:right w:w="108" w:type="dxa"/>
          </w:tblCellMar>
        </w:tblPrEx>
        <w:trPr>
          <w:trHeight w:val="310" w:hRule="atLeast"/>
          <w:jc w:val="center"/>
        </w:trPr>
        <w:tc>
          <w:tcPr>
            <w:tcW w:w="1320" w:type="dxa"/>
            <w:tcBorders>
              <w:top w:val="single" w:color="000000" w:sz="4" w:space="0"/>
              <w:left w:val="single" w:color="000000" w:sz="4" w:space="0"/>
              <w:bottom w:val="single" w:color="auto" w:sz="4" w:space="0"/>
              <w:right w:val="single" w:color="000000" w:sz="4" w:space="0"/>
            </w:tcBorders>
            <w:vAlign w:val="center"/>
          </w:tcPr>
          <w:p w14:paraId="7125B7CC">
            <w:pPr>
              <w:spacing w:line="360" w:lineRule="auto"/>
              <w:rPr>
                <w:rFonts w:hint="default" w:eastAsia="宋体"/>
                <w:sz w:val="21"/>
                <w:szCs w:val="21"/>
                <w:highlight w:val="none"/>
                <w:lang w:val="en-US" w:eastAsia="zh-CN" w:bidi="ar"/>
              </w:rPr>
            </w:pPr>
            <w:r>
              <w:rPr>
                <w:rFonts w:hint="eastAsia"/>
                <w:sz w:val="21"/>
                <w:szCs w:val="21"/>
                <w:highlight w:val="none"/>
                <w:lang w:val="en-US" w:eastAsia="zh-CN" w:bidi="ar"/>
              </w:rPr>
              <w:t>评审因素</w:t>
            </w:r>
          </w:p>
        </w:tc>
        <w:tc>
          <w:tcPr>
            <w:tcW w:w="1320" w:type="dxa"/>
            <w:tcBorders>
              <w:top w:val="single" w:color="000000" w:sz="4" w:space="0"/>
              <w:left w:val="single" w:color="000000" w:sz="4" w:space="0"/>
              <w:bottom w:val="single" w:color="auto" w:sz="4" w:space="0"/>
              <w:right w:val="single" w:color="000000" w:sz="4" w:space="0"/>
            </w:tcBorders>
            <w:vAlign w:val="center"/>
          </w:tcPr>
          <w:p w14:paraId="10DF2713">
            <w:pPr>
              <w:spacing w:line="360" w:lineRule="auto"/>
              <w:rPr>
                <w:sz w:val="21"/>
                <w:szCs w:val="21"/>
                <w:highlight w:val="none"/>
              </w:rPr>
            </w:pPr>
            <w:r>
              <w:rPr>
                <w:rFonts w:hint="eastAsia"/>
                <w:sz w:val="21"/>
                <w:szCs w:val="21"/>
                <w:highlight w:val="none"/>
                <w:lang w:bidi="ar"/>
              </w:rPr>
              <w:t>评分点</w:t>
            </w:r>
          </w:p>
        </w:tc>
        <w:tc>
          <w:tcPr>
            <w:tcW w:w="5947" w:type="dxa"/>
            <w:tcBorders>
              <w:top w:val="single" w:color="000000" w:sz="4" w:space="0"/>
              <w:left w:val="single" w:color="000000" w:sz="4" w:space="0"/>
              <w:bottom w:val="single" w:color="000000" w:sz="4" w:space="0"/>
              <w:right w:val="single" w:color="000000" w:sz="4" w:space="0"/>
            </w:tcBorders>
            <w:vAlign w:val="center"/>
          </w:tcPr>
          <w:p w14:paraId="0C0D6D5D">
            <w:pPr>
              <w:spacing w:line="360" w:lineRule="auto"/>
              <w:rPr>
                <w:sz w:val="21"/>
                <w:szCs w:val="21"/>
                <w:highlight w:val="none"/>
              </w:rPr>
            </w:pPr>
            <w:r>
              <w:rPr>
                <w:rFonts w:hint="eastAsia"/>
                <w:sz w:val="21"/>
                <w:szCs w:val="21"/>
                <w:highlight w:val="none"/>
                <w:lang w:bidi="ar"/>
              </w:rPr>
              <w:t>评分标准</w:t>
            </w:r>
          </w:p>
        </w:tc>
        <w:tc>
          <w:tcPr>
            <w:tcW w:w="700" w:type="dxa"/>
            <w:tcBorders>
              <w:top w:val="single" w:color="000000" w:sz="4" w:space="0"/>
              <w:left w:val="single" w:color="000000" w:sz="4" w:space="0"/>
              <w:bottom w:val="single" w:color="000000" w:sz="4" w:space="0"/>
              <w:right w:val="single" w:color="000000" w:sz="4" w:space="0"/>
            </w:tcBorders>
            <w:vAlign w:val="center"/>
          </w:tcPr>
          <w:p w14:paraId="3B9C3E28">
            <w:pPr>
              <w:spacing w:line="360" w:lineRule="auto"/>
              <w:rPr>
                <w:sz w:val="21"/>
                <w:szCs w:val="21"/>
                <w:highlight w:val="none"/>
              </w:rPr>
            </w:pPr>
            <w:r>
              <w:rPr>
                <w:rFonts w:hint="eastAsia"/>
                <w:sz w:val="21"/>
                <w:szCs w:val="21"/>
                <w:highlight w:val="none"/>
                <w:lang w:bidi="ar"/>
              </w:rPr>
              <w:t>分值</w:t>
            </w:r>
          </w:p>
        </w:tc>
      </w:tr>
      <w:tr w14:paraId="5FB0E97B">
        <w:tblPrEx>
          <w:tblCellMar>
            <w:top w:w="0" w:type="dxa"/>
            <w:left w:w="108" w:type="dxa"/>
            <w:bottom w:w="0" w:type="dxa"/>
            <w:right w:w="108" w:type="dxa"/>
          </w:tblCellMar>
        </w:tblPrEx>
        <w:trPr>
          <w:trHeight w:val="1160" w:hRule="atLeast"/>
          <w:jc w:val="center"/>
        </w:trPr>
        <w:tc>
          <w:tcPr>
            <w:tcW w:w="1320" w:type="dxa"/>
            <w:tcBorders>
              <w:top w:val="single" w:color="auto" w:sz="4" w:space="0"/>
              <w:left w:val="single" w:color="auto" w:sz="4" w:space="0"/>
              <w:bottom w:val="single" w:color="auto" w:sz="4" w:space="0"/>
              <w:right w:val="single" w:color="auto" w:sz="4" w:space="0"/>
            </w:tcBorders>
            <w:vAlign w:val="center"/>
          </w:tcPr>
          <w:p w14:paraId="08D50CC6">
            <w:pPr>
              <w:widowControl/>
              <w:spacing w:line="360" w:lineRule="auto"/>
              <w:rPr>
                <w:rFonts w:hint="default" w:ascii="宋体" w:hAnsi="宋体" w:eastAsia="宋体" w:cs="宋体"/>
                <w:color w:val="auto"/>
                <w:kern w:val="0"/>
                <w:sz w:val="21"/>
                <w:szCs w:val="21"/>
                <w:highlight w:val="none"/>
                <w:lang w:val="en-US" w:eastAsia="zh-CN" w:bidi="ar-SA"/>
              </w:rPr>
            </w:pPr>
            <w:r>
              <w:rPr>
                <w:rFonts w:hint="eastAsia" w:cs="宋体"/>
                <w:color w:val="auto"/>
                <w:kern w:val="0"/>
                <w:sz w:val="21"/>
                <w:szCs w:val="21"/>
                <w:highlight w:val="none"/>
                <w:lang w:val="en-US" w:eastAsia="zh-CN" w:bidi="ar-SA"/>
              </w:rPr>
              <w:t>报价部分（30分）</w:t>
            </w:r>
          </w:p>
        </w:tc>
        <w:tc>
          <w:tcPr>
            <w:tcW w:w="1320" w:type="dxa"/>
            <w:tcBorders>
              <w:top w:val="single" w:color="auto" w:sz="4" w:space="0"/>
              <w:left w:val="single" w:color="auto" w:sz="4" w:space="0"/>
              <w:bottom w:val="single" w:color="auto" w:sz="4" w:space="0"/>
              <w:right w:val="single" w:color="auto" w:sz="4" w:space="0"/>
            </w:tcBorders>
            <w:vAlign w:val="center"/>
          </w:tcPr>
          <w:p w14:paraId="249078C3">
            <w:pPr>
              <w:widowControl/>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投标报价</w:t>
            </w:r>
          </w:p>
          <w:p w14:paraId="2D9A3FAC">
            <w:pPr>
              <w:widowControl/>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（30分）</w:t>
            </w:r>
          </w:p>
        </w:tc>
        <w:tc>
          <w:tcPr>
            <w:tcW w:w="5947" w:type="dxa"/>
            <w:tcBorders>
              <w:top w:val="single" w:color="000000" w:sz="4" w:space="0"/>
              <w:left w:val="single" w:color="auto" w:sz="4" w:space="0"/>
              <w:bottom w:val="single" w:color="000000" w:sz="4" w:space="0"/>
              <w:right w:val="single" w:color="000000" w:sz="4" w:space="0"/>
            </w:tcBorders>
            <w:vAlign w:val="center"/>
          </w:tcPr>
          <w:p w14:paraId="60E4B8C2">
            <w:pPr>
              <w:widowControl/>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价格分采用低价优先法计算，即满足采购文件要求且投标价格最低的投标报价为评标基准价，其价格分为满分30分。其他供应商的价格分统一按照下列公式计算：</w:t>
            </w:r>
          </w:p>
          <w:p w14:paraId="7C73A006">
            <w:pPr>
              <w:widowControl/>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投标报价得分=(评标基准价／投标报价)×价格分值×100%，小数点保留2位。</w:t>
            </w:r>
          </w:p>
        </w:tc>
        <w:tc>
          <w:tcPr>
            <w:tcW w:w="700" w:type="dxa"/>
            <w:tcBorders>
              <w:top w:val="single" w:color="000000" w:sz="4" w:space="0"/>
              <w:left w:val="single" w:color="000000" w:sz="4" w:space="0"/>
              <w:bottom w:val="single" w:color="000000" w:sz="4" w:space="0"/>
              <w:right w:val="single" w:color="000000" w:sz="4" w:space="0"/>
            </w:tcBorders>
            <w:vAlign w:val="center"/>
          </w:tcPr>
          <w:p w14:paraId="71DB34E8">
            <w:pPr>
              <w:spacing w:line="360" w:lineRule="auto"/>
              <w:rPr>
                <w:sz w:val="21"/>
                <w:szCs w:val="21"/>
                <w:highlight w:val="none"/>
              </w:rPr>
            </w:pPr>
            <w:r>
              <w:rPr>
                <w:rFonts w:hint="eastAsia"/>
                <w:sz w:val="21"/>
                <w:szCs w:val="21"/>
                <w:highlight w:val="none"/>
                <w:lang w:bidi="ar"/>
              </w:rPr>
              <w:t>30</w:t>
            </w:r>
          </w:p>
        </w:tc>
      </w:tr>
      <w:tr w14:paraId="6F95FC9F">
        <w:tblPrEx>
          <w:tblCellMar>
            <w:top w:w="0" w:type="dxa"/>
            <w:left w:w="108" w:type="dxa"/>
            <w:bottom w:w="0" w:type="dxa"/>
            <w:right w:w="108" w:type="dxa"/>
          </w:tblCellMar>
        </w:tblPrEx>
        <w:trPr>
          <w:trHeight w:val="90" w:hRule="atLeast"/>
          <w:jc w:val="center"/>
        </w:trPr>
        <w:tc>
          <w:tcPr>
            <w:tcW w:w="1320" w:type="dxa"/>
            <w:vMerge w:val="restart"/>
            <w:tcBorders>
              <w:top w:val="single" w:color="auto" w:sz="4" w:space="0"/>
              <w:left w:val="single" w:color="auto" w:sz="4" w:space="0"/>
              <w:right w:val="single" w:color="auto" w:sz="4" w:space="0"/>
            </w:tcBorders>
            <w:vAlign w:val="center"/>
          </w:tcPr>
          <w:p w14:paraId="4455968C">
            <w:pPr>
              <w:pStyle w:val="89"/>
              <w:spacing w:before="78" w:line="360" w:lineRule="auto"/>
              <w:jc w:val="center"/>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商务部分（20分）</w:t>
            </w:r>
          </w:p>
        </w:tc>
        <w:tc>
          <w:tcPr>
            <w:tcW w:w="1320" w:type="dxa"/>
            <w:tcBorders>
              <w:top w:val="single" w:color="auto" w:sz="4" w:space="0"/>
              <w:left w:val="single" w:color="auto" w:sz="4" w:space="0"/>
              <w:bottom w:val="single" w:color="auto" w:sz="4" w:space="0"/>
              <w:right w:val="single" w:color="auto" w:sz="4" w:space="0"/>
            </w:tcBorders>
            <w:vAlign w:val="center"/>
          </w:tcPr>
          <w:p w14:paraId="4950FC94">
            <w:pPr>
              <w:pStyle w:val="89"/>
              <w:spacing w:before="78"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业绩（10分）</w:t>
            </w:r>
          </w:p>
        </w:tc>
        <w:tc>
          <w:tcPr>
            <w:tcW w:w="5947" w:type="dxa"/>
            <w:tcBorders>
              <w:top w:val="single" w:color="000000" w:sz="4" w:space="0"/>
              <w:left w:val="single" w:color="auto" w:sz="4" w:space="0"/>
              <w:bottom w:val="single" w:color="000000" w:sz="4" w:space="0"/>
              <w:right w:val="single" w:color="000000" w:sz="4" w:space="0"/>
            </w:tcBorders>
            <w:vAlign w:val="center"/>
          </w:tcPr>
          <w:p w14:paraId="2B06C370">
            <w:pPr>
              <w:pStyle w:val="89"/>
              <w:spacing w:before="78" w:line="360" w:lineRule="auto"/>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自2023年6月1日至投标截止时间的同类项目业绩，须提供加盖企业公章的合同或中标通知书复印件并加盖公章，每提供1项有效业绩得2分，最高得分为10分。</w:t>
            </w:r>
          </w:p>
          <w:p w14:paraId="28606F58">
            <w:pPr>
              <w:pStyle w:val="89"/>
              <w:spacing w:before="78" w:line="360" w:lineRule="auto"/>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Hans" w:bidi="ar-SA"/>
              </w:rPr>
              <w:t>注：业绩证明材料需符合以下要求，否则不予计分：①提供合同复印件</w:t>
            </w:r>
            <w:r>
              <w:rPr>
                <w:rFonts w:hint="eastAsia" w:ascii="宋体" w:hAnsi="宋体" w:eastAsia="宋体" w:cs="宋体"/>
                <w:snapToGrid w:val="0"/>
                <w:color w:val="auto"/>
                <w:kern w:val="0"/>
                <w:sz w:val="21"/>
                <w:szCs w:val="21"/>
                <w:highlight w:val="none"/>
                <w:lang w:val="en-US" w:eastAsia="zh-CN" w:bidi="ar-SA"/>
              </w:rPr>
              <w:t>/扫描件，至少附一张属于合同履约结算的发票；②</w:t>
            </w:r>
            <w:r>
              <w:rPr>
                <w:rFonts w:hint="eastAsia" w:ascii="宋体" w:hAnsi="宋体" w:eastAsia="宋体" w:cs="宋体"/>
                <w:snapToGrid w:val="0"/>
                <w:color w:val="auto"/>
                <w:kern w:val="0"/>
                <w:sz w:val="21"/>
                <w:szCs w:val="21"/>
                <w:highlight w:val="none"/>
                <w:lang w:val="en-US" w:eastAsia="zh-Hans" w:bidi="ar-SA"/>
              </w:rPr>
              <w:t>业绩时间以合同签订日期为准；</w:t>
            </w:r>
            <w:r>
              <w:rPr>
                <w:rFonts w:hint="eastAsia" w:ascii="宋体" w:hAnsi="宋体" w:eastAsia="宋体" w:cs="宋体"/>
                <w:snapToGrid w:val="0"/>
                <w:color w:val="auto"/>
                <w:kern w:val="0"/>
                <w:sz w:val="21"/>
                <w:szCs w:val="21"/>
                <w:highlight w:val="none"/>
                <w:lang w:val="en-US" w:eastAsia="zh-CN" w:bidi="ar-SA"/>
              </w:rPr>
              <w:t>③</w:t>
            </w:r>
            <w:r>
              <w:rPr>
                <w:rFonts w:hint="eastAsia" w:ascii="宋体" w:hAnsi="宋体" w:eastAsia="宋体" w:cs="宋体"/>
                <w:snapToGrid w:val="0"/>
                <w:color w:val="auto"/>
                <w:kern w:val="0"/>
                <w:sz w:val="21"/>
                <w:szCs w:val="21"/>
                <w:highlight w:val="none"/>
                <w:lang w:val="en-US" w:eastAsia="zh-Hans" w:bidi="ar-SA"/>
              </w:rPr>
              <w:t>合同需完整体现签订双方信息、签订时间、服务内容及双方盖章等核心要素，缺失任一要素均不计分；</w:t>
            </w:r>
            <w:r>
              <w:rPr>
                <w:rFonts w:hint="eastAsia" w:ascii="宋体" w:hAnsi="宋体" w:eastAsia="宋体" w:cs="宋体"/>
                <w:snapToGrid w:val="0"/>
                <w:color w:val="auto"/>
                <w:kern w:val="0"/>
                <w:sz w:val="21"/>
                <w:szCs w:val="21"/>
                <w:highlight w:val="none"/>
                <w:lang w:val="en-US" w:eastAsia="zh-CN" w:bidi="ar-SA"/>
              </w:rPr>
              <w:t>④</w:t>
            </w:r>
            <w:r>
              <w:rPr>
                <w:rFonts w:hint="eastAsia" w:ascii="宋体" w:hAnsi="宋体" w:eastAsia="宋体" w:cs="宋体"/>
                <w:snapToGrid w:val="0"/>
                <w:color w:val="auto"/>
                <w:kern w:val="0"/>
                <w:sz w:val="21"/>
                <w:szCs w:val="21"/>
                <w:highlight w:val="none"/>
                <w:lang w:val="en-US" w:eastAsia="zh-Hans" w:bidi="ar-SA"/>
              </w:rPr>
              <w:t>业绩关键信息存在模糊不清、无法辨识情形的，该业绩不予认可。</w:t>
            </w:r>
          </w:p>
        </w:tc>
        <w:tc>
          <w:tcPr>
            <w:tcW w:w="700" w:type="dxa"/>
            <w:tcBorders>
              <w:top w:val="single" w:color="000000" w:sz="4" w:space="0"/>
              <w:left w:val="single" w:color="000000" w:sz="4" w:space="0"/>
              <w:bottom w:val="single" w:color="000000" w:sz="4" w:space="0"/>
              <w:right w:val="single" w:color="000000" w:sz="4" w:space="0"/>
            </w:tcBorders>
            <w:vAlign w:val="center"/>
          </w:tcPr>
          <w:p w14:paraId="509386C9">
            <w:pPr>
              <w:pStyle w:val="89"/>
              <w:spacing w:before="78" w:line="360" w:lineRule="auto"/>
              <w:jc w:val="both"/>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10</w:t>
            </w:r>
          </w:p>
        </w:tc>
      </w:tr>
      <w:tr w14:paraId="3097393C">
        <w:tblPrEx>
          <w:tblCellMar>
            <w:top w:w="0" w:type="dxa"/>
            <w:left w:w="108" w:type="dxa"/>
            <w:bottom w:w="0" w:type="dxa"/>
            <w:right w:w="108" w:type="dxa"/>
          </w:tblCellMar>
        </w:tblPrEx>
        <w:trPr>
          <w:trHeight w:val="227" w:hRule="atLeast"/>
          <w:jc w:val="center"/>
        </w:trPr>
        <w:tc>
          <w:tcPr>
            <w:tcW w:w="1320" w:type="dxa"/>
            <w:vMerge w:val="continue"/>
            <w:tcBorders>
              <w:left w:val="single" w:color="auto" w:sz="4" w:space="0"/>
              <w:right w:val="single" w:color="auto" w:sz="4" w:space="0"/>
            </w:tcBorders>
            <w:vAlign w:val="center"/>
          </w:tcPr>
          <w:p w14:paraId="7D78416B">
            <w:pPr>
              <w:widowControl/>
              <w:spacing w:line="360" w:lineRule="auto"/>
              <w:rPr>
                <w:rFonts w:hint="eastAsia" w:cs="宋体"/>
                <w:color w:val="auto"/>
                <w:kern w:val="0"/>
                <w:sz w:val="21"/>
                <w:szCs w:val="21"/>
                <w:highlight w:val="none"/>
                <w:lang w:val="en-US" w:eastAsia="zh-CN" w:bidi="ar-SA"/>
              </w:rPr>
            </w:pPr>
          </w:p>
        </w:tc>
        <w:tc>
          <w:tcPr>
            <w:tcW w:w="1320" w:type="dxa"/>
            <w:vMerge w:val="restart"/>
            <w:tcBorders>
              <w:top w:val="single" w:color="auto" w:sz="4" w:space="0"/>
              <w:left w:val="single" w:color="auto" w:sz="4" w:space="0"/>
              <w:bottom w:val="single" w:color="auto" w:sz="4" w:space="0"/>
              <w:right w:val="single" w:color="auto" w:sz="4" w:space="0"/>
            </w:tcBorders>
            <w:vAlign w:val="center"/>
          </w:tcPr>
          <w:p w14:paraId="06CC3D4A">
            <w:pPr>
              <w:widowControl/>
              <w:spacing w:line="360" w:lineRule="auto"/>
              <w:rPr>
                <w:rFonts w:hint="default" w:ascii="宋体" w:hAnsi="宋体" w:eastAsia="宋体" w:cs="宋体"/>
                <w:color w:val="auto"/>
                <w:kern w:val="0"/>
                <w:sz w:val="21"/>
                <w:szCs w:val="21"/>
                <w:highlight w:val="none"/>
                <w:lang w:val="en-US" w:eastAsia="zh-CN" w:bidi="ar-SA"/>
              </w:rPr>
            </w:pPr>
            <w:r>
              <w:rPr>
                <w:rFonts w:hint="eastAsia" w:cs="宋体"/>
                <w:color w:val="auto"/>
                <w:kern w:val="0"/>
                <w:sz w:val="21"/>
                <w:szCs w:val="21"/>
                <w:highlight w:val="none"/>
                <w:lang w:val="en-US" w:eastAsia="zh-CN" w:bidi="ar-SA"/>
              </w:rPr>
              <w:t>售后服务体系（10分）</w:t>
            </w:r>
          </w:p>
        </w:tc>
        <w:tc>
          <w:tcPr>
            <w:tcW w:w="5947" w:type="dxa"/>
            <w:tcBorders>
              <w:top w:val="single" w:color="000000" w:sz="4" w:space="0"/>
              <w:left w:val="single" w:color="auto" w:sz="4" w:space="0"/>
              <w:bottom w:val="single" w:color="auto" w:sz="4" w:space="0"/>
              <w:right w:val="single" w:color="000000" w:sz="4" w:space="0"/>
            </w:tcBorders>
            <w:vAlign w:val="center"/>
          </w:tcPr>
          <w:p w14:paraId="0C1A9D32">
            <w:pPr>
              <w:pStyle w:val="89"/>
              <w:spacing w:before="78" w:line="360" w:lineRule="auto"/>
              <w:jc w:val="both"/>
              <w:rPr>
                <w:rFonts w:hint="eastAsia" w:ascii="宋体" w:hAnsi="宋体" w:eastAsia="宋体" w:cs="宋体"/>
                <w:snapToGrid w:val="0"/>
                <w:color w:val="auto"/>
                <w:kern w:val="0"/>
                <w:sz w:val="21"/>
                <w:szCs w:val="21"/>
                <w:highlight w:val="none"/>
                <w:lang w:val="en-US" w:eastAsia="zh-CN" w:bidi="ar-SA"/>
              </w:rPr>
            </w:pPr>
            <w:bookmarkStart w:id="334" w:name="OLE_LINK13"/>
            <w:r>
              <w:rPr>
                <w:rFonts w:hint="eastAsia" w:ascii="宋体" w:hAnsi="宋体" w:eastAsia="宋体" w:cs="宋体"/>
                <w:snapToGrid w:val="0"/>
                <w:color w:val="auto"/>
                <w:kern w:val="0"/>
                <w:sz w:val="21"/>
                <w:szCs w:val="21"/>
                <w:highlight w:val="none"/>
                <w:lang w:val="en-US" w:eastAsia="zh-CN" w:bidi="ar-SA"/>
              </w:rPr>
              <w:t>人员配备：提供可服务本项目人员不少于2人（含），得2分，每增加1人加1分，满分3分。</w:t>
            </w:r>
            <w:bookmarkEnd w:id="334"/>
          </w:p>
          <w:p w14:paraId="0EE34467">
            <w:pPr>
              <w:pStyle w:val="89"/>
              <w:spacing w:before="78" w:line="360" w:lineRule="auto"/>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需附专业人员身份证、社保缴纳证明、相应的健康证明文件等证明材料，未配备或未完整提供证明材料则该人员</w:t>
            </w:r>
            <w:r>
              <w:rPr>
                <w:rFonts w:hint="eastAsia" w:ascii="宋体" w:hAnsi="宋体" w:eastAsia="宋体" w:cs="宋体"/>
                <w:snapToGrid w:val="0"/>
                <w:color w:val="auto"/>
                <w:kern w:val="0"/>
                <w:sz w:val="21"/>
                <w:szCs w:val="21"/>
                <w:highlight w:val="none"/>
                <w:lang w:val="en-US" w:eastAsia="zh-CN" w:bidi="ar-SA"/>
              </w:rPr>
              <w:t>不得分。</w:t>
            </w:r>
          </w:p>
        </w:tc>
        <w:tc>
          <w:tcPr>
            <w:tcW w:w="700" w:type="dxa"/>
            <w:tcBorders>
              <w:top w:val="single" w:color="000000" w:sz="4" w:space="0"/>
              <w:left w:val="single" w:color="000000" w:sz="4" w:space="0"/>
              <w:bottom w:val="single" w:color="auto" w:sz="4" w:space="0"/>
              <w:right w:val="single" w:color="000000" w:sz="4" w:space="0"/>
            </w:tcBorders>
            <w:vAlign w:val="center"/>
          </w:tcPr>
          <w:p w14:paraId="4307F66F">
            <w:pPr>
              <w:spacing w:line="360" w:lineRule="auto"/>
              <w:jc w:val="center"/>
              <w:rPr>
                <w:rFonts w:hint="default" w:eastAsia="宋体"/>
                <w:sz w:val="21"/>
                <w:szCs w:val="21"/>
                <w:highlight w:val="none"/>
                <w:lang w:val="en-US" w:eastAsia="zh-CN"/>
              </w:rPr>
            </w:pPr>
            <w:r>
              <w:rPr>
                <w:rFonts w:hint="eastAsia"/>
                <w:sz w:val="21"/>
                <w:szCs w:val="21"/>
                <w:highlight w:val="none"/>
                <w:lang w:val="en-US" w:eastAsia="zh-CN"/>
              </w:rPr>
              <w:t>3</w:t>
            </w:r>
          </w:p>
        </w:tc>
      </w:tr>
      <w:tr w14:paraId="5AC270A0">
        <w:tblPrEx>
          <w:tblCellMar>
            <w:top w:w="0" w:type="dxa"/>
            <w:left w:w="108" w:type="dxa"/>
            <w:bottom w:w="0" w:type="dxa"/>
            <w:right w:w="108" w:type="dxa"/>
          </w:tblCellMar>
        </w:tblPrEx>
        <w:trPr>
          <w:trHeight w:val="227" w:hRule="atLeast"/>
          <w:jc w:val="center"/>
        </w:trPr>
        <w:tc>
          <w:tcPr>
            <w:tcW w:w="1320" w:type="dxa"/>
            <w:vMerge w:val="continue"/>
            <w:tcBorders>
              <w:left w:val="single" w:color="auto" w:sz="4" w:space="0"/>
              <w:right w:val="single" w:color="auto" w:sz="4" w:space="0"/>
            </w:tcBorders>
            <w:vAlign w:val="center"/>
          </w:tcPr>
          <w:p w14:paraId="1766E5FF">
            <w:pPr>
              <w:widowControl/>
              <w:spacing w:line="360" w:lineRule="auto"/>
              <w:rPr>
                <w:rFonts w:hint="eastAsia" w:ascii="宋体" w:hAnsi="宋体" w:eastAsia="宋体" w:cs="宋体"/>
                <w:color w:val="auto"/>
                <w:kern w:val="0"/>
                <w:sz w:val="21"/>
                <w:szCs w:val="21"/>
                <w:highlight w:val="none"/>
                <w:lang w:val="en-US" w:eastAsia="zh-CN" w:bidi="ar-SA"/>
              </w:rPr>
            </w:pPr>
          </w:p>
        </w:tc>
        <w:tc>
          <w:tcPr>
            <w:tcW w:w="1320" w:type="dxa"/>
            <w:vMerge w:val="continue"/>
            <w:tcBorders>
              <w:top w:val="single" w:color="auto" w:sz="4" w:space="0"/>
              <w:left w:val="single" w:color="000000" w:sz="4" w:space="0"/>
              <w:bottom w:val="single" w:color="auto" w:sz="4" w:space="0"/>
              <w:right w:val="single" w:color="auto" w:sz="4" w:space="0"/>
            </w:tcBorders>
            <w:vAlign w:val="center"/>
          </w:tcPr>
          <w:p w14:paraId="30CD36A7">
            <w:pPr>
              <w:widowControl/>
              <w:spacing w:line="360" w:lineRule="auto"/>
              <w:rPr>
                <w:rFonts w:hint="eastAsia" w:ascii="宋体" w:hAnsi="宋体" w:eastAsia="宋体" w:cs="宋体"/>
                <w:color w:val="auto"/>
                <w:kern w:val="0"/>
                <w:sz w:val="21"/>
                <w:szCs w:val="21"/>
                <w:highlight w:val="none"/>
                <w:lang w:val="en-US" w:eastAsia="zh-CN" w:bidi="ar-SA"/>
              </w:rPr>
            </w:pPr>
          </w:p>
        </w:tc>
        <w:tc>
          <w:tcPr>
            <w:tcW w:w="5947" w:type="dxa"/>
            <w:tcBorders>
              <w:top w:val="single" w:color="auto" w:sz="4" w:space="0"/>
              <w:left w:val="single" w:color="auto" w:sz="4" w:space="0"/>
              <w:bottom w:val="single" w:color="auto" w:sz="4" w:space="0"/>
              <w:right w:val="single" w:color="000000" w:sz="4" w:space="0"/>
            </w:tcBorders>
            <w:vAlign w:val="center"/>
          </w:tcPr>
          <w:p w14:paraId="7FF0131A">
            <w:pPr>
              <w:pStyle w:val="89"/>
              <w:spacing w:before="78" w:line="360" w:lineRule="auto"/>
              <w:jc w:val="both"/>
              <w:rPr>
                <w:rFonts w:hint="eastAsia" w:ascii="宋体" w:hAnsi="宋体" w:eastAsia="宋体" w:cs="宋体"/>
                <w:color w:val="auto"/>
                <w:kern w:val="0"/>
                <w:sz w:val="21"/>
                <w:szCs w:val="21"/>
                <w:highlight w:val="none"/>
                <w:lang w:val="en-US" w:eastAsia="zh-CN" w:bidi="ar-SA"/>
              </w:rPr>
            </w:pPr>
            <w:bookmarkStart w:id="335" w:name="OLE_LINK12"/>
            <w:r>
              <w:rPr>
                <w:rFonts w:hint="eastAsia" w:ascii="宋体" w:hAnsi="宋体" w:eastAsia="宋体" w:cs="宋体"/>
                <w:color w:val="auto"/>
                <w:kern w:val="0"/>
                <w:sz w:val="21"/>
                <w:szCs w:val="21"/>
                <w:highlight w:val="none"/>
                <w:lang w:val="en-US" w:eastAsia="zh-CN" w:bidi="ar-SA"/>
              </w:rPr>
              <w:t>拟投入本项目配送车辆要求为厢式货车或货车，提供一辆得1分，满分3分。</w:t>
            </w:r>
          </w:p>
          <w:p w14:paraId="049011C7">
            <w:pPr>
              <w:pStyle w:val="89"/>
              <w:spacing w:before="78" w:line="360" w:lineRule="auto"/>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须提供以下证明文件，缺一项不得分：</w:t>
            </w:r>
          </w:p>
          <w:p w14:paraId="342DE24C">
            <w:pPr>
              <w:pStyle w:val="89"/>
              <w:spacing w:before="78" w:line="360" w:lineRule="auto"/>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1、自有车辆，提供有效的机动车行驶证复印件；车辆行驶证所有人名称须与投标单位一致。租赁车辆，提供有效的车辆租赁协议复印件、车辆保险单复印件和机动车行驶证复印件。</w:t>
            </w:r>
          </w:p>
          <w:p w14:paraId="1946CECC">
            <w:pPr>
              <w:pStyle w:val="89"/>
              <w:spacing w:before="78" w:line="360" w:lineRule="auto"/>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2、车辆照片（显示车牌号）。</w:t>
            </w:r>
          </w:p>
          <w:p w14:paraId="470AF796">
            <w:pPr>
              <w:pStyle w:val="89"/>
              <w:spacing w:before="78" w:line="360" w:lineRule="auto"/>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注：投标文件中提供的车辆照片需清晰，专家难以辨认的不得分。</w:t>
            </w:r>
            <w:bookmarkEnd w:id="335"/>
          </w:p>
        </w:tc>
        <w:tc>
          <w:tcPr>
            <w:tcW w:w="700" w:type="dxa"/>
            <w:tcBorders>
              <w:top w:val="single" w:color="auto" w:sz="4" w:space="0"/>
              <w:left w:val="single" w:color="000000" w:sz="4" w:space="0"/>
              <w:bottom w:val="single" w:color="auto" w:sz="4" w:space="0"/>
              <w:right w:val="single" w:color="000000" w:sz="4" w:space="0"/>
            </w:tcBorders>
            <w:vAlign w:val="center"/>
          </w:tcPr>
          <w:p w14:paraId="44037D1F">
            <w:pPr>
              <w:spacing w:line="360" w:lineRule="auto"/>
              <w:jc w:val="center"/>
              <w:rPr>
                <w:rFonts w:hint="default" w:eastAsia="宋体"/>
                <w:sz w:val="21"/>
                <w:szCs w:val="21"/>
                <w:highlight w:val="none"/>
                <w:lang w:val="en-US" w:eastAsia="zh-CN"/>
              </w:rPr>
            </w:pPr>
            <w:r>
              <w:rPr>
                <w:rFonts w:hint="eastAsia"/>
                <w:sz w:val="21"/>
                <w:szCs w:val="21"/>
                <w:highlight w:val="none"/>
                <w:lang w:val="en-US" w:eastAsia="zh-CN"/>
              </w:rPr>
              <w:t>3</w:t>
            </w:r>
          </w:p>
        </w:tc>
      </w:tr>
      <w:tr w14:paraId="2AA0EE3D">
        <w:tblPrEx>
          <w:tblCellMar>
            <w:top w:w="0" w:type="dxa"/>
            <w:left w:w="108" w:type="dxa"/>
            <w:bottom w:w="0" w:type="dxa"/>
            <w:right w:w="108" w:type="dxa"/>
          </w:tblCellMar>
        </w:tblPrEx>
        <w:trPr>
          <w:trHeight w:val="227" w:hRule="atLeast"/>
          <w:jc w:val="center"/>
        </w:trPr>
        <w:tc>
          <w:tcPr>
            <w:tcW w:w="1320" w:type="dxa"/>
            <w:vMerge w:val="continue"/>
            <w:tcBorders>
              <w:left w:val="single" w:color="auto" w:sz="4" w:space="0"/>
              <w:bottom w:val="single" w:color="auto" w:sz="4" w:space="0"/>
              <w:right w:val="single" w:color="auto" w:sz="4" w:space="0"/>
            </w:tcBorders>
            <w:vAlign w:val="center"/>
          </w:tcPr>
          <w:p w14:paraId="27DD828C">
            <w:pPr>
              <w:widowControl/>
              <w:spacing w:line="360" w:lineRule="auto"/>
              <w:rPr>
                <w:rFonts w:hint="eastAsia" w:ascii="宋体" w:hAnsi="宋体" w:eastAsia="宋体" w:cs="宋体"/>
                <w:color w:val="auto"/>
                <w:kern w:val="0"/>
                <w:sz w:val="21"/>
                <w:szCs w:val="21"/>
                <w:highlight w:val="none"/>
                <w:lang w:val="en-US" w:eastAsia="zh-CN" w:bidi="ar-SA"/>
              </w:rPr>
            </w:pPr>
          </w:p>
        </w:tc>
        <w:tc>
          <w:tcPr>
            <w:tcW w:w="1320" w:type="dxa"/>
            <w:vMerge w:val="continue"/>
            <w:tcBorders>
              <w:top w:val="single" w:color="auto" w:sz="4" w:space="0"/>
              <w:left w:val="single" w:color="000000" w:sz="4" w:space="0"/>
              <w:bottom w:val="single" w:color="auto" w:sz="4" w:space="0"/>
              <w:right w:val="single" w:color="auto" w:sz="4" w:space="0"/>
            </w:tcBorders>
            <w:vAlign w:val="center"/>
          </w:tcPr>
          <w:p w14:paraId="36975A7D">
            <w:pPr>
              <w:widowControl/>
              <w:spacing w:line="360" w:lineRule="auto"/>
              <w:rPr>
                <w:rFonts w:hint="eastAsia" w:ascii="宋体" w:hAnsi="宋体" w:eastAsia="宋体" w:cs="宋体"/>
                <w:color w:val="auto"/>
                <w:kern w:val="0"/>
                <w:sz w:val="21"/>
                <w:szCs w:val="21"/>
                <w:highlight w:val="none"/>
                <w:lang w:val="en-US" w:eastAsia="zh-CN" w:bidi="ar-SA"/>
              </w:rPr>
            </w:pPr>
          </w:p>
        </w:tc>
        <w:tc>
          <w:tcPr>
            <w:tcW w:w="5947" w:type="dxa"/>
            <w:tcBorders>
              <w:top w:val="single" w:color="auto" w:sz="4" w:space="0"/>
              <w:left w:val="single" w:color="auto" w:sz="4" w:space="0"/>
              <w:bottom w:val="single" w:color="auto" w:sz="4" w:space="0"/>
              <w:right w:val="single" w:color="000000" w:sz="4" w:space="0"/>
            </w:tcBorders>
            <w:vAlign w:val="center"/>
          </w:tcPr>
          <w:p w14:paraId="0B16B158">
            <w:pPr>
              <w:pStyle w:val="89"/>
              <w:spacing w:before="78" w:line="360" w:lineRule="auto"/>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根据供应商提供售后服务体系等方面进行评分。包括但不限于以下内容</w:t>
            </w:r>
          </w:p>
          <w:p w14:paraId="16760A11">
            <w:pPr>
              <w:pStyle w:val="89"/>
              <w:spacing w:before="78" w:line="360" w:lineRule="auto"/>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①售后服务方案</w:t>
            </w:r>
          </w:p>
          <w:p w14:paraId="15484240">
            <w:pPr>
              <w:pStyle w:val="89"/>
              <w:spacing w:before="78" w:line="360" w:lineRule="auto"/>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②出现产品质量问题退换货方案</w:t>
            </w:r>
          </w:p>
          <w:p w14:paraId="4BAECC67">
            <w:pPr>
              <w:pStyle w:val="89"/>
              <w:spacing w:before="78" w:line="360" w:lineRule="auto"/>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③货物备货方案</w:t>
            </w:r>
          </w:p>
          <w:p w14:paraId="75FBB2F2">
            <w:pPr>
              <w:pStyle w:val="89"/>
              <w:spacing w:before="78" w:line="360" w:lineRule="auto"/>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④售后服务点安排、售后服务方式</w:t>
            </w:r>
          </w:p>
          <w:p w14:paraId="4B92714E">
            <w:pPr>
              <w:widowControl/>
              <w:spacing w:line="360" w:lineRule="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以上内容全部提供的得4分，每缺少一项内容扣1分；方案内容不完整或未能满足采购需求的或每有一处不具有针对性或逻辑性错误且不完整的扣0.5分，扣完为止。</w:t>
            </w:r>
          </w:p>
          <w:p w14:paraId="076335C2">
            <w:pPr>
              <w:pStyle w:val="89"/>
              <w:spacing w:before="78" w:line="360" w:lineRule="auto"/>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注：1、内容满足需求是指：①内容与项目服务需求吻合、层次细化，有具体详细的阐述；②阐述从实际出发，切合项目背景、项目需求并提出专业技术建议或者解决方案；③内容符合国家、地方、行业标准、行业惯例以及项目特点；④内容清楚明了、表述规范、含义准确。</w:t>
            </w:r>
          </w:p>
          <w:p w14:paraId="4FEAADC6">
            <w:pPr>
              <w:pStyle w:val="2"/>
              <w:rPr>
                <w:rFonts w:hint="eastAsia"/>
                <w:highlight w:val="none"/>
                <w:lang w:val="en-US" w:eastAsia="zh-CN"/>
              </w:rPr>
            </w:pPr>
            <w:r>
              <w:rPr>
                <w:rFonts w:hint="eastAsia" w:ascii="宋体" w:hAnsi="宋体" w:eastAsia="宋体" w:cs="宋体"/>
                <w:snapToGrid w:val="0"/>
                <w:color w:val="auto"/>
                <w:kern w:val="0"/>
                <w:sz w:val="21"/>
                <w:szCs w:val="21"/>
                <w:highlight w:val="none"/>
                <w:lang w:val="en-US" w:eastAsia="zh-CN" w:bidi="ar-SA"/>
              </w:rPr>
              <w:t>2、①不足具体是指：对应单项中的内容缺失（不完整）、与对应单项的要求缺少重要节点（如仅有框架或标题、单项内容仅有复制招标内容的要求、涉及内容无重点）；②缺陷具体是指：单项方案中出现套用其他项目方案或内容、内容中出现前后描述不一致现象或语言描述出现有错误、内容涉及适用的规范及标准（方法）出现错误、实施地点区域错误等任意一种情形。</w:t>
            </w:r>
          </w:p>
        </w:tc>
        <w:tc>
          <w:tcPr>
            <w:tcW w:w="700" w:type="dxa"/>
            <w:tcBorders>
              <w:top w:val="single" w:color="auto" w:sz="4" w:space="0"/>
              <w:left w:val="single" w:color="000000" w:sz="4" w:space="0"/>
              <w:bottom w:val="single" w:color="auto" w:sz="4" w:space="0"/>
              <w:right w:val="single" w:color="000000" w:sz="4" w:space="0"/>
            </w:tcBorders>
            <w:vAlign w:val="center"/>
          </w:tcPr>
          <w:p w14:paraId="22FD7C76">
            <w:pPr>
              <w:spacing w:line="360" w:lineRule="auto"/>
              <w:jc w:val="center"/>
              <w:rPr>
                <w:rFonts w:hint="default" w:eastAsia="宋体"/>
                <w:sz w:val="21"/>
                <w:szCs w:val="21"/>
                <w:highlight w:val="none"/>
                <w:lang w:val="en-US" w:eastAsia="zh-CN"/>
              </w:rPr>
            </w:pPr>
            <w:r>
              <w:rPr>
                <w:rFonts w:hint="eastAsia"/>
                <w:sz w:val="21"/>
                <w:szCs w:val="21"/>
                <w:highlight w:val="none"/>
                <w:lang w:val="en-US" w:eastAsia="zh-CN"/>
              </w:rPr>
              <w:t>4</w:t>
            </w:r>
          </w:p>
        </w:tc>
      </w:tr>
      <w:tr w14:paraId="7C29FAFD">
        <w:tblPrEx>
          <w:tblCellMar>
            <w:top w:w="0" w:type="dxa"/>
            <w:left w:w="108" w:type="dxa"/>
            <w:bottom w:w="0" w:type="dxa"/>
            <w:right w:w="108" w:type="dxa"/>
          </w:tblCellMar>
        </w:tblPrEx>
        <w:trPr>
          <w:trHeight w:val="1450" w:hRule="atLeast"/>
          <w:jc w:val="center"/>
        </w:trPr>
        <w:tc>
          <w:tcPr>
            <w:tcW w:w="1320" w:type="dxa"/>
            <w:vMerge w:val="restart"/>
            <w:tcBorders>
              <w:top w:val="single" w:color="auto" w:sz="4" w:space="0"/>
              <w:left w:val="single" w:color="000000" w:sz="4" w:space="0"/>
              <w:right w:val="single" w:color="000000" w:sz="4" w:space="0"/>
            </w:tcBorders>
            <w:vAlign w:val="center"/>
          </w:tcPr>
          <w:p w14:paraId="743FD41C">
            <w:pPr>
              <w:widowControl/>
              <w:spacing w:line="360" w:lineRule="auto"/>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技术部分（</w:t>
            </w:r>
            <w:r>
              <w:rPr>
                <w:rFonts w:hint="eastAsia" w:cs="宋体"/>
                <w:snapToGrid w:val="0"/>
                <w:color w:val="auto"/>
                <w:kern w:val="0"/>
                <w:sz w:val="21"/>
                <w:szCs w:val="21"/>
                <w:highlight w:val="none"/>
                <w:lang w:val="en-US" w:eastAsia="zh-CN" w:bidi="ar-SA"/>
              </w:rPr>
              <w:t>50</w:t>
            </w:r>
            <w:r>
              <w:rPr>
                <w:rFonts w:hint="eastAsia" w:ascii="宋体" w:hAnsi="宋体" w:eastAsia="宋体" w:cs="宋体"/>
                <w:snapToGrid w:val="0"/>
                <w:color w:val="auto"/>
                <w:kern w:val="0"/>
                <w:sz w:val="21"/>
                <w:szCs w:val="21"/>
                <w:highlight w:val="none"/>
                <w:lang w:val="en-US" w:eastAsia="zh-CN" w:bidi="ar-SA"/>
              </w:rPr>
              <w:t>分）</w:t>
            </w:r>
          </w:p>
        </w:tc>
        <w:tc>
          <w:tcPr>
            <w:tcW w:w="1320" w:type="dxa"/>
            <w:tcBorders>
              <w:top w:val="single" w:color="auto" w:sz="4" w:space="0"/>
              <w:left w:val="single" w:color="000000" w:sz="4" w:space="0"/>
              <w:bottom w:val="single" w:color="000000" w:sz="4" w:space="0"/>
              <w:right w:val="single" w:color="000000" w:sz="4" w:space="0"/>
            </w:tcBorders>
            <w:vAlign w:val="center"/>
          </w:tcPr>
          <w:p w14:paraId="5A9D9782">
            <w:pPr>
              <w:widowControl/>
              <w:spacing w:line="360" w:lineRule="auto"/>
              <w:rPr>
                <w:rFonts w:hint="eastAsia" w:cs="宋体"/>
                <w:snapToGrid w:val="0"/>
                <w:color w:val="auto"/>
                <w:kern w:val="0"/>
                <w:sz w:val="21"/>
                <w:szCs w:val="21"/>
                <w:highlight w:val="none"/>
                <w:lang w:val="en-US" w:eastAsia="zh-CN" w:bidi="ar-SA"/>
              </w:rPr>
            </w:pPr>
            <w:r>
              <w:rPr>
                <w:rFonts w:hint="eastAsia" w:cs="宋体"/>
                <w:snapToGrid w:val="0"/>
                <w:color w:val="auto"/>
                <w:kern w:val="0"/>
                <w:sz w:val="21"/>
                <w:szCs w:val="21"/>
                <w:highlight w:val="none"/>
                <w:lang w:val="en-US" w:eastAsia="zh-CN" w:bidi="ar-SA"/>
              </w:rPr>
              <w:t>服务方案</w:t>
            </w:r>
          </w:p>
          <w:p w14:paraId="7C32AEE1">
            <w:pPr>
              <w:widowControl/>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w:t>
            </w:r>
            <w:r>
              <w:rPr>
                <w:rFonts w:hint="eastAsia" w:cs="宋体"/>
                <w:color w:val="auto"/>
                <w:kern w:val="0"/>
                <w:sz w:val="21"/>
                <w:szCs w:val="21"/>
                <w:highlight w:val="none"/>
                <w:lang w:val="en-US" w:eastAsia="zh-CN" w:bidi="ar-SA"/>
              </w:rPr>
              <w:t>16</w:t>
            </w:r>
            <w:r>
              <w:rPr>
                <w:rFonts w:hint="eastAsia" w:ascii="宋体" w:hAnsi="宋体" w:eastAsia="宋体" w:cs="宋体"/>
                <w:color w:val="auto"/>
                <w:kern w:val="0"/>
                <w:sz w:val="21"/>
                <w:szCs w:val="21"/>
                <w:highlight w:val="none"/>
                <w:lang w:val="en-US" w:eastAsia="zh-CN" w:bidi="ar-SA"/>
              </w:rPr>
              <w:t>分）</w:t>
            </w:r>
          </w:p>
        </w:tc>
        <w:tc>
          <w:tcPr>
            <w:tcW w:w="5947" w:type="dxa"/>
            <w:tcBorders>
              <w:top w:val="single" w:color="auto" w:sz="4" w:space="0"/>
              <w:left w:val="single" w:color="000000" w:sz="4" w:space="0"/>
              <w:bottom w:val="single" w:color="auto" w:sz="4" w:space="0"/>
              <w:right w:val="single" w:color="000000" w:sz="4" w:space="0"/>
            </w:tcBorders>
            <w:vAlign w:val="top"/>
          </w:tcPr>
          <w:p w14:paraId="40250C10">
            <w:pPr>
              <w:pStyle w:val="89"/>
              <w:spacing w:before="78" w:line="360" w:lineRule="auto"/>
              <w:jc w:val="both"/>
              <w:rPr>
                <w:rFonts w:hint="eastAsia" w:ascii="宋体" w:hAnsi="宋体" w:eastAsia="宋体" w:cs="宋体"/>
                <w:snapToGrid w:val="0"/>
                <w:color w:val="auto"/>
                <w:kern w:val="0"/>
                <w:sz w:val="21"/>
                <w:szCs w:val="21"/>
                <w:highlight w:val="none"/>
                <w:lang w:val="en-US" w:eastAsia="zh-CN" w:bidi="ar-SA"/>
              </w:rPr>
            </w:pPr>
            <w:bookmarkStart w:id="336" w:name="OLE_LINK16"/>
            <w:r>
              <w:rPr>
                <w:rFonts w:hint="eastAsia" w:ascii="宋体" w:hAnsi="宋体" w:eastAsia="宋体" w:cs="宋体"/>
                <w:snapToGrid w:val="0"/>
                <w:color w:val="auto"/>
                <w:kern w:val="0"/>
                <w:sz w:val="21"/>
                <w:szCs w:val="21"/>
                <w:highlight w:val="none"/>
                <w:lang w:val="en-US" w:eastAsia="zh-CN" w:bidi="ar-SA"/>
              </w:rPr>
              <w:t>服务方案：供应商根据本项目特点，提供项目服务方案，包含但不限于：</w:t>
            </w:r>
          </w:p>
          <w:p w14:paraId="4103B738">
            <w:pPr>
              <w:pStyle w:val="89"/>
              <w:spacing w:before="78" w:line="360" w:lineRule="auto"/>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①车辆通行保障</w:t>
            </w:r>
          </w:p>
          <w:p w14:paraId="51906D9C">
            <w:pPr>
              <w:pStyle w:val="89"/>
              <w:spacing w:before="78" w:line="360" w:lineRule="auto"/>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②服务响应时间</w:t>
            </w:r>
          </w:p>
          <w:p w14:paraId="08CCAECC">
            <w:pPr>
              <w:pStyle w:val="89"/>
              <w:spacing w:before="78" w:line="360" w:lineRule="auto"/>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③服务计划</w:t>
            </w:r>
          </w:p>
          <w:p w14:paraId="52101F3A">
            <w:pPr>
              <w:pStyle w:val="89"/>
              <w:spacing w:before="78" w:line="360" w:lineRule="auto"/>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④安全保障措施等</w:t>
            </w:r>
            <w:bookmarkEnd w:id="336"/>
          </w:p>
          <w:p w14:paraId="76D835F6">
            <w:pPr>
              <w:pStyle w:val="89"/>
              <w:spacing w:before="78" w:line="360" w:lineRule="auto"/>
              <w:jc w:val="both"/>
              <w:rPr>
                <w:rFonts w:hint="eastAsia" w:ascii="宋体" w:hAnsi="宋体" w:eastAsia="宋体" w:cs="宋体"/>
                <w:snapToGrid w:val="0"/>
                <w:color w:val="auto"/>
                <w:kern w:val="0"/>
                <w:sz w:val="21"/>
                <w:szCs w:val="21"/>
                <w:highlight w:val="none"/>
                <w:lang w:val="en-US" w:eastAsia="zh-Hans" w:bidi="ar-SA"/>
              </w:rPr>
            </w:pPr>
            <w:r>
              <w:rPr>
                <w:rFonts w:hint="eastAsia" w:ascii="宋体" w:hAnsi="宋体" w:eastAsia="宋体" w:cs="宋体"/>
                <w:snapToGrid w:val="0"/>
                <w:color w:val="auto"/>
                <w:kern w:val="0"/>
                <w:sz w:val="21"/>
                <w:szCs w:val="21"/>
                <w:highlight w:val="none"/>
                <w:lang w:val="en-US" w:eastAsia="zh-CN" w:bidi="ar-SA"/>
              </w:rPr>
              <w:t>以上全部内容满足需求的得16分，每缺少一项的扣4分，每有一处不足或缺陷或不能符合项目实际情况的扣2分，扣完为止。</w:t>
            </w:r>
          </w:p>
          <w:p w14:paraId="14CD7304">
            <w:pPr>
              <w:pStyle w:val="89"/>
              <w:spacing w:before="78" w:line="360" w:lineRule="auto"/>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注：1、内容满足需求是指：①内容与项目服务需求吻合、层次细化，有具体详细的阐述；②阐述从实际出发，切合项目背景、项目需求并提出专业技术建议或者解决方案；③内容符合国家、地方、行业标准、行业惯例以及项目特点；④内容清楚明了、表述规范、含义准确。</w:t>
            </w:r>
          </w:p>
          <w:p w14:paraId="374EC34D">
            <w:pPr>
              <w:widowControl/>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2、①不足具体是指：对应单项中的内容缺失（不完整）、与对应单项的要求缺少重要节点（如仅有框架或标题、单项内容仅有复制招标内容的要求、涉及内容无重点）；②缺陷具体是指：单项方案中出现套用其他项目方案或内容、内容中出现前后描述不一致现象或语言描述出现有错误、内容涉及适用的规范及标准（方法）出现错误、实施地点区域错误等任意一种情形。</w:t>
            </w:r>
          </w:p>
        </w:tc>
        <w:tc>
          <w:tcPr>
            <w:tcW w:w="700" w:type="dxa"/>
            <w:tcBorders>
              <w:top w:val="single" w:color="auto" w:sz="4" w:space="0"/>
              <w:left w:val="single" w:color="000000" w:sz="4" w:space="0"/>
              <w:bottom w:val="single" w:color="auto" w:sz="4" w:space="0"/>
              <w:right w:val="single" w:color="000000" w:sz="4" w:space="0"/>
            </w:tcBorders>
            <w:vAlign w:val="center"/>
          </w:tcPr>
          <w:p w14:paraId="0CFA6436">
            <w:pPr>
              <w:spacing w:line="360" w:lineRule="auto"/>
              <w:jc w:val="center"/>
              <w:rPr>
                <w:rFonts w:hint="default" w:eastAsia="宋体"/>
                <w:sz w:val="21"/>
                <w:szCs w:val="21"/>
                <w:highlight w:val="none"/>
                <w:lang w:val="en-US" w:eastAsia="zh-CN"/>
              </w:rPr>
            </w:pPr>
            <w:r>
              <w:rPr>
                <w:rFonts w:hint="eastAsia"/>
                <w:sz w:val="21"/>
                <w:szCs w:val="21"/>
                <w:highlight w:val="none"/>
                <w:lang w:val="en-US" w:eastAsia="zh-CN"/>
              </w:rPr>
              <w:t>16</w:t>
            </w:r>
          </w:p>
        </w:tc>
      </w:tr>
      <w:tr w14:paraId="26835C52">
        <w:tblPrEx>
          <w:tblCellMar>
            <w:top w:w="0" w:type="dxa"/>
            <w:left w:w="108" w:type="dxa"/>
            <w:bottom w:w="0" w:type="dxa"/>
            <w:right w:w="108" w:type="dxa"/>
          </w:tblCellMar>
        </w:tblPrEx>
        <w:trPr>
          <w:trHeight w:val="1450" w:hRule="atLeast"/>
          <w:jc w:val="center"/>
        </w:trPr>
        <w:tc>
          <w:tcPr>
            <w:tcW w:w="1320" w:type="dxa"/>
            <w:vMerge w:val="continue"/>
            <w:tcBorders>
              <w:left w:val="single" w:color="000000" w:sz="4" w:space="0"/>
              <w:right w:val="single" w:color="000000" w:sz="4" w:space="0"/>
            </w:tcBorders>
            <w:vAlign w:val="center"/>
          </w:tcPr>
          <w:p w14:paraId="4EF72783">
            <w:pPr>
              <w:pStyle w:val="89"/>
              <w:spacing w:before="78" w:line="360" w:lineRule="auto"/>
              <w:jc w:val="center"/>
              <w:rPr>
                <w:rFonts w:hint="eastAsia" w:ascii="宋体" w:hAnsi="宋体" w:eastAsia="宋体" w:cs="宋体"/>
                <w:snapToGrid w:val="0"/>
                <w:color w:val="auto"/>
                <w:kern w:val="0"/>
                <w:sz w:val="21"/>
                <w:szCs w:val="21"/>
                <w:highlight w:val="none"/>
                <w:lang w:val="en-US" w:eastAsia="zh-CN" w:bidi="ar-SA"/>
              </w:rPr>
            </w:pPr>
          </w:p>
        </w:tc>
        <w:tc>
          <w:tcPr>
            <w:tcW w:w="1320" w:type="dxa"/>
            <w:tcBorders>
              <w:top w:val="single" w:color="auto" w:sz="4" w:space="0"/>
              <w:left w:val="single" w:color="000000" w:sz="4" w:space="0"/>
              <w:bottom w:val="single" w:color="000000" w:sz="4" w:space="0"/>
              <w:right w:val="single" w:color="000000" w:sz="4" w:space="0"/>
            </w:tcBorders>
            <w:vAlign w:val="center"/>
          </w:tcPr>
          <w:p w14:paraId="73DD1BEB">
            <w:pPr>
              <w:pStyle w:val="89"/>
              <w:spacing w:before="78" w:line="360" w:lineRule="auto"/>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应急预案</w:t>
            </w:r>
          </w:p>
          <w:p w14:paraId="044D7114">
            <w:pPr>
              <w:pStyle w:val="89"/>
              <w:spacing w:before="78" w:line="360" w:lineRule="auto"/>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（4分）</w:t>
            </w:r>
          </w:p>
        </w:tc>
        <w:tc>
          <w:tcPr>
            <w:tcW w:w="5947" w:type="dxa"/>
            <w:tcBorders>
              <w:top w:val="single" w:color="auto" w:sz="4" w:space="0"/>
              <w:left w:val="single" w:color="000000" w:sz="4" w:space="0"/>
              <w:bottom w:val="single" w:color="auto" w:sz="4" w:space="0"/>
              <w:right w:val="single" w:color="000000" w:sz="4" w:space="0"/>
            </w:tcBorders>
            <w:vAlign w:val="center"/>
          </w:tcPr>
          <w:p w14:paraId="2FF0C5D5">
            <w:pPr>
              <w:pStyle w:val="89"/>
              <w:spacing w:before="78" w:line="360" w:lineRule="auto"/>
              <w:jc w:val="both"/>
              <w:rPr>
                <w:rFonts w:hint="eastAsia" w:ascii="宋体" w:hAnsi="宋体" w:eastAsia="宋体" w:cs="宋体"/>
                <w:snapToGrid w:val="0"/>
                <w:color w:val="auto"/>
                <w:kern w:val="0"/>
                <w:sz w:val="21"/>
                <w:szCs w:val="21"/>
                <w:highlight w:val="none"/>
                <w:lang w:val="en-US" w:eastAsia="zh-CN" w:bidi="ar-SA"/>
              </w:rPr>
            </w:pPr>
            <w:bookmarkStart w:id="337" w:name="OLE_LINK17"/>
            <w:r>
              <w:rPr>
                <w:rFonts w:hint="eastAsia" w:ascii="宋体" w:hAnsi="宋体" w:eastAsia="宋体" w:cs="宋体"/>
                <w:snapToGrid w:val="0"/>
                <w:color w:val="auto"/>
                <w:kern w:val="0"/>
                <w:sz w:val="21"/>
                <w:szCs w:val="21"/>
                <w:highlight w:val="none"/>
                <w:lang w:val="en-US" w:eastAsia="zh-CN" w:bidi="ar-SA"/>
              </w:rPr>
              <w:t>根据供应商对紧急事件处理预案进行评审，包括但不限于：</w:t>
            </w:r>
          </w:p>
          <w:p w14:paraId="61E79E86">
            <w:pPr>
              <w:pStyle w:val="89"/>
              <w:spacing w:before="78" w:line="360" w:lineRule="auto"/>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①问题产品召回；</w:t>
            </w:r>
          </w:p>
          <w:p w14:paraId="5D4D88CE">
            <w:pPr>
              <w:pStyle w:val="89"/>
              <w:spacing w:before="78" w:line="360" w:lineRule="auto"/>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②遇突发安全事件应急处理；</w:t>
            </w:r>
          </w:p>
          <w:p w14:paraId="6D428826">
            <w:pPr>
              <w:pStyle w:val="89"/>
              <w:spacing w:before="78" w:line="360" w:lineRule="auto"/>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③货源短缺时的解决；</w:t>
            </w:r>
          </w:p>
          <w:p w14:paraId="7EDB6BB6">
            <w:pPr>
              <w:pStyle w:val="89"/>
              <w:spacing w:before="78" w:line="360" w:lineRule="auto"/>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④恶劣天气等情况的应急；</w:t>
            </w:r>
          </w:p>
          <w:p w14:paraId="7034AA1E">
            <w:pPr>
              <w:pStyle w:val="89"/>
              <w:spacing w:before="78" w:line="360" w:lineRule="auto"/>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提供应急预案及以往案例进行说明，每具有一项得1分，最多得4分，未提供相关说明材料不得分。</w:t>
            </w:r>
            <w:bookmarkEnd w:id="337"/>
          </w:p>
        </w:tc>
        <w:tc>
          <w:tcPr>
            <w:tcW w:w="700" w:type="dxa"/>
            <w:tcBorders>
              <w:top w:val="single" w:color="auto" w:sz="4" w:space="0"/>
              <w:left w:val="single" w:color="000000" w:sz="4" w:space="0"/>
              <w:bottom w:val="single" w:color="auto" w:sz="4" w:space="0"/>
              <w:right w:val="single" w:color="000000" w:sz="4" w:space="0"/>
            </w:tcBorders>
            <w:vAlign w:val="center"/>
          </w:tcPr>
          <w:p w14:paraId="7A82C454">
            <w:pPr>
              <w:spacing w:line="360" w:lineRule="auto"/>
              <w:jc w:val="center"/>
              <w:rPr>
                <w:rFonts w:hint="default"/>
                <w:sz w:val="21"/>
                <w:szCs w:val="21"/>
                <w:highlight w:val="none"/>
                <w:lang w:val="en-US" w:eastAsia="zh-CN"/>
              </w:rPr>
            </w:pPr>
            <w:r>
              <w:rPr>
                <w:rFonts w:hint="eastAsia"/>
                <w:sz w:val="21"/>
                <w:szCs w:val="21"/>
                <w:highlight w:val="none"/>
                <w:lang w:val="en-US" w:eastAsia="zh-CN"/>
              </w:rPr>
              <w:t>4</w:t>
            </w:r>
          </w:p>
        </w:tc>
      </w:tr>
      <w:tr w14:paraId="76F14EF7">
        <w:tblPrEx>
          <w:tblCellMar>
            <w:top w:w="0" w:type="dxa"/>
            <w:left w:w="108" w:type="dxa"/>
            <w:bottom w:w="0" w:type="dxa"/>
            <w:right w:w="108" w:type="dxa"/>
          </w:tblCellMar>
        </w:tblPrEx>
        <w:trPr>
          <w:trHeight w:val="1450" w:hRule="atLeast"/>
          <w:jc w:val="center"/>
        </w:trPr>
        <w:tc>
          <w:tcPr>
            <w:tcW w:w="1320" w:type="dxa"/>
            <w:vMerge w:val="continue"/>
            <w:tcBorders>
              <w:left w:val="single" w:color="000000" w:sz="4" w:space="0"/>
              <w:right w:val="single" w:color="000000" w:sz="4" w:space="0"/>
            </w:tcBorders>
            <w:vAlign w:val="center"/>
          </w:tcPr>
          <w:p w14:paraId="1E9BA980">
            <w:pPr>
              <w:pStyle w:val="89"/>
              <w:spacing w:before="78" w:line="360" w:lineRule="auto"/>
              <w:jc w:val="center"/>
              <w:rPr>
                <w:rFonts w:hint="eastAsia" w:ascii="宋体" w:hAnsi="宋体" w:eastAsia="宋体" w:cs="宋体"/>
                <w:snapToGrid w:val="0"/>
                <w:color w:val="auto"/>
                <w:kern w:val="0"/>
                <w:sz w:val="21"/>
                <w:szCs w:val="21"/>
                <w:highlight w:val="none"/>
                <w:lang w:val="en-US" w:eastAsia="zh-CN" w:bidi="ar-SA"/>
              </w:rPr>
            </w:pPr>
          </w:p>
        </w:tc>
        <w:tc>
          <w:tcPr>
            <w:tcW w:w="1320" w:type="dxa"/>
            <w:tcBorders>
              <w:top w:val="single" w:color="auto" w:sz="4" w:space="0"/>
              <w:left w:val="single" w:color="000000" w:sz="4" w:space="0"/>
              <w:bottom w:val="single" w:color="000000" w:sz="4" w:space="0"/>
              <w:right w:val="single" w:color="000000" w:sz="4" w:space="0"/>
            </w:tcBorders>
            <w:vAlign w:val="center"/>
          </w:tcPr>
          <w:p w14:paraId="54EA6B4D">
            <w:pPr>
              <w:pStyle w:val="89"/>
              <w:spacing w:before="78" w:line="360" w:lineRule="auto"/>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质量保证</w:t>
            </w:r>
          </w:p>
          <w:p w14:paraId="31933EF8">
            <w:pPr>
              <w:pStyle w:val="89"/>
              <w:spacing w:before="78" w:line="360" w:lineRule="auto"/>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（12分）</w:t>
            </w:r>
          </w:p>
        </w:tc>
        <w:tc>
          <w:tcPr>
            <w:tcW w:w="5947" w:type="dxa"/>
            <w:tcBorders>
              <w:top w:val="single" w:color="auto" w:sz="4" w:space="0"/>
              <w:left w:val="single" w:color="000000" w:sz="4" w:space="0"/>
              <w:bottom w:val="single" w:color="auto" w:sz="4" w:space="0"/>
              <w:right w:val="single" w:color="000000" w:sz="4" w:space="0"/>
            </w:tcBorders>
            <w:vAlign w:val="center"/>
          </w:tcPr>
          <w:p w14:paraId="193A0152">
            <w:pPr>
              <w:pStyle w:val="89"/>
              <w:spacing w:before="78" w:line="360" w:lineRule="auto"/>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根据供应商提供货品配送途中质量保障方案合理完整性、可操作性和可执行性进行评分，包含但不仅限于：</w:t>
            </w:r>
          </w:p>
          <w:p w14:paraId="1BF2D436">
            <w:pPr>
              <w:pStyle w:val="89"/>
              <w:spacing w:before="78" w:line="360" w:lineRule="auto"/>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①建立食品安全追溯制度和流程；</w:t>
            </w:r>
          </w:p>
          <w:p w14:paraId="3441B660">
            <w:pPr>
              <w:pStyle w:val="89"/>
              <w:spacing w:before="78" w:line="360" w:lineRule="auto"/>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②食品质量保证制度；</w:t>
            </w:r>
          </w:p>
          <w:p w14:paraId="4E125241">
            <w:pPr>
              <w:pStyle w:val="89"/>
              <w:spacing w:before="78" w:line="360" w:lineRule="auto"/>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③建立不合格食品食材及时更换制度，确保每日正常供给。</w:t>
            </w:r>
          </w:p>
          <w:p w14:paraId="5E8AEFDC">
            <w:pPr>
              <w:pStyle w:val="89"/>
              <w:spacing w:before="78" w:line="360" w:lineRule="auto"/>
              <w:jc w:val="both"/>
              <w:rPr>
                <w:rFonts w:hint="eastAsia" w:ascii="宋体" w:hAnsi="宋体" w:eastAsia="宋体" w:cs="宋体"/>
                <w:snapToGrid w:val="0"/>
                <w:color w:val="auto"/>
                <w:kern w:val="0"/>
                <w:sz w:val="21"/>
                <w:szCs w:val="21"/>
                <w:highlight w:val="none"/>
                <w:lang w:val="en-US" w:eastAsia="zh-Hans" w:bidi="ar-SA"/>
              </w:rPr>
            </w:pPr>
            <w:r>
              <w:rPr>
                <w:rFonts w:hint="eastAsia" w:ascii="宋体" w:hAnsi="宋体" w:eastAsia="宋体" w:cs="宋体"/>
                <w:snapToGrid w:val="0"/>
                <w:color w:val="auto"/>
                <w:kern w:val="0"/>
                <w:sz w:val="21"/>
                <w:szCs w:val="21"/>
                <w:highlight w:val="none"/>
                <w:lang w:val="en-US" w:eastAsia="zh-CN" w:bidi="ar-SA"/>
              </w:rPr>
              <w:t>以上全部内容满足需求的得12分，每缺少一项的扣4分，每有一处不足或缺陷或不能符合项目实际情况的扣2分，扣完为止。</w:t>
            </w:r>
          </w:p>
          <w:p w14:paraId="17A2D334">
            <w:pPr>
              <w:pStyle w:val="89"/>
              <w:spacing w:before="78" w:line="360" w:lineRule="auto"/>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注：1、内容满足需求是指：①内容与项目服务需求吻合、层次细化，有具体详细的阐述；②阐述从实际出发，切合项目背景、项目需求并提出专业技术建议或者解决方案；③内容符合国家、地方、行业标准、行业惯例以及项目特点；④内容清楚明了、表述规范、含义准确。</w:t>
            </w:r>
          </w:p>
          <w:p w14:paraId="48FC613D">
            <w:pPr>
              <w:pStyle w:val="89"/>
              <w:spacing w:before="78" w:line="360" w:lineRule="auto"/>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2、①不足具体是指：对应单项中的内容缺失（不完整）、与对应单项的要求缺少重要节点（如仅有框架或标题、单项内容仅有复制招标内容的要求、涉及内容无重点）；②缺陷具体是指：单项方案中出现套用其他项目方案或内容、内容中出现前后描述不一致现象或语言描述出现有错误、内容涉及适用的规范及标准（方法）出现错误、实施地点区域错误等任意一种情形。</w:t>
            </w:r>
          </w:p>
        </w:tc>
        <w:tc>
          <w:tcPr>
            <w:tcW w:w="700" w:type="dxa"/>
            <w:tcBorders>
              <w:top w:val="single" w:color="auto" w:sz="4" w:space="0"/>
              <w:left w:val="single" w:color="000000" w:sz="4" w:space="0"/>
              <w:bottom w:val="single" w:color="auto" w:sz="4" w:space="0"/>
              <w:right w:val="single" w:color="000000" w:sz="4" w:space="0"/>
            </w:tcBorders>
            <w:vAlign w:val="center"/>
          </w:tcPr>
          <w:p w14:paraId="4554594C">
            <w:pPr>
              <w:spacing w:line="360" w:lineRule="auto"/>
              <w:jc w:val="center"/>
              <w:rPr>
                <w:rFonts w:hint="default"/>
                <w:sz w:val="21"/>
                <w:szCs w:val="21"/>
                <w:highlight w:val="none"/>
                <w:lang w:val="en-US" w:eastAsia="zh-CN"/>
              </w:rPr>
            </w:pPr>
            <w:r>
              <w:rPr>
                <w:rFonts w:hint="eastAsia"/>
                <w:sz w:val="21"/>
                <w:szCs w:val="21"/>
                <w:highlight w:val="none"/>
                <w:lang w:val="en-US" w:eastAsia="zh-CN"/>
              </w:rPr>
              <w:t>12</w:t>
            </w:r>
          </w:p>
        </w:tc>
      </w:tr>
      <w:tr w14:paraId="5AFB9ABB">
        <w:tblPrEx>
          <w:tblCellMar>
            <w:top w:w="0" w:type="dxa"/>
            <w:left w:w="108" w:type="dxa"/>
            <w:bottom w:w="0" w:type="dxa"/>
            <w:right w:w="108" w:type="dxa"/>
          </w:tblCellMar>
        </w:tblPrEx>
        <w:trPr>
          <w:trHeight w:val="1450" w:hRule="atLeast"/>
          <w:jc w:val="center"/>
        </w:trPr>
        <w:tc>
          <w:tcPr>
            <w:tcW w:w="1320" w:type="dxa"/>
            <w:vMerge w:val="continue"/>
            <w:tcBorders>
              <w:left w:val="single" w:color="000000" w:sz="4" w:space="0"/>
              <w:right w:val="single" w:color="000000" w:sz="4" w:space="0"/>
            </w:tcBorders>
            <w:vAlign w:val="center"/>
          </w:tcPr>
          <w:p w14:paraId="140D4DFC">
            <w:pPr>
              <w:pStyle w:val="89"/>
              <w:spacing w:before="78" w:line="360" w:lineRule="auto"/>
              <w:jc w:val="center"/>
              <w:rPr>
                <w:rFonts w:hint="eastAsia" w:ascii="宋体" w:hAnsi="宋体" w:eastAsia="宋体" w:cs="宋体"/>
                <w:snapToGrid w:val="0"/>
                <w:color w:val="auto"/>
                <w:kern w:val="0"/>
                <w:sz w:val="21"/>
                <w:szCs w:val="21"/>
                <w:highlight w:val="none"/>
                <w:lang w:val="en-US" w:eastAsia="zh-CN" w:bidi="ar-SA"/>
              </w:rPr>
            </w:pPr>
          </w:p>
        </w:tc>
        <w:tc>
          <w:tcPr>
            <w:tcW w:w="1320" w:type="dxa"/>
            <w:tcBorders>
              <w:top w:val="single" w:color="auto" w:sz="4" w:space="0"/>
              <w:left w:val="single" w:color="000000" w:sz="4" w:space="0"/>
              <w:bottom w:val="single" w:color="000000" w:sz="4" w:space="0"/>
              <w:right w:val="single" w:color="000000" w:sz="4" w:space="0"/>
            </w:tcBorders>
            <w:vAlign w:val="center"/>
          </w:tcPr>
          <w:p w14:paraId="58C430AC">
            <w:pPr>
              <w:pStyle w:val="89"/>
              <w:spacing w:before="78" w:line="360" w:lineRule="auto"/>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售后服务方案</w:t>
            </w:r>
          </w:p>
          <w:p w14:paraId="5BF375C6">
            <w:pPr>
              <w:pStyle w:val="89"/>
              <w:spacing w:before="78" w:line="360" w:lineRule="auto"/>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（13分）</w:t>
            </w:r>
          </w:p>
        </w:tc>
        <w:tc>
          <w:tcPr>
            <w:tcW w:w="5947" w:type="dxa"/>
            <w:tcBorders>
              <w:top w:val="single" w:color="auto" w:sz="4" w:space="0"/>
              <w:left w:val="single" w:color="000000" w:sz="4" w:space="0"/>
              <w:bottom w:val="single" w:color="auto" w:sz="4" w:space="0"/>
              <w:right w:val="single" w:color="000000" w:sz="4" w:space="0"/>
            </w:tcBorders>
            <w:vAlign w:val="center"/>
          </w:tcPr>
          <w:p w14:paraId="70009D7C">
            <w:pPr>
              <w:pStyle w:val="89"/>
              <w:spacing w:before="78" w:line="360" w:lineRule="auto"/>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1、供应商根据本项目需求提供详细的售后服务方案，内容包含但不限于：</w:t>
            </w:r>
          </w:p>
          <w:p w14:paraId="2AAE4334">
            <w:pPr>
              <w:pStyle w:val="89"/>
              <w:spacing w:before="78" w:line="360" w:lineRule="auto"/>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①退换货及缺送漏送的处理方案</w:t>
            </w:r>
          </w:p>
          <w:p w14:paraId="2EE83EFC">
            <w:pPr>
              <w:pStyle w:val="89"/>
              <w:spacing w:before="78" w:line="360" w:lineRule="auto"/>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；②售后服务承诺以及响应时间等；</w:t>
            </w:r>
          </w:p>
          <w:p w14:paraId="5482F923">
            <w:pPr>
              <w:pStyle w:val="89"/>
              <w:spacing w:before="78" w:line="360" w:lineRule="auto"/>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③有针对本项目的特殊情况（如专项行动、公共食品安全危机等）保证措施；</w:t>
            </w:r>
          </w:p>
          <w:p w14:paraId="09BEAEBB">
            <w:pPr>
              <w:pStyle w:val="89"/>
              <w:spacing w:before="78" w:line="360" w:lineRule="auto"/>
              <w:jc w:val="both"/>
              <w:rPr>
                <w:rFonts w:hint="eastAsia" w:ascii="宋体" w:hAnsi="宋体" w:eastAsia="宋体" w:cs="宋体"/>
                <w:snapToGrid w:val="0"/>
                <w:color w:val="auto"/>
                <w:kern w:val="0"/>
                <w:sz w:val="21"/>
                <w:szCs w:val="21"/>
                <w:highlight w:val="none"/>
                <w:lang w:val="en-US" w:eastAsia="zh-Hans" w:bidi="ar-SA"/>
              </w:rPr>
            </w:pPr>
            <w:r>
              <w:rPr>
                <w:rFonts w:hint="eastAsia" w:ascii="宋体" w:hAnsi="宋体" w:eastAsia="宋体" w:cs="宋体"/>
                <w:snapToGrid w:val="0"/>
                <w:color w:val="auto"/>
                <w:kern w:val="0"/>
                <w:sz w:val="21"/>
                <w:szCs w:val="21"/>
                <w:highlight w:val="none"/>
                <w:lang w:val="en-US" w:eastAsia="zh-CN" w:bidi="ar-SA"/>
              </w:rPr>
              <w:t>以上全部内容满足需求的得12分，每缺少一项的扣4分，每有一处不足或缺陷或不能符合项目实际情况的扣2分，扣完为止。</w:t>
            </w:r>
          </w:p>
          <w:p w14:paraId="1551205B">
            <w:pPr>
              <w:pStyle w:val="89"/>
              <w:spacing w:before="78" w:line="360" w:lineRule="auto"/>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注：内容满足需求是指：①内容与项目服务需求吻合、层次细化，有具体详细的阐述；②阐述从实际出发，切合项目背景、项目需求并提出专业技术建议或者解决方案；③内容符合国家、地方、行业标准、行业惯例以及项目特点；④内容清楚明了、表述规范、含义准确。</w:t>
            </w:r>
          </w:p>
          <w:p w14:paraId="306E861E">
            <w:pPr>
              <w:pStyle w:val="89"/>
              <w:numPr>
                <w:ilvl w:val="0"/>
                <w:numId w:val="0"/>
              </w:numPr>
              <w:spacing w:before="78" w:line="360" w:lineRule="auto"/>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①不足具体是指：对应单项中的内容缺失（不完整）、与对应单项的要求缺少重要节点（如仅有框架或标题、单项内容仅有复制招标内容的要求、涉及内容无重点）；②缺陷具体是指：单项方案中出现套用其他项目方案或内容、内容中出现前后描述不一致现象或语言描述出现有错误、内容涉及适用的规范及标准（方法）出现错误、实施地点区域错误等任意一种情形。</w:t>
            </w:r>
          </w:p>
          <w:p w14:paraId="0C17A790">
            <w:pPr>
              <w:pStyle w:val="89"/>
              <w:numPr>
                <w:ilvl w:val="0"/>
                <w:numId w:val="0"/>
              </w:numPr>
              <w:spacing w:before="78" w:line="360" w:lineRule="auto"/>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2、承诺承担所供商品质量、安全所致事件为完全责任得1分。</w:t>
            </w:r>
          </w:p>
        </w:tc>
        <w:tc>
          <w:tcPr>
            <w:tcW w:w="700" w:type="dxa"/>
            <w:tcBorders>
              <w:top w:val="single" w:color="auto" w:sz="4" w:space="0"/>
              <w:left w:val="single" w:color="000000" w:sz="4" w:space="0"/>
              <w:bottom w:val="single" w:color="auto" w:sz="4" w:space="0"/>
              <w:right w:val="single" w:color="000000" w:sz="4" w:space="0"/>
            </w:tcBorders>
            <w:vAlign w:val="center"/>
          </w:tcPr>
          <w:p w14:paraId="6F52875A">
            <w:pPr>
              <w:spacing w:line="360" w:lineRule="auto"/>
              <w:jc w:val="center"/>
              <w:rPr>
                <w:rFonts w:hint="default"/>
                <w:sz w:val="21"/>
                <w:szCs w:val="21"/>
                <w:highlight w:val="none"/>
                <w:lang w:val="en-US" w:eastAsia="zh-CN"/>
              </w:rPr>
            </w:pPr>
            <w:r>
              <w:rPr>
                <w:rFonts w:hint="eastAsia"/>
                <w:sz w:val="21"/>
                <w:szCs w:val="21"/>
                <w:highlight w:val="none"/>
                <w:lang w:val="en-US" w:eastAsia="zh-CN"/>
              </w:rPr>
              <w:t>13</w:t>
            </w:r>
          </w:p>
        </w:tc>
      </w:tr>
      <w:tr w14:paraId="6EF85E62">
        <w:tblPrEx>
          <w:tblCellMar>
            <w:top w:w="0" w:type="dxa"/>
            <w:left w:w="108" w:type="dxa"/>
            <w:bottom w:w="0" w:type="dxa"/>
            <w:right w:w="108" w:type="dxa"/>
          </w:tblCellMar>
        </w:tblPrEx>
        <w:trPr>
          <w:trHeight w:val="1450" w:hRule="atLeast"/>
          <w:jc w:val="center"/>
        </w:trPr>
        <w:tc>
          <w:tcPr>
            <w:tcW w:w="1320" w:type="dxa"/>
            <w:tcBorders>
              <w:left w:val="single" w:color="000000" w:sz="4" w:space="0"/>
              <w:right w:val="single" w:color="000000" w:sz="4" w:space="0"/>
            </w:tcBorders>
            <w:vAlign w:val="center"/>
          </w:tcPr>
          <w:p w14:paraId="18C95FF7">
            <w:pPr>
              <w:pStyle w:val="89"/>
              <w:spacing w:before="78" w:line="360" w:lineRule="auto"/>
              <w:jc w:val="center"/>
              <w:rPr>
                <w:rFonts w:hint="eastAsia" w:ascii="宋体" w:hAnsi="宋体" w:eastAsia="宋体" w:cs="宋体"/>
                <w:snapToGrid w:val="0"/>
                <w:color w:val="auto"/>
                <w:kern w:val="0"/>
                <w:sz w:val="21"/>
                <w:szCs w:val="21"/>
                <w:highlight w:val="none"/>
                <w:lang w:val="en-US" w:eastAsia="zh-CN" w:bidi="ar-SA"/>
              </w:rPr>
            </w:pPr>
          </w:p>
        </w:tc>
        <w:tc>
          <w:tcPr>
            <w:tcW w:w="1320" w:type="dxa"/>
            <w:tcBorders>
              <w:top w:val="single" w:color="auto" w:sz="4" w:space="0"/>
              <w:left w:val="single" w:color="000000" w:sz="4" w:space="0"/>
              <w:bottom w:val="single" w:color="000000" w:sz="4" w:space="0"/>
              <w:right w:val="single" w:color="000000" w:sz="4" w:space="0"/>
            </w:tcBorders>
            <w:vAlign w:val="center"/>
          </w:tcPr>
          <w:p w14:paraId="718D3920">
            <w:pPr>
              <w:pStyle w:val="89"/>
              <w:spacing w:before="78" w:line="360" w:lineRule="auto"/>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样品</w:t>
            </w:r>
          </w:p>
          <w:p w14:paraId="09D916AB">
            <w:pPr>
              <w:pStyle w:val="89"/>
              <w:spacing w:before="78" w:line="360" w:lineRule="auto"/>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（5分）</w:t>
            </w:r>
          </w:p>
        </w:tc>
        <w:tc>
          <w:tcPr>
            <w:tcW w:w="5947" w:type="dxa"/>
            <w:tcBorders>
              <w:top w:val="single" w:color="auto" w:sz="4" w:space="0"/>
              <w:left w:val="single" w:color="000000" w:sz="4" w:space="0"/>
              <w:bottom w:val="single" w:color="auto" w:sz="4" w:space="0"/>
              <w:right w:val="single" w:color="000000" w:sz="4" w:space="0"/>
            </w:tcBorders>
            <w:vAlign w:val="center"/>
          </w:tcPr>
          <w:p w14:paraId="22FA8A1A">
            <w:pPr>
              <w:pStyle w:val="89"/>
              <w:numPr>
                <w:ilvl w:val="0"/>
                <w:numId w:val="0"/>
              </w:numPr>
              <w:spacing w:before="78" w:line="360" w:lineRule="auto"/>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根据投标人提供货物样品的技术要求、规格、数量，色泽度、形态、包装、气味等情况进行打分，完全响应或优于招标文件得5分，每有一处不满足扣1分，若产品有变质情况视为没有提供样品。</w:t>
            </w:r>
          </w:p>
        </w:tc>
        <w:tc>
          <w:tcPr>
            <w:tcW w:w="700" w:type="dxa"/>
            <w:tcBorders>
              <w:top w:val="single" w:color="auto" w:sz="4" w:space="0"/>
              <w:left w:val="single" w:color="000000" w:sz="4" w:space="0"/>
              <w:bottom w:val="single" w:color="auto" w:sz="4" w:space="0"/>
              <w:right w:val="single" w:color="000000" w:sz="4" w:space="0"/>
            </w:tcBorders>
            <w:vAlign w:val="center"/>
          </w:tcPr>
          <w:p w14:paraId="078DBF08">
            <w:pPr>
              <w:spacing w:line="360" w:lineRule="auto"/>
              <w:jc w:val="center"/>
              <w:rPr>
                <w:rFonts w:hint="default"/>
                <w:sz w:val="21"/>
                <w:szCs w:val="21"/>
                <w:highlight w:val="none"/>
                <w:lang w:val="en-US" w:eastAsia="zh-CN"/>
              </w:rPr>
            </w:pPr>
            <w:r>
              <w:rPr>
                <w:rFonts w:hint="eastAsia"/>
                <w:sz w:val="21"/>
                <w:szCs w:val="21"/>
                <w:highlight w:val="none"/>
                <w:lang w:val="en-US" w:eastAsia="zh-CN"/>
              </w:rPr>
              <w:t>5</w:t>
            </w:r>
          </w:p>
        </w:tc>
      </w:tr>
      <w:tr w14:paraId="07041C88">
        <w:tblPrEx>
          <w:tblCellMar>
            <w:top w:w="0" w:type="dxa"/>
            <w:left w:w="108" w:type="dxa"/>
            <w:bottom w:w="0" w:type="dxa"/>
            <w:right w:w="108" w:type="dxa"/>
          </w:tblCellMar>
        </w:tblPrEx>
        <w:trPr>
          <w:trHeight w:val="310" w:hRule="atLeast"/>
          <w:jc w:val="center"/>
        </w:trPr>
        <w:tc>
          <w:tcPr>
            <w:tcW w:w="8587" w:type="dxa"/>
            <w:gridSpan w:val="3"/>
            <w:tcBorders>
              <w:top w:val="single" w:color="000000" w:sz="4" w:space="0"/>
              <w:left w:val="single" w:color="000000" w:sz="4" w:space="0"/>
              <w:bottom w:val="single" w:color="000000" w:sz="4" w:space="0"/>
              <w:right w:val="single" w:color="000000" w:sz="4" w:space="0"/>
            </w:tcBorders>
            <w:vAlign w:val="center"/>
          </w:tcPr>
          <w:p w14:paraId="4186B121">
            <w:pPr>
              <w:spacing w:line="360" w:lineRule="auto"/>
              <w:jc w:val="center"/>
              <w:rPr>
                <w:sz w:val="21"/>
                <w:szCs w:val="21"/>
                <w:highlight w:val="none"/>
              </w:rPr>
            </w:pPr>
            <w:r>
              <w:rPr>
                <w:rFonts w:hint="eastAsia"/>
                <w:sz w:val="21"/>
                <w:szCs w:val="21"/>
                <w:highlight w:val="none"/>
                <w:lang w:bidi="ar"/>
              </w:rPr>
              <w:t>合计</w:t>
            </w:r>
          </w:p>
        </w:tc>
        <w:tc>
          <w:tcPr>
            <w:tcW w:w="700" w:type="dxa"/>
            <w:tcBorders>
              <w:top w:val="single" w:color="000000" w:sz="4" w:space="0"/>
              <w:left w:val="single" w:color="000000" w:sz="4" w:space="0"/>
              <w:bottom w:val="single" w:color="000000" w:sz="4" w:space="0"/>
              <w:right w:val="single" w:color="000000" w:sz="4" w:space="0"/>
            </w:tcBorders>
            <w:vAlign w:val="center"/>
          </w:tcPr>
          <w:p w14:paraId="3544A27E">
            <w:pPr>
              <w:spacing w:line="360" w:lineRule="auto"/>
              <w:rPr>
                <w:sz w:val="21"/>
                <w:szCs w:val="21"/>
                <w:highlight w:val="none"/>
              </w:rPr>
            </w:pPr>
            <w:r>
              <w:rPr>
                <w:rFonts w:hint="eastAsia"/>
                <w:sz w:val="21"/>
                <w:szCs w:val="21"/>
                <w:highlight w:val="none"/>
                <w:lang w:bidi="ar"/>
              </w:rPr>
              <w:t>100</w:t>
            </w:r>
          </w:p>
        </w:tc>
      </w:tr>
      <w:tr w14:paraId="76C24E07">
        <w:tblPrEx>
          <w:tblCellMar>
            <w:top w:w="0" w:type="dxa"/>
            <w:left w:w="108" w:type="dxa"/>
            <w:bottom w:w="0" w:type="dxa"/>
            <w:right w:w="108" w:type="dxa"/>
          </w:tblCellMar>
        </w:tblPrEx>
        <w:trPr>
          <w:trHeight w:val="555" w:hRule="atLeast"/>
          <w:jc w:val="center"/>
        </w:trPr>
        <w:tc>
          <w:tcPr>
            <w:tcW w:w="9287" w:type="dxa"/>
            <w:gridSpan w:val="4"/>
            <w:tcBorders>
              <w:top w:val="single" w:color="000000" w:sz="4" w:space="0"/>
              <w:left w:val="single" w:color="000000" w:sz="4" w:space="0"/>
              <w:bottom w:val="single" w:color="auto" w:sz="4" w:space="0"/>
              <w:right w:val="single" w:color="000000" w:sz="4" w:space="0"/>
            </w:tcBorders>
            <w:vAlign w:val="center"/>
          </w:tcPr>
          <w:p w14:paraId="470E58FE">
            <w:pPr>
              <w:spacing w:line="360" w:lineRule="auto"/>
              <w:rPr>
                <w:sz w:val="21"/>
                <w:szCs w:val="21"/>
                <w:highlight w:val="none"/>
              </w:rPr>
            </w:pPr>
            <w:r>
              <w:rPr>
                <w:rFonts w:hint="eastAsia"/>
                <w:sz w:val="21"/>
                <w:szCs w:val="21"/>
                <w:highlight w:val="none"/>
                <w:lang w:bidi="ar"/>
              </w:rPr>
              <w:t>注：评分分值计算保留小数点后两位，小数点后第三位“四舍五入”</w:t>
            </w:r>
          </w:p>
        </w:tc>
      </w:tr>
      <w:tr w14:paraId="150733D4">
        <w:tblPrEx>
          <w:tblCellMar>
            <w:top w:w="0" w:type="dxa"/>
            <w:left w:w="108" w:type="dxa"/>
            <w:bottom w:w="0" w:type="dxa"/>
            <w:right w:w="108" w:type="dxa"/>
          </w:tblCellMar>
        </w:tblPrEx>
        <w:trPr>
          <w:trHeight w:val="680" w:hRule="atLeast"/>
          <w:jc w:val="center"/>
        </w:trPr>
        <w:tc>
          <w:tcPr>
            <w:tcW w:w="1320" w:type="dxa"/>
            <w:tcBorders>
              <w:top w:val="single" w:color="auto" w:sz="4" w:space="0"/>
              <w:left w:val="single" w:color="auto" w:sz="4" w:space="0"/>
              <w:bottom w:val="single" w:color="auto" w:sz="4" w:space="0"/>
              <w:right w:val="single" w:color="auto" w:sz="4" w:space="0"/>
            </w:tcBorders>
            <w:vAlign w:val="center"/>
          </w:tcPr>
          <w:p w14:paraId="79005E40">
            <w:pPr>
              <w:spacing w:line="360" w:lineRule="auto"/>
              <w:rPr>
                <w:rFonts w:hint="eastAsia"/>
                <w:sz w:val="21"/>
                <w:szCs w:val="21"/>
                <w:highlight w:val="none"/>
                <w:lang w:bidi="ar"/>
              </w:rPr>
            </w:pPr>
          </w:p>
        </w:tc>
        <w:tc>
          <w:tcPr>
            <w:tcW w:w="7967" w:type="dxa"/>
            <w:gridSpan w:val="3"/>
            <w:tcBorders>
              <w:top w:val="single" w:color="auto" w:sz="4" w:space="0"/>
              <w:left w:val="single" w:color="auto" w:sz="4" w:space="0"/>
              <w:bottom w:val="single" w:color="auto" w:sz="4" w:space="0"/>
              <w:right w:val="single" w:color="auto" w:sz="4" w:space="0"/>
            </w:tcBorders>
            <w:vAlign w:val="center"/>
          </w:tcPr>
          <w:p w14:paraId="6D56DD40">
            <w:pPr>
              <w:spacing w:line="360" w:lineRule="auto"/>
              <w:rPr>
                <w:sz w:val="21"/>
                <w:szCs w:val="21"/>
                <w:highlight w:val="none"/>
              </w:rPr>
            </w:pPr>
            <w:r>
              <w:rPr>
                <w:rFonts w:hint="eastAsia"/>
                <w:sz w:val="21"/>
                <w:szCs w:val="21"/>
                <w:highlight w:val="none"/>
                <w:lang w:bidi="ar"/>
              </w:rPr>
              <w:t>1.供应商提供的所有数据及材料，必须真实有效，如发现弄虚作假，取消中标资格，并上报上级财政主管部门。</w:t>
            </w:r>
          </w:p>
        </w:tc>
      </w:tr>
    </w:tbl>
    <w:p w14:paraId="790F10EC">
      <w:pPr>
        <w:pStyle w:val="41"/>
        <w:spacing w:line="360" w:lineRule="auto"/>
        <w:rPr>
          <w:highlight w:val="none"/>
        </w:rPr>
      </w:pPr>
    </w:p>
    <w:p w14:paraId="0F4B1E40">
      <w:pPr>
        <w:pStyle w:val="41"/>
        <w:spacing w:line="360" w:lineRule="auto"/>
        <w:rPr>
          <w:highlight w:val="none"/>
        </w:rPr>
      </w:pPr>
    </w:p>
    <w:p w14:paraId="11E2C8B6">
      <w:pPr>
        <w:pStyle w:val="41"/>
        <w:spacing w:line="360" w:lineRule="auto"/>
        <w:rPr>
          <w:highlight w:val="none"/>
        </w:rPr>
      </w:pPr>
    </w:p>
    <w:p w14:paraId="37392E11">
      <w:pPr>
        <w:spacing w:line="360" w:lineRule="auto"/>
        <w:rPr>
          <w:highlight w:val="none"/>
        </w:rPr>
      </w:pPr>
      <w:bookmarkStart w:id="338" w:name="_Toc155185918"/>
      <w:bookmarkStart w:id="339" w:name="_Toc16332"/>
      <w:bookmarkStart w:id="340" w:name="_Toc163492912"/>
    </w:p>
    <w:p w14:paraId="3865B46A">
      <w:pPr>
        <w:spacing w:line="360" w:lineRule="auto"/>
        <w:rPr>
          <w:rFonts w:hint="eastAsia"/>
          <w:highlight w:val="none"/>
          <w:lang w:val="zh-CN"/>
        </w:rPr>
      </w:pPr>
      <w:r>
        <w:rPr>
          <w:rFonts w:hint="eastAsia"/>
          <w:highlight w:val="none"/>
          <w:lang w:val="zh-CN"/>
        </w:rPr>
        <w:br w:type="page"/>
      </w:r>
    </w:p>
    <w:p w14:paraId="1B2759C8">
      <w:pPr>
        <w:pStyle w:val="3"/>
        <w:spacing w:line="360" w:lineRule="auto"/>
        <w:rPr>
          <w:highlight w:val="none"/>
          <w:lang w:val="zh-CN"/>
        </w:rPr>
      </w:pPr>
      <w:r>
        <w:rPr>
          <w:rFonts w:hint="eastAsia"/>
          <w:highlight w:val="none"/>
          <w:lang w:val="zh-CN"/>
        </w:rPr>
        <w:t>第六章 合同</w:t>
      </w:r>
      <w:bookmarkEnd w:id="338"/>
      <w:r>
        <w:rPr>
          <w:rFonts w:hint="eastAsia"/>
          <w:highlight w:val="none"/>
          <w:lang w:val="zh-CN"/>
        </w:rPr>
        <w:t>草案</w:t>
      </w:r>
      <w:bookmarkEnd w:id="339"/>
      <w:bookmarkEnd w:id="340"/>
    </w:p>
    <w:p w14:paraId="754FE5D3">
      <w:pPr>
        <w:spacing w:line="360" w:lineRule="auto"/>
        <w:rPr>
          <w:bCs/>
          <w:highlight w:val="none"/>
        </w:rPr>
      </w:pPr>
      <w:r>
        <w:rPr>
          <w:rFonts w:hint="eastAsia"/>
          <w:highlight w:val="none"/>
        </w:rPr>
        <w:t>【此合同为模板，具体签订合同依照采购文件及投标文件，甲乙双方协商为准】</w:t>
      </w:r>
    </w:p>
    <w:p w14:paraId="353DD121">
      <w:pPr>
        <w:pStyle w:val="85"/>
        <w:keepNext w:val="0"/>
        <w:keepLines w:val="0"/>
        <w:pageBreakBefore w:val="0"/>
        <w:kinsoku/>
        <w:wordWrap/>
        <w:overflowPunct/>
        <w:topLinePunct w:val="0"/>
        <w:bidi w:val="0"/>
        <w:spacing w:line="360" w:lineRule="auto"/>
        <w:ind w:left="0" w:leftChars="0" w:right="0" w:firstLine="643" w:firstLineChars="200"/>
        <w:rPr>
          <w:rFonts w:hint="eastAsia" w:ascii="宋体" w:hAnsi="宋体" w:eastAsia="宋体" w:cs="宋体"/>
          <w:b/>
          <w:color w:val="auto"/>
          <w:sz w:val="32"/>
          <w:szCs w:val="32"/>
          <w:highlight w:val="none"/>
          <w:lang w:val="en-US" w:eastAsia="zh-CN"/>
        </w:rPr>
      </w:pPr>
      <w:bookmarkStart w:id="341" w:name="_Toc3995"/>
      <w:r>
        <w:rPr>
          <w:rFonts w:hint="eastAsia" w:ascii="宋体" w:hAnsi="宋体" w:eastAsia="宋体" w:cs="宋体"/>
          <w:b/>
          <w:color w:val="auto"/>
          <w:sz w:val="32"/>
          <w:szCs w:val="32"/>
          <w:highlight w:val="none"/>
        </w:rPr>
        <w:t xml:space="preserve">合同编号：                                 </w:t>
      </w:r>
    </w:p>
    <w:p w14:paraId="045DE85A">
      <w:pPr>
        <w:pStyle w:val="85"/>
        <w:keepNext w:val="0"/>
        <w:keepLines w:val="0"/>
        <w:pageBreakBefore w:val="0"/>
        <w:kinsoku/>
        <w:wordWrap/>
        <w:overflowPunct/>
        <w:topLinePunct w:val="0"/>
        <w:bidi w:val="0"/>
        <w:spacing w:line="360" w:lineRule="auto"/>
        <w:ind w:left="0" w:leftChars="0" w:right="0" w:firstLine="643" w:firstLineChars="2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                                              </w:t>
      </w:r>
    </w:p>
    <w:p w14:paraId="3C98586B">
      <w:pPr>
        <w:pStyle w:val="85"/>
        <w:keepNext w:val="0"/>
        <w:keepLines w:val="0"/>
        <w:pageBreakBefore w:val="0"/>
        <w:kinsoku/>
        <w:wordWrap/>
        <w:overflowPunct/>
        <w:topLinePunct w:val="0"/>
        <w:bidi w:val="0"/>
        <w:spacing w:line="360" w:lineRule="auto"/>
        <w:ind w:right="0"/>
        <w:jc w:val="both"/>
        <w:rPr>
          <w:rFonts w:hint="eastAsia" w:ascii="宋体" w:hAnsi="宋体" w:eastAsia="宋体" w:cs="宋体"/>
          <w:b/>
          <w:color w:val="auto"/>
          <w:sz w:val="32"/>
          <w:szCs w:val="32"/>
          <w:highlight w:val="none"/>
        </w:rPr>
      </w:pPr>
    </w:p>
    <w:p w14:paraId="36897925">
      <w:pPr>
        <w:pStyle w:val="85"/>
        <w:keepNext w:val="0"/>
        <w:keepLines w:val="0"/>
        <w:pageBreakBefore w:val="0"/>
        <w:kinsoku/>
        <w:wordWrap/>
        <w:overflowPunct/>
        <w:topLinePunct w:val="0"/>
        <w:bidi w:val="0"/>
        <w:spacing w:line="360" w:lineRule="auto"/>
        <w:ind w:left="0" w:leftChars="0" w:right="0" w:firstLine="643" w:firstLineChars="200"/>
        <w:jc w:val="both"/>
        <w:rPr>
          <w:rFonts w:hint="eastAsia" w:ascii="宋体" w:hAnsi="宋体" w:eastAsia="宋体" w:cs="宋体"/>
          <w:b/>
          <w:color w:val="auto"/>
          <w:sz w:val="32"/>
          <w:szCs w:val="32"/>
          <w:highlight w:val="none"/>
        </w:rPr>
      </w:pPr>
    </w:p>
    <w:p w14:paraId="01D55DE0">
      <w:pPr>
        <w:pStyle w:val="85"/>
        <w:keepNext w:val="0"/>
        <w:keepLines w:val="0"/>
        <w:pageBreakBefore w:val="0"/>
        <w:kinsoku/>
        <w:wordWrap/>
        <w:overflowPunct/>
        <w:topLinePunct w:val="0"/>
        <w:bidi w:val="0"/>
        <w:spacing w:line="360" w:lineRule="auto"/>
        <w:ind w:left="0" w:leftChars="0" w:right="0" w:firstLine="643" w:firstLineChars="20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新疆医科大学附属肿瘤医院</w:t>
      </w:r>
    </w:p>
    <w:p w14:paraId="656ABE59">
      <w:pPr>
        <w:pStyle w:val="85"/>
        <w:keepNext w:val="0"/>
        <w:keepLines w:val="0"/>
        <w:pageBreakBefore w:val="0"/>
        <w:kinsoku/>
        <w:wordWrap/>
        <w:overflowPunct/>
        <w:topLinePunct w:val="0"/>
        <w:bidi w:val="0"/>
        <w:spacing w:line="360" w:lineRule="auto"/>
        <w:ind w:left="0" w:leftChars="0" w:right="0" w:firstLine="643" w:firstLineChars="200"/>
        <w:jc w:val="both"/>
        <w:rPr>
          <w:rFonts w:hint="eastAsia" w:ascii="宋体" w:hAnsi="宋体" w:eastAsia="宋体" w:cs="宋体"/>
          <w:b/>
          <w:color w:val="auto"/>
          <w:sz w:val="32"/>
          <w:szCs w:val="32"/>
          <w:highlight w:val="none"/>
        </w:rPr>
      </w:pPr>
    </w:p>
    <w:p w14:paraId="044B1830">
      <w:pPr>
        <w:pStyle w:val="85"/>
        <w:keepNext w:val="0"/>
        <w:keepLines w:val="0"/>
        <w:pageBreakBefore w:val="0"/>
        <w:kinsoku/>
        <w:wordWrap/>
        <w:overflowPunct/>
        <w:topLinePunct w:val="0"/>
        <w:bidi w:val="0"/>
        <w:spacing w:line="360" w:lineRule="auto"/>
        <w:ind w:left="0" w:leftChars="0" w:right="0" w:firstLine="643" w:firstLineChars="200"/>
        <w:jc w:val="center"/>
        <w:rPr>
          <w:rFonts w:hint="eastAsia" w:ascii="宋体" w:hAnsi="宋体" w:eastAsia="宋体" w:cs="宋体"/>
          <w:b/>
          <w:color w:val="auto"/>
          <w:sz w:val="32"/>
          <w:szCs w:val="32"/>
          <w:highlight w:val="none"/>
        </w:rPr>
      </w:pPr>
    </w:p>
    <w:p w14:paraId="3D5AA611">
      <w:pPr>
        <w:pStyle w:val="85"/>
        <w:keepNext w:val="0"/>
        <w:keepLines w:val="0"/>
        <w:pageBreakBefore w:val="0"/>
        <w:kinsoku/>
        <w:wordWrap/>
        <w:overflowPunct/>
        <w:topLinePunct w:val="0"/>
        <w:bidi w:val="0"/>
        <w:spacing w:line="360" w:lineRule="auto"/>
        <w:ind w:left="0" w:leftChars="0" w:right="0" w:firstLine="643" w:firstLineChars="200"/>
        <w:jc w:val="center"/>
        <w:rPr>
          <w:rFonts w:hint="eastAsia" w:ascii="宋体" w:hAnsi="宋体" w:eastAsia="宋体" w:cs="宋体"/>
          <w:b/>
          <w:color w:val="auto"/>
          <w:sz w:val="32"/>
          <w:szCs w:val="32"/>
          <w:highlight w:val="none"/>
        </w:rPr>
      </w:pPr>
    </w:p>
    <w:p w14:paraId="0AE92C25">
      <w:pPr>
        <w:pStyle w:val="85"/>
        <w:keepNext w:val="0"/>
        <w:keepLines w:val="0"/>
        <w:pageBreakBefore w:val="0"/>
        <w:kinsoku/>
        <w:wordWrap/>
        <w:overflowPunct/>
        <w:topLinePunct w:val="0"/>
        <w:bidi w:val="0"/>
        <w:spacing w:line="360" w:lineRule="auto"/>
        <w:ind w:left="0" w:leftChars="0" w:right="0" w:firstLine="643" w:firstLineChars="20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     </w:t>
      </w:r>
    </w:p>
    <w:p w14:paraId="7F9B308F">
      <w:pPr>
        <w:pStyle w:val="85"/>
        <w:keepNext w:val="0"/>
        <w:keepLines w:val="0"/>
        <w:pageBreakBefore w:val="0"/>
        <w:kinsoku/>
        <w:wordWrap/>
        <w:overflowPunct/>
        <w:topLinePunct w:val="0"/>
        <w:bidi w:val="0"/>
        <w:spacing w:line="360" w:lineRule="auto"/>
        <w:ind w:left="0" w:leftChars="0" w:right="0" w:firstLine="643" w:firstLineChars="20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采 购 合 同  </w:t>
      </w:r>
      <w:r>
        <w:rPr>
          <w:rFonts w:hint="eastAsia" w:ascii="宋体" w:hAnsi="宋体" w:eastAsia="宋体" w:cs="宋体"/>
          <w:color w:val="auto"/>
          <w:sz w:val="32"/>
          <w:szCs w:val="32"/>
          <w:highlight w:val="none"/>
        </w:rPr>
        <w:t xml:space="preserve">               </w:t>
      </w:r>
    </w:p>
    <w:p w14:paraId="5D8D33B6">
      <w:pPr>
        <w:keepNext w:val="0"/>
        <w:keepLines w:val="0"/>
        <w:pageBreakBefore w:val="0"/>
        <w:widowControl/>
        <w:kinsoku/>
        <w:wordWrap/>
        <w:overflowPunct/>
        <w:topLinePunct w:val="0"/>
        <w:bidi w:val="0"/>
        <w:spacing w:line="360" w:lineRule="auto"/>
        <w:ind w:left="0" w:leftChars="0" w:right="0" w:firstLine="643" w:firstLineChars="200"/>
        <w:rPr>
          <w:rFonts w:hint="eastAsia" w:ascii="宋体" w:hAnsi="宋体" w:eastAsia="宋体" w:cs="宋体"/>
          <w:b/>
          <w:color w:val="auto"/>
          <w:sz w:val="32"/>
          <w:szCs w:val="32"/>
          <w:highlight w:val="none"/>
        </w:rPr>
      </w:pPr>
    </w:p>
    <w:p w14:paraId="2D65424E">
      <w:pPr>
        <w:pStyle w:val="30"/>
        <w:keepNext w:val="0"/>
        <w:keepLines w:val="0"/>
        <w:pageBreakBefore w:val="0"/>
        <w:kinsoku/>
        <w:wordWrap/>
        <w:overflowPunct/>
        <w:topLinePunct w:val="0"/>
        <w:bidi w:val="0"/>
        <w:spacing w:line="360" w:lineRule="auto"/>
        <w:ind w:left="0" w:leftChars="0" w:right="0" w:firstLine="643" w:firstLineChars="200"/>
        <w:rPr>
          <w:rFonts w:hint="eastAsia" w:ascii="宋体" w:hAnsi="宋体" w:eastAsia="宋体" w:cs="宋体"/>
          <w:b/>
          <w:color w:val="auto"/>
          <w:sz w:val="32"/>
          <w:szCs w:val="32"/>
          <w:highlight w:val="none"/>
        </w:rPr>
      </w:pPr>
    </w:p>
    <w:p w14:paraId="17CE2F11">
      <w:pPr>
        <w:pStyle w:val="30"/>
        <w:keepNext w:val="0"/>
        <w:keepLines w:val="0"/>
        <w:pageBreakBefore w:val="0"/>
        <w:kinsoku/>
        <w:wordWrap/>
        <w:overflowPunct/>
        <w:topLinePunct w:val="0"/>
        <w:bidi w:val="0"/>
        <w:spacing w:line="360" w:lineRule="auto"/>
        <w:ind w:left="0" w:leftChars="0" w:right="0" w:firstLine="643" w:firstLineChars="200"/>
        <w:rPr>
          <w:rFonts w:hint="eastAsia" w:ascii="宋体" w:hAnsi="宋体" w:eastAsia="宋体" w:cs="宋体"/>
          <w:b/>
          <w:color w:val="auto"/>
          <w:sz w:val="32"/>
          <w:szCs w:val="32"/>
          <w:highlight w:val="none"/>
        </w:rPr>
      </w:pPr>
    </w:p>
    <w:p w14:paraId="7D48D634">
      <w:pPr>
        <w:pStyle w:val="30"/>
        <w:keepNext w:val="0"/>
        <w:keepLines w:val="0"/>
        <w:pageBreakBefore w:val="0"/>
        <w:kinsoku/>
        <w:wordWrap/>
        <w:overflowPunct/>
        <w:topLinePunct w:val="0"/>
        <w:bidi w:val="0"/>
        <w:spacing w:line="360" w:lineRule="auto"/>
        <w:ind w:left="0" w:leftChars="0" w:right="0" w:firstLine="643" w:firstLineChars="200"/>
        <w:rPr>
          <w:rFonts w:hint="eastAsia" w:ascii="宋体" w:hAnsi="宋体" w:eastAsia="宋体" w:cs="宋体"/>
          <w:b/>
          <w:color w:val="auto"/>
          <w:sz w:val="32"/>
          <w:szCs w:val="32"/>
          <w:highlight w:val="none"/>
        </w:rPr>
      </w:pPr>
    </w:p>
    <w:p w14:paraId="59042758">
      <w:pPr>
        <w:pageBreakBefore w:val="0"/>
        <w:wordWrap/>
        <w:topLinePunct w:val="0"/>
        <w:bidi w:val="0"/>
        <w:spacing w:line="360" w:lineRule="auto"/>
        <w:ind w:left="0" w:leftChars="0" w:right="0" w:firstLine="643" w:firstLineChars="200"/>
        <w:rPr>
          <w:rFonts w:hint="eastAsia" w:ascii="宋体" w:hAnsi="宋体" w:eastAsia="宋体" w:cs="宋体"/>
          <w:b/>
          <w:bCs/>
          <w:color w:val="auto"/>
          <w:spacing w:val="27"/>
          <w:sz w:val="32"/>
          <w:szCs w:val="32"/>
          <w:highlight w:val="none"/>
          <w:u w:val="single" w:color="auto"/>
          <w:lang w:val="en-US" w:eastAsia="zh-CN"/>
        </w:rPr>
      </w:pPr>
      <w:r>
        <w:rPr>
          <w:rFonts w:hint="eastAsia" w:ascii="宋体" w:hAnsi="宋体" w:eastAsia="宋体" w:cs="宋体"/>
          <w:b/>
          <w:color w:val="auto"/>
          <w:sz w:val="32"/>
          <w:szCs w:val="32"/>
          <w:highlight w:val="none"/>
        </w:rPr>
        <w:t>项目名称：</w:t>
      </w:r>
      <w:r>
        <w:rPr>
          <w:rFonts w:hint="eastAsia" w:ascii="宋体" w:hAnsi="宋体" w:eastAsia="宋体" w:cs="宋体"/>
          <w:b/>
          <w:bCs/>
          <w:color w:val="auto"/>
          <w:sz w:val="32"/>
          <w:szCs w:val="32"/>
          <w:highlight w:val="none"/>
          <w:u w:val="single"/>
          <w:lang w:val="en-US" w:eastAsia="zh-CN"/>
        </w:rPr>
        <w:t xml:space="preserve">                                  </w:t>
      </w:r>
    </w:p>
    <w:p w14:paraId="24F539BC">
      <w:pPr>
        <w:keepNext w:val="0"/>
        <w:keepLines w:val="0"/>
        <w:pageBreakBefore w:val="0"/>
        <w:kinsoku/>
        <w:wordWrap/>
        <w:overflowPunct/>
        <w:topLinePunct w:val="0"/>
        <w:bidi w:val="0"/>
        <w:spacing w:line="360" w:lineRule="auto"/>
        <w:ind w:left="0" w:leftChars="0" w:right="0" w:firstLine="643" w:firstLineChars="200"/>
        <w:jc w:val="both"/>
        <w:rPr>
          <w:rFonts w:hint="eastAsia" w:ascii="宋体" w:hAnsi="宋体" w:eastAsia="宋体" w:cs="宋体"/>
          <w:b/>
          <w:color w:val="auto"/>
          <w:sz w:val="32"/>
          <w:szCs w:val="32"/>
          <w:highlight w:val="none"/>
          <w:u w:val="single"/>
          <w:lang w:val="en-US" w:eastAsia="zh-CN"/>
        </w:rPr>
      </w:pPr>
      <w:r>
        <w:rPr>
          <w:rFonts w:hint="eastAsia" w:ascii="宋体" w:hAnsi="宋体" w:eastAsia="宋体" w:cs="宋体"/>
          <w:b/>
          <w:color w:val="auto"/>
          <w:sz w:val="32"/>
          <w:szCs w:val="32"/>
          <w:highlight w:val="none"/>
          <w:lang w:val="en-US" w:eastAsia="zh-CN"/>
        </w:rPr>
        <w:t xml:space="preserve"> </w:t>
      </w:r>
    </w:p>
    <w:p w14:paraId="18BCC452">
      <w:pPr>
        <w:keepNext w:val="0"/>
        <w:keepLines w:val="0"/>
        <w:pageBreakBefore w:val="0"/>
        <w:widowControl w:val="0"/>
        <w:kinsoku/>
        <w:wordWrap/>
        <w:overflowPunct/>
        <w:topLinePunct w:val="0"/>
        <w:autoSpaceDE/>
        <w:autoSpaceDN/>
        <w:bidi w:val="0"/>
        <w:adjustRightInd/>
        <w:snapToGrid/>
        <w:spacing w:line="360" w:lineRule="auto"/>
        <w:ind w:left="0" w:leftChars="0" w:right="0" w:firstLine="643" w:firstLineChars="200"/>
        <w:jc w:val="left"/>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color w:val="auto"/>
          <w:sz w:val="32"/>
          <w:szCs w:val="32"/>
          <w:highlight w:val="none"/>
        </w:rPr>
        <w:t>甲方名称</w:t>
      </w:r>
      <w:bookmarkStart w:id="342" w:name="_Hlk11877179"/>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bCs/>
          <w:color w:val="auto"/>
          <w:sz w:val="32"/>
          <w:szCs w:val="32"/>
          <w:highlight w:val="none"/>
          <w:u w:val="single"/>
        </w:rPr>
        <w:t>新疆医科大学附属肿瘤医院</w:t>
      </w:r>
      <w:bookmarkEnd w:id="342"/>
      <w:r>
        <w:rPr>
          <w:rFonts w:hint="eastAsia" w:ascii="宋体" w:hAnsi="宋体" w:eastAsia="宋体" w:cs="宋体"/>
          <w:b/>
          <w:bCs/>
          <w:color w:val="auto"/>
          <w:sz w:val="32"/>
          <w:szCs w:val="32"/>
          <w:highlight w:val="none"/>
          <w:u w:val="single"/>
          <w:lang w:val="en-US" w:eastAsia="zh-CN"/>
        </w:rPr>
        <w:t xml:space="preserve">          </w:t>
      </w:r>
    </w:p>
    <w:p w14:paraId="3E8171F4">
      <w:pPr>
        <w:keepNext w:val="0"/>
        <w:keepLines w:val="0"/>
        <w:pageBreakBefore w:val="0"/>
        <w:widowControl w:val="0"/>
        <w:kinsoku/>
        <w:wordWrap/>
        <w:overflowPunct/>
        <w:topLinePunct w:val="0"/>
        <w:autoSpaceDE/>
        <w:autoSpaceDN/>
        <w:bidi w:val="0"/>
        <w:adjustRightInd/>
        <w:snapToGrid/>
        <w:spacing w:line="360" w:lineRule="auto"/>
        <w:ind w:left="0" w:leftChars="0" w:right="0" w:firstLine="643" w:firstLineChars="200"/>
        <w:jc w:val="left"/>
        <w:textAlignment w:val="auto"/>
        <w:rPr>
          <w:rFonts w:hint="eastAsia" w:ascii="宋体" w:hAnsi="宋体" w:eastAsia="宋体" w:cs="宋体"/>
          <w:b/>
          <w:color w:val="auto"/>
          <w:sz w:val="32"/>
          <w:szCs w:val="32"/>
          <w:highlight w:val="none"/>
        </w:rPr>
      </w:pPr>
    </w:p>
    <w:p w14:paraId="2922D7D8">
      <w:pPr>
        <w:keepNext w:val="0"/>
        <w:keepLines w:val="0"/>
        <w:pageBreakBefore w:val="0"/>
        <w:kinsoku/>
        <w:wordWrap/>
        <w:overflowPunct/>
        <w:topLinePunct w:val="0"/>
        <w:bidi w:val="0"/>
        <w:spacing w:line="360" w:lineRule="auto"/>
        <w:ind w:left="0" w:leftChars="0" w:right="0" w:firstLine="643" w:firstLineChars="200"/>
        <w:jc w:val="left"/>
        <w:rPr>
          <w:rFonts w:hint="eastAsia" w:ascii="宋体" w:hAnsi="宋体" w:eastAsia="宋体" w:cs="宋体"/>
          <w:b/>
          <w:bCs/>
          <w:color w:val="auto"/>
          <w:sz w:val="32"/>
          <w:szCs w:val="32"/>
          <w:highlight w:val="none"/>
          <w:u w:val="single"/>
        </w:rPr>
      </w:pPr>
      <w:r>
        <w:rPr>
          <w:rFonts w:hint="eastAsia" w:ascii="宋体" w:hAnsi="宋体" w:eastAsia="宋体" w:cs="宋体"/>
          <w:b/>
          <w:color w:val="auto"/>
          <w:sz w:val="32"/>
          <w:szCs w:val="32"/>
          <w:highlight w:val="none"/>
        </w:rPr>
        <w:t>乙方名称：</w:t>
      </w:r>
      <w:r>
        <w:rPr>
          <w:rFonts w:hint="eastAsia" w:ascii="宋体" w:hAnsi="宋体" w:eastAsia="宋体" w:cs="宋体"/>
          <w:b/>
          <w:bCs/>
          <w:color w:val="auto"/>
          <w:sz w:val="32"/>
          <w:szCs w:val="32"/>
          <w:highlight w:val="none"/>
          <w:u w:val="single"/>
          <w:lang w:val="en-US" w:eastAsia="zh-CN"/>
        </w:rPr>
        <w:t xml:space="preserve">                                </w:t>
      </w:r>
      <w:r>
        <w:rPr>
          <w:rFonts w:hint="eastAsia" w:ascii="宋体" w:hAnsi="宋体" w:eastAsia="宋体" w:cs="宋体"/>
          <w:b/>
          <w:bCs/>
          <w:color w:val="auto"/>
          <w:sz w:val="32"/>
          <w:szCs w:val="32"/>
          <w:highlight w:val="none"/>
          <w:u w:val="single"/>
        </w:rPr>
        <w:t xml:space="preserve">  </w:t>
      </w:r>
    </w:p>
    <w:p w14:paraId="373CF6E8">
      <w:pPr>
        <w:keepNext w:val="0"/>
        <w:keepLines w:val="0"/>
        <w:pageBreakBefore w:val="0"/>
        <w:kinsoku/>
        <w:wordWrap/>
        <w:overflowPunct/>
        <w:topLinePunct w:val="0"/>
        <w:bidi w:val="0"/>
        <w:spacing w:line="360" w:lineRule="auto"/>
        <w:ind w:left="0" w:leftChars="0" w:right="0" w:firstLine="643" w:firstLineChars="200"/>
        <w:jc w:val="left"/>
        <w:rPr>
          <w:rFonts w:hint="eastAsia" w:ascii="宋体" w:hAnsi="宋体" w:eastAsia="宋体" w:cs="宋体"/>
          <w:b/>
          <w:bCs/>
          <w:color w:val="auto"/>
          <w:sz w:val="32"/>
          <w:szCs w:val="32"/>
          <w:highlight w:val="none"/>
          <w:u w:val="single"/>
        </w:rPr>
      </w:pPr>
    </w:p>
    <w:p w14:paraId="13C1A7A0">
      <w:pPr>
        <w:pStyle w:val="85"/>
        <w:keepNext w:val="0"/>
        <w:keepLines w:val="0"/>
        <w:pageBreakBefore w:val="0"/>
        <w:kinsoku/>
        <w:wordWrap/>
        <w:overflowPunct/>
        <w:topLinePunct w:val="0"/>
        <w:bidi w:val="0"/>
        <w:adjustRightInd/>
        <w:spacing w:line="360" w:lineRule="auto"/>
        <w:ind w:left="0" w:leftChars="0" w:right="0" w:firstLine="643" w:firstLineChars="200"/>
        <w:jc w:val="both"/>
        <w:rPr>
          <w:rFonts w:hint="eastAsia" w:ascii="宋体" w:hAnsi="宋体" w:eastAsia="宋体" w:cs="宋体"/>
          <w:b/>
          <w:color w:val="auto"/>
          <w:sz w:val="32"/>
          <w:szCs w:val="32"/>
          <w:highlight w:val="none"/>
        </w:rPr>
        <w:sectPr>
          <w:pgSz w:w="11906" w:h="16838"/>
          <w:pgMar w:top="1134" w:right="1417" w:bottom="1134" w:left="1417" w:header="851" w:footer="992" w:gutter="0"/>
          <w:pgNumType w:fmt="decimal"/>
          <w:cols w:space="720" w:num="1"/>
          <w:rtlGutter w:val="0"/>
          <w:docGrid w:type="lines" w:linePitch="312" w:charSpace="0"/>
        </w:sectPr>
      </w:pPr>
      <w:r>
        <w:rPr>
          <w:rFonts w:hint="eastAsia" w:ascii="宋体" w:hAnsi="宋体" w:eastAsia="宋体" w:cs="宋体"/>
          <w:b/>
          <w:color w:val="auto"/>
          <w:sz w:val="32"/>
          <w:szCs w:val="32"/>
          <w:highlight w:val="none"/>
        </w:rPr>
        <w:t>签订时间</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u w:val="single"/>
        </w:rPr>
        <w:t xml:space="preserve">   </w:t>
      </w:r>
      <w:r>
        <w:rPr>
          <w:rFonts w:hint="eastAsia" w:ascii="宋体" w:hAnsi="宋体" w:eastAsia="宋体" w:cs="宋体"/>
          <w:b/>
          <w:color w:val="auto"/>
          <w:sz w:val="32"/>
          <w:szCs w:val="32"/>
          <w:highlight w:val="none"/>
          <w:u w:val="single"/>
          <w:lang w:val="en-US" w:eastAsia="zh-CN"/>
        </w:rPr>
        <w:t xml:space="preserve"> </w:t>
      </w:r>
      <w:r>
        <w:rPr>
          <w:rFonts w:hint="eastAsia" w:ascii="宋体" w:hAnsi="宋体" w:eastAsia="宋体" w:cs="宋体"/>
          <w:b/>
          <w:color w:val="auto"/>
          <w:sz w:val="32"/>
          <w:szCs w:val="32"/>
          <w:highlight w:val="none"/>
          <w:u w:val="single"/>
        </w:rPr>
        <w:t xml:space="preserve"> </w:t>
      </w:r>
      <w:r>
        <w:rPr>
          <w:rFonts w:hint="eastAsia" w:ascii="宋体" w:hAnsi="宋体" w:eastAsia="宋体" w:cs="宋体"/>
          <w:b/>
          <w:color w:val="auto"/>
          <w:sz w:val="32"/>
          <w:szCs w:val="32"/>
          <w:highlight w:val="none"/>
        </w:rPr>
        <w:t>年</w:t>
      </w:r>
      <w:r>
        <w:rPr>
          <w:rFonts w:hint="eastAsia" w:ascii="宋体" w:hAnsi="宋体" w:eastAsia="宋体" w:cs="宋体"/>
          <w:b/>
          <w:color w:val="auto"/>
          <w:sz w:val="32"/>
          <w:szCs w:val="32"/>
          <w:highlight w:val="none"/>
          <w:u w:val="single"/>
        </w:rPr>
        <w:t xml:space="preserve">  </w:t>
      </w:r>
      <w:r>
        <w:rPr>
          <w:rFonts w:hint="eastAsia" w:ascii="宋体" w:hAnsi="宋体" w:eastAsia="宋体" w:cs="宋体"/>
          <w:b/>
          <w:color w:val="auto"/>
          <w:sz w:val="32"/>
          <w:szCs w:val="32"/>
          <w:highlight w:val="none"/>
          <w:u w:val="single"/>
          <w:lang w:val="en-US" w:eastAsia="zh-CN"/>
        </w:rPr>
        <w:t xml:space="preserve">  </w:t>
      </w:r>
      <w:r>
        <w:rPr>
          <w:rFonts w:hint="eastAsia" w:ascii="宋体" w:hAnsi="宋体" w:eastAsia="宋体" w:cs="宋体"/>
          <w:b/>
          <w:color w:val="auto"/>
          <w:sz w:val="32"/>
          <w:szCs w:val="32"/>
          <w:highlight w:val="none"/>
          <w:u w:val="single"/>
        </w:rPr>
        <w:t xml:space="preserve"> </w:t>
      </w:r>
      <w:r>
        <w:rPr>
          <w:rFonts w:hint="eastAsia" w:ascii="宋体" w:hAnsi="宋体" w:eastAsia="宋体" w:cs="宋体"/>
          <w:b/>
          <w:color w:val="auto"/>
          <w:sz w:val="32"/>
          <w:szCs w:val="32"/>
          <w:highlight w:val="none"/>
        </w:rPr>
        <w:t>月</w:t>
      </w:r>
      <w:r>
        <w:rPr>
          <w:rFonts w:hint="eastAsia" w:ascii="宋体" w:hAnsi="宋体" w:eastAsia="宋体" w:cs="宋体"/>
          <w:b/>
          <w:color w:val="auto"/>
          <w:sz w:val="32"/>
          <w:szCs w:val="32"/>
          <w:highlight w:val="none"/>
          <w:u w:val="single"/>
        </w:rPr>
        <w:t xml:space="preserve">   </w:t>
      </w:r>
      <w:r>
        <w:rPr>
          <w:rFonts w:hint="eastAsia" w:ascii="宋体" w:hAnsi="宋体" w:eastAsia="宋体" w:cs="宋体"/>
          <w:b/>
          <w:color w:val="auto"/>
          <w:sz w:val="32"/>
          <w:szCs w:val="32"/>
          <w:highlight w:val="none"/>
          <w:u w:val="single"/>
          <w:lang w:val="en-US" w:eastAsia="zh-CN"/>
        </w:rPr>
        <w:t xml:space="preserve">  </w:t>
      </w:r>
      <w:r>
        <w:rPr>
          <w:rFonts w:hint="eastAsia" w:ascii="宋体" w:hAnsi="宋体" w:eastAsia="宋体" w:cs="宋体"/>
          <w:b/>
          <w:color w:val="auto"/>
          <w:sz w:val="32"/>
          <w:szCs w:val="32"/>
          <w:highlight w:val="none"/>
        </w:rPr>
        <w:t>日</w:t>
      </w:r>
    </w:p>
    <w:p w14:paraId="63D25A66">
      <w:pPr>
        <w:pStyle w:val="85"/>
        <w:keepNext w:val="0"/>
        <w:keepLines w:val="0"/>
        <w:pageBreakBefore w:val="0"/>
        <w:kinsoku/>
        <w:wordWrap/>
        <w:overflowPunct/>
        <w:topLinePunct w:val="0"/>
        <w:bidi w:val="0"/>
        <w:spacing w:line="360" w:lineRule="auto"/>
        <w:ind w:left="0" w:leftChars="0" w:right="0"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 购 合 同</w:t>
      </w:r>
    </w:p>
    <w:p w14:paraId="4A36FDBE">
      <w:pPr>
        <w:keepNext w:val="0"/>
        <w:keepLines w:val="0"/>
        <w:pageBreakBefore w:val="0"/>
        <w:kinsoku/>
        <w:wordWrap/>
        <w:overflowPunct/>
        <w:topLinePunct w:val="0"/>
        <w:bidi w:val="0"/>
        <w:spacing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需求</w:t>
      </w:r>
      <w:r>
        <w:rPr>
          <w:rFonts w:hint="eastAsia" w:ascii="宋体" w:hAnsi="宋体" w:eastAsia="宋体" w:cs="宋体"/>
          <w:color w:val="auto"/>
          <w:sz w:val="24"/>
          <w:szCs w:val="24"/>
          <w:highlight w:val="none"/>
        </w:rPr>
        <w:t>方）：新疆医科大学附属肿瘤医院</w:t>
      </w:r>
    </w:p>
    <w:p w14:paraId="3FFE9203">
      <w:pPr>
        <w:pStyle w:val="85"/>
        <w:keepNext w:val="0"/>
        <w:keepLines w:val="0"/>
        <w:pageBreakBefore w:val="0"/>
        <w:kinsoku/>
        <w:wordWrap/>
        <w:overflowPunct/>
        <w:topLinePunct w:val="0"/>
        <w:bidi w:val="0"/>
        <w:spacing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bCs/>
          <w:color w:val="auto"/>
          <w:sz w:val="24"/>
          <w:szCs w:val="24"/>
          <w:highlight w:val="none"/>
        </w:rPr>
        <w:t>新疆乌鲁木齐市新市区苏州东街789号</w:t>
      </w:r>
    </w:p>
    <w:p w14:paraId="67BAF70A">
      <w:pPr>
        <w:pStyle w:val="85"/>
        <w:keepNext w:val="0"/>
        <w:keepLines w:val="0"/>
        <w:pageBreakBefore w:val="0"/>
        <w:kinsoku/>
        <w:wordWrap/>
        <w:overflowPunct/>
        <w:topLinePunct w:val="0"/>
        <w:bidi w:val="0"/>
        <w:spacing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cs="宋体"/>
          <w:bCs/>
          <w:color w:val="auto"/>
          <w:sz w:val="24"/>
          <w:szCs w:val="24"/>
          <w:highlight w:val="none"/>
          <w:lang w:eastAsia="zh-CN"/>
        </w:rPr>
        <w:t>09917819055</w:t>
      </w:r>
      <w:r>
        <w:rPr>
          <w:rFonts w:hint="eastAsia" w:ascii="宋体" w:hAnsi="宋体" w:eastAsia="宋体" w:cs="宋体"/>
          <w:bCs/>
          <w:color w:val="auto"/>
          <w:sz w:val="24"/>
          <w:szCs w:val="24"/>
          <w:highlight w:val="none"/>
        </w:rPr>
        <w:t xml:space="preserve">   </w:t>
      </w:r>
    </w:p>
    <w:p w14:paraId="555480EC">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rPr>
      </w:pPr>
    </w:p>
    <w:p w14:paraId="053F597F">
      <w:pPr>
        <w:pageBreakBefore w:val="0"/>
        <w:wordWrap/>
        <w:topLinePunct w:val="0"/>
        <w:bidi w:val="0"/>
        <w:spacing w:line="360" w:lineRule="auto"/>
        <w:ind w:left="0" w:leftChars="0" w:right="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乙方（卖方）</w:t>
      </w:r>
      <w:r>
        <w:rPr>
          <w:rFonts w:hint="eastAsia" w:ascii="宋体" w:hAnsi="宋体" w:eastAsia="宋体" w:cs="宋体"/>
          <w:color w:val="auto"/>
          <w:sz w:val="24"/>
          <w:szCs w:val="24"/>
          <w:highlight w:val="none"/>
          <w:lang w:eastAsia="zh-CN"/>
        </w:rPr>
        <w:t>：</w:t>
      </w:r>
    </w:p>
    <w:p w14:paraId="42B7C814">
      <w:pPr>
        <w:pageBreakBefore w:val="0"/>
        <w:wordWrap/>
        <w:topLinePunct w:val="0"/>
        <w:bidi w:val="0"/>
        <w:spacing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14:paraId="72BFA927">
      <w:pPr>
        <w:pageBreakBefore w:val="0"/>
        <w:wordWrap/>
        <w:topLinePunct w:val="0"/>
        <w:bidi w:val="0"/>
        <w:spacing w:line="360" w:lineRule="auto"/>
        <w:ind w:left="0" w:leftChars="0" w:right="0" w:firstLine="480" w:firstLineChars="200"/>
        <w:rPr>
          <w:rStyle w:val="86"/>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Style w:val="86"/>
          <w:rFonts w:hint="eastAsia" w:ascii="宋体" w:hAnsi="宋体" w:eastAsia="宋体" w:cs="宋体"/>
          <w:color w:val="auto"/>
          <w:sz w:val="24"/>
          <w:szCs w:val="24"/>
          <w:highlight w:val="none"/>
        </w:rPr>
        <w:t xml:space="preserve"> </w:t>
      </w:r>
    </w:p>
    <w:p w14:paraId="4A2BE9EF">
      <w:pPr>
        <w:pageBreakBefore w:val="0"/>
        <w:wordWrap/>
        <w:topLinePunct w:val="0"/>
        <w:bidi w:val="0"/>
        <w:spacing w:line="360" w:lineRule="auto"/>
        <w:ind w:left="0" w:leftChars="0" w:right="0" w:firstLine="480" w:firstLineChars="200"/>
        <w:rPr>
          <w:rFonts w:hint="eastAsia" w:ascii="宋体" w:hAnsi="宋体" w:eastAsia="宋体" w:cs="宋体"/>
          <w:color w:val="auto"/>
          <w:sz w:val="24"/>
          <w:szCs w:val="24"/>
          <w:highlight w:val="none"/>
          <w:lang w:val="en-US" w:eastAsia="zh-CN"/>
        </w:rPr>
      </w:pPr>
      <w:r>
        <w:rPr>
          <w:rStyle w:val="86"/>
          <w:rFonts w:hint="eastAsia" w:ascii="宋体" w:hAnsi="宋体" w:eastAsia="宋体" w:cs="宋体"/>
          <w:color w:val="auto"/>
          <w:sz w:val="24"/>
          <w:szCs w:val="24"/>
          <w:highlight w:val="none"/>
        </w:rPr>
        <w:t>联系</w:t>
      </w:r>
      <w:r>
        <w:rPr>
          <w:rFonts w:hint="eastAsia" w:ascii="宋体" w:hAnsi="宋体" w:eastAsia="宋体" w:cs="宋体"/>
          <w:color w:val="auto"/>
          <w:sz w:val="24"/>
          <w:szCs w:val="24"/>
          <w:highlight w:val="none"/>
        </w:rPr>
        <w:t>电话：</w:t>
      </w:r>
    </w:p>
    <w:p w14:paraId="288F9E81">
      <w:pPr>
        <w:pageBreakBefore w:val="0"/>
        <w:wordWrap/>
        <w:topLinePunct w:val="0"/>
        <w:bidi w:val="0"/>
        <w:spacing w:line="360" w:lineRule="auto"/>
        <w:ind w:left="0" w:leftChars="0" w:right="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14:paraId="33710B65">
      <w:pPr>
        <w:keepNext w:val="0"/>
        <w:keepLines w:val="0"/>
        <w:pageBreakBefore w:val="0"/>
        <w:widowControl w:val="0"/>
        <w:kinsoku/>
        <w:wordWrap w:val="0"/>
        <w:overflowPunct/>
        <w:topLinePunct w:val="0"/>
        <w:autoSpaceDE/>
        <w:autoSpaceDN/>
        <w:bidi w:val="0"/>
        <w:adjustRightInd/>
        <w:snapToGrid/>
        <w:spacing w:line="360" w:lineRule="auto"/>
        <w:ind w:left="0" w:leftChars="0" w:right="0" w:firstLine="480" w:firstLineChars="200"/>
        <w:textAlignment w:val="auto"/>
        <w:rPr>
          <w:rStyle w:val="86"/>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新疆医科大学附属肿瘤医院</w:t>
      </w:r>
      <w:r>
        <w:rPr>
          <w:rFonts w:hint="eastAsia" w:ascii="宋体" w:hAnsi="宋体" w:eastAsia="宋体" w:cs="宋体"/>
          <w:color w:val="auto"/>
          <w:sz w:val="24"/>
          <w:szCs w:val="24"/>
          <w:highlight w:val="none"/>
        </w:rPr>
        <w:t>（以下简称甲方）与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（以下简称乙方）就</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b/>
          <w:bCs w:val="0"/>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采购事宜，根据《中华人民共和国政府采购法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w:t>
      </w:r>
      <w:r>
        <w:rPr>
          <w:rFonts w:hint="eastAsia" w:ascii="宋体" w:hAnsi="宋体" w:eastAsia="宋体" w:cs="宋体"/>
          <w:color w:val="auto"/>
          <w:sz w:val="24"/>
          <w:szCs w:val="24"/>
          <w:highlight w:val="none"/>
          <w:lang w:eastAsia="zh-CN"/>
        </w:rPr>
        <w:t>民法典</w:t>
      </w:r>
      <w:r>
        <w:rPr>
          <w:rFonts w:hint="eastAsia" w:ascii="宋体" w:hAnsi="宋体" w:eastAsia="宋体" w:cs="宋体"/>
          <w:color w:val="auto"/>
          <w:sz w:val="24"/>
          <w:szCs w:val="24"/>
          <w:highlight w:val="none"/>
        </w:rPr>
        <w:t>》等规定，本着平等、自愿、互利、互惠的原则，经各方协商一致，订立本合同。</w:t>
      </w:r>
    </w:p>
    <w:p w14:paraId="5994E4DD">
      <w:pPr>
        <w:pStyle w:val="30"/>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z w:val="24"/>
          <w:szCs w:val="24"/>
          <w:highlight w:val="none"/>
        </w:rPr>
      </w:pPr>
    </w:p>
    <w:p w14:paraId="638E449C">
      <w:pPr>
        <w:keepNext w:val="0"/>
        <w:keepLines w:val="0"/>
        <w:pageBreakBefore w:val="0"/>
        <w:widowControl w:val="0"/>
        <w:kinsoku/>
        <w:wordWrap/>
        <w:overflowPunct/>
        <w:topLinePunct w:val="0"/>
        <w:autoSpaceDE/>
        <w:autoSpaceDN/>
        <w:bidi w:val="0"/>
        <w:adjustRightInd/>
        <w:snapToGrid/>
        <w:spacing w:line="360" w:lineRule="auto"/>
        <w:ind w:left="0" w:leftChars="0" w:right="0"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第一部分 通用条款</w:t>
      </w:r>
    </w:p>
    <w:p w14:paraId="4465C4EB">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在此供应的货物，乙方同意做如下保证</w:t>
      </w:r>
      <w:r>
        <w:rPr>
          <w:rFonts w:hint="eastAsia" w:ascii="宋体" w:hAnsi="宋体" w:eastAsia="宋体" w:cs="宋体"/>
          <w:color w:val="auto"/>
          <w:sz w:val="24"/>
          <w:szCs w:val="24"/>
          <w:highlight w:val="none"/>
          <w:lang w:eastAsia="zh-CN"/>
        </w:rPr>
        <w:t>：</w:t>
      </w:r>
    </w:p>
    <w:p w14:paraId="7F6D107C">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一、乙方供应的全部货物，必须在不涉及任何担保、留置权、专利权使用费的情况下，交付与本合同规定完全相同的货物。</w:t>
      </w:r>
    </w:p>
    <w:p w14:paraId="4B7AFD1B">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二、不能将甲方全部或部分付款看作是对有缺陷的工艺或不合格货物的认可。</w:t>
      </w:r>
    </w:p>
    <w:p w14:paraId="3967359F">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三、所供货物均须符合相应图纸和技术规范中的相关规定，并且</w:t>
      </w:r>
      <w:r>
        <w:rPr>
          <w:rFonts w:hint="eastAsia" w:ascii="宋体" w:hAnsi="宋体" w:eastAsia="宋体" w:cs="宋体"/>
          <w:color w:val="auto"/>
          <w:sz w:val="24"/>
          <w:szCs w:val="24"/>
          <w:highlight w:val="none"/>
          <w:lang w:eastAsia="zh-CN"/>
        </w:rPr>
        <w:t>不涉及</w:t>
      </w:r>
      <w:r>
        <w:rPr>
          <w:rFonts w:hint="eastAsia" w:ascii="宋体" w:hAnsi="宋体" w:eastAsia="宋体" w:cs="宋体"/>
          <w:color w:val="auto"/>
          <w:sz w:val="24"/>
          <w:szCs w:val="24"/>
          <w:highlight w:val="none"/>
        </w:rPr>
        <w:t>任何侵权行为或任何索赔。</w:t>
      </w:r>
    </w:p>
    <w:p w14:paraId="5567662C">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甲方收到本合同项下的货物，并不表示甲方自动放弃因延期交货、货物不合格或货物与本合同不相符造成的损失而提出索赔的权利。若货物名称、型号、规格、数量、质量等不符合本合同约定，甲方可在收货后随时向乙方提出异议，乙方应免费更换直至货物完全符合本合同约定，且乙方需承担逾期交货的责任。</w:t>
      </w:r>
    </w:p>
    <w:p w14:paraId="4510DF05">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甲方未提出异议的，乙方仍应于货物质保期内承担保固责任。甲方对货物的验收手续仅仅证明乙方交货的行为，并不能免除乙方应当承担的货物质量责任。</w:t>
      </w:r>
    </w:p>
    <w:p w14:paraId="0C69231B">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因乙方货物质量瑕疵原因导致甲方对其他第三方承担的违约金、损失赔偿等任何赔偿责任，甲方均有权将该赔偿责任转移给乙方，乙方对此无异议。 </w:t>
      </w:r>
    </w:p>
    <w:p w14:paraId="38D20B5B">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五、甲方有要求乙方延迟一段合理时间再行交货的权利。     </w:t>
      </w:r>
    </w:p>
    <w:p w14:paraId="30269242">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六、除非甲方要求，乙方必须在本合同规定时间内进行交货。乙方同意偿付甲方可能因无法按照本合同约定时间进行交货而引起的所有额外的违约金、赔偿金以及其他费用。 </w:t>
      </w:r>
    </w:p>
    <w:p w14:paraId="0BAD6371">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七、在项目终止或甲方订立本合同所依据的本项目合同终止时，甲方经书面通知可解除本合同，此种</w:t>
      </w:r>
      <w:r>
        <w:rPr>
          <w:rFonts w:hint="eastAsia" w:ascii="宋体" w:hAnsi="宋体" w:eastAsia="宋体" w:cs="宋体"/>
          <w:color w:val="auto"/>
          <w:sz w:val="24"/>
          <w:szCs w:val="24"/>
          <w:highlight w:val="none"/>
          <w:lang w:eastAsia="zh-CN"/>
        </w:rPr>
        <w:t>情况不作</w:t>
      </w:r>
      <w:r>
        <w:rPr>
          <w:rFonts w:hint="eastAsia" w:ascii="宋体" w:hAnsi="宋体" w:eastAsia="宋体" w:cs="宋体"/>
          <w:color w:val="auto"/>
          <w:sz w:val="24"/>
          <w:szCs w:val="24"/>
          <w:highlight w:val="none"/>
        </w:rPr>
        <w:t xml:space="preserve">违约处理。 </w:t>
      </w:r>
    </w:p>
    <w:p w14:paraId="7A2A26B1">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八、所有交付到甲方现场的货物必须附有交货单。签字的交货单必须附在所有发票上作为本合同付款的前提条件。    </w:t>
      </w:r>
    </w:p>
    <w:p w14:paraId="5731E870">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九、所有交货费用均由乙方承担，乙方保证使甲方免于承担全部运费、快递费、保险费、装卸费、其他杂费以及由此带来的任何索赔，本合同专用条款有特别约定的，从特别约定。    </w:t>
      </w:r>
    </w:p>
    <w:p w14:paraId="6F3DD271">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十、乙方分批供应货物的，甲方有权对任何一批货物的数量进行抽查核实，如果实际数量与乙方所提供的数量有短缺的，则乙方此前所供货物的全部数量均应按本批货物短缺比例作相应减少计算。 </w:t>
      </w:r>
    </w:p>
    <w:p w14:paraId="7DE19B69">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一、因乙方所交货物的权利瑕疵、品质瑕疵等导致甲方遭受任何损失的，乙方保证承担全部赔偿责任。在因上述瑕疵导致甲方陷入索赔纠纷或诉讼中的，在该索赔纠纷或诉讼未得到解决之前，供甲方的结算可按甲方的意见作延迟处理，直至上述索赔得到解决或乙方提供令甲方满意的赔偿为止。 </w:t>
      </w:r>
    </w:p>
    <w:p w14:paraId="03C3FF2B">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十二、因乙方全部或部分违约导致双方发生的诉讼/仲裁或甲方与第三方发生的诉讼/仲裁，乙方同意承担甲方因此而支出的全部诉讼费、律师费、调查费、交通费及其他合理费用。    </w:t>
      </w:r>
    </w:p>
    <w:p w14:paraId="60C7BA51">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十三、未经甲方书面同意，乙方不得将本合同的工作内容全部或部分转让给任何第三人。 </w:t>
      </w:r>
    </w:p>
    <w:p w14:paraId="5AC4E1FA">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十四、乙方声明、陈述和保证其是合法设立并有效存续的独立法人，其授权代表已获得法人授权可代表其签署合同。</w:t>
      </w:r>
    </w:p>
    <w:p w14:paraId="78B24B27">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十五、甲方作为提供本合同的一方，已经郑重提醒乙方注意本合同的所有条款，并且甲方已经按照乙方的要求，对每一条款均予以了说明。本合同通用条款与专用条款约定不一致的，应以专用条款约定为准。 </w:t>
      </w:r>
    </w:p>
    <w:p w14:paraId="1D5322BC">
      <w:pPr>
        <w:keepNext w:val="0"/>
        <w:keepLines w:val="0"/>
        <w:pageBreakBefore w:val="0"/>
        <w:widowControl w:val="0"/>
        <w:kinsoku/>
        <w:wordWrap/>
        <w:overflowPunct/>
        <w:topLinePunct w:val="0"/>
        <w:autoSpaceDE/>
        <w:autoSpaceDN/>
        <w:bidi w:val="0"/>
        <w:adjustRightInd/>
        <w:snapToGrid/>
        <w:spacing w:line="360" w:lineRule="auto"/>
        <w:ind w:left="0" w:leftChars="0" w:right="0" w:firstLine="482" w:firstLineChars="200"/>
        <w:jc w:val="center"/>
        <w:textAlignment w:val="auto"/>
        <w:rPr>
          <w:rFonts w:hint="eastAsia" w:ascii="宋体" w:hAnsi="宋体" w:eastAsia="宋体" w:cs="宋体"/>
          <w:b/>
          <w:color w:val="auto"/>
          <w:sz w:val="24"/>
          <w:szCs w:val="24"/>
          <w:highlight w:val="none"/>
        </w:rPr>
      </w:pPr>
    </w:p>
    <w:p w14:paraId="272414CB">
      <w:pPr>
        <w:keepNext w:val="0"/>
        <w:keepLines w:val="0"/>
        <w:pageBreakBefore w:val="0"/>
        <w:widowControl w:val="0"/>
        <w:kinsoku/>
        <w:wordWrap/>
        <w:overflowPunct/>
        <w:topLinePunct w:val="0"/>
        <w:autoSpaceDE/>
        <w:autoSpaceDN/>
        <w:bidi w:val="0"/>
        <w:adjustRightInd/>
        <w:snapToGrid/>
        <w:spacing w:line="360" w:lineRule="auto"/>
        <w:ind w:left="0" w:leftChars="0" w:right="0"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第二部分 专用条款</w:t>
      </w:r>
    </w:p>
    <w:p w14:paraId="559639C4">
      <w:pPr>
        <w:keepNext w:val="0"/>
        <w:keepLines w:val="0"/>
        <w:pageBreakBefore w:val="0"/>
        <w:widowControl w:val="0"/>
        <w:kinsoku/>
        <w:wordWrap/>
        <w:overflowPunct/>
        <w:topLinePunct w:val="0"/>
        <w:autoSpaceDE/>
        <w:autoSpaceDN/>
        <w:bidi w:val="0"/>
        <w:adjustRightInd/>
        <w:snapToGrid/>
        <w:spacing w:line="360" w:lineRule="auto"/>
        <w:ind w:left="0" w:leftChars="0" w:right="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一、 合同标的 </w:t>
      </w:r>
    </w:p>
    <w:p w14:paraId="06432D64">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1、货物 </w:t>
      </w:r>
    </w:p>
    <w:p w14:paraId="2EDD9D9E">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乙方提供的货物为全新产品，并符合合同附件的技术规格所述的标准及相关的国家标准和行业标准，这些标准必须是合同签订时有关机构发布的最新的有效版本。除非技术规格中另有规定，计量单位均采用中华人民共和国法定计量单位。                  </w:t>
      </w:r>
    </w:p>
    <w:p w14:paraId="1141FDE2">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乙方应保证，甲方在中华人民共和国使用该货物或货物的任何一部分时，免受第三方提出的侵犯其专利权、商标权、工业设计权或其他知识产权的起诉。</w:t>
      </w:r>
    </w:p>
    <w:p w14:paraId="61E3F6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数量及价格</w:t>
      </w:r>
    </w:p>
    <w:tbl>
      <w:tblPr>
        <w:tblStyle w:val="33"/>
        <w:tblW w:w="9035" w:type="dxa"/>
        <w:tblInd w:w="-21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9"/>
        <w:gridCol w:w="1016"/>
        <w:gridCol w:w="1536"/>
        <w:gridCol w:w="1377"/>
        <w:gridCol w:w="814"/>
        <w:gridCol w:w="814"/>
        <w:gridCol w:w="1003"/>
        <w:gridCol w:w="1003"/>
        <w:gridCol w:w="1003"/>
      </w:tblGrid>
      <w:tr w14:paraId="67E21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trPr>
        <w:tc>
          <w:tcPr>
            <w:tcW w:w="469" w:type="dxa"/>
            <w:tcBorders>
              <w:top w:val="single" w:color="000000" w:sz="4" w:space="0"/>
              <w:left w:val="single" w:color="000000" w:sz="4" w:space="0"/>
              <w:bottom w:val="single" w:color="000000" w:sz="4" w:space="0"/>
              <w:right w:val="single" w:color="000000" w:sz="4" w:space="0"/>
            </w:tcBorders>
            <w:noWrap w:val="0"/>
            <w:vAlign w:val="center"/>
          </w:tcPr>
          <w:p w14:paraId="21B50A6B">
            <w:pPr>
              <w:keepNext w:val="0"/>
              <w:keepLines w:val="0"/>
              <w:widowControl/>
              <w:suppressLineNumbers w:val="0"/>
              <w:spacing w:line="360" w:lineRule="auto"/>
              <w:jc w:val="center"/>
              <w:textAlignment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序号</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33DA5D6D">
            <w:pPr>
              <w:keepNext w:val="0"/>
              <w:keepLines w:val="0"/>
              <w:widowControl/>
              <w:suppressLineNumbers w:val="0"/>
              <w:spacing w:line="360" w:lineRule="auto"/>
              <w:jc w:val="center"/>
              <w:textAlignment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货物名称</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134FDB99">
            <w:pPr>
              <w:keepNext w:val="0"/>
              <w:keepLines w:val="0"/>
              <w:widowControl/>
              <w:suppressLineNumbers w:val="0"/>
              <w:spacing w:line="360" w:lineRule="auto"/>
              <w:jc w:val="center"/>
              <w:textAlignment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技术参数</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5B922B88">
            <w:pPr>
              <w:keepNext w:val="0"/>
              <w:keepLines w:val="0"/>
              <w:widowControl/>
              <w:suppressLineNumbers w:val="0"/>
              <w:spacing w:line="360" w:lineRule="auto"/>
              <w:jc w:val="center"/>
              <w:textAlignment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规格</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0A616FD7">
            <w:pPr>
              <w:keepNext w:val="0"/>
              <w:keepLines w:val="0"/>
              <w:widowControl/>
              <w:suppressLineNumbers w:val="0"/>
              <w:spacing w:line="360" w:lineRule="auto"/>
              <w:jc w:val="center"/>
              <w:textAlignment w:val="center"/>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数量</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3778974D">
            <w:pPr>
              <w:keepNext w:val="0"/>
              <w:keepLines w:val="0"/>
              <w:widowControl/>
              <w:suppressLineNumbers w:val="0"/>
              <w:spacing w:line="360" w:lineRule="auto"/>
              <w:jc w:val="center"/>
              <w:textAlignment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单位</w:t>
            </w:r>
          </w:p>
        </w:tc>
        <w:tc>
          <w:tcPr>
            <w:tcW w:w="1003" w:type="dxa"/>
            <w:tcBorders>
              <w:top w:val="single" w:color="000000" w:sz="4" w:space="0"/>
              <w:left w:val="single" w:color="000000" w:sz="4" w:space="0"/>
              <w:bottom w:val="single" w:color="auto" w:sz="4" w:space="0"/>
              <w:right w:val="single" w:color="000000" w:sz="4" w:space="0"/>
            </w:tcBorders>
            <w:noWrap/>
            <w:vAlign w:val="center"/>
          </w:tcPr>
          <w:p w14:paraId="30B65452">
            <w:pPr>
              <w:spacing w:line="360" w:lineRule="auto"/>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品牌</w:t>
            </w:r>
          </w:p>
        </w:tc>
        <w:tc>
          <w:tcPr>
            <w:tcW w:w="1003" w:type="dxa"/>
            <w:tcBorders>
              <w:top w:val="single" w:color="000000" w:sz="4" w:space="0"/>
              <w:left w:val="single" w:color="000000" w:sz="4" w:space="0"/>
              <w:bottom w:val="single" w:color="auto" w:sz="4" w:space="0"/>
              <w:right w:val="single" w:color="000000" w:sz="4" w:space="0"/>
            </w:tcBorders>
            <w:noWrap/>
            <w:vAlign w:val="center"/>
          </w:tcPr>
          <w:p w14:paraId="3A7AD7A9">
            <w:pPr>
              <w:spacing w:line="360" w:lineRule="auto"/>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制造商</w:t>
            </w:r>
          </w:p>
        </w:tc>
        <w:tc>
          <w:tcPr>
            <w:tcW w:w="1003" w:type="dxa"/>
            <w:tcBorders>
              <w:top w:val="single" w:color="000000" w:sz="4" w:space="0"/>
              <w:left w:val="single" w:color="000000" w:sz="4" w:space="0"/>
              <w:bottom w:val="single" w:color="auto" w:sz="4" w:space="0"/>
              <w:right w:val="single" w:color="000000" w:sz="4" w:space="0"/>
            </w:tcBorders>
            <w:noWrap/>
            <w:vAlign w:val="center"/>
          </w:tcPr>
          <w:p w14:paraId="1CEF8E53">
            <w:pPr>
              <w:spacing w:line="360" w:lineRule="auto"/>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单价</w:t>
            </w:r>
          </w:p>
        </w:tc>
      </w:tr>
      <w:tr w14:paraId="114CE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469" w:type="dxa"/>
            <w:tcBorders>
              <w:top w:val="single" w:color="000000" w:sz="4" w:space="0"/>
              <w:left w:val="single" w:color="000000" w:sz="4" w:space="0"/>
              <w:bottom w:val="single" w:color="000000" w:sz="4" w:space="0"/>
              <w:right w:val="single" w:color="000000" w:sz="4" w:space="0"/>
            </w:tcBorders>
            <w:noWrap w:val="0"/>
            <w:vAlign w:val="center"/>
          </w:tcPr>
          <w:p w14:paraId="14B4FAB5">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11A5BE25">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1"/>
                <w:szCs w:val="21"/>
                <w:highlight w:val="none"/>
                <w:u w:val="none"/>
              </w:rPr>
            </w:pPr>
          </w:p>
          <w:p w14:paraId="63787A4B">
            <w:pPr>
              <w:pStyle w:val="15"/>
              <w:spacing w:line="360" w:lineRule="auto"/>
              <w:rPr>
                <w:rFonts w:hint="eastAsia"/>
                <w:highlight w:val="none"/>
              </w:rPr>
            </w:pP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2083D973">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1"/>
                <w:szCs w:val="21"/>
                <w:highlight w:val="none"/>
                <w:u w:val="none"/>
                <w:lang w:val="en-US"/>
              </w:rPr>
            </w:pP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1C91F02E">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1"/>
                <w:szCs w:val="21"/>
                <w:highlight w:val="none"/>
                <w:u w:val="none"/>
                <w:lang w:val="en-US"/>
              </w:rPr>
            </w:pPr>
          </w:p>
        </w:tc>
        <w:tc>
          <w:tcPr>
            <w:tcW w:w="814" w:type="dxa"/>
            <w:tcBorders>
              <w:top w:val="single" w:color="000000" w:sz="4" w:space="0"/>
              <w:left w:val="single" w:color="000000" w:sz="4" w:space="0"/>
              <w:bottom w:val="single" w:color="000000" w:sz="4" w:space="0"/>
              <w:right w:val="single" w:color="auto" w:sz="4" w:space="0"/>
            </w:tcBorders>
            <w:noWrap w:val="0"/>
            <w:vAlign w:val="center"/>
          </w:tcPr>
          <w:p w14:paraId="4C71D962">
            <w:pPr>
              <w:keepNext w:val="0"/>
              <w:keepLines w:val="0"/>
              <w:widowControl/>
              <w:suppressLineNumbers w:val="0"/>
              <w:spacing w:line="360" w:lineRule="auto"/>
              <w:jc w:val="center"/>
              <w:textAlignment w:val="center"/>
              <w:rPr>
                <w:rFonts w:hint="default" w:ascii="宋体" w:hAnsi="宋体" w:eastAsia="宋体" w:cs="宋体"/>
                <w:b w:val="0"/>
                <w:bCs w:val="0"/>
                <w:i w:val="0"/>
                <w:iCs w:val="0"/>
                <w:color w:val="auto"/>
                <w:sz w:val="21"/>
                <w:szCs w:val="21"/>
                <w:highlight w:val="none"/>
                <w:u w:val="none"/>
                <w:lang w:val="en-US" w:eastAsia="zh-CN"/>
              </w:rPr>
            </w:pPr>
          </w:p>
        </w:tc>
        <w:tc>
          <w:tcPr>
            <w:tcW w:w="814" w:type="dxa"/>
            <w:tcBorders>
              <w:top w:val="single" w:color="000000" w:sz="4" w:space="0"/>
              <w:left w:val="single" w:color="000000" w:sz="4" w:space="0"/>
              <w:bottom w:val="single" w:color="000000" w:sz="4" w:space="0"/>
              <w:right w:val="single" w:color="auto" w:sz="4" w:space="0"/>
            </w:tcBorders>
            <w:noWrap w:val="0"/>
            <w:vAlign w:val="center"/>
          </w:tcPr>
          <w:p w14:paraId="17863095">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1"/>
                <w:szCs w:val="21"/>
                <w:highlight w:val="none"/>
                <w:u w:val="none"/>
                <w:lang w:val="en-US" w:eastAsia="zh-CN"/>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7A10E960">
            <w:pPr>
              <w:keepNext w:val="0"/>
              <w:keepLines w:val="0"/>
              <w:widowControl/>
              <w:suppressLineNumbers w:val="0"/>
              <w:spacing w:line="360" w:lineRule="auto"/>
              <w:jc w:val="center"/>
              <w:textAlignment w:val="center"/>
              <w:rPr>
                <w:rFonts w:hint="eastAsia" w:ascii="宋体" w:hAnsi="宋体" w:eastAsia="宋体" w:cs="宋体"/>
                <w:b w:val="0"/>
                <w:bCs w:val="0"/>
                <w:color w:val="auto"/>
                <w:sz w:val="21"/>
                <w:szCs w:val="21"/>
                <w:highlight w:val="none"/>
                <w:vertAlign w:val="baseline"/>
                <w:lang w:val="en-US" w:eastAsia="zh-CN"/>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327E99A0">
            <w:pPr>
              <w:keepNext w:val="0"/>
              <w:keepLines w:val="0"/>
              <w:widowControl/>
              <w:suppressLineNumbers w:val="0"/>
              <w:spacing w:line="360" w:lineRule="auto"/>
              <w:jc w:val="center"/>
              <w:textAlignment w:val="center"/>
              <w:rPr>
                <w:rFonts w:hint="eastAsia" w:ascii="宋体" w:hAnsi="宋体" w:eastAsia="宋体" w:cs="宋体"/>
                <w:b w:val="0"/>
                <w:bCs w:val="0"/>
                <w:color w:val="auto"/>
                <w:sz w:val="21"/>
                <w:szCs w:val="21"/>
                <w:highlight w:val="none"/>
                <w:vertAlign w:val="baseline"/>
                <w:lang w:val="en-US" w:eastAsia="zh-CN"/>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1BEDBE95">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bl>
    <w:p w14:paraId="44C165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drawing>
          <wp:anchor distT="0" distB="0" distL="114300" distR="114300" simplePos="0" relativeHeight="251664384" behindDoc="1" locked="0" layoutInCell="1" allowOverlap="1">
            <wp:simplePos x="0" y="0"/>
            <wp:positionH relativeFrom="column">
              <wp:posOffset>7158355</wp:posOffset>
            </wp:positionH>
            <wp:positionV relativeFrom="paragraph">
              <wp:posOffset>288925</wp:posOffset>
            </wp:positionV>
            <wp:extent cx="38100" cy="1511300"/>
            <wp:effectExtent l="0" t="0" r="7620" b="12700"/>
            <wp:wrapNone/>
            <wp:docPr id="2" name="IM 114"/>
            <wp:cNvGraphicFramePr/>
            <a:graphic xmlns:a="http://schemas.openxmlformats.org/drawingml/2006/main">
              <a:graphicData uri="http://schemas.openxmlformats.org/drawingml/2006/picture">
                <pic:pic xmlns:pic="http://schemas.openxmlformats.org/drawingml/2006/picture">
                  <pic:nvPicPr>
                    <pic:cNvPr id="2" name="IM 114"/>
                    <pic:cNvPicPr/>
                  </pic:nvPicPr>
                  <pic:blipFill>
                    <a:blip r:embed="rId13"/>
                    <a:stretch>
                      <a:fillRect/>
                    </a:stretch>
                  </pic:blipFill>
                  <pic:spPr>
                    <a:xfrm>
                      <a:off x="0" y="0"/>
                      <a:ext cx="38100" cy="1511300"/>
                    </a:xfrm>
                    <a:prstGeom prst="rect">
                      <a:avLst/>
                    </a:prstGeom>
                    <a:noFill/>
                    <a:ln>
                      <a:noFill/>
                    </a:ln>
                  </pic:spPr>
                </pic:pic>
              </a:graphicData>
            </a:graphic>
          </wp:anchor>
        </w:drawing>
      </w:r>
      <w:r>
        <w:rPr>
          <w:rFonts w:hint="eastAsia" w:ascii="宋体" w:hAnsi="宋体" w:eastAsia="宋体" w:cs="宋体"/>
          <w:color w:val="auto"/>
          <w:sz w:val="24"/>
          <w:szCs w:val="24"/>
          <w:highlight w:val="none"/>
        </w:rPr>
        <w:t>注：以上供货价格系指包括全部货品、税费、包装费、运输、装卸等费用，以及已支付或将支付的营业税和其它税费等所有费用。</w:t>
      </w:r>
    </w:p>
    <w:p w14:paraId="022020B2">
      <w:pPr>
        <w:keepNext w:val="0"/>
        <w:keepLines w:val="0"/>
        <w:pageBreakBefore w:val="0"/>
        <w:widowControl w:val="0"/>
        <w:kinsoku/>
        <w:wordWrap/>
        <w:overflowPunct/>
        <w:topLinePunct w:val="0"/>
        <w:bidi w:val="0"/>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3、本合同为</w:t>
      </w: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lang w:eastAsia="zh-CN"/>
        </w:rPr>
        <w:t>价合同</w:t>
      </w:r>
      <w:r>
        <w:rPr>
          <w:rFonts w:hint="eastAsia" w:ascii="宋体" w:hAnsi="宋体" w:eastAsia="宋体" w:cs="宋体"/>
          <w:color w:val="auto"/>
          <w:sz w:val="24"/>
          <w:szCs w:val="24"/>
          <w:highlight w:val="none"/>
        </w:rPr>
        <w:t>，最终合同价格以甲方实际采购且</w:t>
      </w:r>
      <w:r>
        <w:rPr>
          <w:rFonts w:hint="eastAsia" w:ascii="宋体" w:hAnsi="宋体" w:eastAsia="宋体" w:cs="宋体"/>
          <w:color w:val="auto"/>
          <w:sz w:val="24"/>
          <w:szCs w:val="24"/>
          <w:highlight w:val="none"/>
          <w:lang w:val="en-US" w:eastAsia="zh-CN"/>
        </w:rPr>
        <w:t>书面</w:t>
      </w:r>
      <w:r>
        <w:rPr>
          <w:rFonts w:hint="eastAsia" w:ascii="宋体" w:hAnsi="宋体" w:eastAsia="宋体" w:cs="宋体"/>
          <w:color w:val="auto"/>
          <w:sz w:val="24"/>
          <w:szCs w:val="24"/>
          <w:highlight w:val="none"/>
        </w:rPr>
        <w:t>验收合格的数量结合固定单价进行结算。上述价格已包括货物供给、货物包装、运输费、装卸费和保险等的全部费用及相关税费。乙方应保证甲方除支付合同约定货款之外无需</w:t>
      </w:r>
      <w:r>
        <w:rPr>
          <w:rFonts w:hint="eastAsia" w:ascii="宋体" w:hAnsi="宋体" w:eastAsia="宋体" w:cs="宋体"/>
          <w:color w:val="auto"/>
          <w:sz w:val="24"/>
          <w:szCs w:val="24"/>
          <w:highlight w:val="none"/>
          <w:lang w:val="en-US" w:eastAsia="zh-CN"/>
        </w:rPr>
        <w:t>另</w:t>
      </w:r>
      <w:r>
        <w:rPr>
          <w:rFonts w:hint="eastAsia" w:ascii="宋体" w:hAnsi="宋体" w:eastAsia="宋体" w:cs="宋体"/>
          <w:color w:val="auto"/>
          <w:sz w:val="24"/>
          <w:szCs w:val="24"/>
          <w:highlight w:val="none"/>
        </w:rPr>
        <w:t xml:space="preserve">行支付其他任何费用和款项。 </w:t>
      </w:r>
    </w:p>
    <w:p w14:paraId="354ADECA">
      <w:pPr>
        <w:keepNext w:val="0"/>
        <w:keepLines w:val="0"/>
        <w:pageBreakBefore w:val="0"/>
        <w:widowControl w:val="0"/>
        <w:kinsoku/>
        <w:wordWrap/>
        <w:overflowPunct/>
        <w:topLinePunct w:val="0"/>
        <w:bidi w:val="0"/>
        <w:snapToGrid/>
        <w:spacing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价格清单表是基于乙方在完全理解本项目材料所需为前提，同时甲方对清单中的名称、规格、材质及数量等没有校对的义务，乙方在合同有效期内不得对清单的综合费用提出任何费用的增加。实际供货数量以双方签字确认的数量为准。 </w:t>
      </w:r>
    </w:p>
    <w:p w14:paraId="1AC6648E">
      <w:pPr>
        <w:keepNext w:val="0"/>
        <w:keepLines w:val="0"/>
        <w:pageBreakBefore w:val="0"/>
        <w:widowControl w:val="0"/>
        <w:kinsoku/>
        <w:wordWrap/>
        <w:overflowPunct/>
        <w:topLinePunct w:val="0"/>
        <w:bidi w:val="0"/>
        <w:snapToGrid/>
        <w:spacing w:line="360" w:lineRule="auto"/>
        <w:ind w:left="0" w:leftChars="0" w:righ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二、质量保证</w:t>
      </w:r>
    </w:p>
    <w:p w14:paraId="236AD5A7">
      <w:pPr>
        <w:keepNext w:val="0"/>
        <w:keepLines w:val="0"/>
        <w:pageBreakBefore w:val="0"/>
        <w:widowControl w:val="0"/>
        <w:kinsoku/>
        <w:wordWrap/>
        <w:overflowPunct/>
        <w:topLinePunct w:val="0"/>
        <w:bidi w:val="0"/>
        <w:snapToGrid/>
        <w:spacing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产品质量标准（含环保标准）：执行最新国家及行业标准、国家和地方行政主管部门的有关规定。没有国家和行业标准以及国家和地方行政主管部门的有关规定，按照甲方验收标准或者符合合同目的的特定标准履行。</w:t>
      </w:r>
    </w:p>
    <w:p w14:paraId="57EC2333">
      <w:pPr>
        <w:keepNext w:val="0"/>
        <w:keepLines w:val="0"/>
        <w:pageBreakBefore w:val="0"/>
        <w:widowControl w:val="0"/>
        <w:kinsoku/>
        <w:wordWrap/>
        <w:overflowPunct/>
        <w:topLinePunct w:val="0"/>
        <w:bidi w:val="0"/>
        <w:snapToGrid/>
        <w:spacing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保证本合同货物是全新的、未使用过的，并符合国家技术规格和国家质量标准的出厂原装合格产品，产品型号、数量、规格及技术、质量标准、售后服务必须满足甲方和自治区政府采购合同定点采购要求。</w:t>
      </w:r>
    </w:p>
    <w:p w14:paraId="037A31E8">
      <w:pPr>
        <w:pageBreakBefore w:val="0"/>
        <w:wordWrap/>
        <w:topLinePunct w:val="0"/>
        <w:bidi w:val="0"/>
        <w:spacing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乙方保证所提供的本合同标的物必须符合本合同约定的“质量标准”，达到产品各项性能指标和参数，并保证其销售的产品不存在有造成甲方或任何第三人人身财产损害的现实或潜在的危险以及不存在任何权利上的瑕疵；若因此造成任何损失，由乙方承担全部赔偿责任；另外，乙方应保证产品完整无损，是全新的、未使用过的，是原装原厂的，是用先进工艺和优质材料制造而成的，并完全符合合同规定的质量、规格和性能要求。若标的物质量存在瑕疵，乙方应承担甲方相关损失及相应违约责任。</w:t>
      </w:r>
    </w:p>
    <w:p w14:paraId="27DC0DE2">
      <w:pPr>
        <w:keepNext w:val="0"/>
        <w:keepLines w:val="0"/>
        <w:pageBreakBefore w:val="0"/>
        <w:widowControl w:val="0"/>
        <w:kinsoku/>
        <w:wordWrap/>
        <w:overflowPunct/>
        <w:topLinePunct w:val="0"/>
        <w:bidi w:val="0"/>
        <w:snapToGrid/>
        <w:spacing w:line="360" w:lineRule="auto"/>
        <w:ind w:left="0" w:leftChars="0" w:righ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三、质量保证期</w:t>
      </w:r>
    </w:p>
    <w:p w14:paraId="378A52D7">
      <w:pPr>
        <w:keepNext w:val="0"/>
        <w:keepLines w:val="0"/>
        <w:pageBreakBefore w:val="0"/>
        <w:widowControl w:val="0"/>
        <w:kinsoku/>
        <w:wordWrap/>
        <w:overflowPunct/>
        <w:topLinePunct w:val="0"/>
        <w:bidi w:val="0"/>
        <w:snapToGrid/>
        <w:spacing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产品质保期为交货并验收合格后</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年。在质量保证期内，因货物出现过期及其他质量问题等现象的，乙方负责免费无条件更换或者甲方进行数量核减，并承担因更换货物所产生的包装、运费等一切相关费用。</w:t>
      </w:r>
    </w:p>
    <w:p w14:paraId="7B056035">
      <w:pPr>
        <w:keepNext w:val="0"/>
        <w:keepLines w:val="0"/>
        <w:pageBreakBefore w:val="0"/>
        <w:widowControl w:val="0"/>
        <w:kinsoku/>
        <w:wordWrap/>
        <w:overflowPunct/>
        <w:topLinePunct w:val="0"/>
        <w:bidi w:val="0"/>
        <w:snapToGrid/>
        <w:spacing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在质量保证期内，因产品质量出现问题，乙方负责免费更换，并承担与更换相关的运费、保险等一切费用。</w:t>
      </w:r>
    </w:p>
    <w:p w14:paraId="1272CAF4">
      <w:pPr>
        <w:keepNext w:val="0"/>
        <w:keepLines w:val="0"/>
        <w:pageBreakBefore w:val="0"/>
        <w:widowControl w:val="0"/>
        <w:kinsoku/>
        <w:wordWrap/>
        <w:overflowPunct/>
        <w:topLinePunct w:val="0"/>
        <w:bidi w:val="0"/>
        <w:snapToGrid/>
        <w:spacing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2、质保期内，如产品发生质量问题，乙方应在48小时内进行更换。乙方接到甲方通知后未依照约定时间更换的，则应承担本合同规定的违约责任。</w:t>
      </w:r>
    </w:p>
    <w:p w14:paraId="7E4F9EFA">
      <w:pPr>
        <w:keepNext w:val="0"/>
        <w:keepLines w:val="0"/>
        <w:pageBreakBefore w:val="0"/>
        <w:widowControl w:val="0"/>
        <w:kinsoku/>
        <w:wordWrap/>
        <w:overflowPunct/>
        <w:topLinePunct w:val="0"/>
        <w:bidi w:val="0"/>
        <w:snapToGrid/>
        <w:spacing w:line="360" w:lineRule="auto"/>
        <w:ind w:left="0" w:leftChars="0"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在质保期内，若甲方发现乙方提供的货物存在设计缺陷或潜在的安全隐患，应立即停止使用并通知乙方。乙方应在接到通知后，立即对货物进行检查和评估，并尽快提供解决方案，包括但不限于更换货物或提供替代产品。</w:t>
      </w:r>
    </w:p>
    <w:p w14:paraId="3962E9C5">
      <w:pPr>
        <w:keepNext w:val="0"/>
        <w:keepLines w:val="0"/>
        <w:pageBreakBefore w:val="0"/>
        <w:widowControl w:val="0"/>
        <w:kinsoku/>
        <w:wordWrap/>
        <w:overflowPunct/>
        <w:topLinePunct w:val="0"/>
        <w:bidi w:val="0"/>
        <w:snapToGrid/>
        <w:spacing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、若因乙方提供的货物质量问题导致甲方遭受任何损失，包括但不限于直接经济损失、业务中断损失、声誉损失等，乙方应承担相应的赔偿责任。具体的赔偿金额和方式将在双方协商后确定。</w:t>
      </w:r>
    </w:p>
    <w:p w14:paraId="3A7C22FA">
      <w:pPr>
        <w:keepNext w:val="0"/>
        <w:keepLines w:val="0"/>
        <w:pageBreakBefore w:val="0"/>
        <w:widowControl w:val="0"/>
        <w:kinsoku/>
        <w:wordWrap/>
        <w:overflowPunct/>
        <w:topLinePunct w:val="0"/>
        <w:bidi w:val="0"/>
        <w:snapToGrid/>
        <w:spacing w:line="360" w:lineRule="auto"/>
        <w:ind w:left="0" w:leftChars="0" w:righ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四、交货时间、地点</w:t>
      </w:r>
    </w:p>
    <w:p w14:paraId="2C8065BB">
      <w:pPr>
        <w:keepNext w:val="0"/>
        <w:keepLines w:val="0"/>
        <w:pageBreakBefore w:val="0"/>
        <w:widowControl w:val="0"/>
        <w:kinsoku/>
        <w:wordWrap/>
        <w:overflowPunct/>
        <w:topLinePunct w:val="0"/>
        <w:bidi w:val="0"/>
        <w:snapToGrid/>
        <w:spacing w:line="360" w:lineRule="auto"/>
        <w:ind w:left="0" w:leftChars="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1、乙方在接到甲方通知后</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个工作日内将货物送达</w:t>
      </w:r>
      <w:r>
        <w:rPr>
          <w:rFonts w:hint="eastAsia" w:ascii="宋体" w:hAnsi="宋体" w:eastAsia="宋体" w:cs="宋体"/>
          <w:color w:val="auto"/>
          <w:sz w:val="24"/>
          <w:szCs w:val="24"/>
          <w:highlight w:val="none"/>
          <w:u w:val="single"/>
          <w:lang w:val="en-US" w:eastAsia="zh-CN"/>
        </w:rPr>
        <w:t>新疆医科大学附属肿瘤医院</w:t>
      </w:r>
      <w:r>
        <w:rPr>
          <w:rFonts w:hint="eastAsia" w:ascii="宋体" w:hAnsi="宋体" w:eastAsia="宋体" w:cs="宋体"/>
          <w:color w:val="auto"/>
          <w:sz w:val="24"/>
          <w:szCs w:val="24"/>
          <w:highlight w:val="none"/>
          <w:lang w:val="en-US" w:eastAsia="zh-CN"/>
        </w:rPr>
        <w:t>，接货人为：</w:t>
      </w:r>
      <w:r>
        <w:rPr>
          <w:rFonts w:hint="eastAsia" w:ascii="宋体" w:hAnsi="宋体" w:eastAsia="宋体" w:cs="宋体"/>
          <w:color w:val="auto"/>
          <w:sz w:val="24"/>
          <w:szCs w:val="24"/>
          <w:highlight w:val="none"/>
          <w:u w:val="single"/>
          <w:lang w:val="en-US" w:eastAsia="zh-CN"/>
        </w:rPr>
        <w:t>采购员或库房保管员</w:t>
      </w:r>
      <w:r>
        <w:rPr>
          <w:rFonts w:hint="eastAsia" w:ascii="宋体" w:hAnsi="宋体" w:eastAsia="宋体" w:cs="宋体"/>
          <w:color w:val="auto"/>
          <w:sz w:val="24"/>
          <w:szCs w:val="24"/>
          <w:highlight w:val="none"/>
          <w:lang w:val="en-US" w:eastAsia="zh-CN"/>
        </w:rPr>
        <w:t>。</w:t>
      </w:r>
    </w:p>
    <w:p w14:paraId="74C3F30F">
      <w:pPr>
        <w:keepNext w:val="0"/>
        <w:keepLines w:val="0"/>
        <w:pageBreakBefore w:val="0"/>
        <w:widowControl w:val="0"/>
        <w:kinsoku/>
        <w:wordWrap/>
        <w:overflowPunct/>
        <w:topLinePunct w:val="0"/>
        <w:bidi w:val="0"/>
        <w:snapToGrid/>
        <w:spacing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、货物交付完成且经甲方验收合格前，本合同项下商品的损毁灭失风险由乙方承担，货物交付完成且经甲方验收合格后，商品的所有权及损毁灭失风险转移至甲方。</w:t>
      </w:r>
    </w:p>
    <w:p w14:paraId="24C48A2C">
      <w:pPr>
        <w:keepNext w:val="0"/>
        <w:keepLines w:val="0"/>
        <w:pageBreakBefore w:val="0"/>
        <w:widowControl w:val="0"/>
        <w:kinsoku/>
        <w:wordWrap/>
        <w:overflowPunct/>
        <w:topLinePunct w:val="0"/>
        <w:bidi w:val="0"/>
        <w:snapToGrid/>
        <w:spacing w:line="360" w:lineRule="auto"/>
        <w:ind w:left="0" w:leftChars="0" w:righ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五、产品包装及运输</w:t>
      </w:r>
    </w:p>
    <w:p w14:paraId="77D03097">
      <w:pPr>
        <w:keepNext w:val="0"/>
        <w:keepLines w:val="0"/>
        <w:pageBreakBefore w:val="0"/>
        <w:widowControl w:val="0"/>
        <w:kinsoku/>
        <w:wordWrap/>
        <w:overflowPunct/>
        <w:topLinePunct w:val="0"/>
        <w:bidi w:val="0"/>
        <w:snapToGrid/>
        <w:spacing w:line="360" w:lineRule="auto"/>
        <w:ind w:left="0" w:leftChars="0" w:righ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１</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包装必须与运输方式相适应，包装方式的确定和包装费用均由乙方负责</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 xml:space="preserve">由于不适当的包装而造成的货物有任何的损坏由乙方负责。 </w:t>
      </w:r>
    </w:p>
    <w:p w14:paraId="48066DFA">
      <w:pPr>
        <w:keepNext w:val="0"/>
        <w:keepLines w:val="0"/>
        <w:pageBreakBefore w:val="0"/>
        <w:widowControl w:val="0"/>
        <w:kinsoku/>
        <w:wordWrap/>
        <w:overflowPunct/>
        <w:topLinePunct w:val="0"/>
        <w:bidi w:val="0"/>
        <w:snapToGrid/>
        <w:spacing w:line="360" w:lineRule="auto"/>
        <w:ind w:left="0" w:leftChars="0" w:righ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２、提供的全部货物必须采用相应的标准的保护措施进行包装。包装应适于远距离运输，并有良好的防潮、防震、防锈和防野蛮装卸等保护措施，以确保货物安全运抵现场。乙方应承担因其包装或防护措施不妥而引起货物锈蚀、损坏和丢失的任何损失的责任或费用。 </w:t>
      </w:r>
    </w:p>
    <w:p w14:paraId="4A8426FC">
      <w:pPr>
        <w:keepNext w:val="0"/>
        <w:keepLines w:val="0"/>
        <w:pageBreakBefore w:val="0"/>
        <w:widowControl w:val="0"/>
        <w:kinsoku/>
        <w:wordWrap/>
        <w:overflowPunct/>
        <w:topLinePunct w:val="0"/>
        <w:bidi w:val="0"/>
        <w:snapToGrid/>
        <w:spacing w:line="360" w:lineRule="auto"/>
        <w:ind w:left="0" w:leftChars="0" w:righ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3、包装费、运输费、装卸费和保险费均已包含在合同单价内。</w:t>
      </w:r>
    </w:p>
    <w:p w14:paraId="0C29DA84">
      <w:pPr>
        <w:keepNext w:val="0"/>
        <w:keepLines w:val="0"/>
        <w:pageBreakBefore w:val="0"/>
        <w:widowControl w:val="0"/>
        <w:kinsoku/>
        <w:wordWrap/>
        <w:overflowPunct/>
        <w:topLinePunct w:val="0"/>
        <w:bidi w:val="0"/>
        <w:snapToGrid/>
        <w:spacing w:line="360" w:lineRule="auto"/>
        <w:ind w:left="0" w:leftChars="0" w:righ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4、运输途中的货物安全问题均由乙方负责。</w:t>
      </w:r>
    </w:p>
    <w:p w14:paraId="5AEB1D9B">
      <w:pPr>
        <w:keepNext w:val="0"/>
        <w:keepLines w:val="0"/>
        <w:pageBreakBefore w:val="0"/>
        <w:widowControl w:val="0"/>
        <w:kinsoku/>
        <w:wordWrap/>
        <w:overflowPunct/>
        <w:topLinePunct w:val="0"/>
        <w:bidi w:val="0"/>
        <w:snapToGrid/>
        <w:spacing w:line="360" w:lineRule="auto"/>
        <w:ind w:left="0" w:leftChars="0" w:righ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5、乙方在货物包装上应明确标注货物的名称、规格、数量、生产日期、批次号以及运输目的地等信息，以便于货物的识别和管理。同时，乙方还需在包装上注明“防潮”等警示标识，确保货物在运输过程中的安全。</w:t>
      </w:r>
    </w:p>
    <w:p w14:paraId="0E8703C4">
      <w:pPr>
        <w:keepNext w:val="0"/>
        <w:keepLines w:val="0"/>
        <w:pageBreakBefore w:val="0"/>
        <w:widowControl w:val="0"/>
        <w:kinsoku/>
        <w:wordWrap/>
        <w:overflowPunct/>
        <w:topLinePunct w:val="0"/>
        <w:bidi w:val="0"/>
        <w:snapToGrid/>
        <w:spacing w:line="360" w:lineRule="auto"/>
        <w:ind w:left="0" w:leftChars="0" w:right="0" w:firstLine="482"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六、验收</w:t>
      </w:r>
    </w:p>
    <w:p w14:paraId="5C21FC2D">
      <w:pPr>
        <w:keepNext w:val="0"/>
        <w:keepLines w:val="0"/>
        <w:pageBreakBefore w:val="0"/>
        <w:widowControl w:val="0"/>
        <w:kinsoku/>
        <w:wordWrap/>
        <w:overflowPunct/>
        <w:topLinePunct w:val="0"/>
        <w:bidi w:val="0"/>
        <w:snapToGrid/>
        <w:spacing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1、在交货前，乙方应确保制造商对货物的有关内在和外观质量、规格、性能、数量和重量进行准确的和全面的检验，并出具货物符合合同规定的</w:t>
      </w:r>
      <w:r>
        <w:rPr>
          <w:rFonts w:hint="eastAsia" w:ascii="宋体" w:hAnsi="宋体" w:eastAsia="宋体" w:cs="宋体"/>
          <w:color w:val="auto"/>
          <w:sz w:val="24"/>
          <w:szCs w:val="24"/>
          <w:highlight w:val="none"/>
          <w:lang w:eastAsia="zh-CN"/>
        </w:rPr>
        <w:t>质检报告</w:t>
      </w:r>
      <w:r>
        <w:rPr>
          <w:rFonts w:hint="eastAsia" w:ascii="宋体" w:hAnsi="宋体" w:eastAsia="宋体" w:cs="宋体"/>
          <w:color w:val="auto"/>
          <w:sz w:val="24"/>
          <w:szCs w:val="24"/>
          <w:highlight w:val="none"/>
        </w:rPr>
        <w:t>。该</w:t>
      </w:r>
      <w:r>
        <w:rPr>
          <w:rFonts w:hint="eastAsia" w:ascii="宋体" w:hAnsi="宋体" w:eastAsia="宋体" w:cs="宋体"/>
          <w:color w:val="auto"/>
          <w:sz w:val="24"/>
          <w:szCs w:val="24"/>
          <w:highlight w:val="none"/>
          <w:lang w:eastAsia="zh-CN"/>
        </w:rPr>
        <w:t>报告</w:t>
      </w:r>
      <w:r>
        <w:rPr>
          <w:rFonts w:hint="eastAsia" w:ascii="宋体" w:hAnsi="宋体" w:eastAsia="宋体" w:cs="宋体"/>
          <w:color w:val="auto"/>
          <w:sz w:val="24"/>
          <w:szCs w:val="24"/>
          <w:highlight w:val="none"/>
        </w:rPr>
        <w:t>将作为申请付款单据的必要条件。但不应视为是对质量、规格、性能、数量的最终定论。</w:t>
      </w:r>
      <w:r>
        <w:rPr>
          <w:rFonts w:hint="eastAsia" w:ascii="宋体" w:hAnsi="宋体" w:eastAsia="宋体" w:cs="宋体"/>
          <w:color w:val="auto"/>
          <w:sz w:val="24"/>
          <w:szCs w:val="24"/>
          <w:highlight w:val="none"/>
          <w:lang w:eastAsia="zh-CN"/>
        </w:rPr>
        <w:t>质检报告</w:t>
      </w:r>
      <w:r>
        <w:rPr>
          <w:rFonts w:hint="eastAsia" w:ascii="宋体" w:hAnsi="宋体" w:eastAsia="宋体" w:cs="宋体"/>
          <w:color w:val="auto"/>
          <w:sz w:val="24"/>
          <w:szCs w:val="24"/>
          <w:highlight w:val="none"/>
        </w:rPr>
        <w:t xml:space="preserve">应附有写明制造商检验的细节和结果的说明。 </w:t>
      </w:r>
    </w:p>
    <w:p w14:paraId="36C63234">
      <w:pPr>
        <w:keepNext w:val="0"/>
        <w:keepLines w:val="0"/>
        <w:pageBreakBefore w:val="0"/>
        <w:widowControl w:val="0"/>
        <w:kinsoku/>
        <w:wordWrap/>
        <w:overflowPunct/>
        <w:topLinePunct w:val="0"/>
        <w:bidi w:val="0"/>
        <w:snapToGrid/>
        <w:spacing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2、数量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乙方交货时，甲乙双方应各指定一名工作人员对货物数量进行统计，交货完成后，就甲方验收合格的货物数量，由双方各自指定的工作人员在交货清单上签字确认，交货清单一式</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份，作为今后双方结算的依据。</w:t>
      </w:r>
    </w:p>
    <w:p w14:paraId="6AC0804F">
      <w:pPr>
        <w:keepNext w:val="0"/>
        <w:keepLines w:val="0"/>
        <w:pageBreakBefore w:val="0"/>
        <w:widowControl w:val="0"/>
        <w:kinsoku/>
        <w:wordWrap/>
        <w:overflowPunct/>
        <w:topLinePunct w:val="0"/>
        <w:bidi w:val="0"/>
        <w:snapToGrid/>
        <w:spacing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如果在合同规定的质量保证期内，发现货物的质量或规格与合同规定不符，或货物有缺陷，包括内在隐蔽瑕疵或使用不合适的原材料或不科学的设计等，甲方有权根据质量保证条款向乙方主张质保责任，并在乙方构成违约或侵权时主张索赔。 </w:t>
      </w:r>
    </w:p>
    <w:p w14:paraId="20921D36">
      <w:pPr>
        <w:keepNext w:val="0"/>
        <w:keepLines w:val="0"/>
        <w:pageBreakBefore w:val="0"/>
        <w:widowControl w:val="0"/>
        <w:kinsoku/>
        <w:wordWrap/>
        <w:overflowPunct/>
        <w:topLinePunct w:val="0"/>
        <w:bidi w:val="0"/>
        <w:snapToGrid/>
        <w:spacing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自产品交货后当日，甲方应依照双方在本合同中约定的质量要求和技术标准，对产品的质量进行验收。验收不合格的，应及时向乙方提出书面异议，乙方应在接到异议及检测报告后及时进行更换，直至验收合格，如果因乙方供货质量原因造成的甲方受到的损失，乙方还应承担相应违约责任并承担相应赔偿。</w:t>
      </w:r>
    </w:p>
    <w:p w14:paraId="3291E539">
      <w:pPr>
        <w:keepNext w:val="0"/>
        <w:keepLines w:val="0"/>
        <w:pageBreakBefore w:val="0"/>
        <w:widowControl w:val="0"/>
        <w:kinsoku/>
        <w:wordWrap/>
        <w:overflowPunct/>
        <w:topLinePunct w:val="0"/>
        <w:bidi w:val="0"/>
        <w:snapToGrid/>
        <w:spacing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5、乙方交货并保证货物出厂无瑕疵，经甲方验收合格后进入保修期。</w:t>
      </w:r>
    </w:p>
    <w:p w14:paraId="6975C3A8">
      <w:pPr>
        <w:keepNext w:val="0"/>
        <w:keepLines w:val="0"/>
        <w:pageBreakBefore w:val="0"/>
        <w:widowControl w:val="0"/>
        <w:kinsoku/>
        <w:wordWrap/>
        <w:overflowPunct/>
        <w:topLinePunct w:val="0"/>
        <w:bidi w:val="0"/>
        <w:snapToGrid/>
        <w:spacing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6、乙方要向甲方提供送货单一式</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联（甲方留</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联、乙方留</w:t>
      </w: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联），并在送货单上注明物品名称、品牌、型号规格验收合格后由甲方签字以备双方结算用。</w:t>
      </w:r>
    </w:p>
    <w:p w14:paraId="0219B855">
      <w:pPr>
        <w:keepNext w:val="0"/>
        <w:keepLines w:val="0"/>
        <w:pageBreakBefore w:val="0"/>
        <w:widowControl w:val="0"/>
        <w:kinsoku/>
        <w:wordWrap/>
        <w:overflowPunct/>
        <w:topLinePunct w:val="0"/>
        <w:bidi w:val="0"/>
        <w:snapToGrid/>
        <w:spacing w:line="360" w:lineRule="auto"/>
        <w:ind w:left="0" w:leftChars="0" w:righ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七、售后服务</w:t>
      </w:r>
    </w:p>
    <w:p w14:paraId="50615672">
      <w:pPr>
        <w:keepNext w:val="0"/>
        <w:keepLines w:val="0"/>
        <w:pageBreakBefore w:val="0"/>
        <w:widowControl w:val="0"/>
        <w:kinsoku/>
        <w:wordWrap/>
        <w:overflowPunct/>
        <w:topLinePunct w:val="0"/>
        <w:bidi w:val="0"/>
        <w:snapToGrid/>
        <w:spacing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、在质保期内所发生的一切费用由乙方承担，质保期内出现问题时，接到甲方反映问题的通知后乙方应积极与甲方保持沟通联络，双方共同协商解决办法，甲方有权决定最终解决办法，乙方应在</w:t>
      </w:r>
      <w:r>
        <w:rPr>
          <w:rFonts w:hint="eastAsia" w:ascii="宋体" w:hAnsi="宋体" w:eastAsia="宋体" w:cs="宋体"/>
          <w:color w:val="auto"/>
          <w:sz w:val="24"/>
          <w:szCs w:val="24"/>
          <w:highlight w:val="none"/>
          <w:u w:val="single"/>
          <w:lang w:val="en-US" w:eastAsia="zh-CN"/>
        </w:rPr>
        <w:t xml:space="preserve"> 2  </w:t>
      </w:r>
      <w:r>
        <w:rPr>
          <w:rFonts w:hint="eastAsia" w:ascii="宋体" w:hAnsi="宋体" w:eastAsia="宋体" w:cs="宋体"/>
          <w:color w:val="auto"/>
          <w:sz w:val="24"/>
          <w:szCs w:val="24"/>
          <w:highlight w:val="none"/>
        </w:rPr>
        <w:t>小时内采取措施解决所有问题，逾期则应承担本合同规定的违约责任。</w:t>
      </w:r>
    </w:p>
    <w:p w14:paraId="78DC4F7C">
      <w:pPr>
        <w:keepNext w:val="0"/>
        <w:keepLines w:val="0"/>
        <w:pageBreakBefore w:val="0"/>
        <w:widowControl w:val="0"/>
        <w:kinsoku/>
        <w:wordWrap/>
        <w:overflowPunct/>
        <w:topLinePunct w:val="0"/>
        <w:bidi w:val="0"/>
        <w:snapToGrid/>
        <w:spacing w:line="360" w:lineRule="auto"/>
        <w:ind w:left="0" w:leftChars="0" w:righ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八、货款的支付</w:t>
      </w:r>
    </w:p>
    <w:p w14:paraId="3C597157">
      <w:pPr>
        <w:keepNext w:val="0"/>
        <w:keepLines w:val="0"/>
        <w:pageBreakBefore w:val="0"/>
        <w:widowControl w:val="0"/>
        <w:kinsoku/>
        <w:wordWrap/>
        <w:overflowPunct/>
        <w:topLinePunct w:val="0"/>
        <w:bidi w:val="0"/>
        <w:snapToGrid/>
        <w:spacing w:line="360" w:lineRule="auto"/>
        <w:ind w:left="0" w:leftChars="0" w:right="0" w:firstLine="480" w:firstLineChars="200"/>
        <w:textAlignment w:val="auto"/>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1、甲方支付上述任何一笔款项前，乙方应提供符合甲方财务做账要求的正规增值税发票，否则，甲方有权拒付款项且不承担违约责任。</w:t>
      </w:r>
    </w:p>
    <w:p w14:paraId="67D32075">
      <w:pPr>
        <w:keepNext w:val="0"/>
        <w:keepLines w:val="0"/>
        <w:pageBreakBefore w:val="0"/>
        <w:widowControl w:val="0"/>
        <w:kinsoku/>
        <w:wordWrap/>
        <w:overflowPunct/>
        <w:topLinePunct w:val="0"/>
        <w:bidi w:val="0"/>
        <w:snapToGrid/>
        <w:spacing w:line="360" w:lineRule="auto"/>
        <w:ind w:left="0" w:leftChars="0" w:right="0" w:firstLine="480" w:firstLineChars="200"/>
        <w:textAlignment w:val="auto"/>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2、甲乙双方签订合同之后，每两个月为一个付款周期，以实际验收合格数量乘以固定单价进行结算。如遇节假日、甲方财务扎帐等特殊情况，结账日期依次顺延。</w:t>
      </w:r>
    </w:p>
    <w:p w14:paraId="4B1816D4">
      <w:pPr>
        <w:keepNext w:val="0"/>
        <w:keepLines w:val="0"/>
        <w:pageBreakBefore w:val="0"/>
        <w:widowControl w:val="0"/>
        <w:kinsoku/>
        <w:wordWrap/>
        <w:overflowPunct/>
        <w:topLinePunct w:val="0"/>
        <w:bidi w:val="0"/>
        <w:snapToGrid/>
        <w:spacing w:line="360" w:lineRule="auto"/>
        <w:ind w:left="0" w:leftChars="0" w:right="0" w:firstLine="480" w:firstLineChars="200"/>
        <w:textAlignment w:val="auto"/>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3、甲方通知乙方结算货款时，乙方需认真核对结算清单和送货单，双方就当次货款结算完毕且乙方开具货款正规发票后即视为乙方对该期货款结算金额认可无异议。从发票开具之日起，乙方再发现当期货款存在错算、漏算的情况，甲方不予补付任何货款，产生的损失由乙方自行承担。</w:t>
      </w:r>
    </w:p>
    <w:p w14:paraId="08909635">
      <w:pPr>
        <w:keepNext w:val="0"/>
        <w:keepLines w:val="0"/>
        <w:pageBreakBefore w:val="0"/>
        <w:widowControl w:val="0"/>
        <w:kinsoku/>
        <w:wordWrap/>
        <w:overflowPunct/>
        <w:topLinePunct w:val="0"/>
        <w:bidi w:val="0"/>
        <w:snapToGrid/>
        <w:spacing w:line="360" w:lineRule="auto"/>
        <w:ind w:left="0" w:leftChars="0" w:righ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九、违约责任</w:t>
      </w:r>
    </w:p>
    <w:p w14:paraId="2D24D19B">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乙方应严格按照合同约定的时间交货，在应急情况下（自然灾害等不可抗力因素情况除外）乙方应甲方需求须在1小时内将所需货物送到甲方指定地点，如乙方延迟交货，甲方有权追究延迟交货的违约责任。乙方如逾期交货，乙方每天向甲方支付违约金1000元；乙方逾期供货超出交付期十天</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含十天</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以上的，甲方有权解除合同并追究乙方的违约责任，甲方解除合同的，乙方应支付合同总价款20%的违约金；乙方支付上述违约金不足以赔偿甲方损失的，甲方有权另行向乙方索赔（包括但不限于第三方索赔、律师费、诉讼费、鉴定费、公证费、差旅费等甲方采取诉讼途径发生的一切费用）。</w:t>
      </w:r>
    </w:p>
    <w:p w14:paraId="32607CF2">
      <w:pPr>
        <w:keepNext w:val="0"/>
        <w:keepLines w:val="0"/>
        <w:pageBreakBefore w:val="0"/>
        <w:widowControl w:val="0"/>
        <w:kinsoku/>
        <w:wordWrap/>
        <w:overflowPunct/>
        <w:topLinePunct w:val="0"/>
        <w:bidi w:val="0"/>
        <w:snapToGrid/>
        <w:spacing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14:paraId="420FDC0D">
      <w:pPr>
        <w:keepNext w:val="0"/>
        <w:keepLines w:val="0"/>
        <w:pageBreakBefore w:val="0"/>
        <w:widowControl w:val="0"/>
        <w:kinsoku/>
        <w:wordWrap/>
        <w:overflowPunct/>
        <w:topLinePunct w:val="0"/>
        <w:bidi w:val="0"/>
        <w:snapToGrid/>
        <w:spacing w:line="360" w:lineRule="auto"/>
        <w:ind w:left="0" w:leftChars="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本合同签订后，乙方应如实履行本合同项下的权利和义务，严格按照中标价格履行合同，如乙方因价格原因，拒绝供货或不能根据合同约定的品种、规格、数量、质量等标准和要求向甲方配送货物，无法满足甲方采购需要，甲方有权解除合同，同时，乙方按合同总额的20%向甲方承担违约责任。</w:t>
      </w:r>
    </w:p>
    <w:p w14:paraId="42879A51">
      <w:pPr>
        <w:keepNext w:val="0"/>
        <w:keepLines w:val="0"/>
        <w:pageBreakBefore w:val="0"/>
        <w:widowControl w:val="0"/>
        <w:kinsoku/>
        <w:wordWrap/>
        <w:overflowPunct/>
        <w:topLinePunct w:val="0"/>
        <w:bidi w:val="0"/>
        <w:snapToGrid/>
        <w:spacing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在协议供货有效期内违反本有关质量保证及售后服务的，甲方有权要求乙方支付合同总价款20%的违约金，乙方支付上述违约金不足以赔偿甲方损失的，甲方有权另行向乙方索赔（包括但不限于第三方索赔、律师费、诉讼费、鉴定费、公证费、差旅费等甲方采取诉讼途径发生的一切费用）。</w:t>
      </w:r>
    </w:p>
    <w:p w14:paraId="71737341">
      <w:pPr>
        <w:keepNext w:val="0"/>
        <w:keepLines w:val="0"/>
        <w:pageBreakBefore w:val="0"/>
        <w:widowControl w:val="0"/>
        <w:kinsoku/>
        <w:wordWrap/>
        <w:overflowPunct/>
        <w:topLinePunct w:val="0"/>
        <w:bidi w:val="0"/>
        <w:snapToGrid/>
        <w:spacing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向甲方承诺，如发生乙方向甲方指定人员或与该业务有关的任何工作人员行贿、送礼等行为，或与甲方相关工作人员串通，做出损害甲方利益的任何行为，每次按合同总金额的30%的数额向甲方承担违约金。</w:t>
      </w:r>
    </w:p>
    <w:p w14:paraId="330F92D9">
      <w:pPr>
        <w:keepNext w:val="0"/>
        <w:keepLines w:val="0"/>
        <w:pageBreakBefore w:val="0"/>
        <w:widowControl w:val="0"/>
        <w:kinsoku/>
        <w:wordWrap/>
        <w:overflowPunct/>
        <w:topLinePunct w:val="0"/>
        <w:autoSpaceDE/>
        <w:autoSpaceDN/>
        <w:bidi w:val="0"/>
        <w:snapToGrid/>
        <w:spacing w:beforeAutospacing="0" w:line="360" w:lineRule="auto"/>
        <w:ind w:left="0" w:leftChars="0" w:right="0" w:rightChars="0" w:firstLine="480" w:firstLineChars="20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6）乙方交付的产品不得涉及任何担保、留置权、知识产权等权利，乙方因上述权利引起的所有纠纷由乙方负责解决，甲方不承担任何责任。给甲方造成损失的，乙方赔偿甲方全部损失。</w:t>
      </w:r>
    </w:p>
    <w:p w14:paraId="1F6D3370">
      <w:pPr>
        <w:keepNext w:val="0"/>
        <w:keepLines w:val="0"/>
        <w:pageBreakBefore w:val="0"/>
        <w:widowControl w:val="0"/>
        <w:kinsoku/>
        <w:wordWrap/>
        <w:overflowPunct/>
        <w:topLinePunct w:val="0"/>
        <w:autoSpaceDE/>
        <w:autoSpaceDN/>
        <w:bidi w:val="0"/>
        <w:snapToGrid/>
        <w:spacing w:beforeAutospacing="0" w:line="360" w:lineRule="auto"/>
        <w:ind w:left="0" w:leftChars="0" w:right="0" w:rightChars="0" w:firstLine="480" w:firstLineChars="200"/>
        <w:jc w:val="both"/>
        <w:textAlignment w:val="auto"/>
        <w:outlineLvl w:val="9"/>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7）本合同签订后，乙方应如实履行本合同项下的权利义务，不得擅自要求解除或终止合同；如违反上述约定，向甲方承担合同总金额20%的违约金，上述违约金不足以弥补甲方损失的，以实际损失为准。</w:t>
      </w:r>
    </w:p>
    <w:p w14:paraId="6621F0A5">
      <w:pPr>
        <w:keepNext w:val="0"/>
        <w:keepLines w:val="0"/>
        <w:pageBreakBefore w:val="0"/>
        <w:widowControl w:val="0"/>
        <w:kinsoku/>
        <w:wordWrap/>
        <w:overflowPunct/>
        <w:topLinePunct w:val="0"/>
        <w:autoSpaceDE/>
        <w:autoSpaceDN/>
        <w:bidi w:val="0"/>
        <w:snapToGrid/>
        <w:spacing w:beforeAutospacing="0" w:line="360" w:lineRule="auto"/>
        <w:ind w:left="0" w:leftChars="0" w:right="0" w:rightChars="0" w:firstLine="480" w:firstLineChars="200"/>
        <w:jc w:val="both"/>
        <w:textAlignment w:val="auto"/>
        <w:outlineLvl w:val="9"/>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8）未经甲方书面同意，乙方将本合同项下的任何权利义务（包含债权、债务）转让给任何第三人，或向金融机构进行质押、出让的，乙方向甲方支付转让（质押、出让）金额20%。</w:t>
      </w:r>
    </w:p>
    <w:p w14:paraId="0C5690A8">
      <w:pPr>
        <w:keepNext w:val="0"/>
        <w:keepLines w:val="0"/>
        <w:pageBreakBefore w:val="0"/>
        <w:widowControl w:val="0"/>
        <w:kinsoku/>
        <w:wordWrap/>
        <w:overflowPunct/>
        <w:topLinePunct w:val="0"/>
        <w:autoSpaceDE/>
        <w:autoSpaceDN/>
        <w:bidi w:val="0"/>
        <w:snapToGrid/>
        <w:spacing w:beforeAutospacing="0" w:line="360" w:lineRule="auto"/>
        <w:ind w:left="0" w:leftChars="0" w:right="0" w:rightChars="0" w:firstLine="480" w:firstLineChars="200"/>
        <w:jc w:val="both"/>
        <w:textAlignment w:val="auto"/>
        <w:outlineLvl w:val="9"/>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9）上述违约金，甲方有权从应付货款中予以扣除，不足部分乙方应当予以补足。</w:t>
      </w:r>
    </w:p>
    <w:p w14:paraId="3B8BD396">
      <w:pPr>
        <w:keepNext w:val="0"/>
        <w:keepLines w:val="0"/>
        <w:pageBreakBefore w:val="0"/>
        <w:widowControl w:val="0"/>
        <w:kinsoku/>
        <w:wordWrap/>
        <w:overflowPunct/>
        <w:topLinePunct w:val="0"/>
        <w:bidi w:val="0"/>
        <w:snapToGrid/>
        <w:spacing w:line="360" w:lineRule="auto"/>
        <w:ind w:left="0" w:leftChars="0" w:righ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十、不可抗力</w:t>
      </w:r>
    </w:p>
    <w:p w14:paraId="6C2DCD6E">
      <w:pPr>
        <w:keepNext w:val="0"/>
        <w:keepLines w:val="0"/>
        <w:pageBreakBefore w:val="0"/>
        <w:widowControl w:val="0"/>
        <w:kinsoku/>
        <w:wordWrap/>
        <w:overflowPunct/>
        <w:topLinePunct w:val="0"/>
        <w:bidi w:val="0"/>
        <w:snapToGrid/>
        <w:spacing w:line="360" w:lineRule="auto"/>
        <w:ind w:left="0" w:leftChars="0" w:righ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甲乙双方的任何一方由于不可抗力的原因不能履行合同时，应及时向对方通报不能履行或不能完全履行的理由，在取得有关主管机关证明以后，允许延期履行、部分履行或者不履行合同，并根据情况可部分或全部</w:t>
      </w:r>
      <w:r>
        <w:rPr>
          <w:rFonts w:hint="eastAsia" w:ascii="宋体" w:hAnsi="宋体" w:eastAsia="宋体" w:cs="宋体"/>
          <w:bCs/>
          <w:color w:val="auto"/>
          <w:sz w:val="24"/>
          <w:szCs w:val="24"/>
          <w:highlight w:val="none"/>
          <w:lang w:eastAsia="zh-CN"/>
        </w:rPr>
        <w:t>免于</w:t>
      </w:r>
      <w:r>
        <w:rPr>
          <w:rFonts w:hint="eastAsia" w:ascii="宋体" w:hAnsi="宋体" w:eastAsia="宋体" w:cs="宋体"/>
          <w:bCs/>
          <w:color w:val="auto"/>
          <w:sz w:val="24"/>
          <w:szCs w:val="24"/>
          <w:highlight w:val="none"/>
        </w:rPr>
        <w:t>承担违约责任。</w:t>
      </w:r>
    </w:p>
    <w:p w14:paraId="0C159EEF">
      <w:pPr>
        <w:keepNext w:val="0"/>
        <w:keepLines w:val="0"/>
        <w:pageBreakBefore w:val="0"/>
        <w:widowControl w:val="0"/>
        <w:kinsoku/>
        <w:wordWrap/>
        <w:overflowPunct/>
        <w:topLinePunct w:val="0"/>
        <w:bidi w:val="0"/>
        <w:snapToGrid/>
        <w:spacing w:line="360" w:lineRule="auto"/>
        <w:ind w:left="0" w:leftChars="0" w:righ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不可抗力”是指甲乙双方不能合理控制、不可预见或即使预见亦无法避免的事件，该事件妨碍、影响或延误任何一方根据合同履行其全部或部分义务。该事件包括但不限于政府行为、电信行业行为、自然灾害、战争或</w:t>
      </w:r>
      <w:r>
        <w:rPr>
          <w:rFonts w:hint="eastAsia" w:ascii="宋体" w:hAnsi="宋体" w:eastAsia="宋体" w:cs="宋体"/>
          <w:bCs/>
          <w:color w:val="auto"/>
          <w:sz w:val="24"/>
          <w:szCs w:val="24"/>
          <w:highlight w:val="none"/>
          <w:lang w:eastAsia="zh-CN"/>
        </w:rPr>
        <w:t>任何其他</w:t>
      </w:r>
      <w:r>
        <w:rPr>
          <w:rFonts w:hint="eastAsia" w:ascii="宋体" w:hAnsi="宋体" w:eastAsia="宋体" w:cs="宋体"/>
          <w:bCs/>
          <w:color w:val="auto"/>
          <w:sz w:val="24"/>
          <w:szCs w:val="24"/>
          <w:highlight w:val="none"/>
        </w:rPr>
        <w:t>类似事件；</w:t>
      </w:r>
    </w:p>
    <w:p w14:paraId="625E36DC">
      <w:pPr>
        <w:keepNext w:val="0"/>
        <w:keepLines w:val="0"/>
        <w:pageBreakBefore w:val="0"/>
        <w:widowControl w:val="0"/>
        <w:kinsoku/>
        <w:wordWrap/>
        <w:overflowPunct/>
        <w:topLinePunct w:val="0"/>
        <w:autoSpaceDE/>
        <w:autoSpaceDN/>
        <w:bidi w:val="0"/>
        <w:snapToGrid/>
        <w:spacing w:beforeAutospacing="0"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bCs/>
          <w:color w:val="auto"/>
          <w:kern w:val="2"/>
          <w:sz w:val="24"/>
          <w:szCs w:val="24"/>
          <w:highlight w:val="none"/>
        </w:rPr>
        <w:t>3、甲乙双方因不可抗力不能履行本合同的责任和义务时，双方应及时签订补充协议，并共同遵守执行。</w:t>
      </w:r>
    </w:p>
    <w:p w14:paraId="3E07257C">
      <w:pPr>
        <w:keepNext w:val="0"/>
        <w:keepLines w:val="0"/>
        <w:pageBreakBefore w:val="0"/>
        <w:widowControl w:val="0"/>
        <w:kinsoku/>
        <w:wordWrap/>
        <w:overflowPunct/>
        <w:topLinePunct w:val="0"/>
        <w:bidi w:val="0"/>
        <w:snapToGrid/>
        <w:spacing w:line="360" w:lineRule="auto"/>
        <w:ind w:left="0" w:leftChars="0" w:righ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十一、争议解决</w:t>
      </w:r>
    </w:p>
    <w:p w14:paraId="2900B92D">
      <w:pPr>
        <w:keepNext w:val="0"/>
        <w:keepLines w:val="0"/>
        <w:pageBreakBefore w:val="0"/>
        <w:widowControl w:val="0"/>
        <w:kinsoku/>
        <w:wordWrap/>
        <w:overflowPunct/>
        <w:topLinePunct w:val="0"/>
        <w:bidi w:val="0"/>
        <w:snapToGrid/>
        <w:spacing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本合同如发生纠纷，当事人双方应当及时协商解决，协商不成时，可向甲方所在地人民法院起诉。</w:t>
      </w:r>
    </w:p>
    <w:p w14:paraId="5C895956">
      <w:pPr>
        <w:keepNext w:val="0"/>
        <w:keepLines w:val="0"/>
        <w:pageBreakBefore w:val="0"/>
        <w:widowControl w:val="0"/>
        <w:kinsoku/>
        <w:wordWrap/>
        <w:overflowPunct/>
        <w:topLinePunct w:val="0"/>
        <w:bidi w:val="0"/>
        <w:snapToGrid/>
        <w:spacing w:line="360" w:lineRule="auto"/>
        <w:ind w:left="0" w:leftChars="0" w:righ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十二、合同的文本及生效</w:t>
      </w:r>
    </w:p>
    <w:p w14:paraId="771D0B9D">
      <w:pPr>
        <w:keepNext w:val="0"/>
        <w:keepLines w:val="0"/>
        <w:pageBreakBefore w:val="0"/>
        <w:widowControl w:val="0"/>
        <w:kinsoku/>
        <w:wordWrap/>
        <w:overflowPunct/>
        <w:topLinePunct w:val="0"/>
        <w:bidi w:val="0"/>
        <w:snapToGrid/>
        <w:spacing w:line="360" w:lineRule="auto"/>
        <w:ind w:left="0" w:leftChars="0" w:righ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1、本合同有效期为</w:t>
      </w:r>
      <w:r>
        <w:rPr>
          <w:rFonts w:hint="eastAsia" w:ascii="宋体" w:hAnsi="宋体" w:eastAsia="宋体" w:cs="宋体"/>
          <w:bCs/>
          <w:color w:val="auto"/>
          <w:sz w:val="24"/>
          <w:szCs w:val="24"/>
          <w:highlight w:val="none"/>
          <w:lang w:eastAsia="zh-CN"/>
        </w:rPr>
        <w:t>壹</w:t>
      </w:r>
      <w:r>
        <w:rPr>
          <w:rFonts w:hint="eastAsia" w:ascii="宋体" w:hAnsi="宋体" w:eastAsia="宋体" w:cs="宋体"/>
          <w:bCs/>
          <w:color w:val="auto"/>
          <w:sz w:val="24"/>
          <w:szCs w:val="24"/>
          <w:highlight w:val="none"/>
        </w:rPr>
        <w:t>年，自</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日</w:t>
      </w:r>
      <w:r>
        <w:rPr>
          <w:rFonts w:hint="eastAsia" w:ascii="宋体" w:hAnsi="宋体" w:eastAsia="宋体" w:cs="宋体"/>
          <w:bCs/>
          <w:color w:val="auto"/>
          <w:sz w:val="24"/>
          <w:szCs w:val="24"/>
          <w:highlight w:val="none"/>
          <w:lang w:val="en-US" w:eastAsia="zh-CN"/>
        </w:rPr>
        <w:t>至</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日。</w:t>
      </w:r>
    </w:p>
    <w:p w14:paraId="4D61F51D">
      <w:pPr>
        <w:keepNext w:val="0"/>
        <w:keepLines w:val="0"/>
        <w:pageBreakBefore w:val="0"/>
        <w:widowControl w:val="0"/>
        <w:kinsoku/>
        <w:wordWrap/>
        <w:overflowPunct/>
        <w:topLinePunct w:val="0"/>
        <w:bidi w:val="0"/>
        <w:snapToGrid/>
        <w:spacing w:line="360" w:lineRule="auto"/>
        <w:ind w:left="0" w:leftChars="0" w:righ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2、本合同一式</w:t>
      </w:r>
      <w:r>
        <w:rPr>
          <w:rFonts w:hint="eastAsia" w:ascii="宋体" w:hAnsi="宋体" w:eastAsia="宋体" w:cs="宋体"/>
          <w:bCs/>
          <w:color w:val="auto"/>
          <w:sz w:val="24"/>
          <w:szCs w:val="24"/>
          <w:highlight w:val="none"/>
          <w:lang w:val="en-US" w:eastAsia="zh-CN"/>
        </w:rPr>
        <w:t>陆</w:t>
      </w:r>
      <w:r>
        <w:rPr>
          <w:rFonts w:hint="eastAsia" w:ascii="宋体" w:hAnsi="宋体" w:eastAsia="宋体" w:cs="宋体"/>
          <w:bCs/>
          <w:color w:val="auto"/>
          <w:sz w:val="24"/>
          <w:szCs w:val="24"/>
          <w:highlight w:val="none"/>
        </w:rPr>
        <w:t>份，甲方</w:t>
      </w:r>
      <w:r>
        <w:rPr>
          <w:rFonts w:hint="eastAsia" w:ascii="宋体" w:hAnsi="宋体" w:eastAsia="宋体" w:cs="宋体"/>
          <w:bCs/>
          <w:color w:val="auto"/>
          <w:sz w:val="24"/>
          <w:szCs w:val="24"/>
          <w:highlight w:val="none"/>
          <w:lang w:eastAsia="zh-CN"/>
        </w:rPr>
        <w:t>执</w:t>
      </w:r>
      <w:r>
        <w:rPr>
          <w:rFonts w:hint="eastAsia" w:ascii="宋体" w:hAnsi="宋体" w:eastAsia="宋体" w:cs="宋体"/>
          <w:bCs/>
          <w:color w:val="auto"/>
          <w:sz w:val="24"/>
          <w:szCs w:val="24"/>
          <w:highlight w:val="none"/>
          <w:lang w:val="en-US" w:eastAsia="zh-CN"/>
        </w:rPr>
        <w:t>伍</w:t>
      </w:r>
      <w:r>
        <w:rPr>
          <w:rFonts w:hint="eastAsia" w:ascii="宋体" w:hAnsi="宋体" w:eastAsia="宋体" w:cs="宋体"/>
          <w:bCs/>
          <w:color w:val="auto"/>
          <w:sz w:val="24"/>
          <w:szCs w:val="24"/>
          <w:highlight w:val="none"/>
        </w:rPr>
        <w:t>份、乙方</w:t>
      </w:r>
      <w:r>
        <w:rPr>
          <w:rFonts w:hint="eastAsia" w:ascii="宋体" w:hAnsi="宋体" w:eastAsia="宋体" w:cs="宋体"/>
          <w:bCs/>
          <w:color w:val="auto"/>
          <w:sz w:val="24"/>
          <w:szCs w:val="24"/>
          <w:highlight w:val="none"/>
          <w:lang w:eastAsia="zh-CN"/>
        </w:rPr>
        <w:t>执壹</w:t>
      </w:r>
      <w:r>
        <w:rPr>
          <w:rFonts w:hint="eastAsia" w:ascii="宋体" w:hAnsi="宋体" w:eastAsia="宋体" w:cs="宋体"/>
          <w:bCs/>
          <w:color w:val="auto"/>
          <w:sz w:val="24"/>
          <w:szCs w:val="24"/>
          <w:highlight w:val="none"/>
        </w:rPr>
        <w:t>份</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均具有同等的法律效力</w:t>
      </w:r>
      <w:r>
        <w:rPr>
          <w:rFonts w:hint="eastAsia" w:ascii="宋体" w:hAnsi="宋体" w:eastAsia="宋体" w:cs="宋体"/>
          <w:bCs/>
          <w:color w:val="auto"/>
          <w:sz w:val="24"/>
          <w:szCs w:val="24"/>
          <w:highlight w:val="none"/>
        </w:rPr>
        <w:t>。</w:t>
      </w:r>
    </w:p>
    <w:p w14:paraId="3D91051E">
      <w:pPr>
        <w:keepNext w:val="0"/>
        <w:keepLines w:val="0"/>
        <w:pageBreakBefore w:val="0"/>
        <w:widowControl w:val="0"/>
        <w:kinsoku/>
        <w:wordWrap/>
        <w:overflowPunct/>
        <w:topLinePunct w:val="0"/>
        <w:bidi w:val="0"/>
        <w:snapToGrid/>
        <w:spacing w:line="360" w:lineRule="auto"/>
        <w:ind w:left="0" w:leftChars="0" w:righ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3、本合同经双方法定代表人</w:t>
      </w:r>
      <w:r>
        <w:rPr>
          <w:rFonts w:hint="eastAsia" w:ascii="宋体" w:hAnsi="宋体" w:eastAsia="宋体" w:cs="宋体"/>
          <w:bCs/>
          <w:color w:val="auto"/>
          <w:sz w:val="24"/>
          <w:szCs w:val="24"/>
          <w:highlight w:val="none"/>
          <w:lang w:val="en-US" w:eastAsia="zh-CN"/>
        </w:rPr>
        <w:t>或授权代表人签字并加盖单位公章之日起</w:t>
      </w:r>
      <w:r>
        <w:rPr>
          <w:rFonts w:hint="eastAsia" w:ascii="宋体" w:hAnsi="宋体" w:eastAsia="宋体" w:cs="宋体"/>
          <w:bCs/>
          <w:color w:val="auto"/>
          <w:sz w:val="24"/>
          <w:szCs w:val="24"/>
          <w:highlight w:val="none"/>
        </w:rPr>
        <w:t>成立生效。</w:t>
      </w:r>
    </w:p>
    <w:p w14:paraId="61F5EC14">
      <w:pPr>
        <w:keepNext w:val="0"/>
        <w:keepLines w:val="0"/>
        <w:pageBreakBefore w:val="0"/>
        <w:widowControl w:val="0"/>
        <w:kinsoku/>
        <w:wordWrap/>
        <w:overflowPunct/>
        <w:topLinePunct w:val="0"/>
        <w:bidi w:val="0"/>
        <w:snapToGrid/>
        <w:spacing w:line="360" w:lineRule="auto"/>
        <w:ind w:left="0" w:leftChars="0" w:righ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4、合同内容如遇国家</w:t>
      </w:r>
      <w:r>
        <w:rPr>
          <w:rFonts w:hint="eastAsia" w:ascii="宋体" w:hAnsi="宋体" w:eastAsia="宋体" w:cs="宋体"/>
          <w:bCs/>
          <w:color w:val="auto"/>
          <w:sz w:val="24"/>
          <w:szCs w:val="24"/>
          <w:highlight w:val="none"/>
          <w:lang w:eastAsia="zh-CN"/>
        </w:rPr>
        <w:t>法律法规</w:t>
      </w:r>
      <w:r>
        <w:rPr>
          <w:rFonts w:hint="eastAsia" w:ascii="宋体" w:hAnsi="宋体" w:eastAsia="宋体" w:cs="宋体"/>
          <w:bCs/>
          <w:color w:val="auto"/>
          <w:sz w:val="24"/>
          <w:szCs w:val="24"/>
          <w:highlight w:val="none"/>
        </w:rPr>
        <w:t>及政策另有规定的，从其规定。</w:t>
      </w:r>
    </w:p>
    <w:p w14:paraId="502A13F8">
      <w:pPr>
        <w:keepNext w:val="0"/>
        <w:keepLines w:val="0"/>
        <w:pageBreakBefore w:val="0"/>
        <w:widowControl w:val="0"/>
        <w:kinsoku/>
        <w:wordWrap/>
        <w:overflowPunct/>
        <w:topLinePunct w:val="0"/>
        <w:bidi w:val="0"/>
        <w:snapToGrid/>
        <w:spacing w:line="360" w:lineRule="auto"/>
        <w:ind w:left="0" w:leftChars="0" w:righ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5、本合同未尽事宜，可由双方另行签订补充协议，补充协议与本合同具有同等法律效力。</w:t>
      </w:r>
    </w:p>
    <w:p w14:paraId="614E7E3F">
      <w:pPr>
        <w:keepNext w:val="0"/>
        <w:keepLines w:val="0"/>
        <w:pageBreakBefore w:val="0"/>
        <w:widowControl w:val="0"/>
        <w:kinsoku/>
        <w:wordWrap/>
        <w:overflowPunct/>
        <w:topLinePunct w:val="0"/>
        <w:bidi w:val="0"/>
        <w:snapToGrid/>
        <w:spacing w:line="360" w:lineRule="auto"/>
        <w:ind w:left="0" w:leftChars="0" w:righ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6、在本合同有效期内，任何一方如需变更合同内容或解除合同，应提前30日以书面形式通知对方，并应取得对方的同意。否则，擅自变更或解除合同的一方应承担由此造成的一切损失。</w:t>
      </w:r>
    </w:p>
    <w:p w14:paraId="4CD7E508">
      <w:pPr>
        <w:keepNext w:val="0"/>
        <w:keepLines w:val="0"/>
        <w:pageBreakBefore w:val="0"/>
        <w:widowControl w:val="0"/>
        <w:kinsoku/>
        <w:wordWrap/>
        <w:overflowPunct/>
        <w:topLinePunct w:val="0"/>
        <w:bidi w:val="0"/>
        <w:snapToGrid/>
        <w:spacing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7、本合同项下的所有条款均系双方真实意思表示，不存在任何欺诈、胁迫、误解等情形。双方应严格遵守本合同的各项条款，确保合同的顺利履行。</w:t>
      </w:r>
    </w:p>
    <w:p w14:paraId="05CEECE6">
      <w:pPr>
        <w:keepNext w:val="0"/>
        <w:keepLines w:val="0"/>
        <w:pageBreakBefore w:val="0"/>
        <w:widowControl w:val="0"/>
        <w:kinsoku/>
        <w:wordWrap/>
        <w:overflowPunct/>
        <w:topLinePunct w:val="0"/>
        <w:bidi w:val="0"/>
        <w:snapToGrid/>
        <w:spacing w:line="360" w:lineRule="auto"/>
        <w:ind w:left="0" w:leftChars="0" w:righ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十三、其他约定事项</w:t>
      </w:r>
    </w:p>
    <w:p w14:paraId="61D1CBD1">
      <w:pPr>
        <w:keepNext w:val="0"/>
        <w:keepLines w:val="0"/>
        <w:pageBreakBefore w:val="0"/>
        <w:widowControl w:val="0"/>
        <w:kinsoku/>
        <w:wordWrap/>
        <w:overflowPunct/>
        <w:topLinePunct w:val="0"/>
        <w:bidi w:val="0"/>
        <w:snapToGrid/>
        <w:spacing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1、和本合同相关的双方往来函件（包括传真件、电子邮件）与原件具有同等的法律效力，修改无效。</w:t>
      </w:r>
    </w:p>
    <w:p w14:paraId="6A8D6A13">
      <w:pPr>
        <w:keepNext w:val="0"/>
        <w:keepLines w:val="0"/>
        <w:pageBreakBefore w:val="0"/>
        <w:widowControl w:val="0"/>
        <w:kinsoku/>
        <w:wordWrap/>
        <w:overflowPunct/>
        <w:topLinePunct w:val="0"/>
        <w:bidi w:val="0"/>
        <w:snapToGrid/>
        <w:spacing w:line="360" w:lineRule="auto"/>
        <w:ind w:left="0" w:leftChars="0" w:right="0" w:firstLine="480" w:firstLineChars="200"/>
        <w:textAlignment w:val="auto"/>
        <w:rPr>
          <w:rStyle w:val="86"/>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签订的</w:t>
      </w:r>
      <w:r>
        <w:rPr>
          <w:rStyle w:val="86"/>
          <w:rFonts w:hint="eastAsia" w:ascii="宋体" w:hAnsi="宋体" w:eastAsia="宋体" w:cs="宋体"/>
          <w:color w:val="auto"/>
          <w:sz w:val="24"/>
          <w:szCs w:val="24"/>
          <w:highlight w:val="none"/>
        </w:rPr>
        <w:t>采购合同以及与本合同有关的物资采购询价单是本合同不可分割的组成部分，与本合同具有同等法律效力，其他未尽事宜，从其规定。</w:t>
      </w:r>
    </w:p>
    <w:p w14:paraId="36B40DD6">
      <w:pPr>
        <w:keepNext w:val="0"/>
        <w:keepLines w:val="0"/>
        <w:pageBreakBefore w:val="0"/>
        <w:widowControl w:val="0"/>
        <w:kinsoku/>
        <w:wordWrap/>
        <w:overflowPunct/>
        <w:topLinePunct w:val="0"/>
        <w:bidi w:val="0"/>
        <w:snapToGrid/>
        <w:spacing w:line="360" w:lineRule="auto"/>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lang w:val="en-US" w:eastAsia="zh-CN"/>
        </w:rPr>
        <w:t>3</w:t>
      </w:r>
      <w:r>
        <w:rPr>
          <w:rStyle w:val="86"/>
          <w:rFonts w:hint="eastAsia" w:ascii="宋体" w:hAnsi="宋体" w:eastAsia="宋体" w:cs="宋体"/>
          <w:color w:val="auto"/>
          <w:sz w:val="24"/>
          <w:szCs w:val="24"/>
          <w:highlight w:val="none"/>
        </w:rPr>
        <w:t>、本合同中所载的书面通知方式仅指当事人亲自送达、挂号信、EMS方式。一方采取当事人亲自送达方式的，另一方有积极配合签收的义务。如一方拒绝签收而使另一方变更送达方式的，由此产生的费用应当由违约方承担；如以EMS或快递方式寄送的，如无相反证据证明，自寄送之日起的第三日为送达之日。</w:t>
      </w:r>
    </w:p>
    <w:p w14:paraId="06DB3A2E">
      <w:pPr>
        <w:keepNext w:val="0"/>
        <w:keepLines w:val="0"/>
        <w:pageBreakBefore w:val="0"/>
        <w:widowControl w:val="0"/>
        <w:kinsoku/>
        <w:wordWrap/>
        <w:overflowPunct/>
        <w:topLinePunct w:val="0"/>
        <w:bidi w:val="0"/>
        <w:snapToGrid/>
        <w:spacing w:line="360" w:lineRule="auto"/>
        <w:ind w:left="0" w:leftChars="0" w:right="0" w:firstLine="480" w:firstLineChars="200"/>
        <w:textAlignment w:val="auto"/>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lang w:val="en-US" w:eastAsia="zh-CN"/>
        </w:rPr>
        <w:t>4、</w:t>
      </w:r>
      <w:r>
        <w:rPr>
          <w:rStyle w:val="86"/>
          <w:rFonts w:hint="eastAsia" w:ascii="宋体" w:hAnsi="宋体" w:eastAsia="宋体" w:cs="宋体"/>
          <w:color w:val="auto"/>
          <w:sz w:val="24"/>
          <w:szCs w:val="24"/>
          <w:highlight w:val="none"/>
        </w:rPr>
        <w:t>本合同首部的双方联系方式及地址为双方有效的送达地址，如有一方地址发生变更，应在变更后当日向对方书面通知，如因变更方未及时通知，相对方按合同尾部地址送达的，视为送达成功。</w:t>
      </w:r>
    </w:p>
    <w:p w14:paraId="6AE49525">
      <w:pPr>
        <w:keepNext w:val="0"/>
        <w:keepLines w:val="0"/>
        <w:pageBreakBefore w:val="0"/>
        <w:kinsoku/>
        <w:wordWrap/>
        <w:overflowPunct/>
        <w:topLinePunct w:val="0"/>
        <w:bidi w:val="0"/>
        <w:spacing w:line="360" w:lineRule="auto"/>
        <w:ind w:left="0" w:leftChars="0" w:right="0" w:firstLine="480" w:firstLineChars="200"/>
        <w:rPr>
          <w:rFonts w:hint="eastAsia" w:ascii="宋体" w:hAnsi="宋体" w:eastAsia="宋体" w:cs="宋体"/>
          <w:color w:val="auto"/>
          <w:sz w:val="24"/>
          <w:szCs w:val="24"/>
          <w:highlight w:val="none"/>
        </w:rPr>
      </w:pPr>
    </w:p>
    <w:p w14:paraId="6C49F785">
      <w:pPr>
        <w:keepNext w:val="0"/>
        <w:keepLines w:val="0"/>
        <w:pageBreakBefore w:val="0"/>
        <w:kinsoku/>
        <w:wordWrap/>
        <w:overflowPunct/>
        <w:topLinePunct w:val="0"/>
        <w:bidi w:val="0"/>
        <w:spacing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（以下无正文，为本合同签署页）</w:t>
      </w:r>
    </w:p>
    <w:p w14:paraId="2C9222E4">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z w:val="24"/>
          <w:szCs w:val="24"/>
          <w:highlight w:val="none"/>
        </w:rPr>
      </w:pPr>
    </w:p>
    <w:p w14:paraId="0CA29551">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甲方（盖章）：                       乙方（盖章）：</w:t>
      </w:r>
    </w:p>
    <w:p w14:paraId="5C5AA042">
      <w:pPr>
        <w:pStyle w:val="30"/>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z w:val="24"/>
          <w:szCs w:val="24"/>
          <w:highlight w:val="none"/>
        </w:rPr>
      </w:pPr>
    </w:p>
    <w:p w14:paraId="5F2A956B">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eastAsia="zh-CN"/>
        </w:rPr>
        <w:t>或</w:t>
      </w:r>
    </w:p>
    <w:p w14:paraId="1BE3CBF3">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授权代表（签字）：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授权代表（签字）：</w:t>
      </w:r>
    </w:p>
    <w:p w14:paraId="0F507A11">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                               地址：</w:t>
      </w:r>
    </w:p>
    <w:p w14:paraId="3D93ECC7">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                           联系电话：</w:t>
      </w:r>
    </w:p>
    <w:p w14:paraId="18A28962">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年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日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日期：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年</w:t>
      </w:r>
      <w:r>
        <w:rPr>
          <w:rFonts w:hint="eastAsia" w:ascii="宋体" w:hAnsi="宋体" w:eastAsia="宋体" w:cs="宋体"/>
          <w:color w:val="auto"/>
          <w:sz w:val="24"/>
          <w:szCs w:val="24"/>
          <w:highlight w:val="none"/>
          <w:lang w:val="en-US" w:eastAsia="zh-CN"/>
        </w:rPr>
        <w:t xml:space="preserve">    月   </w:t>
      </w:r>
    </w:p>
    <w:p w14:paraId="4F88BB0A">
      <w:pPr>
        <w:pStyle w:val="14"/>
        <w:spacing w:line="360" w:lineRule="auto"/>
        <w:rPr>
          <w:highlight w:val="none"/>
        </w:rPr>
      </w:pPr>
    </w:p>
    <w:bookmarkEnd w:id="341"/>
    <w:p w14:paraId="0F119240">
      <w:pPr>
        <w:spacing w:line="360" w:lineRule="auto"/>
        <w:rPr>
          <w:highlight w:val="none"/>
          <w:lang w:val="zh-CN"/>
        </w:rPr>
      </w:pPr>
    </w:p>
    <w:p w14:paraId="433DAE9A">
      <w:pPr>
        <w:spacing w:line="360" w:lineRule="auto"/>
        <w:rPr>
          <w:highlight w:val="none"/>
          <w:lang w:val="zh-CN"/>
        </w:rPr>
      </w:pPr>
    </w:p>
    <w:p w14:paraId="0335AE78">
      <w:pPr>
        <w:spacing w:line="360" w:lineRule="auto"/>
        <w:rPr>
          <w:highlight w:val="none"/>
        </w:rPr>
      </w:pPr>
    </w:p>
    <w:p w14:paraId="68B9CFB1">
      <w:pPr>
        <w:spacing w:line="360" w:lineRule="auto"/>
        <w:rPr>
          <w:highlight w:val="none"/>
          <w:lang w:val="zh-CN"/>
        </w:rPr>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pPr>
    </w:p>
    <w:p w14:paraId="72C60C03">
      <w:pPr>
        <w:spacing w:line="360" w:lineRule="auto"/>
        <w:rPr>
          <w:highlight w:val="none"/>
        </w:rPr>
      </w:pPr>
      <w:bookmarkStart w:id="343" w:name="_Toc163492913"/>
      <w:bookmarkStart w:id="344" w:name="_Toc155185919"/>
    </w:p>
    <w:p w14:paraId="1BC7BFCB">
      <w:pPr>
        <w:spacing w:line="360" w:lineRule="auto"/>
        <w:rPr>
          <w:highlight w:val="none"/>
        </w:rPr>
      </w:pPr>
    </w:p>
    <w:p w14:paraId="3C5CCB90">
      <w:pPr>
        <w:spacing w:line="360" w:lineRule="auto"/>
        <w:rPr>
          <w:highlight w:val="none"/>
        </w:rPr>
      </w:pPr>
    </w:p>
    <w:p w14:paraId="5E42E046">
      <w:pPr>
        <w:spacing w:line="360" w:lineRule="auto"/>
        <w:rPr>
          <w:highlight w:val="none"/>
        </w:rPr>
      </w:pPr>
    </w:p>
    <w:p w14:paraId="683B9AF8">
      <w:pPr>
        <w:spacing w:line="360" w:lineRule="auto"/>
        <w:rPr>
          <w:highlight w:val="none"/>
        </w:rPr>
      </w:pPr>
    </w:p>
    <w:p w14:paraId="1120BA54">
      <w:pPr>
        <w:spacing w:line="360" w:lineRule="auto"/>
        <w:rPr>
          <w:highlight w:val="none"/>
        </w:rPr>
      </w:pPr>
    </w:p>
    <w:p w14:paraId="1E6B49A5">
      <w:pPr>
        <w:spacing w:line="360" w:lineRule="auto"/>
        <w:rPr>
          <w:highlight w:val="none"/>
        </w:rPr>
      </w:pPr>
    </w:p>
    <w:p w14:paraId="2AB4C781">
      <w:pPr>
        <w:spacing w:line="360" w:lineRule="auto"/>
        <w:rPr>
          <w:highlight w:val="none"/>
        </w:rPr>
      </w:pPr>
    </w:p>
    <w:p w14:paraId="7460B1FF">
      <w:pPr>
        <w:spacing w:line="360" w:lineRule="auto"/>
        <w:rPr>
          <w:highlight w:val="none"/>
        </w:rPr>
      </w:pPr>
    </w:p>
    <w:p w14:paraId="1F1004C4">
      <w:pPr>
        <w:spacing w:line="360" w:lineRule="auto"/>
        <w:rPr>
          <w:highlight w:val="none"/>
        </w:rPr>
      </w:pPr>
    </w:p>
    <w:p w14:paraId="4B08D572">
      <w:pPr>
        <w:spacing w:line="360" w:lineRule="auto"/>
        <w:rPr>
          <w:highlight w:val="none"/>
        </w:rPr>
      </w:pPr>
    </w:p>
    <w:p w14:paraId="2AEFF1FF">
      <w:pPr>
        <w:spacing w:line="360" w:lineRule="auto"/>
        <w:rPr>
          <w:highlight w:val="none"/>
        </w:rPr>
      </w:pPr>
    </w:p>
    <w:p w14:paraId="10701495">
      <w:pPr>
        <w:spacing w:line="360" w:lineRule="auto"/>
        <w:rPr>
          <w:highlight w:val="none"/>
        </w:rPr>
      </w:pPr>
    </w:p>
    <w:p w14:paraId="61BFFB98">
      <w:pPr>
        <w:spacing w:line="360" w:lineRule="auto"/>
        <w:rPr>
          <w:highlight w:val="none"/>
        </w:rPr>
      </w:pPr>
    </w:p>
    <w:p w14:paraId="0AF1B2A2">
      <w:pPr>
        <w:spacing w:line="360" w:lineRule="auto"/>
        <w:rPr>
          <w:rFonts w:hint="eastAsia"/>
          <w:highlight w:val="none"/>
        </w:rPr>
      </w:pPr>
    </w:p>
    <w:p w14:paraId="41FA07C2">
      <w:pPr>
        <w:pStyle w:val="3"/>
        <w:spacing w:line="360" w:lineRule="auto"/>
        <w:rPr>
          <w:highlight w:val="none"/>
        </w:rPr>
      </w:pPr>
      <w:bookmarkStart w:id="345" w:name="_Toc4092"/>
      <w:r>
        <w:rPr>
          <w:rFonts w:hint="eastAsia"/>
          <w:highlight w:val="none"/>
        </w:rPr>
        <w:t>第七章 投标文件格式</w:t>
      </w:r>
      <w:bookmarkEnd w:id="343"/>
      <w:bookmarkEnd w:id="344"/>
      <w:bookmarkEnd w:id="345"/>
    </w:p>
    <w:p w14:paraId="03EE8D84">
      <w:pPr>
        <w:spacing w:line="360" w:lineRule="auto"/>
        <w:rPr>
          <w:highlight w:val="none"/>
        </w:rPr>
      </w:pPr>
    </w:p>
    <w:p w14:paraId="1EDDD46E">
      <w:pPr>
        <w:pStyle w:val="64"/>
        <w:spacing w:line="360" w:lineRule="auto"/>
        <w:rPr>
          <w:rFonts w:ascii="宋体" w:hAnsi="宋体" w:eastAsia="宋体" w:cs="宋体"/>
          <w:b/>
          <w:bCs/>
          <w:highlight w:val="none"/>
        </w:rPr>
      </w:pPr>
    </w:p>
    <w:p w14:paraId="0D3A6B43">
      <w:pPr>
        <w:pStyle w:val="64"/>
        <w:spacing w:line="360" w:lineRule="auto"/>
        <w:rPr>
          <w:rFonts w:ascii="宋体" w:hAnsi="宋体" w:eastAsia="宋体" w:cs="宋体"/>
          <w:b/>
          <w:bCs/>
          <w:highlight w:val="none"/>
        </w:rPr>
      </w:pPr>
    </w:p>
    <w:p w14:paraId="098ACD03">
      <w:pPr>
        <w:pStyle w:val="64"/>
        <w:spacing w:line="360" w:lineRule="auto"/>
        <w:rPr>
          <w:rFonts w:ascii="宋体" w:hAnsi="宋体" w:eastAsia="宋体" w:cs="宋体"/>
          <w:b/>
          <w:bCs/>
          <w:highlight w:val="none"/>
        </w:rPr>
      </w:pPr>
    </w:p>
    <w:p w14:paraId="582DAA3E">
      <w:pPr>
        <w:pStyle w:val="64"/>
        <w:spacing w:line="360" w:lineRule="auto"/>
        <w:rPr>
          <w:rFonts w:ascii="宋体" w:hAnsi="宋体" w:eastAsia="宋体" w:cs="宋体"/>
          <w:b/>
          <w:bCs/>
          <w:highlight w:val="none"/>
        </w:rPr>
      </w:pPr>
    </w:p>
    <w:p w14:paraId="6F176113">
      <w:pPr>
        <w:pStyle w:val="64"/>
        <w:spacing w:line="360" w:lineRule="auto"/>
        <w:rPr>
          <w:rFonts w:ascii="宋体" w:hAnsi="宋体" w:eastAsia="宋体" w:cs="宋体"/>
          <w:b/>
          <w:bCs/>
          <w:highlight w:val="none"/>
        </w:rPr>
      </w:pPr>
    </w:p>
    <w:p w14:paraId="354D9FB0">
      <w:pPr>
        <w:pStyle w:val="64"/>
        <w:spacing w:line="360" w:lineRule="auto"/>
        <w:rPr>
          <w:rFonts w:ascii="宋体" w:hAnsi="宋体" w:eastAsia="宋体" w:cs="宋体"/>
          <w:b/>
          <w:bCs/>
          <w:highlight w:val="none"/>
        </w:rPr>
      </w:pPr>
    </w:p>
    <w:p w14:paraId="7AA12481">
      <w:pPr>
        <w:spacing w:line="360" w:lineRule="auto"/>
        <w:rPr>
          <w:highlight w:val="none"/>
          <w:lang w:val="zh-CN"/>
        </w:rPr>
      </w:pPr>
      <w:bookmarkStart w:id="346" w:name="_Toc163492937"/>
      <w:r>
        <w:rPr>
          <w:highlight w:val="none"/>
          <w:lang w:val="zh-CN"/>
        </w:rPr>
        <w:br w:type="page"/>
      </w:r>
    </w:p>
    <w:p w14:paraId="0DE3B545">
      <w:pPr>
        <w:spacing w:line="360" w:lineRule="auto"/>
        <w:rPr>
          <w:highlight w:val="none"/>
          <w:lang w:val="zh-CN"/>
        </w:rPr>
      </w:pPr>
      <w:r>
        <w:rPr>
          <w:rFonts w:hint="eastAsia"/>
          <w:highlight w:val="none"/>
          <w:lang w:val="zh-CN"/>
        </w:rPr>
        <w:t>封面：</w:t>
      </w:r>
    </w:p>
    <w:p w14:paraId="30B8352A">
      <w:pPr>
        <w:spacing w:line="360" w:lineRule="auto"/>
        <w:rPr>
          <w:highlight w:val="none"/>
        </w:rPr>
      </w:pPr>
    </w:p>
    <w:p w14:paraId="5C6438F6">
      <w:pPr>
        <w:spacing w:line="360" w:lineRule="auto"/>
        <w:rPr>
          <w:highlight w:val="none"/>
        </w:rPr>
      </w:pPr>
    </w:p>
    <w:p w14:paraId="20A8FCFE">
      <w:pPr>
        <w:spacing w:line="360" w:lineRule="auto"/>
        <w:rPr>
          <w:highlight w:val="none"/>
        </w:rPr>
      </w:pPr>
    </w:p>
    <w:p w14:paraId="665DC339">
      <w:pPr>
        <w:pStyle w:val="3"/>
        <w:spacing w:line="360" w:lineRule="auto"/>
        <w:rPr>
          <w:highlight w:val="none"/>
        </w:rPr>
      </w:pPr>
      <w:bookmarkStart w:id="347" w:name="_Toc22883"/>
      <w:r>
        <w:rPr>
          <w:rFonts w:hint="eastAsia"/>
          <w:highlight w:val="none"/>
        </w:rPr>
        <w:t>投 标 文 件</w:t>
      </w:r>
      <w:bookmarkEnd w:id="347"/>
    </w:p>
    <w:p w14:paraId="4ABCA75A">
      <w:pPr>
        <w:pStyle w:val="3"/>
        <w:spacing w:line="360" w:lineRule="auto"/>
        <w:rPr>
          <w:highlight w:val="none"/>
        </w:rPr>
      </w:pPr>
      <w:bookmarkStart w:id="348" w:name="_Toc6071"/>
      <w:r>
        <w:rPr>
          <w:rFonts w:hint="eastAsia"/>
          <w:highlight w:val="none"/>
        </w:rPr>
        <w:t>资格证明文件</w:t>
      </w:r>
      <w:bookmarkEnd w:id="348"/>
    </w:p>
    <w:p w14:paraId="38931612">
      <w:pPr>
        <w:spacing w:line="360" w:lineRule="auto"/>
        <w:rPr>
          <w:highlight w:val="none"/>
        </w:rPr>
      </w:pPr>
    </w:p>
    <w:p w14:paraId="027024C6">
      <w:pPr>
        <w:spacing w:line="360" w:lineRule="auto"/>
        <w:rPr>
          <w:highlight w:val="none"/>
        </w:rPr>
      </w:pPr>
    </w:p>
    <w:p w14:paraId="0C26F0B7">
      <w:pPr>
        <w:spacing w:line="360" w:lineRule="auto"/>
        <w:rPr>
          <w:highlight w:val="none"/>
        </w:rPr>
      </w:pPr>
    </w:p>
    <w:p w14:paraId="6897CC22">
      <w:pPr>
        <w:spacing w:line="360" w:lineRule="auto"/>
        <w:rPr>
          <w:highlight w:val="none"/>
        </w:rPr>
      </w:pPr>
    </w:p>
    <w:p w14:paraId="03B8C725">
      <w:pPr>
        <w:spacing w:line="360" w:lineRule="auto"/>
        <w:rPr>
          <w:highlight w:val="none"/>
        </w:rPr>
      </w:pPr>
      <w:r>
        <w:rPr>
          <w:rFonts w:hint="eastAsia"/>
          <w:highlight w:val="none"/>
        </w:rPr>
        <w:t xml:space="preserve">项目编号/包号：                           </w:t>
      </w:r>
    </w:p>
    <w:p w14:paraId="508ACE2A">
      <w:pPr>
        <w:spacing w:line="360" w:lineRule="auto"/>
        <w:rPr>
          <w:highlight w:val="none"/>
        </w:rPr>
      </w:pPr>
      <w:r>
        <w:rPr>
          <w:rFonts w:hint="eastAsia"/>
          <w:highlight w:val="none"/>
        </w:rPr>
        <w:t xml:space="preserve">项目名称：                                </w:t>
      </w:r>
    </w:p>
    <w:p w14:paraId="0931265B">
      <w:pPr>
        <w:spacing w:line="360" w:lineRule="auto"/>
        <w:rPr>
          <w:highlight w:val="none"/>
        </w:rPr>
      </w:pPr>
      <w:r>
        <w:rPr>
          <w:rFonts w:hint="eastAsia"/>
          <w:highlight w:val="none"/>
        </w:rPr>
        <w:t xml:space="preserve">投 标 人：                                </w:t>
      </w:r>
    </w:p>
    <w:p w14:paraId="0B6A572F">
      <w:pPr>
        <w:spacing w:line="360" w:lineRule="auto"/>
        <w:rPr>
          <w:highlight w:val="none"/>
        </w:rPr>
      </w:pPr>
    </w:p>
    <w:p w14:paraId="6B7D4DF2">
      <w:pPr>
        <w:spacing w:line="360" w:lineRule="auto"/>
        <w:rPr>
          <w:highlight w:val="none"/>
        </w:rPr>
      </w:pPr>
    </w:p>
    <w:p w14:paraId="20B54AB7">
      <w:pPr>
        <w:spacing w:line="360" w:lineRule="auto"/>
        <w:rPr>
          <w:highlight w:val="none"/>
        </w:rPr>
      </w:pPr>
    </w:p>
    <w:p w14:paraId="266A3C7D">
      <w:pPr>
        <w:spacing w:line="360" w:lineRule="auto"/>
        <w:rPr>
          <w:highlight w:val="none"/>
        </w:rPr>
      </w:pPr>
      <w:r>
        <w:rPr>
          <w:rFonts w:hint="eastAsia"/>
          <w:highlight w:val="none"/>
        </w:rPr>
        <w:t>年   月    日</w:t>
      </w:r>
    </w:p>
    <w:p w14:paraId="413AA58E">
      <w:pPr>
        <w:spacing w:line="360" w:lineRule="auto"/>
        <w:rPr>
          <w:highlight w:val="none"/>
          <w:lang w:val="zh-CN"/>
        </w:rPr>
      </w:pPr>
      <w:r>
        <w:rPr>
          <w:highlight w:val="none"/>
          <w:lang w:val="zh-CN"/>
        </w:rPr>
        <w:br w:type="page"/>
      </w:r>
    </w:p>
    <w:p w14:paraId="605ADCB0">
      <w:pPr>
        <w:spacing w:line="360" w:lineRule="auto"/>
        <w:rPr>
          <w:highlight w:val="none"/>
          <w:lang w:val="zh-CN"/>
        </w:rPr>
      </w:pPr>
    </w:p>
    <w:p w14:paraId="182FBA4C">
      <w:pPr>
        <w:pStyle w:val="4"/>
        <w:spacing w:line="360" w:lineRule="auto"/>
        <w:rPr>
          <w:highlight w:val="none"/>
        </w:rPr>
      </w:pPr>
      <w:bookmarkStart w:id="349" w:name="_Toc29646"/>
      <w:bookmarkStart w:id="350" w:name="_Toc155185927"/>
      <w:bookmarkStart w:id="351" w:name="_Toc163492921"/>
      <w:r>
        <w:rPr>
          <w:rFonts w:hint="eastAsia"/>
          <w:highlight w:val="none"/>
        </w:rPr>
        <w:t>一、满足《中华人民共和国政府采购法》第二十二条规定</w:t>
      </w:r>
      <w:bookmarkEnd w:id="349"/>
    </w:p>
    <w:bookmarkEnd w:id="350"/>
    <w:bookmarkEnd w:id="351"/>
    <w:p w14:paraId="347706CB">
      <w:pPr>
        <w:spacing w:line="360" w:lineRule="auto"/>
        <w:rPr>
          <w:snapToGrid w:val="0"/>
          <w:highlight w:val="none"/>
        </w:rPr>
      </w:pPr>
      <w:bookmarkStart w:id="352" w:name="_Toc140132840"/>
      <w:bookmarkStart w:id="353" w:name="_Toc163492923"/>
      <w:bookmarkStart w:id="354" w:name="_Toc155185930"/>
      <w:bookmarkStart w:id="355" w:name="_Toc109899917"/>
      <w:bookmarkStart w:id="356" w:name="_Toc109900336"/>
      <w:bookmarkStart w:id="357" w:name="_Toc109899498"/>
      <w:r>
        <w:rPr>
          <w:rFonts w:hint="eastAsia"/>
          <w:snapToGrid w:val="0"/>
          <w:highlight w:val="none"/>
        </w:rPr>
        <w:t>1.1.法人、其他组织或者自然人的证明文件</w:t>
      </w:r>
    </w:p>
    <w:p w14:paraId="6E409154">
      <w:pPr>
        <w:spacing w:line="360" w:lineRule="auto"/>
        <w:rPr>
          <w:highlight w:val="none"/>
        </w:rPr>
      </w:pPr>
      <w:r>
        <w:rPr>
          <w:rFonts w:hint="eastAsia"/>
          <w:highlight w:val="none"/>
        </w:rPr>
        <w:t>（1）投标人为企业（包括合伙企业）的，应提供有效的“营业执照”；</w:t>
      </w:r>
    </w:p>
    <w:p w14:paraId="0CB3E46D">
      <w:pPr>
        <w:spacing w:line="360" w:lineRule="auto"/>
        <w:rPr>
          <w:highlight w:val="none"/>
        </w:rPr>
      </w:pPr>
      <w:r>
        <w:rPr>
          <w:rFonts w:hint="eastAsia"/>
          <w:highlight w:val="none"/>
        </w:rPr>
        <w:t>（2）投标人为事业单位的，应提供有效的“事业单位法人证书”；</w:t>
      </w:r>
    </w:p>
    <w:p w14:paraId="3769F154">
      <w:pPr>
        <w:spacing w:line="360" w:lineRule="auto"/>
        <w:rPr>
          <w:highlight w:val="none"/>
        </w:rPr>
      </w:pPr>
      <w:r>
        <w:rPr>
          <w:rFonts w:hint="eastAsia"/>
          <w:highlight w:val="none"/>
        </w:rPr>
        <w:t>（3）投标人为非企业机构的，应提供有效的“执业许可证”、“登记证书”等证明文件；</w:t>
      </w:r>
    </w:p>
    <w:p w14:paraId="39CAED7A">
      <w:pPr>
        <w:spacing w:line="360" w:lineRule="auto"/>
        <w:rPr>
          <w:highlight w:val="none"/>
        </w:rPr>
      </w:pPr>
      <w:r>
        <w:rPr>
          <w:rFonts w:hint="eastAsia"/>
          <w:highlight w:val="none"/>
        </w:rPr>
        <w:t>（4）投标人是个体工商户的，应提供有效的“个体工商户营业执照”；</w:t>
      </w:r>
    </w:p>
    <w:p w14:paraId="7317216C">
      <w:pPr>
        <w:spacing w:line="360" w:lineRule="auto"/>
        <w:rPr>
          <w:highlight w:val="none"/>
        </w:rPr>
      </w:pPr>
      <w:r>
        <w:rPr>
          <w:rFonts w:hint="eastAsia"/>
          <w:highlight w:val="none"/>
        </w:rPr>
        <w:t>（5）投标人是自然人的，应提供有效的自然人身份证明。</w:t>
      </w:r>
    </w:p>
    <w:p w14:paraId="68964058">
      <w:pPr>
        <w:spacing w:line="360" w:lineRule="auto"/>
        <w:rPr>
          <w:highlight w:val="none"/>
        </w:rPr>
        <w:sectPr>
          <w:footerReference r:id="rId9" w:type="default"/>
          <w:pgSz w:w="11906" w:h="16840"/>
          <w:pgMar w:top="1171" w:right="1415" w:bottom="1129" w:left="1560" w:header="765" w:footer="959" w:gutter="0"/>
          <w:pgNumType w:fmt="decimal"/>
          <w:cols w:space="720" w:num="1"/>
        </w:sectPr>
      </w:pPr>
    </w:p>
    <w:p w14:paraId="4ED78386">
      <w:pPr>
        <w:spacing w:line="360" w:lineRule="auto"/>
        <w:rPr>
          <w:snapToGrid w:val="0"/>
          <w:highlight w:val="none"/>
        </w:rPr>
      </w:pPr>
      <w:r>
        <w:rPr>
          <w:rFonts w:hint="eastAsia"/>
          <w:snapToGrid w:val="0"/>
          <w:highlight w:val="none"/>
        </w:rPr>
        <w:t>1.2.具有良好的商业信誉和健全的财务会计制度</w:t>
      </w:r>
    </w:p>
    <w:p w14:paraId="31A8391C">
      <w:pPr>
        <w:spacing w:line="360" w:lineRule="auto"/>
        <w:rPr>
          <w:snapToGrid w:val="0"/>
          <w:highlight w:val="none"/>
        </w:rPr>
      </w:pPr>
      <w:r>
        <w:rPr>
          <w:rFonts w:hint="eastAsia" w:ascii="宋体" w:hAnsi="宋体" w:cs="宋体"/>
          <w:highlight w:val="none"/>
        </w:rPr>
        <w:t>提供</w:t>
      </w:r>
      <w:r>
        <w:rPr>
          <w:rFonts w:ascii="宋体" w:hAnsi="宋体" w:cs="宋体"/>
          <w:highlight w:val="none"/>
        </w:rPr>
        <w:t>2024年</w:t>
      </w:r>
      <w:r>
        <w:rPr>
          <w:rFonts w:hint="eastAsia" w:ascii="宋体" w:hAnsi="宋体" w:cs="宋体"/>
          <w:highlight w:val="none"/>
        </w:rPr>
        <w:t>或</w:t>
      </w:r>
      <w:r>
        <w:rPr>
          <w:rFonts w:ascii="宋体" w:hAnsi="宋体" w:cs="宋体"/>
          <w:highlight w:val="none"/>
        </w:rPr>
        <w:t>2025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p>
    <w:p w14:paraId="1533BCAC">
      <w:pPr>
        <w:spacing w:line="360" w:lineRule="auto"/>
        <w:rPr>
          <w:snapToGrid w:val="0"/>
          <w:highlight w:val="none"/>
        </w:rPr>
      </w:pPr>
    </w:p>
    <w:p w14:paraId="36AC175C">
      <w:pPr>
        <w:spacing w:line="360" w:lineRule="auto"/>
        <w:rPr>
          <w:snapToGrid w:val="0"/>
          <w:highlight w:val="none"/>
        </w:rPr>
      </w:pPr>
    </w:p>
    <w:p w14:paraId="08A1EAF1">
      <w:pPr>
        <w:spacing w:line="360" w:lineRule="auto"/>
        <w:rPr>
          <w:snapToGrid w:val="0"/>
          <w:highlight w:val="none"/>
        </w:rPr>
      </w:pPr>
    </w:p>
    <w:p w14:paraId="5A247512">
      <w:pPr>
        <w:spacing w:line="360" w:lineRule="auto"/>
        <w:rPr>
          <w:snapToGrid w:val="0"/>
          <w:highlight w:val="none"/>
        </w:rPr>
      </w:pPr>
    </w:p>
    <w:p w14:paraId="2297D887">
      <w:pPr>
        <w:spacing w:line="360" w:lineRule="auto"/>
        <w:rPr>
          <w:snapToGrid w:val="0"/>
          <w:highlight w:val="none"/>
        </w:rPr>
      </w:pPr>
    </w:p>
    <w:p w14:paraId="0994249F">
      <w:pPr>
        <w:spacing w:line="360" w:lineRule="auto"/>
        <w:rPr>
          <w:snapToGrid w:val="0"/>
          <w:highlight w:val="none"/>
        </w:rPr>
      </w:pPr>
    </w:p>
    <w:p w14:paraId="3C8B1998">
      <w:pPr>
        <w:spacing w:line="360" w:lineRule="auto"/>
        <w:rPr>
          <w:snapToGrid w:val="0"/>
          <w:highlight w:val="none"/>
        </w:rPr>
      </w:pPr>
    </w:p>
    <w:p w14:paraId="03266882">
      <w:pPr>
        <w:spacing w:line="360" w:lineRule="auto"/>
        <w:rPr>
          <w:snapToGrid w:val="0"/>
          <w:highlight w:val="none"/>
        </w:rPr>
      </w:pPr>
    </w:p>
    <w:p w14:paraId="6F9E12B0">
      <w:pPr>
        <w:spacing w:line="360" w:lineRule="auto"/>
        <w:rPr>
          <w:snapToGrid w:val="0"/>
          <w:highlight w:val="none"/>
        </w:rPr>
      </w:pPr>
    </w:p>
    <w:p w14:paraId="4612A727">
      <w:pPr>
        <w:spacing w:line="360" w:lineRule="auto"/>
        <w:rPr>
          <w:snapToGrid w:val="0"/>
          <w:highlight w:val="none"/>
        </w:rPr>
      </w:pPr>
    </w:p>
    <w:p w14:paraId="165B0094">
      <w:pPr>
        <w:spacing w:line="360" w:lineRule="auto"/>
        <w:rPr>
          <w:snapToGrid w:val="0"/>
          <w:highlight w:val="none"/>
        </w:rPr>
      </w:pPr>
    </w:p>
    <w:p w14:paraId="1AD9C87F">
      <w:pPr>
        <w:spacing w:line="360" w:lineRule="auto"/>
        <w:rPr>
          <w:snapToGrid w:val="0"/>
          <w:highlight w:val="none"/>
        </w:rPr>
      </w:pPr>
    </w:p>
    <w:p w14:paraId="4993D0E7">
      <w:pPr>
        <w:spacing w:line="360" w:lineRule="auto"/>
        <w:rPr>
          <w:snapToGrid w:val="0"/>
          <w:highlight w:val="none"/>
        </w:rPr>
      </w:pPr>
    </w:p>
    <w:p w14:paraId="5F89B858">
      <w:pPr>
        <w:spacing w:line="360" w:lineRule="auto"/>
        <w:rPr>
          <w:snapToGrid w:val="0"/>
          <w:highlight w:val="none"/>
        </w:rPr>
      </w:pPr>
    </w:p>
    <w:p w14:paraId="5CAAE3C0">
      <w:pPr>
        <w:spacing w:line="360" w:lineRule="auto"/>
        <w:rPr>
          <w:snapToGrid w:val="0"/>
          <w:highlight w:val="none"/>
        </w:rPr>
      </w:pPr>
    </w:p>
    <w:p w14:paraId="60022018">
      <w:pPr>
        <w:spacing w:line="360" w:lineRule="auto"/>
        <w:rPr>
          <w:snapToGrid w:val="0"/>
          <w:highlight w:val="none"/>
        </w:rPr>
      </w:pPr>
    </w:p>
    <w:p w14:paraId="51A50A8C">
      <w:pPr>
        <w:spacing w:line="360" w:lineRule="auto"/>
        <w:rPr>
          <w:snapToGrid w:val="0"/>
          <w:highlight w:val="none"/>
        </w:rPr>
      </w:pPr>
    </w:p>
    <w:p w14:paraId="0B8B7F75">
      <w:pPr>
        <w:spacing w:line="360" w:lineRule="auto"/>
        <w:rPr>
          <w:snapToGrid w:val="0"/>
          <w:highlight w:val="none"/>
        </w:rPr>
      </w:pPr>
    </w:p>
    <w:p w14:paraId="26BA4FCA">
      <w:pPr>
        <w:spacing w:line="360" w:lineRule="auto"/>
        <w:rPr>
          <w:snapToGrid w:val="0"/>
          <w:highlight w:val="none"/>
        </w:rPr>
      </w:pPr>
    </w:p>
    <w:p w14:paraId="344E3BA2">
      <w:pPr>
        <w:spacing w:line="360" w:lineRule="auto"/>
        <w:rPr>
          <w:snapToGrid w:val="0"/>
          <w:highlight w:val="none"/>
        </w:rPr>
      </w:pPr>
    </w:p>
    <w:p w14:paraId="609A776D">
      <w:pPr>
        <w:spacing w:line="360" w:lineRule="auto"/>
        <w:rPr>
          <w:snapToGrid w:val="0"/>
          <w:highlight w:val="none"/>
        </w:rPr>
      </w:pPr>
    </w:p>
    <w:p w14:paraId="7CA114BA">
      <w:pPr>
        <w:spacing w:line="360" w:lineRule="auto"/>
        <w:rPr>
          <w:snapToGrid w:val="0"/>
          <w:highlight w:val="none"/>
        </w:rPr>
      </w:pPr>
    </w:p>
    <w:p w14:paraId="4343AE1B">
      <w:pPr>
        <w:spacing w:line="360" w:lineRule="auto"/>
        <w:rPr>
          <w:snapToGrid w:val="0"/>
          <w:highlight w:val="none"/>
        </w:rPr>
      </w:pPr>
    </w:p>
    <w:p w14:paraId="7A568537">
      <w:pPr>
        <w:spacing w:line="360" w:lineRule="auto"/>
        <w:rPr>
          <w:snapToGrid w:val="0"/>
          <w:highlight w:val="none"/>
        </w:rPr>
      </w:pPr>
      <w:r>
        <w:rPr>
          <w:rFonts w:hint="eastAsia"/>
          <w:snapToGrid w:val="0"/>
          <w:highlight w:val="none"/>
        </w:rPr>
        <w:br w:type="page"/>
      </w:r>
    </w:p>
    <w:p w14:paraId="0C2BA50A">
      <w:pPr>
        <w:spacing w:line="360" w:lineRule="auto"/>
        <w:rPr>
          <w:snapToGrid w:val="0"/>
          <w:highlight w:val="none"/>
        </w:rPr>
      </w:pPr>
      <w:r>
        <w:rPr>
          <w:rFonts w:hint="eastAsia"/>
          <w:snapToGrid w:val="0"/>
          <w:highlight w:val="none"/>
        </w:rPr>
        <w:t>1.3.有依法缴纳税收和社会保障资金的良好记录;</w:t>
      </w:r>
    </w:p>
    <w:p w14:paraId="647EE5E6">
      <w:pPr>
        <w:spacing w:line="360" w:lineRule="auto"/>
        <w:rPr>
          <w:highlight w:val="none"/>
        </w:rPr>
      </w:pPr>
      <w:r>
        <w:rPr>
          <w:rFonts w:hint="eastAsia"/>
          <w:highlight w:val="none"/>
        </w:rPr>
        <w:t>（1）提供至本项目投标截止日前一年内任意</w:t>
      </w:r>
      <w:r>
        <w:rPr>
          <w:highlight w:val="none"/>
        </w:rPr>
        <w:t>1个月缴纳税收凭据证明材料复印件/扫描件；如依法免税的，应提供相应文件证明；</w:t>
      </w:r>
    </w:p>
    <w:p w14:paraId="4FB21A38">
      <w:pPr>
        <w:spacing w:line="360" w:lineRule="auto"/>
        <w:rPr>
          <w:highlight w:val="none"/>
        </w:rPr>
      </w:pPr>
      <w:r>
        <w:rPr>
          <w:highlight w:val="none"/>
        </w:rPr>
        <w:t>（</w:t>
      </w:r>
      <w:r>
        <w:rPr>
          <w:rFonts w:hint="eastAsia"/>
          <w:highlight w:val="none"/>
        </w:rPr>
        <w:t>2</w:t>
      </w:r>
      <w:r>
        <w:rPr>
          <w:highlight w:val="none"/>
        </w:rPr>
        <w:t>）提供至本项目投标截止日前一年内任意1个月缴纳社会保险的凭据证明材料复印件/扫描件；如依法不需要缴纳社会保障资金的，应提供相应文件证明</w:t>
      </w:r>
    </w:p>
    <w:p w14:paraId="7B5A4713">
      <w:pPr>
        <w:spacing w:line="360" w:lineRule="auto"/>
        <w:rPr>
          <w:snapToGrid w:val="0"/>
          <w:highlight w:val="none"/>
        </w:rPr>
      </w:pPr>
    </w:p>
    <w:p w14:paraId="36743D8F">
      <w:pPr>
        <w:spacing w:line="360" w:lineRule="auto"/>
        <w:rPr>
          <w:snapToGrid w:val="0"/>
          <w:highlight w:val="none"/>
        </w:rPr>
      </w:pPr>
      <w:r>
        <w:rPr>
          <w:rFonts w:hint="eastAsia"/>
          <w:snapToGrid w:val="0"/>
          <w:highlight w:val="none"/>
        </w:rPr>
        <w:br w:type="page"/>
      </w:r>
    </w:p>
    <w:p w14:paraId="6C78DB86">
      <w:pPr>
        <w:spacing w:line="360" w:lineRule="auto"/>
        <w:rPr>
          <w:snapToGrid w:val="0"/>
          <w:highlight w:val="none"/>
        </w:rPr>
      </w:pPr>
      <w:r>
        <w:rPr>
          <w:rFonts w:hint="eastAsia"/>
          <w:snapToGrid w:val="0"/>
          <w:highlight w:val="none"/>
        </w:rPr>
        <w:t>1.4.具有履行合同所必需的设备和专业技术能力</w:t>
      </w:r>
    </w:p>
    <w:p w14:paraId="15FFBBFB">
      <w:pPr>
        <w:spacing w:line="360" w:lineRule="auto"/>
        <w:rPr>
          <w:highlight w:val="none"/>
        </w:rPr>
      </w:pPr>
      <w:r>
        <w:rPr>
          <w:rFonts w:hint="eastAsia"/>
          <w:highlight w:val="none"/>
        </w:rPr>
        <w:t>具备履行合同所必需的设备和专业技术能力声明函</w:t>
      </w:r>
    </w:p>
    <w:p w14:paraId="4F36346E">
      <w:pPr>
        <w:spacing w:line="360" w:lineRule="auto"/>
        <w:rPr>
          <w:highlight w:val="none"/>
        </w:rPr>
      </w:pPr>
    </w:p>
    <w:p w14:paraId="370D08C0">
      <w:pPr>
        <w:spacing w:line="360" w:lineRule="auto"/>
        <w:rPr>
          <w:highlight w:val="none"/>
        </w:rPr>
      </w:pPr>
      <w:r>
        <w:rPr>
          <w:rFonts w:hint="eastAsia"/>
          <w:highlight w:val="none"/>
        </w:rPr>
        <w:t>(采购人名称)      ：</w:t>
      </w:r>
    </w:p>
    <w:p w14:paraId="79D4CF85">
      <w:pPr>
        <w:spacing w:line="360" w:lineRule="auto"/>
        <w:rPr>
          <w:highlight w:val="none"/>
        </w:rPr>
      </w:pPr>
    </w:p>
    <w:p w14:paraId="3B8BAF5F">
      <w:pPr>
        <w:spacing w:line="360" w:lineRule="auto"/>
        <w:rPr>
          <w:highlight w:val="none"/>
        </w:rPr>
      </w:pPr>
      <w:r>
        <w:rPr>
          <w:rFonts w:hint="eastAsia"/>
          <w:highlight w:val="none"/>
        </w:rPr>
        <w:t>对于贵单位的</w:t>
      </w:r>
      <w:r>
        <w:rPr>
          <w:rFonts w:hint="eastAsia"/>
          <w:highlight w:val="none"/>
          <w:u w:val="single"/>
        </w:rPr>
        <w:t xml:space="preserve">      （项目名称）      </w:t>
      </w:r>
      <w:r>
        <w:rPr>
          <w:rFonts w:hint="eastAsia"/>
          <w:highlight w:val="none"/>
        </w:rPr>
        <w:t>采购项目，我公司承诺具备履行合同所必需的设备和专业技术能力。如我单位中标，在项目实施过程中发现声明不实，我单位愿意放弃本次项目的中标资格，并按照《中华人民共和国政府采购法》有关提供虚假材料的规定，接受处罚。</w:t>
      </w:r>
    </w:p>
    <w:p w14:paraId="332934FE">
      <w:pPr>
        <w:spacing w:line="360" w:lineRule="auto"/>
        <w:rPr>
          <w:highlight w:val="none"/>
        </w:rPr>
      </w:pPr>
      <w:r>
        <w:rPr>
          <w:rFonts w:hint="eastAsia"/>
          <w:highlight w:val="none"/>
        </w:rPr>
        <w:t>特此声明！</w:t>
      </w:r>
    </w:p>
    <w:p w14:paraId="290F0F15">
      <w:pPr>
        <w:spacing w:line="360" w:lineRule="auto"/>
        <w:rPr>
          <w:highlight w:val="none"/>
        </w:rPr>
      </w:pPr>
    </w:p>
    <w:p w14:paraId="2D99DD56">
      <w:pPr>
        <w:spacing w:line="360" w:lineRule="auto"/>
        <w:rPr>
          <w:highlight w:val="none"/>
        </w:rPr>
      </w:pPr>
    </w:p>
    <w:p w14:paraId="74AC8BF3">
      <w:pPr>
        <w:spacing w:line="360" w:lineRule="auto"/>
        <w:rPr>
          <w:highlight w:val="none"/>
        </w:rPr>
      </w:pPr>
      <w:r>
        <w:rPr>
          <w:rFonts w:hint="eastAsia"/>
          <w:highlight w:val="none"/>
        </w:rPr>
        <w:t>供应商：（加盖公章）</w:t>
      </w:r>
    </w:p>
    <w:p w14:paraId="33DF31F7">
      <w:pPr>
        <w:spacing w:line="360" w:lineRule="auto"/>
        <w:rPr>
          <w:highlight w:val="none"/>
        </w:rPr>
      </w:pPr>
      <w:r>
        <w:rPr>
          <w:rFonts w:hint="eastAsia"/>
          <w:highlight w:val="none"/>
        </w:rPr>
        <w:t>日  期：</w:t>
      </w:r>
    </w:p>
    <w:p w14:paraId="531815CF">
      <w:pPr>
        <w:spacing w:line="360" w:lineRule="auto"/>
        <w:rPr>
          <w:snapToGrid w:val="0"/>
          <w:spacing w:val="13"/>
          <w:sz w:val="21"/>
          <w:szCs w:val="21"/>
          <w:highlight w:val="none"/>
        </w:rPr>
      </w:pPr>
      <w:r>
        <w:rPr>
          <w:rFonts w:hint="eastAsia"/>
          <w:highlight w:val="none"/>
        </w:rPr>
        <w:br w:type="page"/>
      </w:r>
    </w:p>
    <w:p w14:paraId="375B5042">
      <w:pPr>
        <w:spacing w:line="360" w:lineRule="auto"/>
        <w:rPr>
          <w:snapToGrid w:val="0"/>
          <w:highlight w:val="none"/>
        </w:rPr>
      </w:pPr>
      <w:r>
        <w:rPr>
          <w:rFonts w:hint="eastAsia"/>
          <w:snapToGrid w:val="0"/>
          <w:highlight w:val="none"/>
        </w:rPr>
        <w:t>1.5.参加政府采购活动前三年内，在经营活动中没有重大违法记录</w:t>
      </w:r>
    </w:p>
    <w:p w14:paraId="089B468B">
      <w:pPr>
        <w:spacing w:line="360" w:lineRule="auto"/>
        <w:rPr>
          <w:highlight w:val="none"/>
        </w:rPr>
      </w:pPr>
    </w:p>
    <w:p w14:paraId="2265C266">
      <w:pPr>
        <w:spacing w:line="360" w:lineRule="auto"/>
        <w:rPr>
          <w:highlight w:val="none"/>
        </w:rPr>
      </w:pPr>
      <w:bookmarkStart w:id="358" w:name="_Toc12673"/>
      <w:r>
        <w:rPr>
          <w:rFonts w:hint="eastAsia"/>
          <w:highlight w:val="none"/>
        </w:rPr>
        <w:t>近三年内在经营活动中没有重大违法记录的书面声明</w:t>
      </w:r>
      <w:bookmarkEnd w:id="358"/>
    </w:p>
    <w:p w14:paraId="2465093B">
      <w:pPr>
        <w:pStyle w:val="82"/>
        <w:spacing w:line="360" w:lineRule="auto"/>
        <w:jc w:val="center"/>
        <w:rPr>
          <w:rFonts w:ascii="宋体" w:hAnsi="宋体" w:cs="宋体"/>
          <w:sz w:val="24"/>
          <w:szCs w:val="24"/>
          <w:highlight w:val="none"/>
        </w:rPr>
      </w:pPr>
    </w:p>
    <w:p w14:paraId="2C578FB1">
      <w:pPr>
        <w:spacing w:line="360" w:lineRule="auto"/>
        <w:rPr>
          <w:highlight w:val="none"/>
        </w:rPr>
      </w:pPr>
      <w:r>
        <w:rPr>
          <w:rFonts w:hint="eastAsia"/>
          <w:highlight w:val="none"/>
        </w:rPr>
        <w:t xml:space="preserve"> </w:t>
      </w:r>
      <w:r>
        <w:rPr>
          <w:rFonts w:hint="eastAsia"/>
          <w:highlight w:val="none"/>
          <w:u w:val="single"/>
        </w:rPr>
        <w:t xml:space="preserve">  （采购人）     </w:t>
      </w:r>
      <w:r>
        <w:rPr>
          <w:rFonts w:hint="eastAsia"/>
          <w:highlight w:val="none"/>
        </w:rPr>
        <w:t xml:space="preserve"> ：</w:t>
      </w:r>
    </w:p>
    <w:p w14:paraId="48B2584D">
      <w:pPr>
        <w:spacing w:line="360" w:lineRule="auto"/>
        <w:ind w:firstLine="480" w:firstLineChars="200"/>
        <w:rPr>
          <w:highlight w:val="none"/>
        </w:rPr>
      </w:pPr>
      <w:r>
        <w:rPr>
          <w:rFonts w:hint="eastAsia"/>
          <w:highlight w:val="none"/>
        </w:rPr>
        <w:t>在本项目投标文件递交截止时间前，我公司郑重承诺在参加本项目政府采购活动前三年内，在经营活动中无重大违法记录。公司未受到刑事处罚或责令停业、吊销许可证（或执照）、较大数额罚款（“较大数额罚款”认定为200万元以上的罚款，法律、行政法规以及国务院有关部门明确规定相关领域“较大数额罚款”标准高于200万元的，从其规定）等行政处罚；未处于财产被接管、冻结、破产状况。</w:t>
      </w:r>
    </w:p>
    <w:p w14:paraId="78449663">
      <w:pPr>
        <w:spacing w:line="360" w:lineRule="auto"/>
        <w:rPr>
          <w:highlight w:val="none"/>
        </w:rPr>
      </w:pPr>
      <w:r>
        <w:rPr>
          <w:rFonts w:hint="eastAsia"/>
          <w:highlight w:val="none"/>
        </w:rPr>
        <w:t>如发现我单位提供的声明函不实时，我公司愿意承担一切法律责任并认可采购人或采购代理机构作出的取消中标资格、罚没保证金等决定。</w:t>
      </w:r>
    </w:p>
    <w:p w14:paraId="5784CCAB">
      <w:pPr>
        <w:spacing w:line="360" w:lineRule="auto"/>
        <w:rPr>
          <w:highlight w:val="none"/>
        </w:rPr>
      </w:pPr>
      <w:r>
        <w:rPr>
          <w:rFonts w:hint="eastAsia"/>
          <w:highlight w:val="none"/>
        </w:rPr>
        <w:t>特此声明！</w:t>
      </w:r>
    </w:p>
    <w:p w14:paraId="631F3A09">
      <w:pPr>
        <w:spacing w:line="360" w:lineRule="auto"/>
        <w:rPr>
          <w:highlight w:val="none"/>
        </w:rPr>
      </w:pPr>
    </w:p>
    <w:p w14:paraId="2FAA766B">
      <w:pPr>
        <w:spacing w:line="360" w:lineRule="auto"/>
        <w:rPr>
          <w:highlight w:val="none"/>
        </w:rPr>
      </w:pPr>
      <w:r>
        <w:rPr>
          <w:rFonts w:hint="eastAsia"/>
          <w:highlight w:val="none"/>
        </w:rPr>
        <w:t>供应商：（加盖公章）</w:t>
      </w:r>
    </w:p>
    <w:p w14:paraId="6209398F">
      <w:pPr>
        <w:spacing w:line="360" w:lineRule="auto"/>
        <w:rPr>
          <w:highlight w:val="none"/>
        </w:rPr>
      </w:pPr>
      <w:r>
        <w:rPr>
          <w:rFonts w:hint="eastAsia"/>
          <w:highlight w:val="none"/>
        </w:rPr>
        <w:t>日  期：</w:t>
      </w:r>
    </w:p>
    <w:p w14:paraId="2656027A">
      <w:pPr>
        <w:spacing w:line="360" w:lineRule="auto"/>
        <w:rPr>
          <w:highlight w:val="none"/>
        </w:rPr>
      </w:pPr>
    </w:p>
    <w:p w14:paraId="343617B0">
      <w:pPr>
        <w:spacing w:line="360" w:lineRule="auto"/>
        <w:rPr>
          <w:highlight w:val="none"/>
        </w:rPr>
      </w:pPr>
    </w:p>
    <w:p w14:paraId="022BDB4A">
      <w:pPr>
        <w:spacing w:line="360" w:lineRule="auto"/>
        <w:rPr>
          <w:highlight w:val="none"/>
        </w:rPr>
      </w:pPr>
    </w:p>
    <w:p w14:paraId="410A53F8">
      <w:pPr>
        <w:spacing w:line="360" w:lineRule="auto"/>
        <w:rPr>
          <w:highlight w:val="none"/>
        </w:rPr>
      </w:pPr>
    </w:p>
    <w:p w14:paraId="0F26F230">
      <w:pPr>
        <w:spacing w:line="360" w:lineRule="auto"/>
        <w:rPr>
          <w:highlight w:val="none"/>
        </w:rPr>
      </w:pPr>
    </w:p>
    <w:p w14:paraId="6EF7116E">
      <w:pPr>
        <w:spacing w:line="360" w:lineRule="auto"/>
        <w:rPr>
          <w:highlight w:val="none"/>
        </w:rPr>
      </w:pPr>
    </w:p>
    <w:p w14:paraId="726FCBB9">
      <w:pPr>
        <w:spacing w:line="360" w:lineRule="auto"/>
        <w:rPr>
          <w:highlight w:val="none"/>
        </w:rPr>
      </w:pPr>
    </w:p>
    <w:p w14:paraId="1D031416">
      <w:pPr>
        <w:spacing w:line="360" w:lineRule="auto"/>
        <w:rPr>
          <w:highlight w:val="none"/>
        </w:rPr>
      </w:pPr>
    </w:p>
    <w:p w14:paraId="29B360B3">
      <w:pPr>
        <w:spacing w:line="360" w:lineRule="auto"/>
        <w:rPr>
          <w:highlight w:val="none"/>
        </w:rPr>
      </w:pPr>
    </w:p>
    <w:p w14:paraId="3107BB75">
      <w:pPr>
        <w:spacing w:line="360" w:lineRule="auto"/>
        <w:rPr>
          <w:highlight w:val="none"/>
        </w:rPr>
      </w:pPr>
    </w:p>
    <w:p w14:paraId="06EC6E66">
      <w:pPr>
        <w:spacing w:line="360" w:lineRule="auto"/>
        <w:rPr>
          <w:highlight w:val="none"/>
        </w:rPr>
      </w:pPr>
      <w:r>
        <w:rPr>
          <w:highlight w:val="none"/>
        </w:rPr>
        <w:br w:type="page"/>
      </w:r>
    </w:p>
    <w:p w14:paraId="4319C165">
      <w:pPr>
        <w:spacing w:line="360" w:lineRule="auto"/>
        <w:rPr>
          <w:snapToGrid w:val="0"/>
          <w:highlight w:val="none"/>
        </w:rPr>
      </w:pPr>
      <w:bookmarkStart w:id="359" w:name="_Toc31574"/>
      <w:bookmarkStart w:id="360" w:name="_Toc32053"/>
      <w:r>
        <w:rPr>
          <w:rFonts w:hint="eastAsia"/>
          <w:snapToGrid w:val="0"/>
          <w:highlight w:val="none"/>
        </w:rPr>
        <w:t>1.6.投标人未列入失信被执行人、重大税收违法案件当事人名单、政府采购严重违法失信行为记录名单</w:t>
      </w:r>
      <w:bookmarkEnd w:id="359"/>
      <w:bookmarkEnd w:id="360"/>
    </w:p>
    <w:p w14:paraId="5E9456C3">
      <w:pPr>
        <w:pStyle w:val="83"/>
        <w:spacing w:line="360" w:lineRule="auto"/>
        <w:ind w:firstLine="504" w:firstLineChars="200"/>
        <w:jc w:val="left"/>
        <w:rPr>
          <w:rFonts w:ascii="宋体" w:hAnsi="宋体" w:cs="宋体"/>
          <w:spacing w:val="6"/>
          <w:kern w:val="0"/>
          <w:sz w:val="24"/>
          <w:szCs w:val="24"/>
          <w:highlight w:val="none"/>
        </w:rPr>
      </w:pPr>
      <w:r>
        <w:rPr>
          <w:rFonts w:hint="eastAsia" w:ascii="宋体" w:hAnsi="宋体" w:cs="宋体"/>
          <w:spacing w:val="6"/>
          <w:kern w:val="0"/>
          <w:sz w:val="24"/>
          <w:szCs w:val="24"/>
          <w:highlight w:val="none"/>
        </w:rPr>
        <w:t>“信用中国”网站查询信息：</w:t>
      </w:r>
    </w:p>
    <w:p w14:paraId="2785E60B">
      <w:pPr>
        <w:pStyle w:val="83"/>
        <w:spacing w:line="360" w:lineRule="auto"/>
        <w:ind w:firstLine="504" w:firstLineChars="200"/>
        <w:jc w:val="left"/>
        <w:rPr>
          <w:rFonts w:ascii="宋体" w:hAnsi="宋体" w:cs="宋体"/>
          <w:spacing w:val="6"/>
          <w:kern w:val="0"/>
          <w:sz w:val="24"/>
          <w:szCs w:val="24"/>
          <w:highlight w:val="none"/>
        </w:rPr>
      </w:pPr>
      <w:r>
        <w:rPr>
          <w:rFonts w:hint="eastAsia" w:ascii="宋体" w:hAnsi="宋体" w:cs="宋体"/>
          <w:spacing w:val="6"/>
          <w:kern w:val="0"/>
          <w:sz w:val="24"/>
          <w:szCs w:val="24"/>
          <w:highlight w:val="none"/>
        </w:rPr>
        <w:t>①未被列入严重失信主体名单</w:t>
      </w:r>
    </w:p>
    <w:p w14:paraId="6DFF864C">
      <w:pPr>
        <w:pStyle w:val="83"/>
        <w:spacing w:line="360" w:lineRule="auto"/>
        <w:ind w:firstLine="504" w:firstLineChars="200"/>
        <w:jc w:val="left"/>
        <w:rPr>
          <w:rFonts w:ascii="宋体" w:hAnsi="宋体" w:cs="宋体"/>
          <w:spacing w:val="6"/>
          <w:kern w:val="0"/>
          <w:sz w:val="24"/>
          <w:szCs w:val="24"/>
          <w:highlight w:val="none"/>
        </w:rPr>
      </w:pPr>
      <w:r>
        <w:rPr>
          <w:rFonts w:hint="eastAsia" w:ascii="宋体" w:hAnsi="宋体" w:cs="宋体"/>
          <w:spacing w:val="6"/>
          <w:kern w:val="0"/>
          <w:sz w:val="24"/>
          <w:szCs w:val="24"/>
          <w:highlight w:val="none"/>
        </w:rPr>
        <w:t xml:space="preserve">②未被列入失信被执行人； </w:t>
      </w:r>
    </w:p>
    <w:p w14:paraId="3DB49994">
      <w:pPr>
        <w:pStyle w:val="83"/>
        <w:spacing w:line="360" w:lineRule="auto"/>
        <w:ind w:firstLine="504" w:firstLineChars="200"/>
        <w:jc w:val="left"/>
        <w:rPr>
          <w:rFonts w:ascii="宋体" w:hAnsi="宋体" w:cs="宋体"/>
          <w:spacing w:val="6"/>
          <w:kern w:val="0"/>
          <w:sz w:val="24"/>
          <w:szCs w:val="24"/>
          <w:highlight w:val="none"/>
        </w:rPr>
      </w:pPr>
      <w:r>
        <w:rPr>
          <w:rFonts w:hint="eastAsia" w:ascii="宋体" w:hAnsi="宋体" w:cs="宋体"/>
          <w:spacing w:val="6"/>
          <w:kern w:val="0"/>
          <w:sz w:val="24"/>
          <w:szCs w:val="24"/>
          <w:highlight w:val="none"/>
        </w:rPr>
        <w:t xml:space="preserve">③未被列入重大税收违法失信主体名单； </w:t>
      </w:r>
    </w:p>
    <w:p w14:paraId="02F2462D">
      <w:pPr>
        <w:pStyle w:val="83"/>
        <w:spacing w:line="360" w:lineRule="auto"/>
        <w:ind w:firstLine="504" w:firstLineChars="200"/>
        <w:jc w:val="left"/>
        <w:rPr>
          <w:rFonts w:ascii="宋体" w:hAnsi="宋体" w:cs="宋体"/>
          <w:spacing w:val="6"/>
          <w:kern w:val="0"/>
          <w:sz w:val="24"/>
          <w:szCs w:val="24"/>
          <w:highlight w:val="none"/>
        </w:rPr>
      </w:pPr>
    </w:p>
    <w:p w14:paraId="494B5513">
      <w:pPr>
        <w:pStyle w:val="83"/>
        <w:spacing w:line="360" w:lineRule="auto"/>
        <w:ind w:firstLine="504" w:firstLineChars="200"/>
        <w:jc w:val="left"/>
        <w:rPr>
          <w:rFonts w:ascii="宋体" w:hAnsi="宋体" w:cs="宋体"/>
          <w:spacing w:val="6"/>
          <w:kern w:val="0"/>
          <w:sz w:val="24"/>
          <w:szCs w:val="24"/>
          <w:highlight w:val="none"/>
        </w:rPr>
      </w:pPr>
    </w:p>
    <w:p w14:paraId="426D9C8B">
      <w:pPr>
        <w:pStyle w:val="83"/>
        <w:spacing w:line="360" w:lineRule="auto"/>
        <w:ind w:firstLine="504" w:firstLineChars="200"/>
        <w:jc w:val="left"/>
        <w:rPr>
          <w:rFonts w:ascii="宋体" w:hAnsi="宋体" w:cs="宋体"/>
          <w:spacing w:val="6"/>
          <w:kern w:val="0"/>
          <w:sz w:val="24"/>
          <w:szCs w:val="24"/>
          <w:highlight w:val="none"/>
        </w:rPr>
      </w:pPr>
    </w:p>
    <w:p w14:paraId="5DCC218B">
      <w:pPr>
        <w:pStyle w:val="83"/>
        <w:spacing w:line="360" w:lineRule="auto"/>
        <w:ind w:firstLine="504" w:firstLineChars="200"/>
        <w:jc w:val="left"/>
        <w:rPr>
          <w:rFonts w:ascii="宋体" w:hAnsi="宋体" w:cs="宋体"/>
          <w:spacing w:val="6"/>
          <w:kern w:val="0"/>
          <w:sz w:val="24"/>
          <w:szCs w:val="24"/>
          <w:highlight w:val="none"/>
        </w:rPr>
      </w:pPr>
      <w:r>
        <w:rPr>
          <w:rFonts w:hint="eastAsia" w:ascii="宋体" w:hAnsi="宋体" w:cs="宋体"/>
          <w:spacing w:val="6"/>
          <w:kern w:val="0"/>
          <w:sz w:val="24"/>
          <w:szCs w:val="24"/>
          <w:highlight w:val="none"/>
        </w:rPr>
        <w:t xml:space="preserve"> </w:t>
      </w:r>
    </w:p>
    <w:p w14:paraId="412108B8">
      <w:pPr>
        <w:pStyle w:val="83"/>
        <w:spacing w:line="360" w:lineRule="auto"/>
        <w:ind w:firstLine="756" w:firstLineChars="300"/>
        <w:jc w:val="left"/>
        <w:rPr>
          <w:rFonts w:ascii="宋体" w:hAnsi="宋体" w:cs="宋体"/>
          <w:spacing w:val="6"/>
          <w:kern w:val="0"/>
          <w:sz w:val="24"/>
          <w:szCs w:val="24"/>
          <w:highlight w:val="none"/>
        </w:rPr>
      </w:pPr>
      <w:r>
        <w:rPr>
          <w:rFonts w:hint="eastAsia" w:ascii="宋体" w:hAnsi="宋体" w:cs="宋体"/>
          <w:spacing w:val="6"/>
          <w:kern w:val="0"/>
          <w:sz w:val="24"/>
          <w:szCs w:val="24"/>
          <w:highlight w:val="none"/>
        </w:rPr>
        <w:t>“中国政府采购网”查询信息：</w:t>
      </w:r>
    </w:p>
    <w:p w14:paraId="0C8E4AAE">
      <w:pPr>
        <w:pStyle w:val="83"/>
        <w:spacing w:line="360" w:lineRule="auto"/>
        <w:ind w:firstLine="756" w:firstLineChars="300"/>
        <w:jc w:val="left"/>
        <w:rPr>
          <w:rFonts w:ascii="宋体" w:hAnsi="宋体" w:cs="宋体"/>
          <w:spacing w:val="6"/>
          <w:kern w:val="0"/>
          <w:sz w:val="24"/>
          <w:szCs w:val="24"/>
          <w:highlight w:val="none"/>
        </w:rPr>
      </w:pPr>
      <w:r>
        <w:rPr>
          <w:rFonts w:hint="eastAsia" w:ascii="宋体" w:hAnsi="宋体" w:cs="宋体"/>
          <w:spacing w:val="6"/>
          <w:kern w:val="0"/>
          <w:sz w:val="24"/>
          <w:szCs w:val="24"/>
          <w:highlight w:val="none"/>
        </w:rPr>
        <w:t>①政府采购严重违法失信行为信息记录：</w:t>
      </w:r>
    </w:p>
    <w:p w14:paraId="5E1A288E">
      <w:pPr>
        <w:pStyle w:val="83"/>
        <w:spacing w:line="360" w:lineRule="auto"/>
        <w:ind w:firstLine="756" w:firstLineChars="300"/>
        <w:jc w:val="left"/>
        <w:rPr>
          <w:rFonts w:ascii="宋体" w:hAnsi="宋体" w:cs="宋体"/>
          <w:spacing w:val="6"/>
          <w:kern w:val="0"/>
          <w:sz w:val="24"/>
          <w:szCs w:val="24"/>
          <w:highlight w:val="none"/>
        </w:rPr>
      </w:pPr>
    </w:p>
    <w:p w14:paraId="079AD7F1">
      <w:pPr>
        <w:pStyle w:val="83"/>
        <w:spacing w:line="360" w:lineRule="auto"/>
        <w:ind w:firstLine="756" w:firstLineChars="300"/>
        <w:jc w:val="left"/>
        <w:rPr>
          <w:rFonts w:ascii="宋体" w:hAnsi="宋体" w:cs="宋体"/>
          <w:spacing w:val="6"/>
          <w:kern w:val="0"/>
          <w:sz w:val="24"/>
          <w:szCs w:val="24"/>
          <w:highlight w:val="none"/>
        </w:rPr>
      </w:pPr>
    </w:p>
    <w:p w14:paraId="6E2EDEF5">
      <w:pPr>
        <w:pStyle w:val="83"/>
        <w:spacing w:line="360" w:lineRule="auto"/>
        <w:ind w:firstLine="756" w:firstLineChars="300"/>
        <w:jc w:val="left"/>
        <w:rPr>
          <w:rFonts w:ascii="宋体" w:hAnsi="宋体" w:cs="宋体"/>
          <w:spacing w:val="6"/>
          <w:kern w:val="0"/>
          <w:sz w:val="24"/>
          <w:szCs w:val="24"/>
          <w:highlight w:val="none"/>
        </w:rPr>
      </w:pPr>
    </w:p>
    <w:p w14:paraId="433BCA52">
      <w:pPr>
        <w:pStyle w:val="83"/>
        <w:spacing w:line="360" w:lineRule="auto"/>
        <w:ind w:firstLine="756" w:firstLineChars="300"/>
        <w:jc w:val="left"/>
        <w:rPr>
          <w:rFonts w:ascii="宋体" w:hAnsi="宋体" w:cs="宋体"/>
          <w:spacing w:val="6"/>
          <w:kern w:val="0"/>
          <w:sz w:val="24"/>
          <w:szCs w:val="24"/>
          <w:highlight w:val="none"/>
        </w:rPr>
      </w:pPr>
    </w:p>
    <w:p w14:paraId="351D73AB">
      <w:pPr>
        <w:pStyle w:val="83"/>
        <w:spacing w:line="360" w:lineRule="auto"/>
        <w:ind w:firstLine="756" w:firstLineChars="300"/>
        <w:jc w:val="left"/>
        <w:rPr>
          <w:rFonts w:ascii="宋体" w:hAnsi="宋体" w:cs="宋体"/>
          <w:spacing w:val="6"/>
          <w:kern w:val="0"/>
          <w:sz w:val="24"/>
          <w:szCs w:val="24"/>
          <w:highlight w:val="none"/>
        </w:rPr>
      </w:pPr>
    </w:p>
    <w:p w14:paraId="0573466A">
      <w:pPr>
        <w:widowControl w:val="0"/>
        <w:spacing w:line="360" w:lineRule="auto"/>
        <w:ind w:firstLine="426" w:firstLineChars="177"/>
        <w:jc w:val="both"/>
        <w:rPr>
          <w:rFonts w:cs="Times New Roman"/>
          <w:b/>
          <w:bCs/>
          <w:kern w:val="0"/>
          <w:szCs w:val="24"/>
          <w:highlight w:val="none"/>
        </w:rPr>
      </w:pPr>
      <w:r>
        <w:rPr>
          <w:rFonts w:hint="eastAsia" w:cs="Times New Roman"/>
          <w:b/>
          <w:bCs/>
          <w:kern w:val="0"/>
          <w:szCs w:val="24"/>
          <w:highlight w:val="none"/>
        </w:rPr>
        <w:t>注：（查询时间为：自招标公告发布之日起至投标文件递交截止时间止。）</w:t>
      </w:r>
    </w:p>
    <w:p w14:paraId="768CA545">
      <w:pPr>
        <w:widowControl w:val="0"/>
        <w:spacing w:line="360" w:lineRule="auto"/>
        <w:jc w:val="both"/>
        <w:rPr>
          <w:rFonts w:cs="宋体"/>
          <w:kern w:val="0"/>
          <w:szCs w:val="20"/>
          <w:highlight w:val="none"/>
        </w:rPr>
      </w:pPr>
    </w:p>
    <w:p w14:paraId="06567A0D">
      <w:pPr>
        <w:pStyle w:val="83"/>
        <w:spacing w:line="360" w:lineRule="auto"/>
        <w:ind w:firstLine="720" w:firstLineChars="300"/>
        <w:jc w:val="left"/>
        <w:rPr>
          <w:rFonts w:hint="eastAsia" w:ascii="宋体" w:hAnsi="宋体" w:cs="宋体"/>
          <w:spacing w:val="6"/>
          <w:kern w:val="0"/>
          <w:sz w:val="24"/>
          <w:szCs w:val="24"/>
          <w:highlight w:val="none"/>
        </w:rPr>
      </w:pPr>
      <w:r>
        <w:rPr>
          <w:rFonts w:hint="eastAsia" w:ascii="宋体" w:hAnsi="宋体"/>
          <w:kern w:val="0"/>
          <w:sz w:val="24"/>
          <w:szCs w:val="24"/>
          <w:highlight w:val="none"/>
        </w:rPr>
        <w:t>说明:《中华人民共和国政府采购法实施条例》第十九条第一款规定的“较大数额罚款”认定为200万元以上的罚款，法律、行政法规以及国务院有关部门明确规定相关领域“较大数额罚款”标准高于200万元的，从其规定。</w:t>
      </w:r>
    </w:p>
    <w:p w14:paraId="7483019D">
      <w:pPr>
        <w:spacing w:line="360" w:lineRule="auto"/>
        <w:rPr>
          <w:highlight w:val="none"/>
        </w:rPr>
      </w:pPr>
      <w:r>
        <w:rPr>
          <w:highlight w:val="none"/>
        </w:rPr>
        <w:br w:type="page"/>
      </w:r>
    </w:p>
    <w:p w14:paraId="3E2C676E">
      <w:pPr>
        <w:spacing w:line="360" w:lineRule="auto"/>
        <w:rPr>
          <w:snapToGrid w:val="0"/>
          <w:highlight w:val="none"/>
        </w:rPr>
      </w:pPr>
      <w:r>
        <w:rPr>
          <w:rFonts w:hint="eastAsia"/>
          <w:snapToGrid w:val="0"/>
          <w:highlight w:val="none"/>
        </w:rPr>
        <w:t>1.7.法律、行政法规规定的其他条件</w:t>
      </w:r>
    </w:p>
    <w:p w14:paraId="7B637C7C">
      <w:pPr>
        <w:spacing w:line="360" w:lineRule="auto"/>
        <w:rPr>
          <w:highlight w:val="none"/>
        </w:rPr>
      </w:pPr>
    </w:p>
    <w:p w14:paraId="38D3B1F4">
      <w:pPr>
        <w:spacing w:line="360" w:lineRule="auto"/>
        <w:rPr>
          <w:highlight w:val="none"/>
        </w:rPr>
      </w:pPr>
      <w:r>
        <w:rPr>
          <w:rFonts w:hint="eastAsia"/>
          <w:highlight w:val="none"/>
        </w:rPr>
        <w:t>供应商可自行做出承诺，格式自拟。</w:t>
      </w:r>
    </w:p>
    <w:p w14:paraId="3A0E7404">
      <w:pPr>
        <w:spacing w:line="360" w:lineRule="auto"/>
        <w:rPr>
          <w:rFonts w:hint="eastAsia"/>
          <w:highlight w:val="none"/>
        </w:rPr>
      </w:pPr>
      <w:r>
        <w:rPr>
          <w:rFonts w:hint="eastAsia"/>
          <w:highlight w:val="none"/>
        </w:rPr>
        <w:br w:type="page"/>
      </w:r>
    </w:p>
    <w:p w14:paraId="3517EDE4">
      <w:pPr>
        <w:pStyle w:val="2"/>
        <w:spacing w:line="360" w:lineRule="auto"/>
        <w:rPr>
          <w:rFonts w:hint="eastAsia"/>
          <w:highlight w:val="none"/>
          <w:lang w:val="en-US" w:eastAsia="zh-CN"/>
        </w:rPr>
      </w:pPr>
      <w:r>
        <w:rPr>
          <w:rFonts w:hint="eastAsia"/>
          <w:highlight w:val="none"/>
          <w:lang w:val="en-US" w:eastAsia="zh-CN"/>
        </w:rPr>
        <w:t>1.8本项目的特定资格要求：供应商需具备有效期内的《食品经营许可证》或《食品生产许可证》或《仅销售预包装食品经营者备案回执》</w:t>
      </w:r>
    </w:p>
    <w:p w14:paraId="00AAB27F">
      <w:pPr>
        <w:rPr>
          <w:rFonts w:hint="eastAsia"/>
          <w:highlight w:val="none"/>
          <w:lang w:val="en-US" w:eastAsia="zh-CN"/>
        </w:rPr>
      </w:pPr>
    </w:p>
    <w:p w14:paraId="18A4E906">
      <w:pPr>
        <w:pStyle w:val="2"/>
        <w:rPr>
          <w:rFonts w:hint="eastAsia"/>
          <w:highlight w:val="none"/>
          <w:lang w:val="en-US" w:eastAsia="zh-CN"/>
        </w:rPr>
      </w:pPr>
    </w:p>
    <w:p w14:paraId="58F9C662">
      <w:pPr>
        <w:rPr>
          <w:rFonts w:hint="eastAsia"/>
          <w:highlight w:val="none"/>
          <w:lang w:val="en-US" w:eastAsia="zh-CN"/>
        </w:rPr>
      </w:pPr>
    </w:p>
    <w:p w14:paraId="5F299655">
      <w:pPr>
        <w:pStyle w:val="2"/>
        <w:rPr>
          <w:rFonts w:hint="eastAsia"/>
          <w:highlight w:val="none"/>
          <w:lang w:val="en-US" w:eastAsia="zh-CN"/>
        </w:rPr>
      </w:pPr>
    </w:p>
    <w:p w14:paraId="2E27E323">
      <w:pPr>
        <w:rPr>
          <w:rFonts w:hint="eastAsia"/>
          <w:highlight w:val="none"/>
          <w:lang w:val="en-US" w:eastAsia="zh-CN"/>
        </w:rPr>
      </w:pPr>
    </w:p>
    <w:p w14:paraId="343A25C3">
      <w:pPr>
        <w:pStyle w:val="2"/>
        <w:rPr>
          <w:rFonts w:hint="eastAsia"/>
          <w:highlight w:val="none"/>
          <w:lang w:val="en-US" w:eastAsia="zh-CN"/>
        </w:rPr>
      </w:pPr>
    </w:p>
    <w:p w14:paraId="6E693186">
      <w:pPr>
        <w:rPr>
          <w:rFonts w:hint="eastAsia"/>
          <w:highlight w:val="none"/>
          <w:lang w:val="en-US" w:eastAsia="zh-CN"/>
        </w:rPr>
      </w:pPr>
    </w:p>
    <w:p w14:paraId="260E33E1">
      <w:pPr>
        <w:pStyle w:val="2"/>
        <w:rPr>
          <w:rFonts w:hint="eastAsia"/>
          <w:highlight w:val="none"/>
          <w:lang w:val="en-US" w:eastAsia="zh-CN"/>
        </w:rPr>
      </w:pPr>
    </w:p>
    <w:p w14:paraId="4609AAE4">
      <w:pPr>
        <w:rPr>
          <w:rFonts w:hint="eastAsia"/>
          <w:highlight w:val="none"/>
          <w:lang w:val="en-US" w:eastAsia="zh-CN"/>
        </w:rPr>
      </w:pPr>
    </w:p>
    <w:p w14:paraId="0ABCB563">
      <w:pPr>
        <w:pStyle w:val="2"/>
        <w:rPr>
          <w:rFonts w:hint="eastAsia"/>
          <w:highlight w:val="none"/>
          <w:lang w:val="en-US" w:eastAsia="zh-CN"/>
        </w:rPr>
      </w:pPr>
    </w:p>
    <w:p w14:paraId="11AA2940">
      <w:pPr>
        <w:rPr>
          <w:rFonts w:hint="eastAsia"/>
          <w:highlight w:val="none"/>
          <w:lang w:val="en-US" w:eastAsia="zh-CN"/>
        </w:rPr>
      </w:pPr>
    </w:p>
    <w:p w14:paraId="749A1CBB">
      <w:pPr>
        <w:pStyle w:val="2"/>
        <w:rPr>
          <w:rFonts w:hint="eastAsia"/>
          <w:highlight w:val="none"/>
          <w:lang w:val="en-US" w:eastAsia="zh-CN"/>
        </w:rPr>
      </w:pPr>
    </w:p>
    <w:p w14:paraId="0C7D6A6D">
      <w:pPr>
        <w:rPr>
          <w:rFonts w:hint="eastAsia"/>
          <w:highlight w:val="none"/>
          <w:lang w:val="en-US" w:eastAsia="zh-CN"/>
        </w:rPr>
      </w:pPr>
    </w:p>
    <w:p w14:paraId="74BCF3BE">
      <w:pPr>
        <w:pStyle w:val="2"/>
        <w:rPr>
          <w:rFonts w:hint="eastAsia"/>
          <w:highlight w:val="none"/>
          <w:lang w:val="en-US" w:eastAsia="zh-CN"/>
        </w:rPr>
      </w:pPr>
    </w:p>
    <w:p w14:paraId="7803D8B4">
      <w:pPr>
        <w:rPr>
          <w:rFonts w:hint="eastAsia"/>
          <w:highlight w:val="none"/>
          <w:lang w:val="en-US" w:eastAsia="zh-CN"/>
        </w:rPr>
      </w:pPr>
    </w:p>
    <w:p w14:paraId="5DB5D517">
      <w:pPr>
        <w:pStyle w:val="2"/>
        <w:rPr>
          <w:rFonts w:hint="eastAsia"/>
          <w:highlight w:val="none"/>
          <w:lang w:val="en-US" w:eastAsia="zh-CN"/>
        </w:rPr>
      </w:pPr>
    </w:p>
    <w:p w14:paraId="41E35584">
      <w:pPr>
        <w:rPr>
          <w:rFonts w:hint="eastAsia"/>
          <w:highlight w:val="none"/>
          <w:lang w:val="en-US" w:eastAsia="zh-CN"/>
        </w:rPr>
      </w:pPr>
    </w:p>
    <w:p w14:paraId="537273E6">
      <w:pPr>
        <w:pStyle w:val="2"/>
        <w:rPr>
          <w:rFonts w:hint="eastAsia"/>
          <w:highlight w:val="none"/>
          <w:lang w:val="en-US" w:eastAsia="zh-CN"/>
        </w:rPr>
      </w:pPr>
    </w:p>
    <w:p w14:paraId="1238D9DF">
      <w:pPr>
        <w:rPr>
          <w:rFonts w:hint="eastAsia"/>
          <w:highlight w:val="none"/>
          <w:lang w:val="en-US" w:eastAsia="zh-CN"/>
        </w:rPr>
      </w:pPr>
    </w:p>
    <w:p w14:paraId="0AB0DB41">
      <w:pPr>
        <w:pStyle w:val="2"/>
        <w:rPr>
          <w:rFonts w:hint="eastAsia"/>
          <w:highlight w:val="none"/>
          <w:lang w:val="en-US" w:eastAsia="zh-CN"/>
        </w:rPr>
      </w:pPr>
    </w:p>
    <w:p w14:paraId="1E968456">
      <w:pPr>
        <w:rPr>
          <w:rFonts w:hint="eastAsia"/>
          <w:highlight w:val="none"/>
          <w:lang w:val="en-US" w:eastAsia="zh-CN"/>
        </w:rPr>
      </w:pPr>
    </w:p>
    <w:p w14:paraId="5C406117">
      <w:pPr>
        <w:pStyle w:val="2"/>
        <w:rPr>
          <w:rFonts w:hint="eastAsia"/>
          <w:highlight w:val="none"/>
          <w:lang w:val="en-US" w:eastAsia="zh-CN"/>
        </w:rPr>
      </w:pPr>
    </w:p>
    <w:p w14:paraId="243827C9">
      <w:pPr>
        <w:rPr>
          <w:rFonts w:hint="eastAsia"/>
          <w:highlight w:val="none"/>
          <w:lang w:val="en-US" w:eastAsia="zh-CN"/>
        </w:rPr>
      </w:pPr>
    </w:p>
    <w:p w14:paraId="5D4CDD30">
      <w:pPr>
        <w:pStyle w:val="2"/>
        <w:rPr>
          <w:rFonts w:hint="eastAsia"/>
          <w:highlight w:val="none"/>
          <w:lang w:val="en-US" w:eastAsia="zh-CN"/>
        </w:rPr>
      </w:pPr>
    </w:p>
    <w:p w14:paraId="5809424A">
      <w:pPr>
        <w:rPr>
          <w:rFonts w:hint="eastAsia"/>
          <w:highlight w:val="none"/>
          <w:lang w:val="en-US" w:eastAsia="zh-CN"/>
        </w:rPr>
      </w:pPr>
    </w:p>
    <w:p w14:paraId="71FD5D7A">
      <w:pPr>
        <w:pStyle w:val="2"/>
        <w:rPr>
          <w:rFonts w:hint="eastAsia"/>
          <w:highlight w:val="none"/>
          <w:lang w:val="en-US" w:eastAsia="zh-CN"/>
        </w:rPr>
      </w:pPr>
    </w:p>
    <w:p w14:paraId="1B530FF3">
      <w:pPr>
        <w:rPr>
          <w:rFonts w:hint="eastAsia"/>
          <w:highlight w:val="none"/>
          <w:lang w:val="en-US" w:eastAsia="zh-CN"/>
        </w:rPr>
      </w:pPr>
    </w:p>
    <w:p w14:paraId="54F54585">
      <w:pPr>
        <w:pStyle w:val="2"/>
        <w:rPr>
          <w:rFonts w:hint="eastAsia"/>
          <w:highlight w:val="none"/>
          <w:lang w:val="en-US" w:eastAsia="zh-CN"/>
        </w:rPr>
      </w:pPr>
    </w:p>
    <w:p w14:paraId="6D3749E9">
      <w:pPr>
        <w:rPr>
          <w:rFonts w:hint="eastAsia"/>
          <w:highlight w:val="none"/>
          <w:lang w:val="en-US" w:eastAsia="zh-CN"/>
        </w:rPr>
      </w:pPr>
    </w:p>
    <w:p w14:paraId="79E34132">
      <w:pPr>
        <w:pStyle w:val="2"/>
        <w:rPr>
          <w:rFonts w:hint="eastAsia"/>
          <w:highlight w:val="none"/>
          <w:lang w:val="en-US" w:eastAsia="zh-CN"/>
        </w:rPr>
      </w:pPr>
    </w:p>
    <w:p w14:paraId="7D7A7A9C">
      <w:pPr>
        <w:rPr>
          <w:rFonts w:hint="eastAsia"/>
          <w:highlight w:val="none"/>
          <w:lang w:val="en-US" w:eastAsia="zh-CN"/>
        </w:rPr>
      </w:pPr>
    </w:p>
    <w:p w14:paraId="4E11AB77">
      <w:pPr>
        <w:pStyle w:val="2"/>
        <w:rPr>
          <w:rFonts w:hint="default"/>
          <w:highlight w:val="none"/>
          <w:lang w:val="en-US" w:eastAsia="zh-CN"/>
        </w:rPr>
      </w:pPr>
    </w:p>
    <w:p w14:paraId="60016D47">
      <w:pPr>
        <w:pStyle w:val="4"/>
        <w:spacing w:line="360" w:lineRule="auto"/>
        <w:rPr>
          <w:highlight w:val="none"/>
          <w:lang w:val="zh-CN"/>
        </w:rPr>
      </w:pPr>
      <w:bookmarkStart w:id="361" w:name="_Toc9795"/>
      <w:r>
        <w:rPr>
          <w:rFonts w:hint="eastAsia"/>
          <w:highlight w:val="none"/>
        </w:rPr>
        <w:t>二、</w:t>
      </w:r>
      <w:bookmarkEnd w:id="352"/>
      <w:bookmarkEnd w:id="353"/>
      <w:bookmarkEnd w:id="354"/>
      <w:bookmarkEnd w:id="355"/>
      <w:bookmarkEnd w:id="356"/>
      <w:bookmarkEnd w:id="357"/>
      <w:bookmarkStart w:id="362" w:name="_Toc155185931"/>
      <w:bookmarkStart w:id="363" w:name="_Toc163492924"/>
      <w:r>
        <w:rPr>
          <w:rFonts w:hint="eastAsia"/>
          <w:highlight w:val="none"/>
          <w:lang w:val="zh-CN"/>
        </w:rPr>
        <w:t>联合体协议书</w:t>
      </w:r>
      <w:bookmarkEnd w:id="362"/>
      <w:r>
        <w:rPr>
          <w:rFonts w:hint="eastAsia"/>
          <w:highlight w:val="none"/>
          <w:lang w:val="zh-CN"/>
        </w:rPr>
        <w:t>【</w:t>
      </w:r>
      <w:r>
        <w:rPr>
          <w:rFonts w:hint="eastAsia"/>
          <w:highlight w:val="none"/>
        </w:rPr>
        <w:t>不适用可不提供</w:t>
      </w:r>
      <w:r>
        <w:rPr>
          <w:rFonts w:hint="eastAsia"/>
          <w:highlight w:val="none"/>
          <w:lang w:val="zh-CN"/>
        </w:rPr>
        <w:t>】</w:t>
      </w:r>
      <w:bookmarkEnd w:id="361"/>
      <w:bookmarkEnd w:id="363"/>
    </w:p>
    <w:p w14:paraId="4E93AACF">
      <w:pPr>
        <w:spacing w:line="360" w:lineRule="auto"/>
        <w:rPr>
          <w:highlight w:val="none"/>
        </w:rPr>
      </w:pPr>
      <w:bookmarkStart w:id="364" w:name="_Toc17246"/>
      <w:r>
        <w:rPr>
          <w:rFonts w:hint="eastAsia"/>
          <w:highlight w:val="none"/>
        </w:rPr>
        <w:t>联合体协议书</w:t>
      </w:r>
      <w:bookmarkEnd w:id="364"/>
    </w:p>
    <w:p w14:paraId="03DB8418">
      <w:pPr>
        <w:spacing w:line="360" w:lineRule="auto"/>
        <w:rPr>
          <w:highlight w:val="none"/>
        </w:rPr>
      </w:pPr>
      <w:r>
        <w:rPr>
          <w:rFonts w:hint="eastAsia"/>
          <w:highlight w:val="none"/>
        </w:rPr>
        <w:t>（以联合体形式投标的，提供联合体协议书；本项目不接受联合体投标或者投标人不以联合体形式投标的，则不需要提供）</w:t>
      </w:r>
    </w:p>
    <w:p w14:paraId="2F48767F">
      <w:pPr>
        <w:spacing w:line="360" w:lineRule="auto"/>
        <w:rPr>
          <w:highlight w:val="none"/>
          <w:lang w:val="zh-CN"/>
        </w:rPr>
      </w:pPr>
      <w:r>
        <w:rPr>
          <w:rFonts w:hint="eastAsia"/>
          <w:highlight w:val="none"/>
          <w:u w:val="single"/>
        </w:rPr>
        <w:t>（联合体所有成员名称）</w:t>
      </w:r>
      <w:r>
        <w:rPr>
          <w:rFonts w:hint="eastAsia"/>
          <w:highlight w:val="none"/>
        </w:rPr>
        <w:t>自愿</w:t>
      </w:r>
      <w:r>
        <w:rPr>
          <w:rFonts w:hint="eastAsia"/>
          <w:highlight w:val="none"/>
          <w:lang w:val="zh-CN"/>
        </w:rPr>
        <w:t>组成一个联合体，以一个投标人的身份</w:t>
      </w:r>
      <w:r>
        <w:rPr>
          <w:rFonts w:hint="eastAsia"/>
          <w:highlight w:val="none"/>
        </w:rPr>
        <w:t>参加（项目名称）【项目编号/包号：    】</w:t>
      </w:r>
      <w:r>
        <w:rPr>
          <w:rFonts w:hint="eastAsia"/>
          <w:highlight w:val="none"/>
          <w:lang w:val="zh-CN"/>
        </w:rPr>
        <w:t xml:space="preserve">投标。 </w:t>
      </w:r>
    </w:p>
    <w:p w14:paraId="5AB6FF4F">
      <w:pPr>
        <w:spacing w:line="360" w:lineRule="auto"/>
        <w:rPr>
          <w:kern w:val="0"/>
          <w:highlight w:val="none"/>
          <w:lang w:val="zh-CN"/>
        </w:rPr>
      </w:pPr>
      <w:r>
        <w:rPr>
          <w:rFonts w:hint="eastAsia"/>
          <w:kern w:val="0"/>
          <w:highlight w:val="none"/>
          <w:lang w:val="zh-CN"/>
        </w:rPr>
        <w:t>一、各方一致决定，</w:t>
      </w:r>
      <w:r>
        <w:rPr>
          <w:rFonts w:hint="eastAsia"/>
          <w:kern w:val="0"/>
          <w:highlight w:val="none"/>
          <w:u w:val="single"/>
        </w:rPr>
        <w:t>（某联合体成员名称）</w:t>
      </w:r>
      <w:r>
        <w:rPr>
          <w:rFonts w:hint="eastAsia"/>
          <w:kern w:val="0"/>
          <w:highlight w:val="none"/>
        </w:rPr>
        <w:t>为联合体</w:t>
      </w:r>
      <w:r>
        <w:rPr>
          <w:rFonts w:hint="eastAsia"/>
          <w:kern w:val="0"/>
          <w:highlight w:val="none"/>
          <w:lang w:val="zh-CN"/>
        </w:rPr>
        <w:t>牵头人</w:t>
      </w:r>
      <w:r>
        <w:rPr>
          <w:rFonts w:hint="eastAsia"/>
          <w:highlight w:val="none"/>
        </w:rPr>
        <w:t>，代表所有联合体成员负责投标和合同实施阶段的主办、协调工作</w:t>
      </w:r>
      <w:r>
        <w:rPr>
          <w:rFonts w:hint="eastAsia"/>
          <w:kern w:val="0"/>
          <w:highlight w:val="none"/>
          <w:lang w:val="zh-CN"/>
        </w:rPr>
        <w:t>。</w:t>
      </w:r>
    </w:p>
    <w:p w14:paraId="653F9CEB">
      <w:pPr>
        <w:spacing w:line="360" w:lineRule="auto"/>
        <w:rPr>
          <w:highlight w:val="none"/>
          <w:lang w:val="zh-CN"/>
        </w:rPr>
      </w:pPr>
      <w:r>
        <w:rPr>
          <w:rFonts w:hint="eastAsia"/>
          <w:highlight w:val="none"/>
          <w:lang w:val="zh-CN"/>
        </w:rPr>
        <w:t>二、</w:t>
      </w:r>
      <w:r>
        <w:rPr>
          <w:rFonts w:hint="eastAsia"/>
          <w:highlight w:val="none"/>
        </w:rPr>
        <w:t>所有联合体成员各方签署授权书，授权书载明的</w:t>
      </w:r>
      <w:r>
        <w:rPr>
          <w:rFonts w:hint="eastAsia"/>
          <w:highlight w:val="none"/>
          <w:lang w:val="zh-CN"/>
        </w:rPr>
        <w:t>授权代表根据招标文件规定及投标内容而对采购人、采购代理机构所作的任何合法承诺，包括书面澄清及相应等均对联合投标各方产生约束力。</w:t>
      </w:r>
    </w:p>
    <w:p w14:paraId="5C2B6E45">
      <w:pPr>
        <w:spacing w:line="360" w:lineRule="auto"/>
        <w:rPr>
          <w:highlight w:val="none"/>
          <w:lang w:val="zh-CN"/>
        </w:rPr>
      </w:pPr>
      <w:r>
        <w:rPr>
          <w:rFonts w:hint="eastAsia"/>
          <w:highlight w:val="none"/>
          <w:lang w:val="zh-CN"/>
        </w:rPr>
        <w:t>三、本次联合投标中，分工如下：</w:t>
      </w:r>
    </w:p>
    <w:p w14:paraId="2A8D07B4">
      <w:pPr>
        <w:spacing w:line="360" w:lineRule="auto"/>
        <w:rPr>
          <w:highlight w:val="none"/>
          <w:lang w:val="zh-CN"/>
        </w:rPr>
      </w:pPr>
      <w:bookmarkStart w:id="365" w:name="_Hlk101134295"/>
      <w:r>
        <w:rPr>
          <w:rFonts w:hint="eastAsia"/>
          <w:highlight w:val="none"/>
        </w:rPr>
        <w:t xml:space="preserve">（联合体成员1）  </w:t>
      </w:r>
      <w:r>
        <w:rPr>
          <w:rFonts w:hint="eastAsia"/>
          <w:highlight w:val="none"/>
          <w:lang w:val="zh-CN"/>
        </w:rPr>
        <w:t>承担</w:t>
      </w:r>
      <w:r>
        <w:rPr>
          <w:rFonts w:hint="eastAsia"/>
          <w:highlight w:val="none"/>
        </w:rPr>
        <w:t>项目采购合同金额的      %，负责</w:t>
      </w:r>
      <w:r>
        <w:rPr>
          <w:rFonts w:hint="eastAsia"/>
          <w:highlight w:val="none"/>
          <w:lang w:val="zh-CN"/>
        </w:rPr>
        <w:t>的工作和义务为：</w:t>
      </w:r>
      <w:r>
        <w:rPr>
          <w:rFonts w:hint="eastAsia"/>
          <w:highlight w:val="none"/>
        </w:rPr>
        <w:t xml:space="preserve">             </w:t>
      </w:r>
      <w:r>
        <w:rPr>
          <w:rFonts w:hint="eastAsia"/>
          <w:highlight w:val="none"/>
          <w:lang w:val="zh-CN"/>
        </w:rPr>
        <w:t>；</w:t>
      </w:r>
    </w:p>
    <w:p w14:paraId="6F150D7D">
      <w:pPr>
        <w:spacing w:line="360" w:lineRule="auto"/>
        <w:rPr>
          <w:highlight w:val="none"/>
          <w:lang w:val="zh-CN"/>
        </w:rPr>
      </w:pPr>
      <w:r>
        <w:rPr>
          <w:rFonts w:hint="eastAsia"/>
          <w:highlight w:val="none"/>
        </w:rPr>
        <w:t>（联合体成员</w:t>
      </w:r>
      <w:r>
        <w:rPr>
          <w:highlight w:val="none"/>
        </w:rPr>
        <w:t>2</w:t>
      </w:r>
      <w:r>
        <w:rPr>
          <w:rFonts w:hint="eastAsia"/>
          <w:highlight w:val="none"/>
        </w:rPr>
        <w:t xml:space="preserve">）  </w:t>
      </w:r>
      <w:r>
        <w:rPr>
          <w:rFonts w:hint="eastAsia"/>
          <w:highlight w:val="none"/>
          <w:lang w:val="zh-CN"/>
        </w:rPr>
        <w:t>承担</w:t>
      </w:r>
      <w:r>
        <w:rPr>
          <w:rFonts w:hint="eastAsia"/>
          <w:highlight w:val="none"/>
        </w:rPr>
        <w:t>项目采购合同金额的      %，负责</w:t>
      </w:r>
      <w:r>
        <w:rPr>
          <w:rFonts w:hint="eastAsia"/>
          <w:highlight w:val="none"/>
          <w:lang w:val="zh-CN"/>
        </w:rPr>
        <w:t>的工作和义务为：</w:t>
      </w:r>
      <w:r>
        <w:rPr>
          <w:rFonts w:hint="eastAsia"/>
          <w:highlight w:val="none"/>
        </w:rPr>
        <w:t xml:space="preserve">             </w:t>
      </w:r>
      <w:r>
        <w:rPr>
          <w:rFonts w:hint="eastAsia"/>
          <w:highlight w:val="none"/>
          <w:lang w:val="zh-CN"/>
        </w:rPr>
        <w:t>；</w:t>
      </w:r>
    </w:p>
    <w:p w14:paraId="190C641B">
      <w:pPr>
        <w:spacing w:line="360" w:lineRule="auto"/>
        <w:rPr>
          <w:highlight w:val="none"/>
          <w:lang w:val="zh-CN"/>
        </w:rPr>
      </w:pPr>
      <w:r>
        <w:rPr>
          <w:rFonts w:hint="eastAsia"/>
          <w:highlight w:val="none"/>
          <w:lang w:val="zh-CN"/>
        </w:rPr>
        <w:t>……</w:t>
      </w:r>
    </w:p>
    <w:bookmarkEnd w:id="365"/>
    <w:p w14:paraId="1450CA2C">
      <w:pPr>
        <w:spacing w:line="360" w:lineRule="auto"/>
        <w:rPr>
          <w:highlight w:val="none"/>
          <w:lang w:val="zh-CN"/>
        </w:rPr>
      </w:pPr>
      <w:r>
        <w:rPr>
          <w:rFonts w:hint="eastAsia"/>
          <w:highlight w:val="none"/>
          <w:lang w:val="zh-CN"/>
        </w:rPr>
        <w:t>四、联合体成员中小企业合同份额。</w:t>
      </w:r>
    </w:p>
    <w:p w14:paraId="632237DA">
      <w:pPr>
        <w:spacing w:line="360" w:lineRule="auto"/>
        <w:rPr>
          <w:highlight w:val="none"/>
          <w:lang w:val="zh-CN"/>
        </w:rPr>
      </w:pPr>
      <w:r>
        <w:rPr>
          <w:rFonts w:hint="eastAsia"/>
          <w:highlight w:val="none"/>
          <w:lang w:val="zh-CN"/>
        </w:rPr>
        <w:t>1.</w:t>
      </w:r>
      <w:r>
        <w:rPr>
          <w:rFonts w:hint="eastAsia"/>
          <w:highlight w:val="none"/>
          <w:u w:val="single"/>
        </w:rPr>
        <w:t>（联合体成员</w:t>
      </w:r>
      <w:r>
        <w:rPr>
          <w:highlight w:val="none"/>
          <w:u w:val="single"/>
        </w:rPr>
        <w:t>X,</w:t>
      </w:r>
      <w:r>
        <w:rPr>
          <w:rFonts w:hint="eastAsia"/>
          <w:highlight w:val="none"/>
          <w:u w:val="single"/>
        </w:rPr>
        <w:t>……）</w:t>
      </w:r>
      <w:r>
        <w:rPr>
          <w:rFonts w:hint="eastAsia"/>
          <w:highlight w:val="none"/>
        </w:rPr>
        <w:t>提供的全部货物由小微企业制造，其合同份额占到合同总金额</w:t>
      </w:r>
      <w:r>
        <w:rPr>
          <w:rFonts w:hint="eastAsia"/>
          <w:highlight w:val="none"/>
          <w:u w:val="single"/>
        </w:rPr>
        <w:t xml:space="preserve">     </w:t>
      </w:r>
      <w:r>
        <w:rPr>
          <w:rFonts w:hint="eastAsia"/>
          <w:highlight w:val="none"/>
        </w:rPr>
        <w:t>%以上；</w:t>
      </w:r>
      <w:r>
        <w:rPr>
          <w:rFonts w:hint="eastAsia"/>
          <w:highlight w:val="none"/>
          <w:lang w:val="zh-CN"/>
        </w:rPr>
        <w:t>……。（未预留份额专门面向中小企业采购的采购项目，以及预留份额中的非预留部分采购包，接受联合体投标的，联合</w:t>
      </w:r>
      <w:r>
        <w:rPr>
          <w:rFonts w:hint="eastAsia"/>
          <w:highlight w:val="none"/>
        </w:rPr>
        <w:t>体</w:t>
      </w:r>
      <w:r>
        <w:rPr>
          <w:rFonts w:hint="eastAsia"/>
          <w:highlight w:val="none"/>
          <w:lang w:val="zh-CN"/>
        </w:rPr>
        <w:t>协议</w:t>
      </w:r>
      <w:r>
        <w:rPr>
          <w:rFonts w:hint="eastAsia"/>
          <w:highlight w:val="none"/>
        </w:rPr>
        <w:t>书</w:t>
      </w:r>
      <w:r>
        <w:rPr>
          <w:rFonts w:hint="eastAsia"/>
          <w:highlight w:val="none"/>
          <w:lang w:val="zh-CN"/>
        </w:rPr>
        <w:t>约定小微企业的合同份额占到合同总金额30%以上的，对联合体报价按评标标准确定的比例给予扣除。供应商</w:t>
      </w:r>
      <w:r>
        <w:rPr>
          <w:rFonts w:hint="eastAsia"/>
          <w:highlight w:val="none"/>
        </w:rPr>
        <w:t>拟享受以上价格扣除政策的，填写有关内容。</w:t>
      </w:r>
      <w:r>
        <w:rPr>
          <w:rFonts w:hint="eastAsia"/>
          <w:highlight w:val="none"/>
          <w:lang w:val="zh-CN"/>
        </w:rPr>
        <w:t>）</w:t>
      </w:r>
    </w:p>
    <w:p w14:paraId="01779101">
      <w:pPr>
        <w:spacing w:line="360" w:lineRule="auto"/>
        <w:rPr>
          <w:kern w:val="0"/>
          <w:highlight w:val="none"/>
          <w:lang w:val="zh-CN"/>
        </w:rPr>
      </w:pPr>
      <w:r>
        <w:rPr>
          <w:rFonts w:hint="eastAsia"/>
          <w:highlight w:val="none"/>
        </w:rPr>
        <w:t>2.中小企业合同金额达到</w:t>
      </w:r>
      <w:r>
        <w:rPr>
          <w:rFonts w:hint="eastAsia"/>
          <w:highlight w:val="none"/>
          <w:u w:val="single"/>
        </w:rPr>
        <w:t xml:space="preserve">    </w:t>
      </w:r>
      <w:r>
        <w:rPr>
          <w:rFonts w:hint="eastAsia"/>
          <w:highlight w:val="none"/>
        </w:rPr>
        <w:t>%，其中小微企业合同金额达到</w:t>
      </w:r>
      <w:r>
        <w:rPr>
          <w:rFonts w:hint="eastAsia"/>
          <w:highlight w:val="none"/>
          <w:u w:val="single"/>
        </w:rPr>
        <w:t xml:space="preserve">   </w:t>
      </w:r>
      <w:r>
        <w:rPr>
          <w:rFonts w:hint="eastAsia"/>
          <w:highlight w:val="none"/>
        </w:rPr>
        <w:t>%</w:t>
      </w:r>
      <w:r>
        <w:rPr>
          <w:rFonts w:hint="eastAsia"/>
          <w:kern w:val="0"/>
          <w:highlight w:val="none"/>
          <w:lang w:val="zh-CN"/>
        </w:rPr>
        <w:t>。（</w:t>
      </w:r>
      <w:r>
        <w:rPr>
          <w:rFonts w:hint="eastAsia"/>
          <w:highlight w:val="none"/>
        </w:rPr>
        <w:t>要求以联合体形式参加的项目或采购包，供应商按招标文件第一部分招标公告申请人的资格要求中规定的联合体协议书中中小企业、小微企业合同金额应当达到的比例要求填写。</w:t>
      </w:r>
      <w:r>
        <w:rPr>
          <w:rFonts w:hint="eastAsia"/>
          <w:kern w:val="0"/>
          <w:highlight w:val="none"/>
          <w:lang w:val="zh-CN"/>
        </w:rPr>
        <w:t>）</w:t>
      </w:r>
    </w:p>
    <w:p w14:paraId="2738D1DC">
      <w:pPr>
        <w:spacing w:line="360" w:lineRule="auto"/>
        <w:rPr>
          <w:kern w:val="0"/>
          <w:highlight w:val="none"/>
          <w:lang w:val="zh-CN"/>
        </w:rPr>
      </w:pPr>
      <w:r>
        <w:rPr>
          <w:rFonts w:hint="eastAsia"/>
          <w:kern w:val="0"/>
          <w:highlight w:val="none"/>
          <w:lang w:val="zh-CN"/>
        </w:rPr>
        <w:t>五、如果中标，</w:t>
      </w:r>
      <w:r>
        <w:rPr>
          <w:rFonts w:hint="eastAsia"/>
          <w:highlight w:val="none"/>
        </w:rPr>
        <w:t>联合体各成员方共同与采购人签订采购合同，并就采购合同约定的事项对采购人承担连带责任。</w:t>
      </w:r>
    </w:p>
    <w:p w14:paraId="0E703120">
      <w:pPr>
        <w:spacing w:line="360" w:lineRule="auto"/>
        <w:rPr>
          <w:highlight w:val="none"/>
          <w:lang w:val="zh-CN"/>
        </w:rPr>
      </w:pPr>
      <w:r>
        <w:rPr>
          <w:rFonts w:hint="eastAsia"/>
          <w:highlight w:val="none"/>
          <w:lang w:val="zh-CN"/>
        </w:rPr>
        <w:t>六、有关本次联合投标的其他事宜：</w:t>
      </w:r>
    </w:p>
    <w:p w14:paraId="77EE31AA">
      <w:pPr>
        <w:spacing w:line="360" w:lineRule="auto"/>
        <w:rPr>
          <w:highlight w:val="none"/>
          <w:lang w:val="zh-CN"/>
        </w:rPr>
      </w:pPr>
      <w:r>
        <w:rPr>
          <w:rFonts w:hint="eastAsia"/>
          <w:highlight w:val="none"/>
          <w:lang w:val="zh-CN"/>
        </w:rPr>
        <w:t>1.联合体各方不再单独参加或者与其他供应商另外组成联合体参加同一合同项下的政府采购活动。</w:t>
      </w:r>
    </w:p>
    <w:p w14:paraId="2CBA068D">
      <w:pPr>
        <w:spacing w:line="360" w:lineRule="auto"/>
        <w:rPr>
          <w:highlight w:val="none"/>
          <w:lang w:val="zh-CN"/>
        </w:rPr>
      </w:pPr>
      <w:r>
        <w:rPr>
          <w:rFonts w:hint="eastAsia"/>
          <w:highlight w:val="none"/>
          <w:lang w:val="zh-CN"/>
        </w:rPr>
        <w:t>2.联合体中有同类资质的各方按照联合体分工承担相同工作的，按照资质等级较低的供应商确定资质等级。</w:t>
      </w:r>
    </w:p>
    <w:p w14:paraId="57E4E0D6">
      <w:pPr>
        <w:spacing w:line="360" w:lineRule="auto"/>
        <w:rPr>
          <w:highlight w:val="none"/>
          <w:lang w:val="zh-CN"/>
        </w:rPr>
      </w:pPr>
      <w:r>
        <w:rPr>
          <w:rFonts w:hint="eastAsia"/>
          <w:highlight w:val="none"/>
          <w:lang w:val="zh-CN"/>
        </w:rPr>
        <w:t>3.本协议提交采购人、采购代理机构后，联合体各方不得以任何形式对上述内容进行修改或撤销。</w:t>
      </w:r>
    </w:p>
    <w:p w14:paraId="2966A149">
      <w:pPr>
        <w:spacing w:line="360" w:lineRule="auto"/>
        <w:rPr>
          <w:highlight w:val="none"/>
          <w:lang w:val="zh-CN"/>
        </w:rPr>
      </w:pPr>
      <w:r>
        <w:rPr>
          <w:rFonts w:hint="eastAsia"/>
          <w:highlight w:val="none"/>
        </w:rPr>
        <w:t>4.</w:t>
      </w:r>
      <w:r>
        <w:rPr>
          <w:rFonts w:hint="eastAsia"/>
          <w:highlight w:val="none"/>
          <w:lang w:val="zh-CN"/>
        </w:rPr>
        <w:t>其他：……</w:t>
      </w:r>
    </w:p>
    <w:p w14:paraId="75B41BE2">
      <w:pPr>
        <w:spacing w:line="360" w:lineRule="auto"/>
        <w:rPr>
          <w:highlight w:val="none"/>
          <w:lang w:val="zh-CN"/>
        </w:rPr>
      </w:pPr>
      <w:r>
        <w:rPr>
          <w:rFonts w:hint="eastAsia"/>
          <w:highlight w:val="none"/>
        </w:rPr>
        <w:t>5.</w:t>
      </w:r>
      <w:r>
        <w:rPr>
          <w:rFonts w:hint="eastAsia"/>
          <w:highlight w:val="none"/>
          <w:lang w:val="zh-CN"/>
        </w:rPr>
        <w:t>本协议书自签署之日起生效，若未中标，自本次投标有效期结束后自行失效；若中标，自合同书规定的期限之后自行失效。</w:t>
      </w:r>
    </w:p>
    <w:p w14:paraId="58FDE6B3">
      <w:pPr>
        <w:spacing w:line="360" w:lineRule="auto"/>
        <w:rPr>
          <w:highlight w:val="none"/>
          <w:lang w:val="zh-CN"/>
        </w:rPr>
      </w:pPr>
      <w:r>
        <w:rPr>
          <w:rFonts w:hint="eastAsia"/>
          <w:highlight w:val="none"/>
        </w:rPr>
        <w:t>6.</w:t>
      </w:r>
      <w:r>
        <w:rPr>
          <w:rFonts w:hint="eastAsia"/>
          <w:highlight w:val="none"/>
          <w:lang w:val="zh-CN"/>
        </w:rPr>
        <w:t>本协议书正本一式</w:t>
      </w:r>
      <w:r>
        <w:rPr>
          <w:rFonts w:hint="eastAsia"/>
          <w:highlight w:val="none"/>
          <w:u w:val="single"/>
          <w:lang w:val="zh-CN"/>
        </w:rPr>
        <w:t xml:space="preserve">    </w:t>
      </w:r>
      <w:r>
        <w:rPr>
          <w:rFonts w:hint="eastAsia"/>
          <w:highlight w:val="none"/>
          <w:lang w:val="zh-CN"/>
        </w:rPr>
        <w:t>份，联合体成员各执</w:t>
      </w:r>
      <w:r>
        <w:rPr>
          <w:rFonts w:hint="eastAsia"/>
          <w:highlight w:val="none"/>
          <w:u w:val="single"/>
          <w:lang w:val="zh-CN"/>
        </w:rPr>
        <w:t xml:space="preserve">    </w:t>
      </w:r>
      <w:r>
        <w:rPr>
          <w:rFonts w:hint="eastAsia"/>
          <w:highlight w:val="none"/>
          <w:lang w:val="zh-CN"/>
        </w:rPr>
        <w:t>份；副本一式</w:t>
      </w:r>
      <w:r>
        <w:rPr>
          <w:rFonts w:hint="eastAsia"/>
          <w:highlight w:val="none"/>
          <w:u w:val="single"/>
          <w:lang w:val="zh-CN"/>
        </w:rPr>
        <w:t xml:space="preserve">    </w:t>
      </w:r>
      <w:r>
        <w:rPr>
          <w:rFonts w:hint="eastAsia"/>
          <w:highlight w:val="none"/>
          <w:lang w:val="zh-CN"/>
        </w:rPr>
        <w:t>份，联合体成员各执</w:t>
      </w:r>
      <w:r>
        <w:rPr>
          <w:rFonts w:hint="eastAsia"/>
          <w:highlight w:val="none"/>
          <w:u w:val="single"/>
          <w:lang w:val="zh-CN"/>
        </w:rPr>
        <w:t xml:space="preserve">     </w:t>
      </w:r>
      <w:r>
        <w:rPr>
          <w:rFonts w:hint="eastAsia"/>
          <w:highlight w:val="none"/>
          <w:lang w:val="zh-CN"/>
        </w:rPr>
        <w:t>份。</w:t>
      </w:r>
    </w:p>
    <w:p w14:paraId="327615C9">
      <w:pPr>
        <w:spacing w:line="360" w:lineRule="auto"/>
        <w:rPr>
          <w:highlight w:val="none"/>
          <w:lang w:val="zh-CN"/>
        </w:rPr>
      </w:pPr>
      <w:r>
        <w:rPr>
          <w:rFonts w:hint="eastAsia"/>
          <w:highlight w:val="none"/>
          <w:lang w:val="zh-CN"/>
        </w:rPr>
        <w:t>联合体成员</w:t>
      </w:r>
      <w:r>
        <w:rPr>
          <w:rFonts w:hint="eastAsia"/>
          <w:highlight w:val="none"/>
        </w:rPr>
        <w:t>1</w:t>
      </w:r>
      <w:r>
        <w:rPr>
          <w:rFonts w:hint="eastAsia"/>
          <w:highlight w:val="none"/>
          <w:lang w:val="zh-CN"/>
        </w:rPr>
        <w:t>名称</w:t>
      </w:r>
      <w:r>
        <w:rPr>
          <w:rFonts w:hint="eastAsia" w:cs="仿宋_GB2312"/>
          <w:szCs w:val="24"/>
          <w:highlight w:val="none"/>
        </w:rPr>
        <w:t>（</w:t>
      </w:r>
      <w:r>
        <w:rPr>
          <w:rFonts w:hint="eastAsia"/>
          <w:szCs w:val="24"/>
          <w:highlight w:val="none"/>
        </w:rPr>
        <w:t>公章）</w:t>
      </w:r>
      <w:r>
        <w:rPr>
          <w:rFonts w:hint="eastAsia"/>
          <w:highlight w:val="none"/>
          <w:lang w:val="zh-CN"/>
        </w:rPr>
        <w:t>：</w:t>
      </w:r>
    </w:p>
    <w:p w14:paraId="0A4AFEA0">
      <w:pPr>
        <w:spacing w:line="360" w:lineRule="auto"/>
        <w:rPr>
          <w:highlight w:val="none"/>
          <w:lang w:val="zh-CN"/>
        </w:rPr>
      </w:pPr>
      <w:r>
        <w:rPr>
          <w:rFonts w:hint="eastAsia"/>
          <w:highlight w:val="none"/>
          <w:lang w:val="zh-CN"/>
        </w:rPr>
        <w:t>联合体成员</w:t>
      </w:r>
      <w:r>
        <w:rPr>
          <w:rFonts w:hint="eastAsia"/>
          <w:highlight w:val="none"/>
        </w:rPr>
        <w:t>2</w:t>
      </w:r>
      <w:r>
        <w:rPr>
          <w:rFonts w:hint="eastAsia"/>
          <w:highlight w:val="none"/>
          <w:lang w:val="zh-CN"/>
        </w:rPr>
        <w:t>名称</w:t>
      </w:r>
      <w:r>
        <w:rPr>
          <w:rFonts w:hint="eastAsia" w:cs="仿宋_GB2312"/>
          <w:szCs w:val="24"/>
          <w:highlight w:val="none"/>
        </w:rPr>
        <w:t>（</w:t>
      </w:r>
      <w:r>
        <w:rPr>
          <w:rFonts w:hint="eastAsia"/>
          <w:szCs w:val="24"/>
          <w:highlight w:val="none"/>
        </w:rPr>
        <w:t>公章）</w:t>
      </w:r>
      <w:r>
        <w:rPr>
          <w:rFonts w:hint="eastAsia"/>
          <w:highlight w:val="none"/>
          <w:lang w:val="zh-CN"/>
        </w:rPr>
        <w:t>：</w:t>
      </w:r>
    </w:p>
    <w:p w14:paraId="528B44BF">
      <w:pPr>
        <w:spacing w:line="360" w:lineRule="auto"/>
        <w:rPr>
          <w:highlight w:val="none"/>
          <w:lang w:val="zh-CN"/>
        </w:rPr>
      </w:pPr>
      <w:r>
        <w:rPr>
          <w:rFonts w:hint="eastAsia"/>
          <w:highlight w:val="none"/>
          <w:lang w:val="zh-CN"/>
        </w:rPr>
        <w:t xml:space="preserve">                   ……</w:t>
      </w:r>
    </w:p>
    <w:p w14:paraId="445BE73D">
      <w:pPr>
        <w:spacing w:line="360" w:lineRule="auto"/>
        <w:rPr>
          <w:highlight w:val="none"/>
          <w:lang w:val="zh-CN"/>
        </w:rPr>
      </w:pPr>
      <w:r>
        <w:rPr>
          <w:rFonts w:hint="eastAsia"/>
          <w:highlight w:val="none"/>
          <w:lang w:val="zh-CN"/>
        </w:rPr>
        <w:t>日期：  年  月   日</w:t>
      </w:r>
    </w:p>
    <w:p w14:paraId="15F3C768">
      <w:pPr>
        <w:spacing w:line="360" w:lineRule="auto"/>
        <w:rPr>
          <w:highlight w:val="none"/>
        </w:rPr>
      </w:pPr>
      <w:r>
        <w:rPr>
          <w:rFonts w:hint="eastAsia"/>
          <w:highlight w:val="none"/>
        </w:rPr>
        <w:t>注：按本格式和要求提供。</w:t>
      </w:r>
    </w:p>
    <w:p w14:paraId="0AC23306">
      <w:pPr>
        <w:spacing w:line="360" w:lineRule="auto"/>
        <w:rPr>
          <w:highlight w:val="none"/>
        </w:rPr>
      </w:pPr>
      <w:r>
        <w:rPr>
          <w:highlight w:val="none"/>
        </w:rPr>
        <w:br w:type="page"/>
      </w:r>
    </w:p>
    <w:p w14:paraId="06478EDC">
      <w:pPr>
        <w:pStyle w:val="4"/>
        <w:spacing w:line="360" w:lineRule="auto"/>
        <w:rPr>
          <w:highlight w:val="none"/>
          <w:lang w:val="zh-CN"/>
        </w:rPr>
      </w:pPr>
      <w:bookmarkStart w:id="366" w:name="_Toc22249"/>
      <w:bookmarkStart w:id="367" w:name="_Toc163492925"/>
      <w:bookmarkStart w:id="368" w:name="_Toc156490356"/>
      <w:bookmarkStart w:id="369" w:name="_Toc162299566"/>
      <w:r>
        <w:rPr>
          <w:rFonts w:hint="eastAsia"/>
          <w:highlight w:val="none"/>
        </w:rPr>
        <w:t>三、</w:t>
      </w:r>
      <w:r>
        <w:rPr>
          <w:rFonts w:hint="eastAsia"/>
          <w:highlight w:val="none"/>
          <w:lang w:val="zh-CN"/>
        </w:rPr>
        <w:t>分包意向协议书【</w:t>
      </w:r>
      <w:r>
        <w:rPr>
          <w:rFonts w:hint="eastAsia"/>
          <w:highlight w:val="none"/>
        </w:rPr>
        <w:t>不适用可不提供</w:t>
      </w:r>
      <w:r>
        <w:rPr>
          <w:rFonts w:hint="eastAsia"/>
          <w:highlight w:val="none"/>
          <w:lang w:val="zh-CN"/>
        </w:rPr>
        <w:t>】</w:t>
      </w:r>
      <w:bookmarkEnd w:id="366"/>
      <w:bookmarkEnd w:id="367"/>
      <w:bookmarkEnd w:id="368"/>
      <w:bookmarkEnd w:id="369"/>
    </w:p>
    <w:p w14:paraId="0E3DAE8C">
      <w:pPr>
        <w:spacing w:line="360" w:lineRule="auto"/>
        <w:rPr>
          <w:highlight w:val="none"/>
        </w:rPr>
      </w:pPr>
      <w:bookmarkStart w:id="370" w:name="_Toc1771"/>
      <w:bookmarkStart w:id="371" w:name="_Hlk101169080"/>
      <w:r>
        <w:rPr>
          <w:rFonts w:hint="eastAsia"/>
          <w:highlight w:val="none"/>
        </w:rPr>
        <w:t>分包意向协议书</w:t>
      </w:r>
      <w:bookmarkEnd w:id="370"/>
    </w:p>
    <w:p w14:paraId="2FB8A81B">
      <w:pPr>
        <w:spacing w:line="360" w:lineRule="auto"/>
        <w:rPr>
          <w:highlight w:val="none"/>
        </w:rPr>
      </w:pPr>
      <w:r>
        <w:rPr>
          <w:rFonts w:hint="eastAsia"/>
          <w:highlight w:val="none"/>
        </w:rPr>
        <w:t>【中标后以分包方式履行合同的，提供分包意向协议书；采购人不同意分包或者投标人中标后不以分包方式履行合同的，则不需要提供。】</w:t>
      </w:r>
    </w:p>
    <w:p w14:paraId="7A871420">
      <w:pPr>
        <w:spacing w:line="360" w:lineRule="auto"/>
        <w:rPr>
          <w:highlight w:val="none"/>
          <w:lang w:val="zh-CN"/>
        </w:rPr>
      </w:pPr>
      <w:r>
        <w:rPr>
          <w:rFonts w:hint="eastAsia"/>
          <w:highlight w:val="none"/>
          <w:u w:val="single"/>
        </w:rPr>
        <w:t>（投标人名称）</w:t>
      </w:r>
      <w:r>
        <w:rPr>
          <w:rFonts w:hint="eastAsia"/>
          <w:highlight w:val="none"/>
          <w:lang w:val="zh-CN"/>
        </w:rPr>
        <w:t>若成为</w:t>
      </w:r>
      <w:r>
        <w:rPr>
          <w:rFonts w:hint="eastAsia"/>
          <w:highlight w:val="none"/>
        </w:rPr>
        <w:t>（项目名称）【项目编号/包号：  】</w:t>
      </w:r>
      <w:r>
        <w:rPr>
          <w:rFonts w:hint="eastAsia"/>
          <w:highlight w:val="none"/>
          <w:lang w:val="zh-CN"/>
        </w:rPr>
        <w:t>的中标供应商，将依法采取分包方式履行合同。</w:t>
      </w:r>
      <w:r>
        <w:rPr>
          <w:rFonts w:hint="eastAsia"/>
          <w:highlight w:val="none"/>
          <w:u w:val="single"/>
        </w:rPr>
        <w:t>（投标人名称）</w:t>
      </w:r>
      <w:r>
        <w:rPr>
          <w:rFonts w:hint="eastAsia"/>
          <w:highlight w:val="none"/>
        </w:rPr>
        <w:t>与</w:t>
      </w:r>
      <w:r>
        <w:rPr>
          <w:rFonts w:hint="eastAsia"/>
          <w:highlight w:val="none"/>
          <w:u w:val="single"/>
        </w:rPr>
        <w:t>（所有分包供应商名称）</w:t>
      </w:r>
      <w:r>
        <w:rPr>
          <w:rFonts w:hint="eastAsia"/>
          <w:highlight w:val="none"/>
        </w:rPr>
        <w:t>达成分包意向协议书</w:t>
      </w:r>
      <w:r>
        <w:rPr>
          <w:rFonts w:hint="eastAsia"/>
          <w:highlight w:val="none"/>
          <w:lang w:val="zh-CN"/>
        </w:rPr>
        <w:t xml:space="preserve">。 </w:t>
      </w:r>
    </w:p>
    <w:p w14:paraId="3B44792C">
      <w:pPr>
        <w:spacing w:line="360" w:lineRule="auto"/>
        <w:rPr>
          <w:highlight w:val="none"/>
          <w:lang w:val="zh-CN"/>
        </w:rPr>
      </w:pPr>
      <w:r>
        <w:rPr>
          <w:rFonts w:hint="eastAsia"/>
          <w:highlight w:val="none"/>
          <w:lang w:val="zh-CN"/>
        </w:rPr>
        <w:t>一、分包标的及数量</w:t>
      </w:r>
    </w:p>
    <w:p w14:paraId="0D71C3E7">
      <w:pPr>
        <w:spacing w:line="360" w:lineRule="auto"/>
        <w:rPr>
          <w:highlight w:val="none"/>
          <w:lang w:val="zh-CN"/>
        </w:rPr>
      </w:pPr>
      <w:r>
        <w:rPr>
          <w:rFonts w:hint="eastAsia"/>
          <w:highlight w:val="none"/>
        </w:rPr>
        <w:t>（投标人名称）</w:t>
      </w:r>
      <w:r>
        <w:rPr>
          <w:rFonts w:hint="eastAsia"/>
          <w:highlight w:val="none"/>
          <w:lang w:val="zh-CN"/>
        </w:rPr>
        <w:t>将</w:t>
      </w:r>
      <w:r>
        <w:rPr>
          <w:rFonts w:hint="eastAsia"/>
          <w:highlight w:val="none"/>
        </w:rPr>
        <w:t xml:space="preserve"> </w:t>
      </w:r>
      <w:r>
        <w:rPr>
          <w:highlight w:val="none"/>
        </w:rPr>
        <w:t xml:space="preserve">  XX工作内容   </w:t>
      </w:r>
      <w:r>
        <w:rPr>
          <w:rFonts w:hint="eastAsia"/>
          <w:highlight w:val="none"/>
        </w:rPr>
        <w:t>分包给（分包供应商1名称）</w:t>
      </w:r>
      <w:r>
        <w:rPr>
          <w:rFonts w:hint="eastAsia"/>
          <w:highlight w:val="none"/>
          <w:lang w:val="zh-CN"/>
        </w:rPr>
        <w:t>，</w:t>
      </w:r>
      <w:r>
        <w:rPr>
          <w:rFonts w:hint="eastAsia"/>
          <w:highlight w:val="none"/>
        </w:rPr>
        <w:t>（分包供应商1名称），</w:t>
      </w:r>
      <w:r>
        <w:rPr>
          <w:rFonts w:hint="eastAsia"/>
          <w:highlight w:val="none"/>
          <w:lang w:val="zh-CN"/>
        </w:rPr>
        <w:t>具备承</w:t>
      </w:r>
      <w:r>
        <w:rPr>
          <w:rFonts w:hint="eastAsia"/>
          <w:highlight w:val="none"/>
        </w:rPr>
        <w:t>担</w:t>
      </w:r>
      <w:r>
        <w:rPr>
          <w:rFonts w:hint="eastAsia"/>
          <w:highlight w:val="none"/>
          <w:lang w:val="zh-CN"/>
        </w:rPr>
        <w:t>XX工作内容相应资质条件且不得再次分包；</w:t>
      </w:r>
    </w:p>
    <w:p w14:paraId="2587AE66">
      <w:pPr>
        <w:spacing w:line="360" w:lineRule="auto"/>
        <w:rPr>
          <w:highlight w:val="none"/>
          <w:lang w:val="zh-CN"/>
        </w:rPr>
      </w:pPr>
      <w:bookmarkStart w:id="372" w:name="_Toc22084"/>
      <w:bookmarkStart w:id="373" w:name="_Toc23351"/>
      <w:bookmarkStart w:id="374" w:name="_Toc8522"/>
      <w:bookmarkStart w:id="375" w:name="_Toc29506"/>
      <w:r>
        <w:rPr>
          <w:rFonts w:hint="eastAsia"/>
          <w:highlight w:val="none"/>
          <w:lang w:val="zh-CN"/>
        </w:rPr>
        <w:t>……</w:t>
      </w:r>
      <w:bookmarkEnd w:id="372"/>
      <w:bookmarkEnd w:id="373"/>
      <w:bookmarkEnd w:id="374"/>
      <w:bookmarkEnd w:id="375"/>
    </w:p>
    <w:p w14:paraId="15494931">
      <w:pPr>
        <w:spacing w:line="360" w:lineRule="auto"/>
        <w:rPr>
          <w:highlight w:val="none"/>
          <w:lang w:val="zh-CN"/>
        </w:rPr>
      </w:pPr>
      <w:r>
        <w:rPr>
          <w:rFonts w:hint="eastAsia"/>
          <w:highlight w:val="none"/>
          <w:lang w:val="zh-CN"/>
        </w:rPr>
        <w:t>二、分包供应商中小企业合同份额</w:t>
      </w:r>
    </w:p>
    <w:p w14:paraId="6DEB917F">
      <w:pPr>
        <w:spacing w:line="360" w:lineRule="auto"/>
        <w:rPr>
          <w:highlight w:val="none"/>
          <w:lang w:val="zh-CN"/>
        </w:rPr>
      </w:pPr>
      <w:r>
        <w:rPr>
          <w:rFonts w:hint="eastAsia"/>
          <w:highlight w:val="none"/>
        </w:rPr>
        <w:t>1.</w:t>
      </w:r>
      <w:r>
        <w:rPr>
          <w:rFonts w:hint="eastAsia"/>
          <w:highlight w:val="none"/>
          <w:u w:val="single"/>
        </w:rPr>
        <w:t>（分包供应商X</w:t>
      </w:r>
      <w:r>
        <w:rPr>
          <w:highlight w:val="none"/>
          <w:u w:val="single"/>
        </w:rPr>
        <w:t>,</w:t>
      </w:r>
      <w:r>
        <w:rPr>
          <w:rFonts w:hint="eastAsia"/>
          <w:highlight w:val="none"/>
          <w:u w:val="single"/>
        </w:rPr>
        <w:t>……）提供的货物全部由小微企业制造，</w:t>
      </w:r>
      <w:r>
        <w:rPr>
          <w:rFonts w:hint="eastAsia"/>
          <w:highlight w:val="none"/>
        </w:rPr>
        <w:t>其合同份额占到合同总金额</w:t>
      </w:r>
      <w:r>
        <w:rPr>
          <w:rFonts w:hint="eastAsia"/>
          <w:highlight w:val="none"/>
          <w:u w:val="single"/>
        </w:rPr>
        <w:t xml:space="preserve">     </w:t>
      </w:r>
      <w:r>
        <w:rPr>
          <w:rFonts w:hint="eastAsia"/>
          <w:highlight w:val="none"/>
        </w:rPr>
        <w:t>%以上。</w:t>
      </w:r>
      <w:r>
        <w:rPr>
          <w:rFonts w:hint="eastAsia"/>
          <w:highlight w:val="none"/>
          <w:lang w:val="zh-CN"/>
        </w:rPr>
        <w:t>（未预留份额专门面向中小企业采购的采购项目，以及预留份额中的非预留部分采购包，允许分包的，分包意向协议</w:t>
      </w:r>
      <w:r>
        <w:rPr>
          <w:rFonts w:hint="eastAsia"/>
          <w:highlight w:val="none"/>
        </w:rPr>
        <w:t>书</w:t>
      </w:r>
      <w:r>
        <w:rPr>
          <w:rFonts w:hint="eastAsia"/>
          <w:highlight w:val="none"/>
          <w:lang w:val="zh-CN"/>
        </w:rPr>
        <w:t>约定小微企业的合同份额占到合同总金额30%以上的，对大中型企业的报价按评标标准确定的比例给予扣除。供应商</w:t>
      </w:r>
      <w:r>
        <w:rPr>
          <w:rFonts w:hint="eastAsia"/>
          <w:highlight w:val="none"/>
        </w:rPr>
        <w:t>拟享受以上价格扣除政策的，填写有关内容。</w:t>
      </w:r>
      <w:r>
        <w:rPr>
          <w:rFonts w:hint="eastAsia"/>
          <w:highlight w:val="none"/>
          <w:lang w:val="zh-CN"/>
        </w:rPr>
        <w:t>）</w:t>
      </w:r>
    </w:p>
    <w:p w14:paraId="58109F7E">
      <w:pPr>
        <w:spacing w:line="360" w:lineRule="auto"/>
        <w:rPr>
          <w:kern w:val="0"/>
          <w:highlight w:val="none"/>
          <w:lang w:val="zh-CN"/>
        </w:rPr>
      </w:pPr>
      <w:r>
        <w:rPr>
          <w:rFonts w:hint="eastAsia"/>
          <w:highlight w:val="none"/>
        </w:rPr>
        <w:t>2.</w:t>
      </w:r>
      <w:bookmarkStart w:id="376" w:name="_Hlk101133173"/>
      <w:r>
        <w:rPr>
          <w:rFonts w:hint="eastAsia"/>
          <w:highlight w:val="none"/>
        </w:rPr>
        <w:t>中小企业合同金额达到</w:t>
      </w:r>
      <w:r>
        <w:rPr>
          <w:rFonts w:hint="eastAsia"/>
          <w:highlight w:val="none"/>
          <w:u w:val="single"/>
        </w:rPr>
        <w:t xml:space="preserve">  </w:t>
      </w:r>
      <w:r>
        <w:rPr>
          <w:rFonts w:hint="eastAsia"/>
          <w:highlight w:val="none"/>
        </w:rPr>
        <w:t>%，其中小微企业合同金额达到</w:t>
      </w:r>
      <w:r>
        <w:rPr>
          <w:rFonts w:hint="eastAsia"/>
          <w:highlight w:val="none"/>
          <w:u w:val="single"/>
        </w:rPr>
        <w:t xml:space="preserve"> </w:t>
      </w:r>
      <w:r>
        <w:rPr>
          <w:rFonts w:hint="eastAsia"/>
          <w:highlight w:val="none"/>
        </w:rPr>
        <w:t>%</w:t>
      </w:r>
      <w:r>
        <w:rPr>
          <w:rFonts w:hint="eastAsia"/>
          <w:kern w:val="0"/>
          <w:highlight w:val="none"/>
          <w:lang w:val="zh-CN"/>
        </w:rPr>
        <w:t>。（</w:t>
      </w:r>
      <w:r>
        <w:rPr>
          <w:rFonts w:hint="eastAsia"/>
          <w:highlight w:val="none"/>
        </w:rPr>
        <w:t>要求合同分包形式参加的项目或采购包，供应商按招标文件第一部分招标公告申请人的资格要求中规定的</w:t>
      </w:r>
      <w:r>
        <w:rPr>
          <w:rFonts w:hint="eastAsia"/>
          <w:kern w:val="0"/>
          <w:highlight w:val="none"/>
          <w:lang w:val="zh-CN"/>
        </w:rPr>
        <w:t>分包意向协议</w:t>
      </w:r>
      <w:r>
        <w:rPr>
          <w:rFonts w:hint="eastAsia"/>
          <w:kern w:val="0"/>
          <w:highlight w:val="none"/>
        </w:rPr>
        <w:t>书</w:t>
      </w:r>
      <w:r>
        <w:rPr>
          <w:rFonts w:hint="eastAsia"/>
          <w:highlight w:val="none"/>
        </w:rPr>
        <w:t>中中小企业、小微企业合同金额应当达到的比例要求填写。</w:t>
      </w:r>
      <w:r>
        <w:rPr>
          <w:rFonts w:hint="eastAsia"/>
          <w:kern w:val="0"/>
          <w:highlight w:val="none"/>
          <w:lang w:val="zh-CN"/>
        </w:rPr>
        <w:t>）</w:t>
      </w:r>
      <w:bookmarkEnd w:id="376"/>
    </w:p>
    <w:p w14:paraId="63C9A00C">
      <w:pPr>
        <w:spacing w:line="360" w:lineRule="auto"/>
        <w:rPr>
          <w:highlight w:val="none"/>
          <w:lang w:val="zh-CN"/>
        </w:rPr>
      </w:pPr>
      <w:r>
        <w:rPr>
          <w:rFonts w:hint="eastAsia"/>
          <w:highlight w:val="none"/>
          <w:lang w:val="zh-CN"/>
        </w:rPr>
        <w:t>三、分包工作履行期限、地点、方式</w:t>
      </w:r>
    </w:p>
    <w:p w14:paraId="153B576B">
      <w:pPr>
        <w:spacing w:line="360" w:lineRule="auto"/>
        <w:rPr>
          <w:highlight w:val="none"/>
        </w:rPr>
      </w:pPr>
      <w:r>
        <w:rPr>
          <w:rFonts w:hint="eastAsia"/>
          <w:highlight w:val="none"/>
        </w:rPr>
        <w:t xml:space="preserve">                                                                                  </w:t>
      </w:r>
    </w:p>
    <w:p w14:paraId="311CBE52">
      <w:pPr>
        <w:spacing w:line="360" w:lineRule="auto"/>
        <w:rPr>
          <w:highlight w:val="none"/>
          <w:lang w:val="zh-CN"/>
        </w:rPr>
      </w:pPr>
      <w:r>
        <w:rPr>
          <w:rFonts w:hint="eastAsia"/>
          <w:highlight w:val="none"/>
          <w:lang w:val="zh-CN"/>
        </w:rPr>
        <w:t>四、质量</w:t>
      </w:r>
    </w:p>
    <w:p w14:paraId="0CB3BA4F">
      <w:pPr>
        <w:spacing w:line="360" w:lineRule="auto"/>
        <w:rPr>
          <w:kern w:val="0"/>
          <w:highlight w:val="none"/>
          <w:lang w:val="zh-CN"/>
        </w:rPr>
      </w:pPr>
      <w:r>
        <w:rPr>
          <w:rFonts w:hint="eastAsia"/>
          <w:highlight w:val="none"/>
        </w:rPr>
        <w:t xml:space="preserve">                                                                                       </w:t>
      </w:r>
    </w:p>
    <w:p w14:paraId="4F4F6864">
      <w:pPr>
        <w:spacing w:line="360" w:lineRule="auto"/>
        <w:rPr>
          <w:highlight w:val="none"/>
          <w:lang w:val="zh-CN"/>
        </w:rPr>
      </w:pPr>
      <w:r>
        <w:rPr>
          <w:rFonts w:hint="eastAsia"/>
          <w:highlight w:val="none"/>
          <w:lang w:val="zh-CN"/>
        </w:rPr>
        <w:t>五、价款或者报酬</w:t>
      </w:r>
    </w:p>
    <w:p w14:paraId="58B4FFCD">
      <w:pPr>
        <w:spacing w:line="360" w:lineRule="auto"/>
        <w:rPr>
          <w:kern w:val="0"/>
          <w:highlight w:val="none"/>
          <w:lang w:val="zh-CN"/>
        </w:rPr>
      </w:pPr>
      <w:r>
        <w:rPr>
          <w:rFonts w:hint="eastAsia"/>
          <w:highlight w:val="none"/>
        </w:rPr>
        <w:t xml:space="preserve">                                                                                     </w:t>
      </w:r>
    </w:p>
    <w:p w14:paraId="437EB9AB">
      <w:pPr>
        <w:spacing w:line="360" w:lineRule="auto"/>
        <w:rPr>
          <w:highlight w:val="none"/>
          <w:lang w:val="zh-CN"/>
        </w:rPr>
      </w:pPr>
      <w:r>
        <w:rPr>
          <w:rFonts w:hint="eastAsia"/>
          <w:highlight w:val="none"/>
          <w:lang w:val="zh-CN"/>
        </w:rPr>
        <w:t>六、违约责任</w:t>
      </w:r>
    </w:p>
    <w:p w14:paraId="2C1D82C4">
      <w:pPr>
        <w:spacing w:line="360" w:lineRule="auto"/>
        <w:rPr>
          <w:kern w:val="0"/>
          <w:highlight w:val="none"/>
          <w:lang w:val="zh-CN"/>
        </w:rPr>
      </w:pPr>
      <w:r>
        <w:rPr>
          <w:rFonts w:hint="eastAsia"/>
          <w:highlight w:val="none"/>
        </w:rPr>
        <w:t xml:space="preserve">                                                                                     </w:t>
      </w:r>
    </w:p>
    <w:p w14:paraId="4F567A69">
      <w:pPr>
        <w:spacing w:line="360" w:lineRule="auto"/>
        <w:rPr>
          <w:highlight w:val="none"/>
          <w:lang w:val="zh-CN"/>
        </w:rPr>
      </w:pPr>
      <w:r>
        <w:rPr>
          <w:rFonts w:hint="eastAsia"/>
          <w:highlight w:val="none"/>
          <w:lang w:val="zh-CN"/>
        </w:rPr>
        <w:t>七、争议解决的办法</w:t>
      </w:r>
    </w:p>
    <w:p w14:paraId="04A19130">
      <w:pPr>
        <w:spacing w:line="360" w:lineRule="auto"/>
        <w:rPr>
          <w:kern w:val="0"/>
          <w:highlight w:val="none"/>
          <w:lang w:val="zh-CN"/>
        </w:rPr>
      </w:pPr>
      <w:r>
        <w:rPr>
          <w:rFonts w:hint="eastAsia"/>
          <w:highlight w:val="none"/>
        </w:rPr>
        <w:t xml:space="preserve">                                                                                  </w:t>
      </w:r>
    </w:p>
    <w:p w14:paraId="5D752C42">
      <w:pPr>
        <w:spacing w:line="360" w:lineRule="auto"/>
        <w:rPr>
          <w:highlight w:val="none"/>
          <w:lang w:val="zh-CN"/>
        </w:rPr>
      </w:pPr>
      <w:r>
        <w:rPr>
          <w:rFonts w:hint="eastAsia"/>
          <w:highlight w:val="none"/>
          <w:lang w:val="zh-CN"/>
        </w:rPr>
        <w:t xml:space="preserve">                                          投标人名称</w:t>
      </w:r>
      <w:r>
        <w:rPr>
          <w:rFonts w:hint="eastAsia" w:cs="仿宋_GB2312"/>
          <w:szCs w:val="24"/>
          <w:highlight w:val="none"/>
        </w:rPr>
        <w:t>（</w:t>
      </w:r>
      <w:r>
        <w:rPr>
          <w:rFonts w:hint="eastAsia"/>
          <w:szCs w:val="24"/>
          <w:highlight w:val="none"/>
        </w:rPr>
        <w:t>公章）</w:t>
      </w:r>
      <w:r>
        <w:rPr>
          <w:rFonts w:hint="eastAsia"/>
          <w:highlight w:val="none"/>
          <w:lang w:val="zh-CN"/>
        </w:rPr>
        <w:t>：</w:t>
      </w:r>
    </w:p>
    <w:p w14:paraId="2BD626A4">
      <w:pPr>
        <w:spacing w:line="360" w:lineRule="auto"/>
        <w:rPr>
          <w:highlight w:val="none"/>
          <w:lang w:val="zh-CN"/>
        </w:rPr>
      </w:pPr>
      <w:r>
        <w:rPr>
          <w:rFonts w:hint="eastAsia"/>
          <w:highlight w:val="none"/>
          <w:lang w:val="zh-CN"/>
        </w:rPr>
        <w:t>分包供应商名称</w:t>
      </w:r>
      <w:r>
        <w:rPr>
          <w:rFonts w:hint="eastAsia" w:cs="仿宋_GB2312"/>
          <w:szCs w:val="24"/>
          <w:highlight w:val="none"/>
        </w:rPr>
        <w:t>（</w:t>
      </w:r>
      <w:r>
        <w:rPr>
          <w:rFonts w:hint="eastAsia"/>
          <w:szCs w:val="24"/>
          <w:highlight w:val="none"/>
        </w:rPr>
        <w:t>公章）</w:t>
      </w:r>
      <w:r>
        <w:rPr>
          <w:rFonts w:hint="eastAsia"/>
          <w:highlight w:val="none"/>
          <w:lang w:val="zh-CN"/>
        </w:rPr>
        <w:t>：</w:t>
      </w:r>
    </w:p>
    <w:p w14:paraId="7BF53A72">
      <w:pPr>
        <w:spacing w:line="360" w:lineRule="auto"/>
        <w:rPr>
          <w:highlight w:val="none"/>
        </w:rPr>
      </w:pPr>
      <w:r>
        <w:rPr>
          <w:rFonts w:hint="eastAsia"/>
          <w:highlight w:val="none"/>
          <w:lang w:val="zh-CN"/>
        </w:rPr>
        <w:t>……</w:t>
      </w:r>
    </w:p>
    <w:p w14:paraId="756A1FB4">
      <w:pPr>
        <w:spacing w:line="360" w:lineRule="auto"/>
        <w:rPr>
          <w:highlight w:val="none"/>
          <w:lang w:val="zh-CN"/>
        </w:rPr>
      </w:pPr>
      <w:r>
        <w:rPr>
          <w:rFonts w:hint="eastAsia"/>
          <w:highlight w:val="none"/>
          <w:lang w:val="zh-CN"/>
        </w:rPr>
        <w:t xml:space="preserve">                                        日期：  年  月   日</w:t>
      </w:r>
    </w:p>
    <w:p w14:paraId="677031B9">
      <w:pPr>
        <w:spacing w:line="360" w:lineRule="auto"/>
        <w:rPr>
          <w:highlight w:val="none"/>
        </w:rPr>
      </w:pPr>
      <w:r>
        <w:rPr>
          <w:rFonts w:hint="eastAsia"/>
          <w:highlight w:val="none"/>
        </w:rPr>
        <w:t>注：按本格式和要求提供。</w:t>
      </w:r>
    </w:p>
    <w:p w14:paraId="7D1EB6FB">
      <w:pPr>
        <w:spacing w:line="360" w:lineRule="auto"/>
        <w:rPr>
          <w:highlight w:val="none"/>
        </w:rPr>
      </w:pPr>
    </w:p>
    <w:p w14:paraId="01A73724">
      <w:pPr>
        <w:spacing w:line="360" w:lineRule="auto"/>
        <w:rPr>
          <w:highlight w:val="none"/>
        </w:rPr>
      </w:pPr>
    </w:p>
    <w:p w14:paraId="30BD774E">
      <w:pPr>
        <w:spacing w:line="360" w:lineRule="auto"/>
        <w:rPr>
          <w:highlight w:val="none"/>
        </w:rPr>
      </w:pPr>
    </w:p>
    <w:p w14:paraId="718BBCF9">
      <w:pPr>
        <w:spacing w:line="360" w:lineRule="auto"/>
        <w:rPr>
          <w:highlight w:val="none"/>
        </w:rPr>
      </w:pPr>
    </w:p>
    <w:bookmarkEnd w:id="371"/>
    <w:p w14:paraId="63ED6E2B">
      <w:pPr>
        <w:spacing w:line="360" w:lineRule="auto"/>
        <w:rPr>
          <w:highlight w:val="none"/>
        </w:rPr>
      </w:pPr>
      <w:r>
        <w:rPr>
          <w:highlight w:val="none"/>
        </w:rPr>
        <w:br w:type="page"/>
      </w:r>
    </w:p>
    <w:p w14:paraId="06422373">
      <w:pPr>
        <w:pStyle w:val="4"/>
        <w:spacing w:line="360" w:lineRule="auto"/>
        <w:rPr>
          <w:highlight w:val="none"/>
        </w:rPr>
      </w:pPr>
      <w:bookmarkStart w:id="377" w:name="_Toc155185932"/>
      <w:bookmarkStart w:id="378" w:name="_Toc163492926"/>
      <w:bookmarkStart w:id="379" w:name="_Toc22618"/>
      <w:r>
        <w:rPr>
          <w:rFonts w:hint="eastAsia"/>
          <w:highlight w:val="none"/>
        </w:rPr>
        <w:t>四、</w:t>
      </w:r>
      <w:bookmarkEnd w:id="377"/>
      <w:bookmarkEnd w:id="378"/>
      <w:r>
        <w:rPr>
          <w:rFonts w:hint="eastAsia"/>
          <w:highlight w:val="none"/>
        </w:rPr>
        <w:t>落实政府采购政策相关证明文件</w:t>
      </w:r>
      <w:bookmarkEnd w:id="346"/>
      <w:bookmarkEnd w:id="379"/>
    </w:p>
    <w:p w14:paraId="7356DCC1">
      <w:pPr>
        <w:pStyle w:val="5"/>
        <w:spacing w:line="360" w:lineRule="auto"/>
        <w:rPr>
          <w:highlight w:val="none"/>
        </w:rPr>
      </w:pPr>
      <w:bookmarkStart w:id="380" w:name="_Toc163492938"/>
      <w:r>
        <w:rPr>
          <w:rFonts w:hint="eastAsia"/>
          <w:highlight w:val="none"/>
        </w:rPr>
        <w:t>（一）节能环保产品清单及证明材料【如适用】</w:t>
      </w:r>
      <w:bookmarkEnd w:id="380"/>
    </w:p>
    <w:p w14:paraId="5801BC92">
      <w:pPr>
        <w:spacing w:line="360" w:lineRule="auto"/>
        <w:rPr>
          <w:highlight w:val="none"/>
          <w:u w:val="single"/>
        </w:rPr>
      </w:pPr>
      <w:r>
        <w:rPr>
          <w:rFonts w:hint="eastAsia"/>
          <w:highlight w:val="none"/>
        </w:rPr>
        <w:t>项目名称：             项目编号/包号：</w:t>
      </w:r>
    </w:p>
    <w:p w14:paraId="5574EBC1">
      <w:pPr>
        <w:spacing w:line="360" w:lineRule="auto"/>
        <w:rPr>
          <w:highlight w:val="none"/>
        </w:rPr>
      </w:pPr>
      <w:r>
        <w:rPr>
          <w:rFonts w:hint="eastAsia"/>
          <w:highlight w:val="none"/>
        </w:rPr>
        <w:t>1.节能产品</w:t>
      </w:r>
    </w:p>
    <w:tbl>
      <w:tblPr>
        <w:tblStyle w:val="33"/>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32D36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7DE6209E">
            <w:pPr>
              <w:pStyle w:val="53"/>
              <w:spacing w:line="360" w:lineRule="auto"/>
              <w:jc w:val="center"/>
              <w:rPr>
                <w:sz w:val="21"/>
                <w:szCs w:val="21"/>
                <w:highlight w:val="none"/>
              </w:rPr>
            </w:pPr>
            <w:r>
              <w:rPr>
                <w:rFonts w:hint="eastAsia"/>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087E1E30">
            <w:pPr>
              <w:pStyle w:val="53"/>
              <w:spacing w:line="360" w:lineRule="auto"/>
              <w:jc w:val="center"/>
              <w:rPr>
                <w:sz w:val="21"/>
                <w:szCs w:val="21"/>
                <w:highlight w:val="none"/>
              </w:rPr>
            </w:pPr>
            <w:r>
              <w:rPr>
                <w:rFonts w:hint="eastAsia"/>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62E17F69">
            <w:pPr>
              <w:pStyle w:val="53"/>
              <w:spacing w:line="360" w:lineRule="auto"/>
              <w:jc w:val="center"/>
              <w:rPr>
                <w:sz w:val="21"/>
                <w:szCs w:val="21"/>
                <w:highlight w:val="none"/>
              </w:rPr>
            </w:pPr>
            <w:r>
              <w:rPr>
                <w:rFonts w:hint="eastAsia"/>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6FA51354">
            <w:pPr>
              <w:pStyle w:val="53"/>
              <w:spacing w:line="360" w:lineRule="auto"/>
              <w:jc w:val="center"/>
              <w:rPr>
                <w:sz w:val="21"/>
                <w:szCs w:val="21"/>
                <w:highlight w:val="none"/>
              </w:rPr>
            </w:pPr>
            <w:r>
              <w:rPr>
                <w:rFonts w:hint="eastAsia"/>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2431E06E">
            <w:pPr>
              <w:pStyle w:val="53"/>
              <w:spacing w:line="360" w:lineRule="auto"/>
              <w:jc w:val="center"/>
              <w:rPr>
                <w:sz w:val="21"/>
                <w:szCs w:val="21"/>
                <w:highlight w:val="none"/>
              </w:rPr>
            </w:pPr>
            <w:r>
              <w:rPr>
                <w:rFonts w:hint="eastAsia"/>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4A1C8043">
            <w:pPr>
              <w:pStyle w:val="53"/>
              <w:spacing w:line="360" w:lineRule="auto"/>
              <w:jc w:val="center"/>
              <w:rPr>
                <w:sz w:val="21"/>
                <w:szCs w:val="21"/>
                <w:highlight w:val="none"/>
              </w:rPr>
            </w:pPr>
            <w:r>
              <w:rPr>
                <w:rFonts w:hint="eastAsia"/>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6DA84727">
            <w:pPr>
              <w:pStyle w:val="53"/>
              <w:spacing w:line="360" w:lineRule="auto"/>
              <w:jc w:val="center"/>
              <w:rPr>
                <w:sz w:val="21"/>
                <w:szCs w:val="21"/>
                <w:highlight w:val="none"/>
              </w:rPr>
            </w:pPr>
            <w:r>
              <w:rPr>
                <w:rFonts w:hint="eastAsia"/>
                <w:sz w:val="21"/>
                <w:szCs w:val="21"/>
                <w:highlight w:val="none"/>
              </w:rPr>
              <w:t>单价</w:t>
            </w:r>
          </w:p>
          <w:p w14:paraId="7E1A0791">
            <w:pPr>
              <w:pStyle w:val="53"/>
              <w:spacing w:line="360" w:lineRule="auto"/>
              <w:jc w:val="center"/>
              <w:rPr>
                <w:sz w:val="21"/>
                <w:szCs w:val="21"/>
                <w:highlight w:val="none"/>
              </w:rPr>
            </w:pPr>
            <w:r>
              <w:rPr>
                <w:rFonts w:hint="eastAsia"/>
                <w:sz w:val="21"/>
                <w:szCs w:val="21"/>
                <w:highlight w:val="none"/>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4DF033AA">
            <w:pPr>
              <w:pStyle w:val="53"/>
              <w:spacing w:line="360" w:lineRule="auto"/>
              <w:jc w:val="center"/>
              <w:rPr>
                <w:sz w:val="21"/>
                <w:szCs w:val="21"/>
                <w:highlight w:val="none"/>
              </w:rPr>
            </w:pPr>
            <w:r>
              <w:rPr>
                <w:rFonts w:hint="eastAsia"/>
                <w:sz w:val="21"/>
                <w:szCs w:val="21"/>
                <w:highlight w:val="none"/>
              </w:rPr>
              <w:t>总价</w:t>
            </w:r>
          </w:p>
          <w:p w14:paraId="6D4D5310">
            <w:pPr>
              <w:pStyle w:val="53"/>
              <w:spacing w:line="360" w:lineRule="auto"/>
              <w:jc w:val="center"/>
              <w:rPr>
                <w:sz w:val="21"/>
                <w:szCs w:val="21"/>
                <w:highlight w:val="none"/>
              </w:rPr>
            </w:pPr>
            <w:r>
              <w:rPr>
                <w:rFonts w:hint="eastAsia"/>
                <w:sz w:val="21"/>
                <w:szCs w:val="21"/>
                <w:highlight w:val="none"/>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7B866B62">
            <w:pPr>
              <w:pStyle w:val="53"/>
              <w:spacing w:line="360" w:lineRule="auto"/>
              <w:jc w:val="center"/>
              <w:rPr>
                <w:sz w:val="21"/>
                <w:szCs w:val="21"/>
                <w:highlight w:val="none"/>
              </w:rPr>
            </w:pPr>
            <w:r>
              <w:rPr>
                <w:rFonts w:hint="eastAsia"/>
                <w:sz w:val="21"/>
                <w:szCs w:val="21"/>
                <w:highlight w:val="none"/>
              </w:rPr>
              <w:t>属强制采购或优先采购</w:t>
            </w:r>
          </w:p>
        </w:tc>
      </w:tr>
      <w:tr w14:paraId="62875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7483437B">
            <w:pPr>
              <w:pStyle w:val="53"/>
              <w:numPr>
                <w:ilvl w:val="0"/>
                <w:numId w:val="3"/>
              </w:numPr>
              <w:spacing w:line="360" w:lineRule="auto"/>
              <w:jc w:val="center"/>
              <w:rPr>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7F1DF245">
            <w:pPr>
              <w:pStyle w:val="53"/>
              <w:spacing w:line="360" w:lineRule="auto"/>
              <w:jc w:val="center"/>
              <w:rPr>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49B51818">
            <w:pPr>
              <w:pStyle w:val="53"/>
              <w:spacing w:line="360" w:lineRule="auto"/>
              <w:jc w:val="center"/>
              <w:rPr>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3CE47301">
            <w:pPr>
              <w:pStyle w:val="53"/>
              <w:spacing w:line="360" w:lineRule="auto"/>
              <w:jc w:val="center"/>
              <w:rPr>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0C3DE5A7">
            <w:pPr>
              <w:pStyle w:val="53"/>
              <w:spacing w:line="360" w:lineRule="auto"/>
              <w:jc w:val="center"/>
              <w:rPr>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78157A7F">
            <w:pPr>
              <w:pStyle w:val="53"/>
              <w:spacing w:line="360" w:lineRule="auto"/>
              <w:jc w:val="center"/>
              <w:rPr>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4B781229">
            <w:pPr>
              <w:pStyle w:val="53"/>
              <w:spacing w:line="360" w:lineRule="auto"/>
              <w:jc w:val="center"/>
              <w:rPr>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28B9AC84">
            <w:pPr>
              <w:pStyle w:val="53"/>
              <w:spacing w:line="360" w:lineRule="auto"/>
              <w:jc w:val="center"/>
              <w:rPr>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747FFDB3">
            <w:pPr>
              <w:pStyle w:val="53"/>
              <w:spacing w:line="360" w:lineRule="auto"/>
              <w:jc w:val="center"/>
              <w:rPr>
                <w:sz w:val="21"/>
                <w:szCs w:val="21"/>
                <w:highlight w:val="none"/>
              </w:rPr>
            </w:pPr>
          </w:p>
        </w:tc>
      </w:tr>
      <w:tr w14:paraId="7EF7D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BF6147C">
            <w:pPr>
              <w:pStyle w:val="53"/>
              <w:numPr>
                <w:ilvl w:val="0"/>
                <w:numId w:val="3"/>
              </w:numPr>
              <w:spacing w:line="360" w:lineRule="auto"/>
              <w:jc w:val="center"/>
              <w:rPr>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6B81C12">
            <w:pPr>
              <w:pStyle w:val="53"/>
              <w:spacing w:line="360" w:lineRule="auto"/>
              <w:jc w:val="center"/>
              <w:rPr>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11ABE045">
            <w:pPr>
              <w:pStyle w:val="53"/>
              <w:spacing w:line="360" w:lineRule="auto"/>
              <w:jc w:val="center"/>
              <w:rPr>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54C90F5A">
            <w:pPr>
              <w:pStyle w:val="53"/>
              <w:spacing w:line="360" w:lineRule="auto"/>
              <w:jc w:val="center"/>
              <w:rPr>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7A80BD61">
            <w:pPr>
              <w:pStyle w:val="53"/>
              <w:spacing w:line="360" w:lineRule="auto"/>
              <w:jc w:val="center"/>
              <w:rPr>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375FF475">
            <w:pPr>
              <w:pStyle w:val="53"/>
              <w:spacing w:line="360" w:lineRule="auto"/>
              <w:jc w:val="center"/>
              <w:rPr>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3F84E6DC">
            <w:pPr>
              <w:pStyle w:val="53"/>
              <w:spacing w:line="360" w:lineRule="auto"/>
              <w:jc w:val="center"/>
              <w:rPr>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400A4A42">
            <w:pPr>
              <w:pStyle w:val="53"/>
              <w:spacing w:line="360" w:lineRule="auto"/>
              <w:jc w:val="center"/>
              <w:rPr>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64B3CDFA">
            <w:pPr>
              <w:pStyle w:val="53"/>
              <w:spacing w:line="360" w:lineRule="auto"/>
              <w:jc w:val="center"/>
              <w:rPr>
                <w:sz w:val="21"/>
                <w:szCs w:val="21"/>
                <w:highlight w:val="none"/>
              </w:rPr>
            </w:pPr>
          </w:p>
        </w:tc>
      </w:tr>
      <w:tr w14:paraId="330B6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7B62AC76">
            <w:pPr>
              <w:pStyle w:val="53"/>
              <w:numPr>
                <w:ilvl w:val="0"/>
                <w:numId w:val="3"/>
              </w:numPr>
              <w:spacing w:line="360" w:lineRule="auto"/>
              <w:jc w:val="center"/>
              <w:rPr>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20EE458A">
            <w:pPr>
              <w:pStyle w:val="53"/>
              <w:spacing w:line="360" w:lineRule="auto"/>
              <w:jc w:val="center"/>
              <w:rPr>
                <w:sz w:val="21"/>
                <w:szCs w:val="21"/>
                <w:highlight w:val="none"/>
              </w:rPr>
            </w:pPr>
            <w:r>
              <w:rPr>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6A0CED59">
            <w:pPr>
              <w:pStyle w:val="53"/>
              <w:spacing w:line="360" w:lineRule="auto"/>
              <w:jc w:val="center"/>
              <w:rPr>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12A0B637">
            <w:pPr>
              <w:pStyle w:val="53"/>
              <w:spacing w:line="360" w:lineRule="auto"/>
              <w:jc w:val="center"/>
              <w:rPr>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4778B4BD">
            <w:pPr>
              <w:pStyle w:val="53"/>
              <w:spacing w:line="360" w:lineRule="auto"/>
              <w:jc w:val="center"/>
              <w:rPr>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625C5B41">
            <w:pPr>
              <w:pStyle w:val="53"/>
              <w:spacing w:line="360" w:lineRule="auto"/>
              <w:jc w:val="center"/>
              <w:rPr>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3C8FD697">
            <w:pPr>
              <w:pStyle w:val="53"/>
              <w:spacing w:line="360" w:lineRule="auto"/>
              <w:jc w:val="center"/>
              <w:rPr>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47387240">
            <w:pPr>
              <w:pStyle w:val="53"/>
              <w:spacing w:line="360" w:lineRule="auto"/>
              <w:jc w:val="center"/>
              <w:rPr>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43FD0E03">
            <w:pPr>
              <w:pStyle w:val="53"/>
              <w:spacing w:line="360" w:lineRule="auto"/>
              <w:jc w:val="center"/>
              <w:rPr>
                <w:sz w:val="21"/>
                <w:szCs w:val="21"/>
                <w:highlight w:val="none"/>
              </w:rPr>
            </w:pPr>
          </w:p>
        </w:tc>
      </w:tr>
    </w:tbl>
    <w:p w14:paraId="0885768A">
      <w:pPr>
        <w:spacing w:line="360" w:lineRule="auto"/>
        <w:rPr>
          <w:highlight w:val="none"/>
        </w:rPr>
      </w:pPr>
    </w:p>
    <w:p w14:paraId="12E22C41">
      <w:pPr>
        <w:spacing w:line="360" w:lineRule="auto"/>
        <w:rPr>
          <w:highlight w:val="none"/>
        </w:rPr>
      </w:pPr>
      <w:r>
        <w:rPr>
          <w:rFonts w:hint="eastAsia"/>
          <w:highlight w:val="none"/>
        </w:rPr>
        <w:t>2.环保产品</w:t>
      </w:r>
    </w:p>
    <w:tbl>
      <w:tblPr>
        <w:tblStyle w:val="33"/>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45B67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9EFFBAE">
            <w:pPr>
              <w:pStyle w:val="53"/>
              <w:spacing w:line="360" w:lineRule="auto"/>
              <w:jc w:val="center"/>
              <w:rPr>
                <w:sz w:val="21"/>
                <w:szCs w:val="21"/>
                <w:highlight w:val="none"/>
              </w:rPr>
            </w:pPr>
            <w:r>
              <w:rPr>
                <w:rFonts w:hint="eastAsia"/>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479A8DA5">
            <w:pPr>
              <w:pStyle w:val="53"/>
              <w:spacing w:line="360" w:lineRule="auto"/>
              <w:jc w:val="center"/>
              <w:rPr>
                <w:sz w:val="21"/>
                <w:szCs w:val="21"/>
                <w:highlight w:val="none"/>
              </w:rPr>
            </w:pPr>
            <w:r>
              <w:rPr>
                <w:rFonts w:hint="eastAsia"/>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5AFD9BAC">
            <w:pPr>
              <w:pStyle w:val="53"/>
              <w:spacing w:line="360" w:lineRule="auto"/>
              <w:jc w:val="center"/>
              <w:rPr>
                <w:sz w:val="21"/>
                <w:szCs w:val="21"/>
                <w:highlight w:val="none"/>
              </w:rPr>
            </w:pPr>
            <w:r>
              <w:rPr>
                <w:rFonts w:hint="eastAsia"/>
                <w:sz w:val="21"/>
                <w:szCs w:val="21"/>
                <w:highlight w:val="none"/>
              </w:rPr>
              <w:t>制造商</w:t>
            </w:r>
          </w:p>
          <w:p w14:paraId="168A5EBB">
            <w:pPr>
              <w:pStyle w:val="53"/>
              <w:spacing w:line="360" w:lineRule="auto"/>
              <w:jc w:val="center"/>
              <w:rPr>
                <w:sz w:val="21"/>
                <w:szCs w:val="21"/>
                <w:highlight w:val="none"/>
              </w:rPr>
            </w:pPr>
            <w:r>
              <w:rPr>
                <w:rFonts w:hint="eastAsia"/>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463AB6BA">
            <w:pPr>
              <w:pStyle w:val="53"/>
              <w:spacing w:line="360" w:lineRule="auto"/>
              <w:jc w:val="center"/>
              <w:rPr>
                <w:sz w:val="21"/>
                <w:szCs w:val="21"/>
                <w:highlight w:val="none"/>
              </w:rPr>
            </w:pPr>
            <w:r>
              <w:rPr>
                <w:rFonts w:hint="eastAsia"/>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22A577BA">
            <w:pPr>
              <w:pStyle w:val="53"/>
              <w:spacing w:line="360" w:lineRule="auto"/>
              <w:jc w:val="center"/>
              <w:rPr>
                <w:sz w:val="21"/>
                <w:szCs w:val="21"/>
                <w:highlight w:val="none"/>
              </w:rPr>
            </w:pPr>
            <w:r>
              <w:rPr>
                <w:rFonts w:hint="eastAsia"/>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72788E24">
            <w:pPr>
              <w:pStyle w:val="53"/>
              <w:spacing w:line="360" w:lineRule="auto"/>
              <w:jc w:val="center"/>
              <w:rPr>
                <w:sz w:val="21"/>
                <w:szCs w:val="21"/>
                <w:highlight w:val="none"/>
              </w:rPr>
            </w:pPr>
            <w:r>
              <w:rPr>
                <w:rFonts w:hint="eastAsia"/>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72E2F78D">
            <w:pPr>
              <w:pStyle w:val="53"/>
              <w:spacing w:line="360" w:lineRule="auto"/>
              <w:jc w:val="center"/>
              <w:rPr>
                <w:sz w:val="21"/>
                <w:szCs w:val="21"/>
                <w:highlight w:val="none"/>
              </w:rPr>
            </w:pPr>
            <w:r>
              <w:rPr>
                <w:rFonts w:hint="eastAsia"/>
                <w:sz w:val="21"/>
                <w:szCs w:val="21"/>
                <w:highlight w:val="none"/>
              </w:rPr>
              <w:t>单价</w:t>
            </w:r>
          </w:p>
          <w:p w14:paraId="52257A76">
            <w:pPr>
              <w:pStyle w:val="53"/>
              <w:spacing w:line="360" w:lineRule="auto"/>
              <w:jc w:val="center"/>
              <w:rPr>
                <w:sz w:val="21"/>
                <w:szCs w:val="21"/>
                <w:highlight w:val="none"/>
              </w:rPr>
            </w:pPr>
            <w:r>
              <w:rPr>
                <w:rFonts w:hint="eastAsia"/>
                <w:sz w:val="21"/>
                <w:szCs w:val="21"/>
                <w:highlight w:val="none"/>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3309371C">
            <w:pPr>
              <w:pStyle w:val="53"/>
              <w:spacing w:line="360" w:lineRule="auto"/>
              <w:jc w:val="center"/>
              <w:rPr>
                <w:sz w:val="21"/>
                <w:szCs w:val="21"/>
                <w:highlight w:val="none"/>
              </w:rPr>
            </w:pPr>
            <w:r>
              <w:rPr>
                <w:rFonts w:hint="eastAsia"/>
                <w:sz w:val="21"/>
                <w:szCs w:val="21"/>
                <w:highlight w:val="none"/>
              </w:rPr>
              <w:t>总价</w:t>
            </w:r>
          </w:p>
          <w:p w14:paraId="665A9B28">
            <w:pPr>
              <w:pStyle w:val="53"/>
              <w:spacing w:line="360" w:lineRule="auto"/>
              <w:jc w:val="center"/>
              <w:rPr>
                <w:sz w:val="21"/>
                <w:szCs w:val="21"/>
                <w:highlight w:val="none"/>
              </w:rPr>
            </w:pPr>
            <w:r>
              <w:rPr>
                <w:rFonts w:hint="eastAsia"/>
                <w:sz w:val="21"/>
                <w:szCs w:val="21"/>
                <w:highlight w:val="none"/>
              </w:rPr>
              <w:t>（万元）</w:t>
            </w:r>
          </w:p>
        </w:tc>
      </w:tr>
      <w:tr w14:paraId="27992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3EED7A71">
            <w:pPr>
              <w:pStyle w:val="53"/>
              <w:numPr>
                <w:ilvl w:val="0"/>
                <w:numId w:val="4"/>
              </w:numPr>
              <w:spacing w:line="360" w:lineRule="auto"/>
              <w:jc w:val="center"/>
              <w:rPr>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30CBD5AB">
            <w:pPr>
              <w:pStyle w:val="53"/>
              <w:spacing w:line="360" w:lineRule="auto"/>
              <w:jc w:val="center"/>
              <w:rPr>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6E947352">
            <w:pPr>
              <w:pStyle w:val="53"/>
              <w:spacing w:line="360" w:lineRule="auto"/>
              <w:jc w:val="center"/>
              <w:rPr>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42CD23E5">
            <w:pPr>
              <w:pStyle w:val="53"/>
              <w:spacing w:line="360" w:lineRule="auto"/>
              <w:jc w:val="center"/>
              <w:rPr>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4373CB88">
            <w:pPr>
              <w:pStyle w:val="53"/>
              <w:spacing w:line="360" w:lineRule="auto"/>
              <w:jc w:val="center"/>
              <w:rPr>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4E056F51">
            <w:pPr>
              <w:pStyle w:val="53"/>
              <w:spacing w:line="360" w:lineRule="auto"/>
              <w:jc w:val="center"/>
              <w:rPr>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4715B446">
            <w:pPr>
              <w:pStyle w:val="53"/>
              <w:spacing w:line="360" w:lineRule="auto"/>
              <w:jc w:val="center"/>
              <w:rPr>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0EA0D035">
            <w:pPr>
              <w:pStyle w:val="53"/>
              <w:spacing w:line="360" w:lineRule="auto"/>
              <w:jc w:val="center"/>
              <w:rPr>
                <w:sz w:val="21"/>
                <w:szCs w:val="21"/>
                <w:highlight w:val="none"/>
              </w:rPr>
            </w:pPr>
          </w:p>
        </w:tc>
      </w:tr>
      <w:tr w14:paraId="37F48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458000B1">
            <w:pPr>
              <w:pStyle w:val="53"/>
              <w:numPr>
                <w:ilvl w:val="0"/>
                <w:numId w:val="4"/>
              </w:numPr>
              <w:spacing w:line="360" w:lineRule="auto"/>
              <w:jc w:val="center"/>
              <w:rPr>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6C701567">
            <w:pPr>
              <w:pStyle w:val="53"/>
              <w:spacing w:line="360" w:lineRule="auto"/>
              <w:jc w:val="center"/>
              <w:rPr>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1B2CC02E">
            <w:pPr>
              <w:pStyle w:val="53"/>
              <w:spacing w:line="360" w:lineRule="auto"/>
              <w:jc w:val="center"/>
              <w:rPr>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4CC14EE5">
            <w:pPr>
              <w:pStyle w:val="53"/>
              <w:spacing w:line="360" w:lineRule="auto"/>
              <w:jc w:val="center"/>
              <w:rPr>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3752C2A">
            <w:pPr>
              <w:pStyle w:val="53"/>
              <w:spacing w:line="360" w:lineRule="auto"/>
              <w:jc w:val="center"/>
              <w:rPr>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7EC482DD">
            <w:pPr>
              <w:pStyle w:val="53"/>
              <w:spacing w:line="360" w:lineRule="auto"/>
              <w:jc w:val="center"/>
              <w:rPr>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6D6F904F">
            <w:pPr>
              <w:pStyle w:val="53"/>
              <w:spacing w:line="360" w:lineRule="auto"/>
              <w:jc w:val="center"/>
              <w:rPr>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3BD74E0C">
            <w:pPr>
              <w:pStyle w:val="53"/>
              <w:spacing w:line="360" w:lineRule="auto"/>
              <w:jc w:val="center"/>
              <w:rPr>
                <w:sz w:val="21"/>
                <w:szCs w:val="21"/>
                <w:highlight w:val="none"/>
              </w:rPr>
            </w:pPr>
          </w:p>
        </w:tc>
      </w:tr>
      <w:tr w14:paraId="1003F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79410532">
            <w:pPr>
              <w:pStyle w:val="53"/>
              <w:numPr>
                <w:ilvl w:val="0"/>
                <w:numId w:val="4"/>
              </w:numPr>
              <w:spacing w:line="360" w:lineRule="auto"/>
              <w:jc w:val="center"/>
              <w:rPr>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289E4158">
            <w:pPr>
              <w:pStyle w:val="53"/>
              <w:spacing w:line="360" w:lineRule="auto"/>
              <w:jc w:val="center"/>
              <w:rPr>
                <w:sz w:val="21"/>
                <w:szCs w:val="21"/>
                <w:highlight w:val="none"/>
              </w:rPr>
            </w:pPr>
            <w:r>
              <w:rPr>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4B84BAE4">
            <w:pPr>
              <w:pStyle w:val="53"/>
              <w:spacing w:line="360" w:lineRule="auto"/>
              <w:jc w:val="center"/>
              <w:rPr>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1349624">
            <w:pPr>
              <w:pStyle w:val="53"/>
              <w:spacing w:line="360" w:lineRule="auto"/>
              <w:jc w:val="center"/>
              <w:rPr>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07DEAD1">
            <w:pPr>
              <w:pStyle w:val="53"/>
              <w:spacing w:line="360" w:lineRule="auto"/>
              <w:jc w:val="center"/>
              <w:rPr>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72D6ABAF">
            <w:pPr>
              <w:pStyle w:val="53"/>
              <w:spacing w:line="360" w:lineRule="auto"/>
              <w:jc w:val="center"/>
              <w:rPr>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3043CEB6">
            <w:pPr>
              <w:pStyle w:val="53"/>
              <w:spacing w:line="360" w:lineRule="auto"/>
              <w:jc w:val="center"/>
              <w:rPr>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25BE3E15">
            <w:pPr>
              <w:pStyle w:val="53"/>
              <w:spacing w:line="360" w:lineRule="auto"/>
              <w:jc w:val="center"/>
              <w:rPr>
                <w:sz w:val="21"/>
                <w:szCs w:val="21"/>
                <w:highlight w:val="none"/>
              </w:rPr>
            </w:pPr>
          </w:p>
        </w:tc>
      </w:tr>
    </w:tbl>
    <w:p w14:paraId="4AD6DE86">
      <w:pPr>
        <w:spacing w:line="360" w:lineRule="auto"/>
        <w:rPr>
          <w:highlight w:val="none"/>
        </w:rPr>
      </w:pPr>
    </w:p>
    <w:p w14:paraId="5AD544ED">
      <w:pPr>
        <w:spacing w:line="360" w:lineRule="auto"/>
        <w:rPr>
          <w:highlight w:val="none"/>
        </w:rPr>
      </w:pPr>
      <w:r>
        <w:rPr>
          <w:rFonts w:hint="eastAsia"/>
          <w:highlight w:val="none"/>
        </w:rPr>
        <w:t>特别说明：投标人应将所投产品中节能、环保产品分别列入上表中，并按本招标文件“第二章投标人须知”提供相关证明材料，未填写本表或未提供有效认证证书</w:t>
      </w:r>
      <w:r>
        <w:rPr>
          <w:highlight w:val="none"/>
        </w:rPr>
        <w:t>的</w:t>
      </w:r>
      <w:r>
        <w:rPr>
          <w:rFonts w:hint="eastAsia"/>
          <w:highlight w:val="none"/>
        </w:rPr>
        <w:t>不给予评审优惠。</w:t>
      </w:r>
    </w:p>
    <w:p w14:paraId="76A95FFA">
      <w:pPr>
        <w:spacing w:line="360" w:lineRule="auto"/>
        <w:rPr>
          <w:highlight w:val="none"/>
        </w:rPr>
      </w:pPr>
    </w:p>
    <w:p w14:paraId="41165F09">
      <w:pPr>
        <w:spacing w:line="360" w:lineRule="auto"/>
        <w:rPr>
          <w:highlight w:val="none"/>
        </w:rPr>
      </w:pPr>
      <w:r>
        <w:rPr>
          <w:highlight w:val="none"/>
        </w:rPr>
        <w:t>投标人名称</w:t>
      </w:r>
      <w:r>
        <w:rPr>
          <w:rFonts w:hint="eastAsia" w:cs="仿宋_GB2312"/>
          <w:szCs w:val="24"/>
          <w:highlight w:val="none"/>
        </w:rPr>
        <w:t>（</w:t>
      </w:r>
      <w:r>
        <w:rPr>
          <w:rFonts w:hint="eastAsia" w:cs="宋体"/>
          <w:kern w:val="0"/>
          <w:szCs w:val="24"/>
          <w:highlight w:val="none"/>
        </w:rPr>
        <w:t>公章</w:t>
      </w:r>
      <w:r>
        <w:rPr>
          <w:rFonts w:hint="eastAsia" w:cs="宋体"/>
          <w:kern w:val="0"/>
          <w:highlight w:val="none"/>
          <w:lang w:val="zh-CN"/>
        </w:rPr>
        <w:t>)</w:t>
      </w:r>
      <w:r>
        <w:rPr>
          <w:highlight w:val="none"/>
        </w:rPr>
        <w:t>：</w:t>
      </w:r>
    </w:p>
    <w:p w14:paraId="1F20D3F6">
      <w:pPr>
        <w:spacing w:line="360" w:lineRule="auto"/>
        <w:rPr>
          <w:highlight w:val="none"/>
        </w:rPr>
      </w:pPr>
      <w:r>
        <w:rPr>
          <w:highlight w:val="none"/>
        </w:rPr>
        <w:t>日期：</w:t>
      </w:r>
    </w:p>
    <w:p w14:paraId="65CB7236">
      <w:pPr>
        <w:spacing w:line="360" w:lineRule="auto"/>
        <w:rPr>
          <w:highlight w:val="none"/>
        </w:rPr>
      </w:pPr>
      <w:r>
        <w:rPr>
          <w:highlight w:val="none"/>
        </w:rPr>
        <w:br w:type="page"/>
      </w:r>
    </w:p>
    <w:p w14:paraId="56C5C264">
      <w:pPr>
        <w:pStyle w:val="5"/>
        <w:spacing w:line="360" w:lineRule="auto"/>
        <w:rPr>
          <w:highlight w:val="none"/>
        </w:rPr>
      </w:pPr>
      <w:bookmarkStart w:id="381" w:name="_Toc163492939"/>
      <w:r>
        <w:rPr>
          <w:rFonts w:hint="eastAsia"/>
          <w:highlight w:val="none"/>
        </w:rPr>
        <w:t>（二）中小企业声明函【如专门面向中小企业采购的项目，此函可放于此处，否则，应后置于“其他资格证明文件”】</w:t>
      </w:r>
      <w:bookmarkEnd w:id="381"/>
    </w:p>
    <w:p w14:paraId="6F40AF74">
      <w:pPr>
        <w:spacing w:line="360" w:lineRule="auto"/>
        <w:ind w:left="420" w:hanging="420"/>
        <w:jc w:val="center"/>
        <w:rPr>
          <w:sz w:val="32"/>
          <w:highlight w:val="none"/>
        </w:rPr>
      </w:pPr>
      <w:r>
        <w:rPr>
          <w:rFonts w:hint="eastAsia"/>
          <w:sz w:val="32"/>
          <w:highlight w:val="none"/>
        </w:rPr>
        <w:t>中小企业声明函</w:t>
      </w:r>
    </w:p>
    <w:p w14:paraId="1D1D2CF1">
      <w:pPr>
        <w:spacing w:line="360" w:lineRule="auto"/>
        <w:ind w:firstLine="480" w:firstLineChars="200"/>
        <w:rPr>
          <w:highlight w:val="none"/>
        </w:rPr>
      </w:pPr>
      <w:r>
        <w:rPr>
          <w:rFonts w:hint="eastAsia"/>
          <w:highlight w:val="none"/>
        </w:rPr>
        <w:t>本公司（联合体）郑重声明，根据《政府采购促进中小企业发展管理办法》（财库﹝2020﹞46 号）的规定，本公司（联合体）参加</w:t>
      </w:r>
      <w:r>
        <w:rPr>
          <w:rFonts w:hint="eastAsia"/>
          <w:highlight w:val="none"/>
          <w:u w:val="single"/>
        </w:rPr>
        <w:t xml:space="preserve"> （单位名称）</w:t>
      </w:r>
      <w:r>
        <w:rPr>
          <w:rFonts w:hint="eastAsia"/>
          <w:highlight w:val="none"/>
        </w:rPr>
        <w:t xml:space="preserve"> 的</w:t>
      </w:r>
      <w:r>
        <w:rPr>
          <w:rFonts w:hint="eastAsia"/>
          <w:highlight w:val="none"/>
          <w:u w:val="single"/>
        </w:rPr>
        <w:t xml:space="preserve"> （项目名称） </w:t>
      </w:r>
      <w:r>
        <w:rPr>
          <w:rFonts w:hint="eastAsia"/>
          <w:highlight w:val="none"/>
        </w:rPr>
        <w:t>采购活动，提供的货物全部由符合政策要求的中小企业制造。相关企业（含联合体中的中小企业、签订分包意向协议的中小企业）的具体情况如下：</w:t>
      </w:r>
    </w:p>
    <w:p w14:paraId="0A6C370A">
      <w:pPr>
        <w:spacing w:line="360" w:lineRule="auto"/>
        <w:rPr>
          <w:highlight w:val="none"/>
        </w:rPr>
      </w:pPr>
      <w:r>
        <w:rPr>
          <w:rFonts w:hint="eastAsia"/>
          <w:highlight w:val="none"/>
        </w:rPr>
        <w:t xml:space="preserve">1. </w:t>
      </w:r>
      <w:r>
        <w:rPr>
          <w:rFonts w:hint="eastAsia"/>
          <w:highlight w:val="none"/>
          <w:u w:val="single"/>
        </w:rPr>
        <w:t xml:space="preserve">（标的名称） </w:t>
      </w:r>
      <w:r>
        <w:rPr>
          <w:rFonts w:hint="eastAsia"/>
          <w:highlight w:val="none"/>
        </w:rPr>
        <w:t xml:space="preserve">，属于 </w:t>
      </w:r>
      <w:r>
        <w:rPr>
          <w:rFonts w:hint="eastAsia"/>
          <w:highlight w:val="none"/>
          <w:u w:val="single"/>
        </w:rPr>
        <w:t>（采购文件中明确的所属行业）</w:t>
      </w:r>
      <w:r>
        <w:rPr>
          <w:rFonts w:hint="eastAsia"/>
          <w:highlight w:val="none"/>
        </w:rPr>
        <w:t xml:space="preserve">行业 ；制造商为 </w:t>
      </w:r>
      <w:r>
        <w:rPr>
          <w:rFonts w:hint="eastAsia"/>
          <w:highlight w:val="none"/>
          <w:u w:val="single"/>
        </w:rPr>
        <w:t>（企业名称）</w:t>
      </w:r>
      <w:r>
        <w:rPr>
          <w:rFonts w:hint="eastAsia"/>
          <w:highlight w:val="none"/>
        </w:rPr>
        <w:t xml:space="preserve"> ，从业人员 </w:t>
      </w:r>
      <w:r>
        <w:rPr>
          <w:rFonts w:hint="eastAsia"/>
          <w:highlight w:val="none"/>
          <w:u w:val="single"/>
        </w:rPr>
        <w:t xml:space="preserve">    </w:t>
      </w:r>
      <w:r>
        <w:rPr>
          <w:rFonts w:hint="eastAsia"/>
          <w:highlight w:val="none"/>
        </w:rPr>
        <w:t>人，营业收入为</w:t>
      </w:r>
      <w:r>
        <w:rPr>
          <w:rFonts w:hint="eastAsia"/>
          <w:highlight w:val="none"/>
          <w:u w:val="single"/>
        </w:rPr>
        <w:t xml:space="preserve">      </w:t>
      </w:r>
      <w:r>
        <w:rPr>
          <w:rFonts w:hint="eastAsia"/>
          <w:highlight w:val="none"/>
        </w:rPr>
        <w:t>万元，资产总额为</w:t>
      </w:r>
      <w:r>
        <w:rPr>
          <w:rFonts w:hint="eastAsia"/>
          <w:highlight w:val="none"/>
          <w:u w:val="single"/>
        </w:rPr>
        <w:t xml:space="preserve">       </w:t>
      </w:r>
      <w:r>
        <w:rPr>
          <w:rFonts w:hint="eastAsia"/>
          <w:highlight w:val="none"/>
        </w:rPr>
        <w:t xml:space="preserve">万元，属于 </w:t>
      </w:r>
      <w:r>
        <w:rPr>
          <w:rFonts w:hint="eastAsia"/>
          <w:highlight w:val="none"/>
          <w:u w:val="single"/>
        </w:rPr>
        <w:t>（中型企业、小型企业、微型企业）</w:t>
      </w:r>
      <w:r>
        <w:rPr>
          <w:rFonts w:hint="eastAsia"/>
          <w:highlight w:val="none"/>
        </w:rPr>
        <w:t>；</w:t>
      </w:r>
    </w:p>
    <w:p w14:paraId="60D59F73">
      <w:pPr>
        <w:spacing w:line="360" w:lineRule="auto"/>
        <w:rPr>
          <w:highlight w:val="none"/>
        </w:rPr>
      </w:pPr>
      <w:r>
        <w:rPr>
          <w:rFonts w:hint="eastAsia"/>
          <w:highlight w:val="none"/>
        </w:rPr>
        <w:t xml:space="preserve">2. </w:t>
      </w:r>
      <w:r>
        <w:rPr>
          <w:rFonts w:hint="eastAsia"/>
          <w:highlight w:val="none"/>
          <w:u w:val="single"/>
        </w:rPr>
        <w:t xml:space="preserve">（标的名称） </w:t>
      </w:r>
      <w:r>
        <w:rPr>
          <w:rFonts w:hint="eastAsia"/>
          <w:highlight w:val="none"/>
        </w:rPr>
        <w:t xml:space="preserve">，属于 </w:t>
      </w:r>
      <w:r>
        <w:rPr>
          <w:rFonts w:hint="eastAsia"/>
          <w:highlight w:val="none"/>
          <w:u w:val="single"/>
        </w:rPr>
        <w:t>（采购文件中明确的所属行业）</w:t>
      </w:r>
      <w:r>
        <w:rPr>
          <w:rFonts w:hint="eastAsia"/>
          <w:highlight w:val="none"/>
        </w:rPr>
        <w:t xml:space="preserve">行业 ；制造商为 </w:t>
      </w:r>
      <w:r>
        <w:rPr>
          <w:rFonts w:hint="eastAsia"/>
          <w:highlight w:val="none"/>
          <w:u w:val="single"/>
        </w:rPr>
        <w:t>（企业名称）</w:t>
      </w:r>
      <w:r>
        <w:rPr>
          <w:rFonts w:hint="eastAsia"/>
          <w:highlight w:val="none"/>
        </w:rPr>
        <w:t xml:space="preserve"> ，从业人员 </w:t>
      </w:r>
      <w:r>
        <w:rPr>
          <w:rFonts w:hint="eastAsia"/>
          <w:highlight w:val="none"/>
          <w:u w:val="single"/>
        </w:rPr>
        <w:t xml:space="preserve">    </w:t>
      </w:r>
      <w:r>
        <w:rPr>
          <w:rFonts w:hint="eastAsia"/>
          <w:highlight w:val="none"/>
        </w:rPr>
        <w:t>人，营业收入为</w:t>
      </w:r>
      <w:r>
        <w:rPr>
          <w:rFonts w:hint="eastAsia"/>
          <w:highlight w:val="none"/>
          <w:u w:val="single"/>
        </w:rPr>
        <w:t xml:space="preserve">      </w:t>
      </w:r>
      <w:r>
        <w:rPr>
          <w:rFonts w:hint="eastAsia"/>
          <w:highlight w:val="none"/>
        </w:rPr>
        <w:t>万元，资产总额为</w:t>
      </w:r>
      <w:r>
        <w:rPr>
          <w:rFonts w:hint="eastAsia"/>
          <w:highlight w:val="none"/>
          <w:u w:val="single"/>
        </w:rPr>
        <w:t xml:space="preserve">       </w:t>
      </w:r>
      <w:r>
        <w:rPr>
          <w:rFonts w:hint="eastAsia"/>
          <w:highlight w:val="none"/>
        </w:rPr>
        <w:t xml:space="preserve">万元，属于 </w:t>
      </w:r>
      <w:r>
        <w:rPr>
          <w:rFonts w:hint="eastAsia"/>
          <w:highlight w:val="none"/>
          <w:u w:val="single"/>
        </w:rPr>
        <w:t>（中型企业、小型企业、微型企业）</w:t>
      </w:r>
      <w:r>
        <w:rPr>
          <w:rFonts w:hint="eastAsia"/>
          <w:highlight w:val="none"/>
        </w:rPr>
        <w:t>；</w:t>
      </w:r>
    </w:p>
    <w:p w14:paraId="25A6CB02">
      <w:pPr>
        <w:spacing w:line="360" w:lineRule="auto"/>
        <w:rPr>
          <w:highlight w:val="none"/>
        </w:rPr>
      </w:pPr>
      <w:r>
        <w:rPr>
          <w:rFonts w:hint="eastAsia"/>
          <w:highlight w:val="none"/>
        </w:rPr>
        <w:t>……</w:t>
      </w:r>
    </w:p>
    <w:p w14:paraId="0E7ED074">
      <w:pPr>
        <w:spacing w:line="360" w:lineRule="auto"/>
        <w:rPr>
          <w:highlight w:val="none"/>
        </w:rPr>
      </w:pPr>
      <w:r>
        <w:rPr>
          <w:rFonts w:hint="eastAsia"/>
          <w:highlight w:val="none"/>
        </w:rPr>
        <w:t>以上企业，不属于大企业的分支机构，不存在控股股东为大企业的情形，也不存在与大企业的负责人为同一人的情形。</w:t>
      </w:r>
    </w:p>
    <w:p w14:paraId="71221A06">
      <w:pPr>
        <w:spacing w:line="360" w:lineRule="auto"/>
        <w:rPr>
          <w:highlight w:val="none"/>
        </w:rPr>
      </w:pPr>
      <w:r>
        <w:rPr>
          <w:rFonts w:hint="eastAsia"/>
          <w:highlight w:val="none"/>
        </w:rPr>
        <w:t>本企业对上述声明内容的真实性负责。如有虚假，将依法承担相应责任。</w:t>
      </w:r>
    </w:p>
    <w:p w14:paraId="1982EC5E">
      <w:pPr>
        <w:spacing w:line="360" w:lineRule="auto"/>
        <w:rPr>
          <w:highlight w:val="none"/>
        </w:rPr>
      </w:pPr>
    </w:p>
    <w:p w14:paraId="2B385A40">
      <w:pPr>
        <w:spacing w:line="360" w:lineRule="auto"/>
        <w:rPr>
          <w:highlight w:val="none"/>
        </w:rPr>
      </w:pPr>
      <w:r>
        <w:rPr>
          <w:rFonts w:hint="eastAsia"/>
          <w:highlight w:val="none"/>
        </w:rPr>
        <w:t>投标人名称</w:t>
      </w:r>
      <w:r>
        <w:rPr>
          <w:rFonts w:hint="eastAsia" w:cs="仿宋_GB2312"/>
          <w:highlight w:val="none"/>
        </w:rPr>
        <w:t>（</w:t>
      </w:r>
      <w:r>
        <w:rPr>
          <w:rFonts w:hint="eastAsia"/>
          <w:kern w:val="0"/>
          <w:highlight w:val="none"/>
        </w:rPr>
        <w:t>公章）</w:t>
      </w:r>
      <w:r>
        <w:rPr>
          <w:rFonts w:hint="eastAsia"/>
          <w:highlight w:val="none"/>
        </w:rPr>
        <w:t>：</w:t>
      </w:r>
    </w:p>
    <w:p w14:paraId="4A1446F9">
      <w:pPr>
        <w:spacing w:line="360" w:lineRule="auto"/>
        <w:rPr>
          <w:highlight w:val="none"/>
        </w:rPr>
      </w:pPr>
      <w:r>
        <w:rPr>
          <w:rFonts w:hint="eastAsia"/>
          <w:highlight w:val="none"/>
        </w:rPr>
        <w:t>日期：   年  月  日</w:t>
      </w:r>
    </w:p>
    <w:p w14:paraId="1AF81FAB">
      <w:pPr>
        <w:spacing w:line="360" w:lineRule="auto"/>
        <w:rPr>
          <w:highlight w:val="none"/>
        </w:rPr>
      </w:pPr>
    </w:p>
    <w:p w14:paraId="3EAA38A2">
      <w:pPr>
        <w:spacing w:line="360" w:lineRule="auto"/>
        <w:rPr>
          <w:highlight w:val="none"/>
        </w:rPr>
      </w:pPr>
      <w:r>
        <w:rPr>
          <w:rFonts w:hint="eastAsia"/>
          <w:highlight w:val="none"/>
        </w:rPr>
        <w:t>说明：1.重要提示：供应商应仔细阅读本函附件1关于</w:t>
      </w:r>
      <w:r>
        <w:rPr>
          <w:rFonts w:hint="eastAsia"/>
          <w:spacing w:val="-6"/>
          <w:kern w:val="0"/>
          <w:highlight w:val="none"/>
          <w:lang w:bidi="ar"/>
        </w:rPr>
        <w:t>“</w:t>
      </w:r>
      <w:r>
        <w:rPr>
          <w:rFonts w:hint="eastAsia"/>
          <w:highlight w:val="none"/>
        </w:rPr>
        <w:t>中小企业声明函”的填写要求及提交要求，否则，因填写或提交等产生的一切不利后果，须自行承担。</w:t>
      </w:r>
    </w:p>
    <w:p w14:paraId="78C69041">
      <w:pPr>
        <w:spacing w:line="360" w:lineRule="auto"/>
        <w:rPr>
          <w:highlight w:val="none"/>
        </w:rPr>
      </w:pPr>
      <w:r>
        <w:rPr>
          <w:rFonts w:hint="eastAsia"/>
          <w:b/>
          <w:bCs/>
          <w:highlight w:val="none"/>
        </w:rPr>
        <w:t>2.</w:t>
      </w:r>
      <w:r>
        <w:rPr>
          <w:rFonts w:hint="eastAsia"/>
          <w:highlight w:val="none"/>
        </w:rPr>
        <w:t>从业人员、营业收入、资产总额填报上一年度数据，无上一年度数据的新成立企业可不填报。</w:t>
      </w:r>
    </w:p>
    <w:p w14:paraId="5AB2C8BF">
      <w:pPr>
        <w:spacing w:line="360" w:lineRule="auto"/>
        <w:rPr>
          <w:highlight w:val="none"/>
        </w:rPr>
      </w:pPr>
    </w:p>
    <w:p w14:paraId="45D83738">
      <w:pPr>
        <w:spacing w:line="360" w:lineRule="auto"/>
        <w:rPr>
          <w:highlight w:val="none"/>
        </w:rPr>
      </w:pPr>
    </w:p>
    <w:p w14:paraId="6041B94C">
      <w:pPr>
        <w:spacing w:line="360" w:lineRule="auto"/>
        <w:rPr>
          <w:highlight w:val="none"/>
        </w:rPr>
      </w:pPr>
    </w:p>
    <w:p w14:paraId="29F3501F">
      <w:pPr>
        <w:spacing w:line="360" w:lineRule="auto"/>
        <w:rPr>
          <w:highlight w:val="none"/>
        </w:rPr>
      </w:pPr>
      <w:r>
        <w:rPr>
          <w:highlight w:val="none"/>
        </w:rPr>
        <w:br w:type="page"/>
      </w:r>
    </w:p>
    <w:p w14:paraId="49A3509C">
      <w:pPr>
        <w:spacing w:line="360" w:lineRule="auto"/>
        <w:rPr>
          <w:highlight w:val="none"/>
        </w:rPr>
      </w:pPr>
      <w:r>
        <w:rPr>
          <w:rFonts w:hint="eastAsia"/>
          <w:highlight w:val="none"/>
        </w:rPr>
        <w:t xml:space="preserve">附件1 </w:t>
      </w:r>
    </w:p>
    <w:p w14:paraId="3E841032">
      <w:pPr>
        <w:spacing w:line="360" w:lineRule="auto"/>
        <w:rPr>
          <w:rStyle w:val="36"/>
          <w:rFonts w:cs="宋体"/>
          <w:kern w:val="0"/>
          <w:szCs w:val="24"/>
          <w:highlight w:val="none"/>
          <w:lang w:bidi="ar"/>
        </w:rPr>
      </w:pPr>
      <w:r>
        <w:rPr>
          <w:rStyle w:val="36"/>
          <w:rFonts w:hint="eastAsia" w:cs="宋体"/>
          <w:kern w:val="0"/>
          <w:szCs w:val="24"/>
          <w:highlight w:val="none"/>
          <w:lang w:bidi="ar"/>
        </w:rPr>
        <w:t>（一）关于“中小企业声明函”的填写要求</w:t>
      </w:r>
    </w:p>
    <w:p w14:paraId="19886E27">
      <w:pPr>
        <w:spacing w:line="360" w:lineRule="auto"/>
        <w:rPr>
          <w:highlight w:val="none"/>
          <w:lang w:bidi="ar"/>
        </w:rPr>
      </w:pPr>
      <w:r>
        <w:rPr>
          <w:rFonts w:hint="eastAsia"/>
          <w:highlight w:val="none"/>
          <w:lang w:bidi="ar"/>
        </w:rPr>
        <w:t>“中小企业声明函”具体填写要求如下：</w:t>
      </w:r>
    </w:p>
    <w:p w14:paraId="62936968">
      <w:pPr>
        <w:spacing w:line="360" w:lineRule="auto"/>
        <w:rPr>
          <w:highlight w:val="none"/>
          <w:lang w:bidi="ar"/>
        </w:rPr>
      </w:pPr>
      <w:r>
        <w:rPr>
          <w:rFonts w:hint="eastAsia"/>
          <w:highlight w:val="none"/>
          <w:lang w:bidi="ar"/>
        </w:rPr>
        <w:t>1.“单位名称”应填写采购人名称。</w:t>
      </w:r>
    </w:p>
    <w:p w14:paraId="5C2D72EF">
      <w:pPr>
        <w:spacing w:line="360" w:lineRule="auto"/>
        <w:rPr>
          <w:highlight w:val="none"/>
          <w:lang w:bidi="ar"/>
        </w:rPr>
      </w:pPr>
      <w:r>
        <w:rPr>
          <w:rFonts w:hint="eastAsia"/>
          <w:highlight w:val="none"/>
          <w:lang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166E03DF">
      <w:pPr>
        <w:spacing w:line="360" w:lineRule="auto"/>
        <w:rPr>
          <w:highlight w:val="none"/>
          <w:lang w:bidi="ar"/>
        </w:rPr>
      </w:pPr>
      <w:r>
        <w:rPr>
          <w:rFonts w:hint="eastAsia"/>
          <w:highlight w:val="none"/>
          <w:lang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2BBCC74C">
      <w:pPr>
        <w:spacing w:line="360" w:lineRule="auto"/>
        <w:rPr>
          <w:highlight w:val="none"/>
          <w:lang w:bidi="ar"/>
        </w:rPr>
      </w:pPr>
      <w:r>
        <w:rPr>
          <w:rFonts w:hint="eastAsia"/>
          <w:highlight w:val="none"/>
          <w:lang w:bidi="ar"/>
        </w:rPr>
        <w:t>4.“采购文件中明确的所属行业”应填写采购文件中明确的采购标的所属行业，并应确保与采购标的涉及的货物制造商/服务承接商/工程承建商（根据项目属性确定）本身的所属行业保持一致。</w:t>
      </w:r>
    </w:p>
    <w:p w14:paraId="4C9B3728">
      <w:pPr>
        <w:spacing w:line="360" w:lineRule="auto"/>
        <w:rPr>
          <w:highlight w:val="none"/>
          <w:lang w:bidi="ar"/>
        </w:rPr>
      </w:pPr>
      <w:r>
        <w:rPr>
          <w:rFonts w:hint="eastAsia"/>
          <w:highlight w:val="none"/>
          <w:lang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6758225E">
      <w:pPr>
        <w:spacing w:line="360" w:lineRule="auto"/>
        <w:rPr>
          <w:highlight w:val="none"/>
          <w:lang w:bidi="ar"/>
        </w:rPr>
      </w:pPr>
      <w:r>
        <w:rPr>
          <w:rFonts w:hint="eastAsia"/>
          <w:highlight w:val="none"/>
          <w:lang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1A366469">
      <w:pPr>
        <w:spacing w:line="360" w:lineRule="auto"/>
        <w:rPr>
          <w:highlight w:val="none"/>
          <w:lang w:bidi="ar"/>
        </w:rPr>
      </w:pPr>
      <w:r>
        <w:rPr>
          <w:rFonts w:hint="eastAsia"/>
          <w:highlight w:val="none"/>
          <w:lang w:bidi="ar"/>
        </w:rPr>
        <w:t>5.“企业名称”应填写投标（响应）的货物制造商/服务承接商/工程承建商（根据项目属性确定）。</w:t>
      </w:r>
    </w:p>
    <w:p w14:paraId="6E53235C">
      <w:pPr>
        <w:spacing w:line="360" w:lineRule="auto"/>
        <w:rPr>
          <w:highlight w:val="none"/>
          <w:lang w:bidi="ar"/>
        </w:rPr>
      </w:pPr>
      <w:r>
        <w:rPr>
          <w:rFonts w:hint="eastAsia"/>
          <w:highlight w:val="none"/>
          <w:lang w:bidi="ar"/>
        </w:rPr>
        <w:t>对于分包方式面向中小企业采购的项目，“企业名称”应填写分包部分采购标的对应的货物制造商/服务承接商/工程承建商（根据项目属性确定）。</w:t>
      </w:r>
    </w:p>
    <w:p w14:paraId="5407792A">
      <w:pPr>
        <w:spacing w:line="360" w:lineRule="auto"/>
        <w:rPr>
          <w:highlight w:val="none"/>
          <w:lang w:bidi="ar"/>
        </w:rPr>
      </w:pPr>
      <w:r>
        <w:rPr>
          <w:rFonts w:hint="eastAsia"/>
          <w:highlight w:val="none"/>
          <w:lang w:bidi="ar"/>
        </w:rPr>
        <w:t>对于以联合体方式面向中小企业采购的项目，“企业名称”应填写联合体中中小企业承担采购标的对应的货物制造商/服务承接商/工程承建商（根据项目属性确定）。</w:t>
      </w:r>
    </w:p>
    <w:p w14:paraId="7C5EEB4B">
      <w:pPr>
        <w:spacing w:line="360" w:lineRule="auto"/>
        <w:rPr>
          <w:highlight w:val="none"/>
          <w:lang w:bidi="ar"/>
        </w:rPr>
      </w:pPr>
      <w:r>
        <w:rPr>
          <w:rFonts w:hint="eastAsia"/>
          <w:highlight w:val="none"/>
          <w:lang w:bidi="ar"/>
        </w:rPr>
        <w:t>6.从业人员、资产总额指标以上年度末数据为依据，营业收入指标以上年度累计数据为依据。无上年度数据的新成立企业可不填报。</w:t>
      </w:r>
    </w:p>
    <w:p w14:paraId="659E5A1E">
      <w:pPr>
        <w:spacing w:line="360" w:lineRule="auto"/>
        <w:rPr>
          <w:highlight w:val="none"/>
          <w:lang w:bidi="ar"/>
        </w:rPr>
      </w:pPr>
      <w:r>
        <w:rPr>
          <w:rFonts w:hint="eastAsia"/>
          <w:highlight w:val="none"/>
          <w:lang w:bidi="ar"/>
        </w:rPr>
        <w:t>7.“中型企业/小型企业/微型企业”部分，供应商应依据企业上年度从业人员、营业收入、资产总额等指标，按照《中小企业划型标准规定》（工信部联企业〔2011〕300号）、《金融业企业划型标准规定》（银发〔2015〕309号），判断“中小企业声明函”载明的货物制造商/服务承接商/工程承建商（根据项目属性确定）是否属于采购文件所属行业的中型企业/小型企业/微型企业。</w:t>
      </w:r>
    </w:p>
    <w:p w14:paraId="3CB5FFC3">
      <w:pPr>
        <w:spacing w:line="360" w:lineRule="auto"/>
        <w:rPr>
          <w:highlight w:val="none"/>
          <w:lang w:bidi="ar"/>
        </w:rPr>
      </w:pPr>
      <w:r>
        <w:rPr>
          <w:rFonts w:hint="eastAsia"/>
          <w:highlight w:val="none"/>
          <w:lang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2FC9935F">
      <w:pPr>
        <w:spacing w:line="360" w:lineRule="auto"/>
        <w:rPr>
          <w:rStyle w:val="36"/>
          <w:rFonts w:cs="宋体"/>
          <w:kern w:val="0"/>
          <w:szCs w:val="24"/>
          <w:highlight w:val="none"/>
          <w:lang w:bidi="ar"/>
        </w:rPr>
      </w:pPr>
      <w:r>
        <w:rPr>
          <w:rStyle w:val="36"/>
          <w:rFonts w:hint="eastAsia" w:cs="宋体"/>
          <w:kern w:val="0"/>
          <w:szCs w:val="24"/>
          <w:highlight w:val="none"/>
          <w:lang w:bidi="ar"/>
        </w:rPr>
        <w:t>（二）关于“中小企业声明函”的提交要求</w:t>
      </w:r>
    </w:p>
    <w:p w14:paraId="7E61EBA4">
      <w:pPr>
        <w:spacing w:line="360" w:lineRule="auto"/>
        <w:rPr>
          <w:highlight w:val="none"/>
          <w:lang w:bidi="ar"/>
        </w:rPr>
      </w:pPr>
      <w:r>
        <w:rPr>
          <w:rFonts w:hint="eastAsia"/>
          <w:highlight w:val="none"/>
          <w:lang w:bidi="ar"/>
        </w:rPr>
        <w:t>1.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5D13A40C">
      <w:pPr>
        <w:spacing w:line="360" w:lineRule="auto"/>
        <w:rPr>
          <w:highlight w:val="none"/>
          <w:lang w:bidi="ar"/>
        </w:rPr>
      </w:pPr>
      <w:r>
        <w:rPr>
          <w:rFonts w:hint="eastAsia"/>
          <w:highlight w:val="none"/>
          <w:lang w:bidi="ar"/>
        </w:rPr>
        <w:t>2.鼓励供应商在投标（响应）时一并提供对货物制造商、服务承接商、工程承建商相关信息的核实核验情况以及其他佐证材料。</w:t>
      </w:r>
    </w:p>
    <w:p w14:paraId="054A2CA1">
      <w:pPr>
        <w:spacing w:line="360" w:lineRule="auto"/>
        <w:rPr>
          <w:highlight w:val="none"/>
          <w:lang w:bidi="ar"/>
        </w:rPr>
      </w:pPr>
      <w:r>
        <w:rPr>
          <w:rFonts w:hint="eastAsia"/>
          <w:highlight w:val="none"/>
          <w:lang w:bidi="ar"/>
        </w:rPr>
        <w:t>3.如供应商提供的“中小企业声明函”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55A7CA5">
      <w:pPr>
        <w:spacing w:line="360" w:lineRule="auto"/>
        <w:rPr>
          <w:highlight w:val="none"/>
        </w:rPr>
      </w:pPr>
      <w:r>
        <w:rPr>
          <w:rFonts w:hint="eastAsia"/>
          <w:highlight w:val="none"/>
        </w:rPr>
        <w:br w:type="page"/>
      </w:r>
    </w:p>
    <w:p w14:paraId="56B28319">
      <w:pPr>
        <w:spacing w:line="360" w:lineRule="auto"/>
        <w:rPr>
          <w:highlight w:val="none"/>
        </w:rPr>
      </w:pPr>
      <w:r>
        <w:rPr>
          <w:rFonts w:hint="eastAsia"/>
          <w:highlight w:val="none"/>
        </w:rPr>
        <w:t>附件2：</w:t>
      </w:r>
    </w:p>
    <w:p w14:paraId="704F39DD">
      <w:pPr>
        <w:pStyle w:val="19"/>
        <w:spacing w:line="360" w:lineRule="auto"/>
        <w:rPr>
          <w:highlight w:val="none"/>
        </w:rPr>
      </w:pPr>
      <w:r>
        <w:rPr>
          <w:rFonts w:hint="eastAsia"/>
          <w:highlight w:val="none"/>
        </w:rPr>
        <w:t>关于印发中小企业划型标准规定的通知</w:t>
      </w:r>
    </w:p>
    <w:p w14:paraId="4AA1B4C5">
      <w:pPr>
        <w:spacing w:line="360" w:lineRule="auto"/>
        <w:rPr>
          <w:rStyle w:val="36"/>
          <w:rFonts w:cs="宋体"/>
          <w:b w:val="0"/>
          <w:szCs w:val="24"/>
          <w:highlight w:val="none"/>
        </w:rPr>
      </w:pPr>
      <w:r>
        <w:rPr>
          <w:rStyle w:val="36"/>
          <w:rFonts w:hint="eastAsia" w:cs="宋体"/>
          <w:b w:val="0"/>
          <w:szCs w:val="24"/>
          <w:highlight w:val="none"/>
        </w:rPr>
        <w:t>工信部联企业〔2011〕300号</w:t>
      </w:r>
    </w:p>
    <w:p w14:paraId="12F78A34">
      <w:pPr>
        <w:spacing w:line="360" w:lineRule="auto"/>
        <w:rPr>
          <w:rStyle w:val="36"/>
          <w:rFonts w:cs="宋体"/>
          <w:b w:val="0"/>
          <w:szCs w:val="24"/>
          <w:highlight w:val="none"/>
        </w:rPr>
      </w:pPr>
    </w:p>
    <w:p w14:paraId="153D8BFF">
      <w:pPr>
        <w:spacing w:line="360" w:lineRule="auto"/>
        <w:rPr>
          <w:rStyle w:val="36"/>
          <w:rFonts w:cs="宋体"/>
          <w:b w:val="0"/>
          <w:szCs w:val="24"/>
          <w:highlight w:val="none"/>
        </w:rPr>
      </w:pPr>
      <w:r>
        <w:rPr>
          <w:rStyle w:val="36"/>
          <w:rFonts w:hint="eastAsia" w:cs="宋体"/>
          <w:b w:val="0"/>
          <w:szCs w:val="24"/>
          <w:highlight w:val="none"/>
        </w:rPr>
        <w:t>各省、自治区、直辖市人民政府，国务院各部委、各直属机构及有关单位：</w:t>
      </w:r>
    </w:p>
    <w:p w14:paraId="0435FBC1">
      <w:pPr>
        <w:spacing w:line="360" w:lineRule="auto"/>
        <w:rPr>
          <w:rStyle w:val="36"/>
          <w:rFonts w:cs="宋体"/>
          <w:b w:val="0"/>
          <w:bCs w:val="0"/>
          <w:szCs w:val="24"/>
          <w:highlight w:val="none"/>
        </w:rPr>
      </w:pPr>
      <w:r>
        <w:rPr>
          <w:rStyle w:val="36"/>
          <w:rFonts w:hint="eastAsia" w:cs="宋体"/>
          <w:b w:val="0"/>
          <w:bCs w:val="0"/>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2F9404BB">
      <w:pPr>
        <w:spacing w:line="360" w:lineRule="auto"/>
        <w:rPr>
          <w:rStyle w:val="36"/>
          <w:rFonts w:cs="宋体"/>
          <w:b w:val="0"/>
          <w:bCs w:val="0"/>
          <w:szCs w:val="24"/>
          <w:highlight w:val="none"/>
        </w:rPr>
      </w:pPr>
      <w:r>
        <w:rPr>
          <w:rStyle w:val="36"/>
          <w:rFonts w:hint="eastAsia" w:cs="宋体"/>
          <w:b w:val="0"/>
          <w:bCs w:val="0"/>
          <w:szCs w:val="24"/>
          <w:highlight w:val="none"/>
        </w:rPr>
        <w:t>工业和信息化部　国家统计局</w:t>
      </w:r>
    </w:p>
    <w:p w14:paraId="76A748F6">
      <w:pPr>
        <w:spacing w:line="360" w:lineRule="auto"/>
        <w:rPr>
          <w:rStyle w:val="36"/>
          <w:rFonts w:cs="宋体"/>
          <w:b w:val="0"/>
          <w:bCs w:val="0"/>
          <w:szCs w:val="24"/>
          <w:highlight w:val="none"/>
        </w:rPr>
      </w:pPr>
      <w:r>
        <w:rPr>
          <w:rStyle w:val="36"/>
          <w:rFonts w:hint="eastAsia" w:cs="宋体"/>
          <w:b w:val="0"/>
          <w:bCs w:val="0"/>
          <w:szCs w:val="24"/>
          <w:highlight w:val="none"/>
        </w:rPr>
        <w:t>国家发展和改革委员会　财政部</w:t>
      </w:r>
    </w:p>
    <w:p w14:paraId="65E5A39D">
      <w:pPr>
        <w:spacing w:line="360" w:lineRule="auto"/>
        <w:rPr>
          <w:rStyle w:val="36"/>
          <w:rFonts w:cs="宋体"/>
          <w:b w:val="0"/>
          <w:bCs w:val="0"/>
          <w:szCs w:val="24"/>
          <w:highlight w:val="none"/>
        </w:rPr>
      </w:pPr>
      <w:r>
        <w:rPr>
          <w:rStyle w:val="36"/>
          <w:rFonts w:hint="eastAsia" w:cs="宋体"/>
          <w:b w:val="0"/>
          <w:bCs w:val="0"/>
          <w:szCs w:val="24"/>
          <w:highlight w:val="none"/>
        </w:rPr>
        <w:t>二○一一年六月十八日</w:t>
      </w:r>
    </w:p>
    <w:p w14:paraId="52CEE091">
      <w:pPr>
        <w:spacing w:line="360" w:lineRule="auto"/>
        <w:rPr>
          <w:rStyle w:val="36"/>
          <w:rFonts w:cs="宋体"/>
          <w:b w:val="0"/>
          <w:bCs w:val="0"/>
          <w:szCs w:val="24"/>
          <w:highlight w:val="none"/>
        </w:rPr>
      </w:pPr>
      <w:r>
        <w:rPr>
          <w:rStyle w:val="36"/>
          <w:rFonts w:hint="eastAsia" w:cs="宋体"/>
          <w:b w:val="0"/>
          <w:bCs w:val="0"/>
          <w:szCs w:val="24"/>
          <w:highlight w:val="none"/>
        </w:rPr>
        <w:t xml:space="preserve"> </w:t>
      </w:r>
    </w:p>
    <w:p w14:paraId="231052D7">
      <w:pPr>
        <w:spacing w:line="360" w:lineRule="auto"/>
        <w:rPr>
          <w:rStyle w:val="36"/>
          <w:rFonts w:cs="宋体"/>
          <w:bCs w:val="0"/>
          <w:sz w:val="28"/>
          <w:szCs w:val="28"/>
          <w:highlight w:val="none"/>
        </w:rPr>
      </w:pPr>
      <w:r>
        <w:rPr>
          <w:rStyle w:val="36"/>
          <w:rFonts w:hint="eastAsia" w:cs="宋体"/>
          <w:bCs w:val="0"/>
          <w:sz w:val="28"/>
          <w:szCs w:val="28"/>
          <w:highlight w:val="none"/>
        </w:rPr>
        <w:t>中小企业划型标准规定</w:t>
      </w:r>
    </w:p>
    <w:p w14:paraId="4151DE2B">
      <w:pPr>
        <w:spacing w:line="360" w:lineRule="auto"/>
        <w:rPr>
          <w:rStyle w:val="36"/>
          <w:rFonts w:cs="宋体"/>
          <w:b w:val="0"/>
          <w:bCs w:val="0"/>
          <w:szCs w:val="24"/>
          <w:highlight w:val="none"/>
        </w:rPr>
      </w:pPr>
      <w:r>
        <w:rPr>
          <w:rStyle w:val="36"/>
          <w:rFonts w:hint="eastAsia" w:cs="宋体"/>
          <w:b w:val="0"/>
          <w:bCs w:val="0"/>
          <w:szCs w:val="24"/>
          <w:highlight w:val="none"/>
        </w:rPr>
        <w:t>　　一、根据《中华人民共和国中小企业促进法》和《国务院关于进一步促进中小企业发展的若干意见》(国发〔2009〕36号)，制定本规定。</w:t>
      </w:r>
    </w:p>
    <w:p w14:paraId="2C471DD7">
      <w:pPr>
        <w:spacing w:line="360" w:lineRule="auto"/>
        <w:rPr>
          <w:rStyle w:val="36"/>
          <w:rFonts w:cs="宋体"/>
          <w:b w:val="0"/>
          <w:bCs w:val="0"/>
          <w:szCs w:val="24"/>
          <w:highlight w:val="none"/>
        </w:rPr>
      </w:pPr>
      <w:r>
        <w:rPr>
          <w:rStyle w:val="36"/>
          <w:rFonts w:hint="eastAsia" w:cs="宋体"/>
          <w:b w:val="0"/>
          <w:bCs w:val="0"/>
          <w:szCs w:val="24"/>
          <w:highlight w:val="none"/>
        </w:rPr>
        <w:t>　　二、中小企业划分为中型、小型、微型三种类型，具体标准根据企业从业人员、营业收入、资产总额等指标，结合行业特点制定。</w:t>
      </w:r>
    </w:p>
    <w:p w14:paraId="7D0A436C">
      <w:pPr>
        <w:spacing w:line="360" w:lineRule="auto"/>
        <w:rPr>
          <w:rStyle w:val="36"/>
          <w:rFonts w:cs="宋体"/>
          <w:b w:val="0"/>
          <w:bCs w:val="0"/>
          <w:szCs w:val="24"/>
          <w:highlight w:val="none"/>
        </w:rPr>
      </w:pPr>
      <w:r>
        <w:rPr>
          <w:rStyle w:val="36"/>
          <w:rFonts w:hint="eastAsia" w:cs="宋体"/>
          <w:b w:val="0"/>
          <w:bCs w:val="0"/>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00BE12D3">
      <w:pPr>
        <w:spacing w:line="360" w:lineRule="auto"/>
        <w:rPr>
          <w:rStyle w:val="36"/>
          <w:rFonts w:cs="宋体"/>
          <w:b w:val="0"/>
          <w:bCs w:val="0"/>
          <w:szCs w:val="24"/>
          <w:highlight w:val="none"/>
        </w:rPr>
      </w:pPr>
      <w:r>
        <w:rPr>
          <w:rStyle w:val="36"/>
          <w:rFonts w:hint="eastAsia" w:cs="宋体"/>
          <w:b w:val="0"/>
          <w:bCs w:val="0"/>
          <w:szCs w:val="24"/>
          <w:highlight w:val="none"/>
        </w:rPr>
        <w:t>　　四、各行业划型标准为：</w:t>
      </w:r>
    </w:p>
    <w:p w14:paraId="1E1124E1">
      <w:pPr>
        <w:spacing w:line="360" w:lineRule="auto"/>
        <w:rPr>
          <w:rStyle w:val="36"/>
          <w:rFonts w:cs="宋体"/>
          <w:b w:val="0"/>
          <w:bCs w:val="0"/>
          <w:szCs w:val="24"/>
          <w:highlight w:val="none"/>
        </w:rPr>
      </w:pPr>
      <w:r>
        <w:rPr>
          <w:rStyle w:val="36"/>
          <w:rFonts w:hint="eastAsia" w:cs="宋体"/>
          <w:b w:val="0"/>
          <w:bCs w:val="0"/>
          <w:szCs w:val="24"/>
          <w:highlight w:val="none"/>
        </w:rPr>
        <w:t>　　（一）农、林、牧、渔业。营业收入20000万元以下的为中小微型企业。其中，营业收入500万元及以上的为中型企业，营业收入50万元及以上的为小型企业，营业收入50万元以下的为微型企业。</w:t>
      </w:r>
    </w:p>
    <w:p w14:paraId="1F3D2E68">
      <w:pPr>
        <w:spacing w:line="360" w:lineRule="auto"/>
        <w:rPr>
          <w:rStyle w:val="36"/>
          <w:rFonts w:cs="宋体"/>
          <w:b w:val="0"/>
          <w:bCs w:val="0"/>
          <w:szCs w:val="24"/>
          <w:highlight w:val="none"/>
        </w:rPr>
      </w:pPr>
      <w:r>
        <w:rPr>
          <w:rStyle w:val="36"/>
          <w:rFonts w:hint="eastAsia" w:cs="宋体"/>
          <w:b w:val="0"/>
          <w:bCs w:val="0"/>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B90C5DB">
      <w:pPr>
        <w:spacing w:line="360" w:lineRule="auto"/>
        <w:rPr>
          <w:rStyle w:val="36"/>
          <w:rFonts w:cs="宋体"/>
          <w:b w:val="0"/>
          <w:bCs w:val="0"/>
          <w:szCs w:val="24"/>
          <w:highlight w:val="none"/>
        </w:rPr>
      </w:pPr>
      <w:r>
        <w:rPr>
          <w:rStyle w:val="36"/>
          <w:rFonts w:hint="eastAsia" w:cs="宋体"/>
          <w:b w:val="0"/>
          <w:bCs w:val="0"/>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C6A7823">
      <w:pPr>
        <w:spacing w:line="360" w:lineRule="auto"/>
        <w:rPr>
          <w:rStyle w:val="36"/>
          <w:rFonts w:cs="宋体"/>
          <w:b w:val="0"/>
          <w:bCs w:val="0"/>
          <w:szCs w:val="24"/>
          <w:highlight w:val="none"/>
        </w:rPr>
      </w:pPr>
      <w:r>
        <w:rPr>
          <w:rStyle w:val="36"/>
          <w:rFonts w:hint="eastAsia" w:cs="宋体"/>
          <w:b w:val="0"/>
          <w:bCs w:val="0"/>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DF1F31C">
      <w:pPr>
        <w:spacing w:line="360" w:lineRule="auto"/>
        <w:rPr>
          <w:rStyle w:val="36"/>
          <w:rFonts w:cs="宋体"/>
          <w:b w:val="0"/>
          <w:bCs w:val="0"/>
          <w:szCs w:val="24"/>
          <w:highlight w:val="none"/>
        </w:rPr>
      </w:pPr>
      <w:r>
        <w:rPr>
          <w:rStyle w:val="36"/>
          <w:rFonts w:hint="eastAsia" w:cs="宋体"/>
          <w:b w:val="0"/>
          <w:bCs w:val="0"/>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F3DC8E8">
      <w:pPr>
        <w:spacing w:line="360" w:lineRule="auto"/>
        <w:rPr>
          <w:rStyle w:val="36"/>
          <w:rFonts w:cs="宋体"/>
          <w:b w:val="0"/>
          <w:bCs w:val="0"/>
          <w:szCs w:val="24"/>
          <w:highlight w:val="none"/>
        </w:rPr>
      </w:pPr>
      <w:r>
        <w:rPr>
          <w:rStyle w:val="36"/>
          <w:rFonts w:hint="eastAsia" w:cs="宋体"/>
          <w:b w:val="0"/>
          <w:bCs w:val="0"/>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0C11189">
      <w:pPr>
        <w:spacing w:line="360" w:lineRule="auto"/>
        <w:rPr>
          <w:rStyle w:val="36"/>
          <w:rFonts w:cs="宋体"/>
          <w:b w:val="0"/>
          <w:bCs w:val="0"/>
          <w:szCs w:val="24"/>
          <w:highlight w:val="none"/>
        </w:rPr>
      </w:pPr>
      <w:r>
        <w:rPr>
          <w:rStyle w:val="36"/>
          <w:rFonts w:hint="eastAsia" w:cs="宋体"/>
          <w:b w:val="0"/>
          <w:bCs w:val="0"/>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4EC31E3">
      <w:pPr>
        <w:spacing w:line="360" w:lineRule="auto"/>
        <w:rPr>
          <w:rStyle w:val="36"/>
          <w:rFonts w:cs="宋体"/>
          <w:b w:val="0"/>
          <w:bCs w:val="0"/>
          <w:szCs w:val="24"/>
          <w:highlight w:val="none"/>
        </w:rPr>
      </w:pPr>
      <w:r>
        <w:rPr>
          <w:rStyle w:val="36"/>
          <w:rFonts w:hint="eastAsia" w:cs="宋体"/>
          <w:b w:val="0"/>
          <w:bCs w:val="0"/>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C9BB5D5">
      <w:pPr>
        <w:spacing w:line="360" w:lineRule="auto"/>
        <w:rPr>
          <w:rStyle w:val="36"/>
          <w:rFonts w:cs="宋体"/>
          <w:b w:val="0"/>
          <w:bCs w:val="0"/>
          <w:szCs w:val="24"/>
          <w:highlight w:val="none"/>
        </w:rPr>
      </w:pPr>
      <w:r>
        <w:rPr>
          <w:rStyle w:val="36"/>
          <w:rFonts w:hint="eastAsia" w:cs="宋体"/>
          <w:b w:val="0"/>
          <w:bCs w:val="0"/>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03CD92E">
      <w:pPr>
        <w:spacing w:line="360" w:lineRule="auto"/>
        <w:rPr>
          <w:rStyle w:val="36"/>
          <w:rFonts w:cs="宋体"/>
          <w:b w:val="0"/>
          <w:bCs w:val="0"/>
          <w:szCs w:val="24"/>
          <w:highlight w:val="none"/>
        </w:rPr>
      </w:pPr>
      <w:r>
        <w:rPr>
          <w:rStyle w:val="36"/>
          <w:rFonts w:hint="eastAsia" w:cs="宋体"/>
          <w:b w:val="0"/>
          <w:bCs w:val="0"/>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50F1D61">
      <w:pPr>
        <w:spacing w:line="360" w:lineRule="auto"/>
        <w:rPr>
          <w:rStyle w:val="36"/>
          <w:rFonts w:cs="宋体"/>
          <w:b w:val="0"/>
          <w:bCs w:val="0"/>
          <w:szCs w:val="24"/>
          <w:highlight w:val="none"/>
        </w:rPr>
      </w:pPr>
      <w:r>
        <w:rPr>
          <w:rStyle w:val="36"/>
          <w:rFonts w:hint="eastAsia" w:cs="宋体"/>
          <w:b w:val="0"/>
          <w:bCs w:val="0"/>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909A747">
      <w:pPr>
        <w:spacing w:line="360" w:lineRule="auto"/>
        <w:rPr>
          <w:rStyle w:val="36"/>
          <w:rFonts w:cs="宋体"/>
          <w:b w:val="0"/>
          <w:bCs w:val="0"/>
          <w:szCs w:val="24"/>
          <w:highlight w:val="none"/>
        </w:rPr>
      </w:pPr>
      <w:r>
        <w:rPr>
          <w:rStyle w:val="36"/>
          <w:rFonts w:hint="eastAsia" w:cs="宋体"/>
          <w:b w:val="0"/>
          <w:bCs w:val="0"/>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8779A2F">
      <w:pPr>
        <w:spacing w:line="360" w:lineRule="auto"/>
        <w:rPr>
          <w:rStyle w:val="36"/>
          <w:rFonts w:cs="宋体"/>
          <w:b w:val="0"/>
          <w:bCs w:val="0"/>
          <w:szCs w:val="24"/>
          <w:highlight w:val="none"/>
        </w:rPr>
      </w:pPr>
      <w:r>
        <w:rPr>
          <w:rStyle w:val="36"/>
          <w:rFonts w:hint="eastAsia" w:cs="宋体"/>
          <w:b w:val="0"/>
          <w:bCs w:val="0"/>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67ADFBF">
      <w:pPr>
        <w:spacing w:line="360" w:lineRule="auto"/>
        <w:rPr>
          <w:rStyle w:val="36"/>
          <w:rFonts w:cs="宋体"/>
          <w:b w:val="0"/>
          <w:bCs w:val="0"/>
          <w:szCs w:val="24"/>
          <w:highlight w:val="none"/>
        </w:rPr>
      </w:pPr>
      <w:r>
        <w:rPr>
          <w:rStyle w:val="36"/>
          <w:rFonts w:hint="eastAsia" w:cs="宋体"/>
          <w:b w:val="0"/>
          <w:bCs w:val="0"/>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725286C">
      <w:pPr>
        <w:spacing w:line="360" w:lineRule="auto"/>
        <w:rPr>
          <w:rStyle w:val="36"/>
          <w:rFonts w:cs="宋体"/>
          <w:b w:val="0"/>
          <w:bCs w:val="0"/>
          <w:szCs w:val="24"/>
          <w:highlight w:val="none"/>
        </w:rPr>
      </w:pPr>
      <w:r>
        <w:rPr>
          <w:rStyle w:val="36"/>
          <w:rFonts w:hint="eastAsia" w:cs="宋体"/>
          <w:b w:val="0"/>
          <w:bCs w:val="0"/>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F3A7D4D">
      <w:pPr>
        <w:spacing w:line="360" w:lineRule="auto"/>
        <w:rPr>
          <w:rStyle w:val="36"/>
          <w:rFonts w:cs="宋体"/>
          <w:b w:val="0"/>
          <w:bCs w:val="0"/>
          <w:szCs w:val="24"/>
          <w:highlight w:val="none"/>
        </w:rPr>
      </w:pPr>
      <w:r>
        <w:rPr>
          <w:rStyle w:val="36"/>
          <w:rFonts w:hint="eastAsia" w:cs="宋体"/>
          <w:b w:val="0"/>
          <w:bCs w:val="0"/>
          <w:szCs w:val="24"/>
          <w:highlight w:val="none"/>
        </w:rPr>
        <w:t>（十六）其他未列明行业。从业人员300人以下的为中小微型企业。其中，从业人员100人及以上的为中型企业；从业人员10人及以上的为小型企业；从业人员10人以下的为微型企业。　　</w:t>
      </w:r>
    </w:p>
    <w:p w14:paraId="6024ED2D">
      <w:pPr>
        <w:spacing w:line="360" w:lineRule="auto"/>
        <w:rPr>
          <w:rStyle w:val="36"/>
          <w:rFonts w:cs="宋体"/>
          <w:b w:val="0"/>
          <w:bCs w:val="0"/>
          <w:szCs w:val="24"/>
          <w:highlight w:val="none"/>
        </w:rPr>
      </w:pPr>
      <w:r>
        <w:rPr>
          <w:rStyle w:val="36"/>
          <w:rFonts w:hint="eastAsia" w:cs="宋体"/>
          <w:b w:val="0"/>
          <w:bCs w:val="0"/>
          <w:szCs w:val="24"/>
          <w:highlight w:val="none"/>
        </w:rPr>
        <w:t>五、企业类型的划分以统计部门的统计数据为依据。</w:t>
      </w:r>
    </w:p>
    <w:p w14:paraId="7B3BBB69">
      <w:pPr>
        <w:spacing w:line="360" w:lineRule="auto"/>
        <w:rPr>
          <w:rStyle w:val="36"/>
          <w:rFonts w:cs="宋体"/>
          <w:b w:val="0"/>
          <w:bCs w:val="0"/>
          <w:szCs w:val="24"/>
          <w:highlight w:val="none"/>
        </w:rPr>
      </w:pPr>
      <w:r>
        <w:rPr>
          <w:rStyle w:val="36"/>
          <w:rFonts w:hint="eastAsia" w:cs="宋体"/>
          <w:b w:val="0"/>
          <w:bCs w:val="0"/>
          <w:szCs w:val="24"/>
          <w:highlight w:val="none"/>
        </w:rPr>
        <w:t>　　六、本规定适用于在中华人民共和国境内依法设立的各类所有制和各种组织形式的企业。个体工商户和本规定以外的行业，参照本规定进行划型。</w:t>
      </w:r>
    </w:p>
    <w:p w14:paraId="398B8AD0">
      <w:pPr>
        <w:spacing w:line="360" w:lineRule="auto"/>
        <w:rPr>
          <w:rStyle w:val="36"/>
          <w:rFonts w:cs="宋体"/>
          <w:b w:val="0"/>
          <w:bCs w:val="0"/>
          <w:szCs w:val="24"/>
          <w:highlight w:val="none"/>
        </w:rPr>
      </w:pPr>
      <w:r>
        <w:rPr>
          <w:rStyle w:val="36"/>
          <w:rFonts w:hint="eastAsia" w:cs="宋体"/>
          <w:b w:val="0"/>
          <w:bCs w:val="0"/>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040D7590">
      <w:pPr>
        <w:spacing w:line="360" w:lineRule="auto"/>
        <w:rPr>
          <w:rStyle w:val="36"/>
          <w:rFonts w:cs="宋体"/>
          <w:b w:val="0"/>
          <w:bCs w:val="0"/>
          <w:szCs w:val="24"/>
          <w:highlight w:val="none"/>
        </w:rPr>
      </w:pPr>
      <w:r>
        <w:rPr>
          <w:rStyle w:val="36"/>
          <w:rFonts w:hint="eastAsia" w:cs="宋体"/>
          <w:b w:val="0"/>
          <w:bCs w:val="0"/>
          <w:szCs w:val="24"/>
          <w:highlight w:val="none"/>
        </w:rPr>
        <w:t>　　八、本规定由工业和信息化部、国家统计局会同有关部门根据《国民经济行业分类》修订情况和企业发展变化情况适时修订。</w:t>
      </w:r>
    </w:p>
    <w:p w14:paraId="2041A879">
      <w:pPr>
        <w:spacing w:line="360" w:lineRule="auto"/>
        <w:rPr>
          <w:rStyle w:val="36"/>
          <w:rFonts w:cs="宋体"/>
          <w:b w:val="0"/>
          <w:bCs w:val="0"/>
          <w:szCs w:val="24"/>
          <w:highlight w:val="none"/>
        </w:rPr>
      </w:pPr>
      <w:r>
        <w:rPr>
          <w:rStyle w:val="36"/>
          <w:rFonts w:hint="eastAsia" w:cs="宋体"/>
          <w:b w:val="0"/>
          <w:bCs w:val="0"/>
          <w:szCs w:val="24"/>
          <w:highlight w:val="none"/>
        </w:rPr>
        <w:t>　　九、本规定由工业和信息化部、国家统计局会同有关部门负责解释。</w:t>
      </w:r>
    </w:p>
    <w:p w14:paraId="5C77EF76">
      <w:pPr>
        <w:spacing w:line="360" w:lineRule="auto"/>
        <w:rPr>
          <w:spacing w:val="6"/>
          <w:sz w:val="21"/>
          <w:szCs w:val="21"/>
          <w:highlight w:val="none"/>
        </w:rPr>
      </w:pPr>
      <w:r>
        <w:rPr>
          <w:rStyle w:val="36"/>
          <w:rFonts w:hint="eastAsia" w:cs="宋体"/>
          <w:b w:val="0"/>
          <w:bCs w:val="0"/>
          <w:szCs w:val="24"/>
          <w:highlight w:val="none"/>
        </w:rPr>
        <w:t>十、本规定自发布之日起执行，原国家经贸委、原国家计委、财政部和国家统计局2003年颁布的《中小企业标准暂行规定》同时废止。</w:t>
      </w:r>
    </w:p>
    <w:p w14:paraId="38552A5C">
      <w:pPr>
        <w:spacing w:line="360" w:lineRule="auto"/>
        <w:rPr>
          <w:highlight w:val="none"/>
        </w:rPr>
      </w:pPr>
    </w:p>
    <w:p w14:paraId="7A7FF1A0">
      <w:pPr>
        <w:spacing w:line="360" w:lineRule="auto"/>
        <w:rPr>
          <w:highlight w:val="none"/>
        </w:rPr>
      </w:pPr>
    </w:p>
    <w:p w14:paraId="74B1EBB4">
      <w:pPr>
        <w:spacing w:line="360" w:lineRule="auto"/>
        <w:rPr>
          <w:highlight w:val="none"/>
        </w:rPr>
      </w:pPr>
    </w:p>
    <w:p w14:paraId="3337579C">
      <w:pPr>
        <w:spacing w:line="360" w:lineRule="auto"/>
        <w:rPr>
          <w:highlight w:val="none"/>
        </w:rPr>
      </w:pPr>
      <w:r>
        <w:rPr>
          <w:rFonts w:hint="eastAsia"/>
          <w:highlight w:val="none"/>
        </w:rPr>
        <w:t>附件3：</w:t>
      </w:r>
    </w:p>
    <w:p w14:paraId="769E21D3">
      <w:pPr>
        <w:spacing w:line="360" w:lineRule="auto"/>
        <w:rPr>
          <w:highlight w:val="none"/>
        </w:rPr>
      </w:pPr>
    </w:p>
    <w:p w14:paraId="1948F8D7">
      <w:pPr>
        <w:pStyle w:val="19"/>
        <w:spacing w:line="360" w:lineRule="auto"/>
        <w:rPr>
          <w:highlight w:val="none"/>
        </w:rPr>
      </w:pPr>
      <w:r>
        <w:rPr>
          <w:rFonts w:hint="eastAsia"/>
          <w:highlight w:val="none"/>
        </w:rPr>
        <w:t>关于印发《金融业企业划型标准规定》的通知</w:t>
      </w:r>
    </w:p>
    <w:p w14:paraId="2900F7AF">
      <w:pPr>
        <w:spacing w:line="360" w:lineRule="auto"/>
        <w:rPr>
          <w:rStyle w:val="36"/>
          <w:rFonts w:cs="宋体"/>
          <w:b w:val="0"/>
          <w:szCs w:val="24"/>
          <w:highlight w:val="none"/>
        </w:rPr>
      </w:pPr>
      <w:r>
        <w:rPr>
          <w:rStyle w:val="36"/>
          <w:rFonts w:hint="eastAsia" w:cs="宋体"/>
          <w:b w:val="0"/>
          <w:szCs w:val="24"/>
          <w:highlight w:val="none"/>
        </w:rPr>
        <w:t>银发〔2015〕309号</w:t>
      </w:r>
    </w:p>
    <w:p w14:paraId="4D812DAD">
      <w:pPr>
        <w:spacing w:line="360" w:lineRule="auto"/>
        <w:rPr>
          <w:rStyle w:val="36"/>
          <w:rFonts w:cs="宋体"/>
          <w:b w:val="0"/>
          <w:bCs w:val="0"/>
          <w:szCs w:val="24"/>
          <w:highlight w:val="none"/>
        </w:rPr>
      </w:pPr>
      <w:r>
        <w:rPr>
          <w:rStyle w:val="36"/>
          <w:rFonts w:hint="eastAsia" w:cs="宋体"/>
          <w:b w:val="0"/>
          <w:bCs w:val="0"/>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5918BF5C">
      <w:pPr>
        <w:spacing w:line="360" w:lineRule="auto"/>
        <w:rPr>
          <w:rStyle w:val="36"/>
          <w:rFonts w:cs="宋体"/>
          <w:b w:val="0"/>
          <w:bCs w:val="0"/>
          <w:szCs w:val="24"/>
          <w:highlight w:val="none"/>
        </w:rPr>
      </w:pPr>
      <w:r>
        <w:rPr>
          <w:rStyle w:val="36"/>
          <w:rFonts w:hint="eastAsia" w:cs="宋体"/>
          <w:b w:val="0"/>
          <w:bCs w:val="0"/>
          <w:szCs w:val="24"/>
          <w:highlight w:val="none"/>
        </w:rPr>
        <w:t>请人民银行上海总部，各分行、营业管理部、省会（首府）城市中心支行、副省级城市中心支行会同所在省（区、市）银监局、证监局、保监局、统计局将本通知联合转发至辖内相关机构。</w:t>
      </w:r>
    </w:p>
    <w:p w14:paraId="5D619B06">
      <w:pPr>
        <w:spacing w:line="360" w:lineRule="auto"/>
        <w:rPr>
          <w:rStyle w:val="36"/>
          <w:rFonts w:cs="宋体"/>
          <w:b w:val="0"/>
          <w:bCs w:val="0"/>
          <w:szCs w:val="24"/>
          <w:highlight w:val="none"/>
        </w:rPr>
      </w:pPr>
    </w:p>
    <w:p w14:paraId="6973FF8D">
      <w:pPr>
        <w:spacing w:line="360" w:lineRule="auto"/>
        <w:rPr>
          <w:rStyle w:val="36"/>
          <w:rFonts w:cs="宋体"/>
          <w:b w:val="0"/>
          <w:bCs w:val="0"/>
          <w:szCs w:val="24"/>
          <w:highlight w:val="none"/>
        </w:rPr>
      </w:pPr>
      <w:r>
        <w:rPr>
          <w:rStyle w:val="36"/>
          <w:rFonts w:hint="eastAsia" w:cs="宋体"/>
          <w:b w:val="0"/>
          <w:bCs w:val="0"/>
          <w:szCs w:val="24"/>
          <w:highlight w:val="none"/>
        </w:rPr>
        <w:t>附件：金融业企业划型标准规定</w:t>
      </w:r>
    </w:p>
    <w:p w14:paraId="5CB07F77">
      <w:pPr>
        <w:spacing w:line="360" w:lineRule="auto"/>
        <w:rPr>
          <w:rStyle w:val="36"/>
          <w:rFonts w:cs="宋体"/>
          <w:b w:val="0"/>
          <w:bCs w:val="0"/>
          <w:szCs w:val="24"/>
          <w:highlight w:val="none"/>
        </w:rPr>
      </w:pPr>
      <w:r>
        <w:rPr>
          <w:rFonts w:hint="eastAsia"/>
          <w:spacing w:val="6"/>
          <w:highlight w:val="none"/>
        </w:rPr>
        <w:t>                                      </w:t>
      </w:r>
      <w:r>
        <w:rPr>
          <w:rStyle w:val="36"/>
          <w:rFonts w:hint="eastAsia" w:cs="宋体"/>
          <w:b w:val="0"/>
          <w:bCs w:val="0"/>
          <w:szCs w:val="24"/>
          <w:highlight w:val="none"/>
        </w:rPr>
        <w:t>                                   中国人民银行</w:t>
      </w:r>
    </w:p>
    <w:p w14:paraId="590107CE">
      <w:pPr>
        <w:spacing w:line="360" w:lineRule="auto"/>
        <w:rPr>
          <w:rStyle w:val="36"/>
          <w:rFonts w:cs="宋体"/>
          <w:b w:val="0"/>
          <w:bCs w:val="0"/>
          <w:szCs w:val="24"/>
          <w:highlight w:val="none"/>
        </w:rPr>
      </w:pPr>
      <w:r>
        <w:rPr>
          <w:rStyle w:val="36"/>
          <w:rFonts w:hint="eastAsia" w:cs="宋体"/>
          <w:b w:val="0"/>
          <w:bCs w:val="0"/>
          <w:szCs w:val="24"/>
          <w:highlight w:val="none"/>
        </w:rPr>
        <w:t>          中国银行业监督管理委员会</w:t>
      </w:r>
    </w:p>
    <w:p w14:paraId="549C9035">
      <w:pPr>
        <w:spacing w:line="360" w:lineRule="auto"/>
        <w:rPr>
          <w:rStyle w:val="36"/>
          <w:rFonts w:cs="宋体"/>
          <w:b w:val="0"/>
          <w:bCs w:val="0"/>
          <w:szCs w:val="24"/>
          <w:highlight w:val="none"/>
        </w:rPr>
      </w:pPr>
      <w:r>
        <w:rPr>
          <w:rStyle w:val="36"/>
          <w:rFonts w:hint="eastAsia" w:cs="宋体"/>
          <w:b w:val="0"/>
          <w:bCs w:val="0"/>
          <w:szCs w:val="24"/>
          <w:highlight w:val="none"/>
        </w:rPr>
        <w:t>           中国证券监督管理委员会</w:t>
      </w:r>
    </w:p>
    <w:p w14:paraId="55B8F03E">
      <w:pPr>
        <w:spacing w:line="360" w:lineRule="auto"/>
        <w:rPr>
          <w:rStyle w:val="36"/>
          <w:rFonts w:cs="宋体"/>
          <w:b w:val="0"/>
          <w:bCs w:val="0"/>
          <w:szCs w:val="24"/>
          <w:highlight w:val="none"/>
        </w:rPr>
      </w:pPr>
      <w:r>
        <w:rPr>
          <w:rStyle w:val="36"/>
          <w:rFonts w:hint="eastAsia" w:cs="宋体"/>
          <w:b w:val="0"/>
          <w:bCs w:val="0"/>
          <w:szCs w:val="24"/>
          <w:highlight w:val="none"/>
        </w:rPr>
        <w:t>           中国保险监督管理委员会</w:t>
      </w:r>
    </w:p>
    <w:p w14:paraId="2432A4B0">
      <w:pPr>
        <w:spacing w:line="360" w:lineRule="auto"/>
        <w:rPr>
          <w:rStyle w:val="36"/>
          <w:rFonts w:cs="宋体"/>
          <w:b w:val="0"/>
          <w:bCs w:val="0"/>
          <w:szCs w:val="24"/>
          <w:highlight w:val="none"/>
        </w:rPr>
      </w:pPr>
      <w:r>
        <w:rPr>
          <w:rStyle w:val="36"/>
          <w:rFonts w:hint="eastAsia" w:cs="宋体"/>
          <w:b w:val="0"/>
          <w:bCs w:val="0"/>
          <w:szCs w:val="24"/>
          <w:highlight w:val="none"/>
        </w:rPr>
        <w:t>           中华人民共和国国家统计局</w:t>
      </w:r>
    </w:p>
    <w:p w14:paraId="229F062D">
      <w:pPr>
        <w:spacing w:line="360" w:lineRule="auto"/>
        <w:rPr>
          <w:rStyle w:val="36"/>
          <w:rFonts w:cs="宋体"/>
          <w:b w:val="0"/>
          <w:bCs w:val="0"/>
          <w:szCs w:val="24"/>
          <w:highlight w:val="none"/>
        </w:rPr>
      </w:pPr>
      <w:r>
        <w:rPr>
          <w:rStyle w:val="36"/>
          <w:rFonts w:hint="eastAsia" w:cs="宋体"/>
          <w:b w:val="0"/>
          <w:bCs w:val="0"/>
          <w:szCs w:val="24"/>
          <w:highlight w:val="none"/>
        </w:rPr>
        <w:t>                                                           2015年9月28日</w:t>
      </w:r>
    </w:p>
    <w:p w14:paraId="325BB84C">
      <w:pPr>
        <w:spacing w:line="360" w:lineRule="auto"/>
        <w:rPr>
          <w:highlight w:val="none"/>
        </w:rPr>
      </w:pPr>
    </w:p>
    <w:p w14:paraId="431AEC15">
      <w:pPr>
        <w:spacing w:line="360" w:lineRule="auto"/>
        <w:rPr>
          <w:highlight w:val="none"/>
        </w:rPr>
      </w:pPr>
    </w:p>
    <w:p w14:paraId="12CC249E">
      <w:pPr>
        <w:spacing w:line="360" w:lineRule="auto"/>
        <w:rPr>
          <w:highlight w:val="none"/>
        </w:rPr>
      </w:pPr>
      <w:r>
        <w:rPr>
          <w:rFonts w:hint="eastAsia"/>
          <w:highlight w:val="none"/>
        </w:rPr>
        <w:br w:type="page"/>
      </w:r>
    </w:p>
    <w:p w14:paraId="02513B51">
      <w:pPr>
        <w:pStyle w:val="5"/>
        <w:spacing w:line="360" w:lineRule="auto"/>
        <w:rPr>
          <w:sz w:val="24"/>
          <w:szCs w:val="24"/>
          <w:highlight w:val="none"/>
        </w:rPr>
      </w:pPr>
      <w:bookmarkStart w:id="382" w:name="_Toc163492940"/>
      <w:r>
        <w:rPr>
          <w:rFonts w:hint="eastAsia"/>
          <w:highlight w:val="none"/>
        </w:rPr>
        <w:t>（三）监狱企业证明文件</w:t>
      </w:r>
      <w:r>
        <w:rPr>
          <w:rFonts w:hint="eastAsia"/>
          <w:sz w:val="24"/>
          <w:szCs w:val="24"/>
          <w:highlight w:val="none"/>
        </w:rPr>
        <w:t>【如适用】</w:t>
      </w:r>
      <w:bookmarkEnd w:id="382"/>
    </w:p>
    <w:p w14:paraId="4B081EA1">
      <w:pPr>
        <w:spacing w:line="360" w:lineRule="auto"/>
        <w:rPr>
          <w:highlight w:val="none"/>
        </w:rPr>
      </w:pPr>
    </w:p>
    <w:p w14:paraId="21AA84C4">
      <w:pPr>
        <w:spacing w:line="360" w:lineRule="auto"/>
        <w:rPr>
          <w:highlight w:val="none"/>
        </w:rPr>
      </w:pPr>
      <w:r>
        <w:rPr>
          <w:rFonts w:hint="eastAsia"/>
          <w:highlight w:val="none"/>
        </w:rPr>
        <w:t>【监狱企业应当提供由省级及以上监狱管理局、戒毒管理局（含新疆生产建设兵团）出具的监狱企业的证明文件，格式如下】。</w:t>
      </w:r>
    </w:p>
    <w:p w14:paraId="11269DE4">
      <w:pPr>
        <w:pStyle w:val="19"/>
        <w:spacing w:line="360" w:lineRule="auto"/>
        <w:rPr>
          <w:highlight w:val="none"/>
        </w:rPr>
      </w:pPr>
    </w:p>
    <w:p w14:paraId="38344DE2">
      <w:pPr>
        <w:pStyle w:val="19"/>
        <w:spacing w:line="360" w:lineRule="auto"/>
        <w:rPr>
          <w:highlight w:val="none"/>
        </w:rPr>
      </w:pPr>
      <w:r>
        <w:rPr>
          <w:rFonts w:hint="eastAsia"/>
          <w:highlight w:val="none"/>
        </w:rPr>
        <w:t>监狱企业证明函</w:t>
      </w:r>
    </w:p>
    <w:p w14:paraId="5F539E03">
      <w:pPr>
        <w:spacing w:line="360" w:lineRule="auto"/>
        <w:rPr>
          <w:highlight w:val="none"/>
        </w:rPr>
      </w:pPr>
    </w:p>
    <w:p w14:paraId="2A385B55">
      <w:pPr>
        <w:spacing w:line="360" w:lineRule="auto"/>
        <w:rPr>
          <w:highlight w:val="none"/>
        </w:rPr>
      </w:pPr>
      <w:r>
        <w:rPr>
          <w:rFonts w:hint="eastAsia"/>
          <w:highlight w:val="none"/>
        </w:rPr>
        <w:t>本公司郑重声明，根据财政部、司法部《关于政府采购支持监狱企业发展有关问题的通知》（财库〔2014〕68号）的规定，本公司为监狱企业。</w:t>
      </w:r>
    </w:p>
    <w:p w14:paraId="690A419D">
      <w:pPr>
        <w:spacing w:line="360" w:lineRule="auto"/>
        <w:rPr>
          <w:highlight w:val="none"/>
        </w:rPr>
      </w:pPr>
    </w:p>
    <w:p w14:paraId="664B0FBF">
      <w:pPr>
        <w:spacing w:line="360" w:lineRule="auto"/>
        <w:rPr>
          <w:highlight w:val="none"/>
        </w:rPr>
      </w:pPr>
    </w:p>
    <w:p w14:paraId="1AA6A46F">
      <w:pPr>
        <w:spacing w:line="360" w:lineRule="auto"/>
        <w:rPr>
          <w:highlight w:val="none"/>
        </w:rPr>
      </w:pPr>
    </w:p>
    <w:p w14:paraId="364F9885">
      <w:pPr>
        <w:spacing w:line="360" w:lineRule="auto"/>
        <w:rPr>
          <w:highlight w:val="none"/>
        </w:rPr>
      </w:pPr>
      <w:r>
        <w:rPr>
          <w:rFonts w:hint="eastAsia"/>
          <w:highlight w:val="none"/>
        </w:rPr>
        <w:t>投标人名称（</w:t>
      </w:r>
      <w:r>
        <w:rPr>
          <w:rFonts w:hint="eastAsia"/>
          <w:kern w:val="0"/>
          <w:highlight w:val="none"/>
        </w:rPr>
        <w:t>公章）</w:t>
      </w:r>
      <w:r>
        <w:rPr>
          <w:rFonts w:hint="eastAsia"/>
          <w:highlight w:val="none"/>
        </w:rPr>
        <w:t>：</w:t>
      </w:r>
    </w:p>
    <w:p w14:paraId="4C9F2DC8">
      <w:pPr>
        <w:spacing w:line="360" w:lineRule="auto"/>
        <w:rPr>
          <w:highlight w:val="none"/>
        </w:rPr>
      </w:pPr>
      <w:r>
        <w:rPr>
          <w:rFonts w:hint="eastAsia"/>
          <w:highlight w:val="none"/>
        </w:rPr>
        <w:t>日期：   年  月  日</w:t>
      </w:r>
    </w:p>
    <w:p w14:paraId="5DE6F22D">
      <w:pPr>
        <w:spacing w:line="360" w:lineRule="auto"/>
        <w:rPr>
          <w:highlight w:val="none"/>
        </w:rPr>
      </w:pPr>
    </w:p>
    <w:p w14:paraId="0D77E808">
      <w:pPr>
        <w:spacing w:line="360" w:lineRule="auto"/>
        <w:rPr>
          <w:highlight w:val="none"/>
        </w:rPr>
      </w:pPr>
    </w:p>
    <w:p w14:paraId="2EAD000A">
      <w:pPr>
        <w:spacing w:line="360" w:lineRule="auto"/>
        <w:rPr>
          <w:highlight w:val="none"/>
        </w:rPr>
      </w:pPr>
      <w:r>
        <w:rPr>
          <w:rFonts w:hint="eastAsia"/>
          <w:highlight w:val="none"/>
        </w:rPr>
        <w:t>省级以上监狱管理局、戒毒管理局</w:t>
      </w:r>
    </w:p>
    <w:p w14:paraId="21F1B964">
      <w:pPr>
        <w:spacing w:line="360" w:lineRule="auto"/>
        <w:rPr>
          <w:highlight w:val="none"/>
        </w:rPr>
      </w:pPr>
      <w:r>
        <w:rPr>
          <w:rFonts w:hint="eastAsia"/>
          <w:highlight w:val="none"/>
        </w:rPr>
        <w:t>（含新疆生产建设兵团）（</w:t>
      </w:r>
      <w:r>
        <w:rPr>
          <w:rFonts w:hint="eastAsia"/>
          <w:kern w:val="0"/>
          <w:highlight w:val="none"/>
        </w:rPr>
        <w:t>盖章）</w:t>
      </w:r>
      <w:r>
        <w:rPr>
          <w:rFonts w:hint="eastAsia"/>
          <w:highlight w:val="none"/>
        </w:rPr>
        <w:t xml:space="preserve">：  </w:t>
      </w:r>
    </w:p>
    <w:p w14:paraId="71FD16BC">
      <w:pPr>
        <w:spacing w:line="360" w:lineRule="auto"/>
        <w:rPr>
          <w:highlight w:val="none"/>
        </w:rPr>
      </w:pPr>
      <w:r>
        <w:rPr>
          <w:rFonts w:hint="eastAsia"/>
          <w:highlight w:val="none"/>
        </w:rPr>
        <w:t>日期：   年  月  日</w:t>
      </w:r>
    </w:p>
    <w:p w14:paraId="431590A4">
      <w:pPr>
        <w:spacing w:line="360" w:lineRule="auto"/>
        <w:rPr>
          <w:highlight w:val="none"/>
        </w:rPr>
      </w:pPr>
    </w:p>
    <w:p w14:paraId="40688742">
      <w:pPr>
        <w:spacing w:line="360" w:lineRule="auto"/>
        <w:rPr>
          <w:highlight w:val="none"/>
        </w:rPr>
      </w:pPr>
    </w:p>
    <w:p w14:paraId="297E9002">
      <w:pPr>
        <w:spacing w:line="360" w:lineRule="auto"/>
        <w:rPr>
          <w:highlight w:val="none"/>
        </w:rPr>
      </w:pPr>
    </w:p>
    <w:p w14:paraId="27046EF4">
      <w:pPr>
        <w:spacing w:line="360" w:lineRule="auto"/>
        <w:rPr>
          <w:highlight w:val="none"/>
        </w:rPr>
      </w:pPr>
    </w:p>
    <w:p w14:paraId="30D8DD6E">
      <w:pPr>
        <w:spacing w:line="360" w:lineRule="auto"/>
        <w:rPr>
          <w:highlight w:val="none"/>
        </w:rPr>
      </w:pPr>
    </w:p>
    <w:p w14:paraId="726BAB86">
      <w:pPr>
        <w:spacing w:line="360" w:lineRule="auto"/>
        <w:rPr>
          <w:rFonts w:hint="eastAsia"/>
          <w:highlight w:val="none"/>
        </w:rPr>
      </w:pPr>
      <w:bookmarkStart w:id="383" w:name="_Toc163492941"/>
      <w:r>
        <w:rPr>
          <w:rFonts w:hint="eastAsia"/>
          <w:highlight w:val="none"/>
        </w:rPr>
        <w:br w:type="page"/>
      </w:r>
    </w:p>
    <w:p w14:paraId="4E07F5F3">
      <w:pPr>
        <w:pStyle w:val="5"/>
        <w:spacing w:line="360" w:lineRule="auto"/>
        <w:rPr>
          <w:highlight w:val="none"/>
        </w:rPr>
      </w:pPr>
      <w:r>
        <w:rPr>
          <w:rFonts w:hint="eastAsia"/>
          <w:highlight w:val="none"/>
        </w:rPr>
        <w:t>（四）残疾人福利性单位声明函【如适用】</w:t>
      </w:r>
      <w:bookmarkEnd w:id="383"/>
    </w:p>
    <w:p w14:paraId="3AAF9D92">
      <w:pPr>
        <w:pStyle w:val="43"/>
        <w:spacing w:line="360" w:lineRule="auto"/>
        <w:rPr>
          <w:highlight w:val="none"/>
        </w:rPr>
      </w:pPr>
      <w:r>
        <w:rPr>
          <w:rFonts w:hint="eastAsia"/>
          <w:highlight w:val="none"/>
        </w:rPr>
        <w:t>残疾人福利性单位声明函</w:t>
      </w:r>
    </w:p>
    <w:p w14:paraId="7260F830">
      <w:pPr>
        <w:spacing w:line="360" w:lineRule="auto"/>
        <w:rPr>
          <w:highlight w:val="none"/>
        </w:rPr>
      </w:pPr>
    </w:p>
    <w:p w14:paraId="4500E717">
      <w:pPr>
        <w:spacing w:line="360" w:lineRule="auto"/>
        <w:rPr>
          <w:highlight w:val="none"/>
        </w:rPr>
      </w:pPr>
      <w:r>
        <w:rPr>
          <w:rFonts w:hint="eastAsia"/>
          <w:highlight w:val="none"/>
        </w:rPr>
        <w:t>本公司（联合体）郑重声明，根据《财政部 民政部 中国残疾人联合会关于促进残疾人就业政府采购政策的通知》（财库〔2017〕141号）的规定，本公司（联合体）参加</w:t>
      </w:r>
      <w:r>
        <w:rPr>
          <w:rFonts w:hint="eastAsia"/>
          <w:highlight w:val="none"/>
          <w:u w:val="single"/>
        </w:rPr>
        <w:t xml:space="preserve"> （单位名称） </w:t>
      </w:r>
      <w:r>
        <w:rPr>
          <w:rFonts w:hint="eastAsia"/>
          <w:highlight w:val="none"/>
        </w:rPr>
        <w:t>的</w:t>
      </w:r>
      <w:r>
        <w:rPr>
          <w:rFonts w:hint="eastAsia"/>
          <w:highlight w:val="none"/>
          <w:u w:val="single"/>
        </w:rPr>
        <w:t xml:space="preserve"> （项目名称） </w:t>
      </w:r>
      <w:r>
        <w:rPr>
          <w:rFonts w:hint="eastAsia"/>
          <w:highlight w:val="none"/>
        </w:rPr>
        <w:t>采购活动，提供的货物</w:t>
      </w:r>
      <w:r>
        <w:rPr>
          <w:rFonts w:hint="eastAsia"/>
          <w:b/>
          <w:highlight w:val="none"/>
        </w:rPr>
        <w:t>全部由</w:t>
      </w:r>
      <w:r>
        <w:rPr>
          <w:rFonts w:hint="eastAsia"/>
          <w:highlight w:val="none"/>
        </w:rPr>
        <w:t>符合政策要求的</w:t>
      </w:r>
      <w:r>
        <w:rPr>
          <w:rFonts w:hint="eastAsia"/>
          <w:b/>
          <w:highlight w:val="none"/>
        </w:rPr>
        <w:t>残疾人福利性单位制造</w:t>
      </w:r>
      <w:r>
        <w:rPr>
          <w:rFonts w:hint="eastAsia"/>
          <w:highlight w:val="none"/>
        </w:rPr>
        <w:t>。相关企业（含联合体中的残疾人福利性单位、签订分包意向协议书的残疾人福利性单位）的具体情况如下：</w:t>
      </w:r>
    </w:p>
    <w:p w14:paraId="629AB65C">
      <w:pPr>
        <w:spacing w:line="360" w:lineRule="auto"/>
        <w:rPr>
          <w:highlight w:val="none"/>
        </w:rPr>
      </w:pPr>
      <w:r>
        <w:rPr>
          <w:rFonts w:hint="eastAsia"/>
          <w:highlight w:val="none"/>
        </w:rPr>
        <w:t>1.</w:t>
      </w:r>
      <w:r>
        <w:rPr>
          <w:rFonts w:hint="eastAsia"/>
          <w:highlight w:val="none"/>
          <w:u w:val="single"/>
        </w:rPr>
        <w:t xml:space="preserve"> （标的名称） </w:t>
      </w:r>
      <w:r>
        <w:rPr>
          <w:rFonts w:hint="eastAsia"/>
          <w:highlight w:val="none"/>
        </w:rPr>
        <w:t xml:space="preserve">，制造商为 </w:t>
      </w:r>
      <w:r>
        <w:rPr>
          <w:highlight w:val="none"/>
          <w:u w:val="single"/>
        </w:rPr>
        <w:t xml:space="preserve">  </w:t>
      </w:r>
      <w:r>
        <w:rPr>
          <w:rFonts w:hint="eastAsia"/>
          <w:highlight w:val="none"/>
          <w:u w:val="single"/>
        </w:rPr>
        <w:t xml:space="preserve">（企业名称） </w:t>
      </w:r>
      <w:r>
        <w:rPr>
          <w:rFonts w:hint="eastAsia"/>
          <w:highlight w:val="none"/>
        </w:rPr>
        <w:t>，属于残疾人福利性单位；</w:t>
      </w:r>
    </w:p>
    <w:p w14:paraId="35DD4AA9">
      <w:pPr>
        <w:spacing w:line="360" w:lineRule="auto"/>
        <w:rPr>
          <w:highlight w:val="none"/>
        </w:rPr>
      </w:pPr>
      <w:r>
        <w:rPr>
          <w:rFonts w:hint="eastAsia"/>
          <w:highlight w:val="none"/>
        </w:rPr>
        <w:t xml:space="preserve">2. </w:t>
      </w:r>
      <w:r>
        <w:rPr>
          <w:rFonts w:hint="eastAsia"/>
          <w:highlight w:val="none"/>
          <w:u w:val="single"/>
        </w:rPr>
        <w:t xml:space="preserve">（标的名称） </w:t>
      </w:r>
      <w:r>
        <w:rPr>
          <w:rFonts w:hint="eastAsia"/>
          <w:highlight w:val="none"/>
        </w:rPr>
        <w:t xml:space="preserve">，制造商为 </w:t>
      </w:r>
      <w:r>
        <w:rPr>
          <w:highlight w:val="none"/>
          <w:u w:val="single"/>
        </w:rPr>
        <w:t xml:space="preserve">  </w:t>
      </w:r>
      <w:r>
        <w:rPr>
          <w:rFonts w:hint="eastAsia"/>
          <w:highlight w:val="none"/>
          <w:u w:val="single"/>
        </w:rPr>
        <w:t xml:space="preserve">（企业名称） </w:t>
      </w:r>
      <w:r>
        <w:rPr>
          <w:rFonts w:hint="eastAsia"/>
          <w:highlight w:val="none"/>
        </w:rPr>
        <w:t>，属于残疾人福利性单位；</w:t>
      </w:r>
    </w:p>
    <w:p w14:paraId="1076A5B7">
      <w:pPr>
        <w:spacing w:line="360" w:lineRule="auto"/>
        <w:rPr>
          <w:highlight w:val="none"/>
        </w:rPr>
      </w:pPr>
      <w:r>
        <w:rPr>
          <w:rFonts w:hint="eastAsia"/>
          <w:highlight w:val="none"/>
        </w:rPr>
        <w:t>……</w:t>
      </w:r>
    </w:p>
    <w:p w14:paraId="20C71B9B">
      <w:pPr>
        <w:spacing w:line="360" w:lineRule="auto"/>
        <w:rPr>
          <w:highlight w:val="none"/>
        </w:rPr>
      </w:pPr>
      <w:r>
        <w:rPr>
          <w:rFonts w:hint="eastAsia"/>
          <w:highlight w:val="none"/>
        </w:rPr>
        <w:t>以上企业，不属于大企业的分支机构，不存在控股股东为大企业的情形，也不存在与大企业的负责人为同一人的情形。</w:t>
      </w:r>
    </w:p>
    <w:p w14:paraId="4CAA6478">
      <w:pPr>
        <w:spacing w:line="360" w:lineRule="auto"/>
        <w:rPr>
          <w:highlight w:val="none"/>
        </w:rPr>
      </w:pPr>
      <w:r>
        <w:rPr>
          <w:rFonts w:hint="eastAsia"/>
          <w:highlight w:val="none"/>
        </w:rPr>
        <w:t>本企业对上述声明内容的真实性负责。如有虚假，将依法承担相应责任。</w:t>
      </w:r>
    </w:p>
    <w:p w14:paraId="55715A0B">
      <w:pPr>
        <w:spacing w:line="360" w:lineRule="auto"/>
        <w:rPr>
          <w:highlight w:val="none"/>
        </w:rPr>
      </w:pPr>
    </w:p>
    <w:p w14:paraId="42922DA9">
      <w:pPr>
        <w:spacing w:line="360" w:lineRule="auto"/>
        <w:rPr>
          <w:szCs w:val="24"/>
          <w:highlight w:val="none"/>
        </w:rPr>
      </w:pPr>
      <w:r>
        <w:rPr>
          <w:rFonts w:hint="eastAsia"/>
          <w:b/>
          <w:szCs w:val="24"/>
          <w:highlight w:val="none"/>
        </w:rPr>
        <w:t>说明：</w:t>
      </w:r>
      <w:r>
        <w:rPr>
          <w:rFonts w:hint="eastAsia"/>
          <w:szCs w:val="24"/>
          <w:highlight w:val="none"/>
        </w:rPr>
        <w:t>1、</w:t>
      </w:r>
      <w:r>
        <w:rPr>
          <w:rFonts w:hint="eastAsia"/>
          <w:highlight w:val="none"/>
          <w:lang w:val="zh-CN"/>
        </w:rPr>
        <w:t>货物应当全部由符合政策要求的残疾人福利性单位生产且使用该残疾人福利性单位商号或注册商标（与代理商或投标人无关）；应当严格按上述格式及内容进行填写（应当明确每个标的的生产企业类型及相关数据），否则导致的后果由投标人自行承担；</w:t>
      </w:r>
    </w:p>
    <w:p w14:paraId="71B8FDF9">
      <w:pPr>
        <w:spacing w:line="360" w:lineRule="auto"/>
        <w:rPr>
          <w:highlight w:val="none"/>
        </w:rPr>
      </w:pPr>
      <w:r>
        <w:rPr>
          <w:rFonts w:hint="eastAsia"/>
          <w:bCs/>
          <w:highlight w:val="none"/>
          <w:lang w:val="zh-CN"/>
        </w:rPr>
        <w:t xml:space="preserve">      2、</w:t>
      </w:r>
      <w:r>
        <w:rPr>
          <w:rFonts w:hint="eastAsia"/>
          <w:highlight w:val="none"/>
        </w:rPr>
        <w:t>以联合体形式参加的，应</w:t>
      </w:r>
      <w:r>
        <w:rPr>
          <w:rFonts w:hint="eastAsia"/>
          <w:bCs/>
          <w:highlight w:val="none"/>
          <w:lang w:val="zh-CN"/>
        </w:rPr>
        <w:t>当</w:t>
      </w:r>
      <w:r>
        <w:rPr>
          <w:rFonts w:hint="eastAsia"/>
          <w:highlight w:val="none"/>
        </w:rPr>
        <w:t>由联合体各方盖章。</w:t>
      </w:r>
    </w:p>
    <w:p w14:paraId="5D251BAE">
      <w:pPr>
        <w:spacing w:line="360" w:lineRule="auto"/>
        <w:rPr>
          <w:highlight w:val="none"/>
          <w:lang w:val="zh-CN"/>
        </w:rPr>
      </w:pPr>
      <w:r>
        <w:rPr>
          <w:rFonts w:hint="eastAsia"/>
          <w:highlight w:val="none"/>
          <w:lang w:val="zh-CN"/>
        </w:rPr>
        <w:t>投标人</w:t>
      </w:r>
      <w:r>
        <w:rPr>
          <w:rFonts w:hint="eastAsia"/>
          <w:highlight w:val="none"/>
        </w:rPr>
        <w:t>名称</w:t>
      </w:r>
      <w:r>
        <w:rPr>
          <w:rFonts w:hint="eastAsia" w:cs="仿宋_GB2312"/>
          <w:szCs w:val="24"/>
          <w:highlight w:val="none"/>
        </w:rPr>
        <w:t>（</w:t>
      </w:r>
      <w:r>
        <w:rPr>
          <w:rFonts w:hint="eastAsia" w:cs="宋体"/>
          <w:kern w:val="0"/>
          <w:szCs w:val="24"/>
          <w:highlight w:val="none"/>
        </w:rPr>
        <w:t>公章</w:t>
      </w:r>
      <w:r>
        <w:rPr>
          <w:rFonts w:hint="eastAsia" w:cs="宋体"/>
          <w:kern w:val="0"/>
          <w:highlight w:val="none"/>
          <w:lang w:val="zh-CN"/>
        </w:rPr>
        <w:t>)</w:t>
      </w:r>
      <w:r>
        <w:rPr>
          <w:rFonts w:hint="eastAsia"/>
          <w:highlight w:val="none"/>
          <w:lang w:val="zh-CN"/>
        </w:rPr>
        <w:t xml:space="preserve">：              </w:t>
      </w:r>
    </w:p>
    <w:p w14:paraId="449CFA72">
      <w:pPr>
        <w:spacing w:line="360" w:lineRule="auto"/>
        <w:rPr>
          <w:highlight w:val="none"/>
        </w:rPr>
      </w:pPr>
      <w:r>
        <w:rPr>
          <w:rFonts w:hint="eastAsia"/>
          <w:highlight w:val="none"/>
        </w:rPr>
        <w:t>日</w:t>
      </w:r>
      <w:r>
        <w:rPr>
          <w:highlight w:val="none"/>
        </w:rPr>
        <w:t xml:space="preserve">  </w:t>
      </w:r>
      <w:r>
        <w:rPr>
          <w:rFonts w:hint="eastAsia"/>
          <w:highlight w:val="none"/>
        </w:rPr>
        <w:t>期：</w:t>
      </w:r>
      <w:r>
        <w:rPr>
          <w:highlight w:val="none"/>
        </w:rPr>
        <w:t xml:space="preserve">                         </w:t>
      </w:r>
    </w:p>
    <w:p w14:paraId="60C43495">
      <w:pPr>
        <w:spacing w:line="360" w:lineRule="auto"/>
        <w:rPr>
          <w:highlight w:val="none"/>
        </w:rPr>
      </w:pPr>
      <w:r>
        <w:rPr>
          <w:rFonts w:hint="eastAsia"/>
          <w:highlight w:val="none"/>
        </w:rPr>
        <w:br w:type="page"/>
      </w:r>
    </w:p>
    <w:p w14:paraId="19CAD960">
      <w:pPr>
        <w:pStyle w:val="4"/>
        <w:spacing w:line="360" w:lineRule="auto"/>
        <w:rPr>
          <w:highlight w:val="none"/>
        </w:rPr>
      </w:pPr>
      <w:bookmarkStart w:id="384" w:name="_Toc6028"/>
      <w:bookmarkStart w:id="385" w:name="_Toc163492942"/>
      <w:r>
        <w:rPr>
          <w:rFonts w:hint="eastAsia"/>
          <w:highlight w:val="none"/>
        </w:rPr>
        <w:t>五、不参与围标串标承诺书</w:t>
      </w:r>
      <w:bookmarkEnd w:id="384"/>
    </w:p>
    <w:p w14:paraId="2CA0F276">
      <w:pPr>
        <w:pStyle w:val="5"/>
        <w:bidi w:val="0"/>
        <w:spacing w:line="360" w:lineRule="auto"/>
        <w:jc w:val="center"/>
        <w:rPr>
          <w:rFonts w:hint="eastAsia" w:ascii="Times New Roman" w:hAnsi="Times New Roman" w:eastAsia="宋体" w:cs="Times New Roman"/>
          <w:b/>
          <w:bCs w:val="0"/>
          <w:kern w:val="2"/>
          <w:sz w:val="24"/>
          <w:szCs w:val="20"/>
          <w:highlight w:val="none"/>
          <w:lang w:val="zh-CN" w:eastAsia="zh-CN" w:bidi="ar-SA"/>
        </w:rPr>
      </w:pPr>
      <w:r>
        <w:rPr>
          <w:rFonts w:hint="eastAsia" w:ascii="Times New Roman" w:hAnsi="Times New Roman" w:eastAsia="宋体" w:cs="Times New Roman"/>
          <w:b/>
          <w:bCs w:val="0"/>
          <w:kern w:val="2"/>
          <w:sz w:val="24"/>
          <w:szCs w:val="20"/>
          <w:highlight w:val="none"/>
          <w:lang w:val="zh-CN" w:eastAsia="zh-CN" w:bidi="ar-SA"/>
        </w:rPr>
        <w:t>不参与围标串标承诺书</w:t>
      </w:r>
    </w:p>
    <w:p w14:paraId="431DC7F4">
      <w:pPr>
        <w:widowControl w:val="0"/>
        <w:autoSpaceDE w:val="0"/>
        <w:autoSpaceDN w:val="0"/>
        <w:adjustRightInd w:val="0"/>
        <w:spacing w:line="360" w:lineRule="auto"/>
        <w:ind w:firstLine="482"/>
        <w:jc w:val="both"/>
        <w:rPr>
          <w:rFonts w:hint="eastAsia" w:ascii="宋体" w:hAnsi="宋体" w:eastAsia="宋体" w:cs="仿宋"/>
          <w:kern w:val="0"/>
          <w:szCs w:val="24"/>
          <w:highlight w:val="none"/>
          <w:lang w:val="zh-CN"/>
        </w:rPr>
      </w:pPr>
      <w:r>
        <w:rPr>
          <w:rFonts w:hint="eastAsia" w:ascii="宋体" w:hAnsi="宋体" w:eastAsia="宋体" w:cs="仿宋"/>
          <w:kern w:val="0"/>
          <w:szCs w:val="24"/>
          <w:highlight w:val="none"/>
          <w:lang w:val="zh-CN"/>
        </w:rPr>
        <w:t>为诚实、客观、有序地参与</w:t>
      </w:r>
      <w:r>
        <w:rPr>
          <w:rFonts w:hint="eastAsia" w:ascii="宋体" w:hAnsi="宋体" w:eastAsia="宋体" w:cs="仿宋"/>
          <w:kern w:val="0"/>
          <w:szCs w:val="24"/>
          <w:highlight w:val="none"/>
          <w:u w:val="single"/>
          <w:lang w:val="zh-CN"/>
        </w:rPr>
        <w:t xml:space="preserve">                     </w:t>
      </w:r>
      <w:r>
        <w:rPr>
          <w:rFonts w:hint="eastAsia" w:ascii="宋体" w:hAnsi="宋体" w:eastAsia="宋体" w:cs="仿宋"/>
          <w:kern w:val="0"/>
          <w:szCs w:val="24"/>
          <w:highlight w:val="none"/>
          <w:lang w:val="zh-CN"/>
        </w:rPr>
        <w:t>项目采购活动，愿就以下内容作出承诺：</w:t>
      </w:r>
    </w:p>
    <w:p w14:paraId="1DCCDDEF">
      <w:pPr>
        <w:widowControl w:val="0"/>
        <w:autoSpaceDE w:val="0"/>
        <w:autoSpaceDN w:val="0"/>
        <w:adjustRightInd w:val="0"/>
        <w:spacing w:line="360" w:lineRule="auto"/>
        <w:ind w:firstLine="482"/>
        <w:jc w:val="both"/>
        <w:rPr>
          <w:rFonts w:hint="eastAsia" w:ascii="宋体" w:hAnsi="宋体" w:eastAsia="宋体" w:cs="仿宋"/>
          <w:kern w:val="0"/>
          <w:szCs w:val="24"/>
          <w:highlight w:val="none"/>
          <w:lang w:val="zh-CN"/>
        </w:rPr>
      </w:pPr>
      <w:r>
        <w:rPr>
          <w:rFonts w:hint="eastAsia" w:ascii="宋体" w:hAnsi="宋体" w:eastAsia="宋体" w:cs="仿宋"/>
          <w:kern w:val="0"/>
          <w:szCs w:val="24"/>
          <w:highlight w:val="none"/>
          <w:lang w:val="zh-CN"/>
        </w:rPr>
        <w:t>一、严格遵守国家法律法规和行业规范，诚实守信，公平竞争，不参与任何形式的围标、串标行为，不与其他投标供应商存在控股、管理及其他关联关系。</w:t>
      </w:r>
    </w:p>
    <w:p w14:paraId="4143A4E5">
      <w:pPr>
        <w:widowControl w:val="0"/>
        <w:autoSpaceDE w:val="0"/>
        <w:autoSpaceDN w:val="0"/>
        <w:adjustRightInd w:val="0"/>
        <w:spacing w:line="360" w:lineRule="auto"/>
        <w:ind w:firstLine="482"/>
        <w:jc w:val="both"/>
        <w:rPr>
          <w:rFonts w:hint="eastAsia" w:ascii="宋体" w:hAnsi="宋体" w:eastAsia="宋体" w:cs="仿宋"/>
          <w:kern w:val="0"/>
          <w:szCs w:val="24"/>
          <w:highlight w:val="none"/>
          <w:lang w:val="zh-CN"/>
        </w:rPr>
      </w:pPr>
      <w:r>
        <w:rPr>
          <w:rFonts w:hint="eastAsia" w:ascii="宋体" w:hAnsi="宋体" w:eastAsia="宋体" w:cs="仿宋"/>
          <w:kern w:val="0"/>
          <w:szCs w:val="24"/>
          <w:highlight w:val="none"/>
          <w:lang w:val="zh-CN"/>
        </w:rPr>
        <w:t>二、依法参加采购活动，不与其他供应商互相串通投标；不使用具有串标嫌疑、关联关系的公司参与投标（包括但不限于工商登记邮箱、电话号码、高管人员一致等）；不与采购人或者招标代理机构串通投标；不向采购人或者评标委员会成员行贿以牟取中标。不排挤其他供应商的公平竞争，不损害采购人的合法权益，不损害国家利益、社会公共利益或者他人的合法权益。</w:t>
      </w:r>
    </w:p>
    <w:p w14:paraId="69437F60">
      <w:pPr>
        <w:widowControl w:val="0"/>
        <w:autoSpaceDE w:val="0"/>
        <w:autoSpaceDN w:val="0"/>
        <w:adjustRightInd w:val="0"/>
        <w:spacing w:line="360" w:lineRule="auto"/>
        <w:ind w:firstLine="482"/>
        <w:jc w:val="both"/>
        <w:rPr>
          <w:rFonts w:hint="eastAsia" w:ascii="宋体" w:hAnsi="宋体" w:eastAsia="宋体" w:cs="仿宋"/>
          <w:kern w:val="0"/>
          <w:szCs w:val="24"/>
          <w:highlight w:val="none"/>
          <w:lang w:val="zh-CN"/>
        </w:rPr>
      </w:pPr>
      <w:r>
        <w:rPr>
          <w:rFonts w:hint="eastAsia" w:ascii="宋体" w:hAnsi="宋体" w:eastAsia="宋体" w:cs="仿宋"/>
          <w:kern w:val="0"/>
          <w:szCs w:val="24"/>
          <w:highlight w:val="none"/>
          <w:lang w:val="zh-CN"/>
        </w:rPr>
        <w:t>三、若在招标投标过程中发现其他投标人或相关方有围标、串标等违法行为，及时告知采购人或代理机构，积极配合调查。</w:t>
      </w:r>
    </w:p>
    <w:p w14:paraId="0F08082B">
      <w:pPr>
        <w:widowControl w:val="0"/>
        <w:autoSpaceDE w:val="0"/>
        <w:autoSpaceDN w:val="0"/>
        <w:adjustRightInd w:val="0"/>
        <w:spacing w:line="360" w:lineRule="auto"/>
        <w:ind w:firstLine="482"/>
        <w:jc w:val="both"/>
        <w:rPr>
          <w:rFonts w:hint="eastAsia" w:ascii="宋体" w:hAnsi="宋体" w:eastAsia="宋体" w:cs="仿宋"/>
          <w:kern w:val="0"/>
          <w:szCs w:val="24"/>
          <w:highlight w:val="none"/>
          <w:lang w:val="zh-CN"/>
        </w:rPr>
      </w:pPr>
      <w:r>
        <w:rPr>
          <w:rFonts w:hint="eastAsia" w:ascii="宋体" w:hAnsi="宋体" w:eastAsia="宋体" w:cs="仿宋"/>
          <w:kern w:val="0"/>
          <w:szCs w:val="24"/>
          <w:highlight w:val="none"/>
          <w:lang w:val="zh-CN"/>
        </w:rPr>
        <w:t>四、愿接受社会各界监督。如有违反上述承诺行为，自愿放弃中标资格，限制以后投标，记入不良信用档案，没收本次投标保证金。同意采购人或代理机构有权将线索移交有关部门，并愿意承担由此引起的其他法律责任。</w:t>
      </w:r>
    </w:p>
    <w:p w14:paraId="67C3EA9A">
      <w:pPr>
        <w:widowControl w:val="0"/>
        <w:autoSpaceDE w:val="0"/>
        <w:autoSpaceDN w:val="0"/>
        <w:adjustRightInd w:val="0"/>
        <w:spacing w:line="360" w:lineRule="auto"/>
        <w:ind w:firstLine="482"/>
        <w:jc w:val="both"/>
        <w:rPr>
          <w:rFonts w:hint="eastAsia" w:ascii="宋体" w:hAnsi="宋体" w:eastAsia="宋体" w:cs="仿宋"/>
          <w:kern w:val="0"/>
          <w:szCs w:val="24"/>
          <w:highlight w:val="none"/>
          <w:lang w:val="zh-CN"/>
        </w:rPr>
      </w:pPr>
    </w:p>
    <w:p w14:paraId="53A07295">
      <w:pPr>
        <w:widowControl w:val="0"/>
        <w:autoSpaceDE w:val="0"/>
        <w:autoSpaceDN w:val="0"/>
        <w:adjustRightInd w:val="0"/>
        <w:spacing w:line="360" w:lineRule="auto"/>
        <w:ind w:firstLine="482"/>
        <w:jc w:val="both"/>
        <w:rPr>
          <w:rFonts w:hint="eastAsia" w:ascii="宋体" w:hAnsi="宋体" w:eastAsia="宋体" w:cs="仿宋"/>
          <w:kern w:val="0"/>
          <w:szCs w:val="24"/>
          <w:highlight w:val="none"/>
          <w:lang w:val="zh-CN"/>
        </w:rPr>
      </w:pPr>
      <w:r>
        <w:rPr>
          <w:rFonts w:hint="eastAsia" w:ascii="宋体" w:hAnsi="宋体" w:eastAsia="宋体" w:cs="仿宋"/>
          <w:kern w:val="0"/>
          <w:szCs w:val="24"/>
          <w:highlight w:val="none"/>
          <w:lang w:val="zh-CN"/>
        </w:rPr>
        <w:t>供应商：                             （公章）</w:t>
      </w:r>
    </w:p>
    <w:p w14:paraId="226740E7">
      <w:pPr>
        <w:widowControl w:val="0"/>
        <w:autoSpaceDE w:val="0"/>
        <w:autoSpaceDN w:val="0"/>
        <w:adjustRightInd w:val="0"/>
        <w:spacing w:line="360" w:lineRule="auto"/>
        <w:ind w:firstLine="482"/>
        <w:jc w:val="both"/>
        <w:rPr>
          <w:rFonts w:hint="eastAsia" w:ascii="宋体" w:hAnsi="宋体" w:eastAsia="宋体" w:cs="仿宋"/>
          <w:kern w:val="0"/>
          <w:szCs w:val="24"/>
          <w:highlight w:val="none"/>
          <w:lang w:val="zh-CN"/>
        </w:rPr>
      </w:pPr>
      <w:r>
        <w:rPr>
          <w:rFonts w:hint="eastAsia" w:ascii="宋体" w:hAnsi="宋体" w:eastAsia="宋体" w:cs="仿宋"/>
          <w:kern w:val="0"/>
          <w:szCs w:val="24"/>
          <w:highlight w:val="none"/>
          <w:lang w:val="zh-CN"/>
        </w:rPr>
        <w:t>法定代表人或委托代理人：             （签字）</w:t>
      </w:r>
    </w:p>
    <w:p w14:paraId="625BEACC">
      <w:pPr>
        <w:widowControl w:val="0"/>
        <w:autoSpaceDE w:val="0"/>
        <w:autoSpaceDN w:val="0"/>
        <w:adjustRightInd w:val="0"/>
        <w:spacing w:line="360" w:lineRule="auto"/>
        <w:ind w:firstLine="482"/>
        <w:jc w:val="both"/>
        <w:rPr>
          <w:rFonts w:hint="eastAsia" w:ascii="宋体" w:hAnsi="宋体" w:eastAsia="宋体" w:cs="仿宋"/>
          <w:kern w:val="0"/>
          <w:szCs w:val="24"/>
          <w:highlight w:val="none"/>
          <w:lang w:val="zh-CN"/>
        </w:rPr>
      </w:pPr>
      <w:r>
        <w:rPr>
          <w:rFonts w:hint="eastAsia" w:ascii="宋体" w:hAnsi="宋体" w:eastAsia="宋体" w:cs="仿宋"/>
          <w:kern w:val="0"/>
          <w:szCs w:val="24"/>
          <w:highlight w:val="none"/>
          <w:lang w:val="zh-CN"/>
        </w:rPr>
        <w:t xml:space="preserve">                                    年   月   日</w:t>
      </w:r>
    </w:p>
    <w:p w14:paraId="4460D8A8">
      <w:pPr>
        <w:pStyle w:val="2"/>
        <w:rPr>
          <w:rFonts w:hint="eastAsia" w:ascii="宋体" w:hAnsi="宋体" w:eastAsia="宋体" w:cs="仿宋"/>
          <w:kern w:val="0"/>
          <w:szCs w:val="24"/>
          <w:highlight w:val="none"/>
          <w:lang w:val="zh-CN"/>
        </w:rPr>
      </w:pPr>
    </w:p>
    <w:p w14:paraId="50ED535C">
      <w:pPr>
        <w:rPr>
          <w:rFonts w:hint="eastAsia" w:ascii="宋体" w:hAnsi="宋体" w:eastAsia="宋体" w:cs="仿宋"/>
          <w:kern w:val="0"/>
          <w:szCs w:val="24"/>
          <w:highlight w:val="none"/>
          <w:lang w:val="zh-CN"/>
        </w:rPr>
      </w:pPr>
    </w:p>
    <w:p w14:paraId="7E9DFC80">
      <w:pPr>
        <w:pStyle w:val="2"/>
        <w:rPr>
          <w:rFonts w:hint="eastAsia" w:ascii="宋体" w:hAnsi="宋体" w:eastAsia="宋体" w:cs="仿宋"/>
          <w:kern w:val="0"/>
          <w:szCs w:val="24"/>
          <w:highlight w:val="none"/>
          <w:lang w:val="zh-CN"/>
        </w:rPr>
      </w:pPr>
    </w:p>
    <w:p w14:paraId="1E8D0CA0">
      <w:pPr>
        <w:rPr>
          <w:rFonts w:hint="eastAsia" w:ascii="宋体" w:hAnsi="宋体" w:eastAsia="宋体" w:cs="仿宋"/>
          <w:kern w:val="0"/>
          <w:szCs w:val="24"/>
          <w:highlight w:val="none"/>
          <w:lang w:val="zh-CN"/>
        </w:rPr>
      </w:pPr>
    </w:p>
    <w:p w14:paraId="48FACE97">
      <w:pPr>
        <w:pStyle w:val="2"/>
        <w:rPr>
          <w:rFonts w:hint="eastAsia" w:ascii="宋体" w:hAnsi="宋体" w:eastAsia="宋体" w:cs="仿宋"/>
          <w:kern w:val="0"/>
          <w:szCs w:val="24"/>
          <w:highlight w:val="none"/>
          <w:lang w:val="zh-CN"/>
        </w:rPr>
      </w:pPr>
    </w:p>
    <w:p w14:paraId="1DDE2B0C">
      <w:pPr>
        <w:rPr>
          <w:rFonts w:hint="eastAsia"/>
          <w:highlight w:val="none"/>
          <w:lang w:val="zh-CN"/>
        </w:rPr>
      </w:pPr>
    </w:p>
    <w:p w14:paraId="730F804D">
      <w:pPr>
        <w:widowControl w:val="0"/>
        <w:autoSpaceDE w:val="0"/>
        <w:autoSpaceDN w:val="0"/>
        <w:adjustRightInd w:val="0"/>
        <w:spacing w:line="360" w:lineRule="auto"/>
        <w:ind w:firstLine="482"/>
        <w:jc w:val="both"/>
        <w:rPr>
          <w:rFonts w:hint="eastAsia" w:ascii="宋体" w:hAnsi="宋体" w:eastAsia="宋体" w:cs="仿宋"/>
          <w:kern w:val="0"/>
          <w:szCs w:val="24"/>
          <w:highlight w:val="none"/>
          <w:lang w:val="zh-CN"/>
        </w:rPr>
      </w:pPr>
    </w:p>
    <w:p w14:paraId="53111671">
      <w:pPr>
        <w:pStyle w:val="4"/>
        <w:numPr>
          <w:ilvl w:val="0"/>
          <w:numId w:val="5"/>
        </w:numPr>
        <w:bidi w:val="0"/>
        <w:spacing w:line="360" w:lineRule="auto"/>
        <w:rPr>
          <w:rFonts w:hint="eastAsia" w:eastAsia="宋体" w:asciiTheme="majorHAnsi" w:hAnsiTheme="majorHAnsi" w:cstheme="majorBidi"/>
          <w:b/>
          <w:bCs/>
          <w:kern w:val="2"/>
          <w:sz w:val="32"/>
          <w:szCs w:val="32"/>
          <w:highlight w:val="none"/>
          <w:lang w:val="zh-CN" w:eastAsia="zh-CN" w:bidi="ar-SA"/>
        </w:rPr>
      </w:pPr>
      <w:r>
        <w:rPr>
          <w:rFonts w:hint="eastAsia" w:eastAsia="宋体" w:asciiTheme="majorHAnsi" w:hAnsiTheme="majorHAnsi" w:cstheme="majorBidi"/>
          <w:b/>
          <w:bCs/>
          <w:kern w:val="2"/>
          <w:sz w:val="32"/>
          <w:szCs w:val="32"/>
          <w:highlight w:val="none"/>
          <w:lang w:val="zh-CN" w:eastAsia="zh-CN" w:bidi="ar-SA"/>
        </w:rPr>
        <w:t>供应商诚信承诺书</w:t>
      </w:r>
    </w:p>
    <w:p w14:paraId="3C1B54FA">
      <w:pPr>
        <w:autoSpaceDE w:val="0"/>
        <w:autoSpaceDN w:val="0"/>
        <w:adjustRightInd w:val="0"/>
        <w:spacing w:line="360" w:lineRule="auto"/>
        <w:ind w:firstLine="480"/>
        <w:jc w:val="center"/>
        <w:rPr>
          <w:rFonts w:hint="eastAsia" w:ascii="仿宋" w:hAnsi="仿宋" w:eastAsia="仿宋" w:cs="仿宋"/>
          <w:b/>
          <w:bCs/>
          <w:kern w:val="0"/>
          <w:sz w:val="28"/>
          <w:szCs w:val="24"/>
          <w:highlight w:val="none"/>
          <w:lang w:val="zh-CN" w:eastAsia="zh-CN"/>
        </w:rPr>
      </w:pPr>
      <w:r>
        <w:rPr>
          <w:rFonts w:hint="eastAsia" w:ascii="仿宋" w:hAnsi="仿宋" w:eastAsia="仿宋" w:cs="仿宋"/>
          <w:b/>
          <w:bCs/>
          <w:kern w:val="0"/>
          <w:sz w:val="28"/>
          <w:szCs w:val="24"/>
          <w:highlight w:val="none"/>
          <w:lang w:val="zh-CN" w:eastAsia="zh-CN"/>
        </w:rPr>
        <w:t>供应商诚信承诺书</w:t>
      </w:r>
    </w:p>
    <w:p w14:paraId="03FCDBEE">
      <w:pPr>
        <w:autoSpaceDE w:val="0"/>
        <w:autoSpaceDN w:val="0"/>
        <w:adjustRightInd w:val="0"/>
        <w:spacing w:line="360" w:lineRule="auto"/>
        <w:jc w:val="center"/>
        <w:rPr>
          <w:rFonts w:ascii="仿宋" w:hAnsi="仿宋" w:eastAsia="仿宋" w:cs="仿宋"/>
          <w:color w:val="000000"/>
          <w:sz w:val="36"/>
          <w:szCs w:val="36"/>
          <w:highlight w:val="none"/>
        </w:rPr>
      </w:pPr>
    </w:p>
    <w:p w14:paraId="582CC3E6">
      <w:pPr>
        <w:autoSpaceDE w:val="0"/>
        <w:autoSpaceDN w:val="0"/>
        <w:adjustRightInd w:val="0"/>
        <w:spacing w:line="360" w:lineRule="auto"/>
        <w:ind w:firstLine="480"/>
        <w:rPr>
          <w:rFonts w:ascii="仿宋" w:hAnsi="仿宋" w:eastAsia="仿宋" w:cs="仿宋"/>
          <w:kern w:val="0"/>
          <w:sz w:val="24"/>
          <w:highlight w:val="none"/>
          <w:lang w:val="zh-CN"/>
        </w:rPr>
      </w:pPr>
      <w:bookmarkStart w:id="386" w:name="_Hlk182910040"/>
      <w:r>
        <w:rPr>
          <w:rFonts w:hint="eastAsia" w:ascii="仿宋" w:hAnsi="仿宋" w:eastAsia="仿宋" w:cs="仿宋"/>
          <w:kern w:val="0"/>
          <w:sz w:val="24"/>
          <w:highlight w:val="none"/>
          <w:lang w:val="zh-CN"/>
        </w:rPr>
        <w:t>为了诚实、客观、有序地参与</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w:t>
      </w:r>
      <w:r>
        <w:rPr>
          <w:rFonts w:hint="eastAsia" w:ascii="仿宋" w:hAnsi="仿宋" w:eastAsia="仿宋" w:cs="仿宋"/>
          <w:kern w:val="0"/>
          <w:sz w:val="24"/>
          <w:highlight w:val="none"/>
          <w:lang w:val="zh-CN"/>
        </w:rPr>
        <w:t>采购活动，愿就以下内容作出承诺：</w:t>
      </w:r>
    </w:p>
    <w:bookmarkEnd w:id="386"/>
    <w:p w14:paraId="086CC5EA">
      <w:pPr>
        <w:autoSpaceDE w:val="0"/>
        <w:autoSpaceDN w:val="0"/>
        <w:adjustRightInd w:val="0"/>
        <w:spacing w:line="360" w:lineRule="auto"/>
        <w:ind w:firstLine="480"/>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一、自觉遵守各项法律、法规、规章、制度以及社会公德，维护廉洁环境，与同场竞争的供应商平等参加招采购活动。</w:t>
      </w:r>
    </w:p>
    <w:p w14:paraId="4029D8A8">
      <w:pPr>
        <w:autoSpaceDE w:val="0"/>
        <w:autoSpaceDN w:val="0"/>
        <w:adjustRightInd w:val="0"/>
        <w:spacing w:line="360" w:lineRule="auto"/>
        <w:ind w:firstLine="480"/>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二、参加采购代理机构组织的采购活动时，严格按照</w:t>
      </w:r>
      <w:r>
        <w:rPr>
          <w:rFonts w:hint="eastAsia" w:ascii="仿宋" w:hAnsi="仿宋" w:eastAsia="仿宋" w:cs="仿宋"/>
          <w:kern w:val="0"/>
          <w:sz w:val="24"/>
          <w:highlight w:val="none"/>
        </w:rPr>
        <w:t>招标</w:t>
      </w:r>
      <w:r>
        <w:rPr>
          <w:rFonts w:hint="eastAsia" w:ascii="仿宋" w:hAnsi="仿宋" w:eastAsia="仿宋" w:cs="仿宋"/>
          <w:kern w:val="0"/>
          <w:sz w:val="24"/>
          <w:highlight w:val="none"/>
          <w:lang w:val="zh-CN"/>
        </w:rPr>
        <w:t>文件的规定和要求提供所需的相关材料，并对所提供的各类资料的真实性负责，不虚假应标，不虚列业绩；不以他人名义投标或者以其他方式弄虚作假，骗取中标。</w:t>
      </w:r>
    </w:p>
    <w:p w14:paraId="25E09920">
      <w:pPr>
        <w:autoSpaceDE w:val="0"/>
        <w:autoSpaceDN w:val="0"/>
        <w:adjustRightInd w:val="0"/>
        <w:spacing w:line="360" w:lineRule="auto"/>
        <w:ind w:firstLine="480"/>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三、尊重参与采购活动各相关方的合法行为，接受采购活动依法形成的意见、结果。</w:t>
      </w:r>
    </w:p>
    <w:p w14:paraId="54E37D44">
      <w:pPr>
        <w:autoSpaceDE w:val="0"/>
        <w:autoSpaceDN w:val="0"/>
        <w:adjustRightInd w:val="0"/>
        <w:spacing w:line="360" w:lineRule="auto"/>
        <w:ind w:firstLine="480"/>
        <w:rPr>
          <w:rFonts w:ascii="仿宋" w:hAnsi="仿宋" w:eastAsia="仿宋" w:cs="仿宋"/>
          <w:kern w:val="0"/>
          <w:sz w:val="24"/>
          <w:highlight w:val="none"/>
          <w:lang w:val="zh-CN"/>
        </w:rPr>
      </w:pPr>
      <w:bookmarkStart w:id="387" w:name="_Hlk182909516"/>
      <w:r>
        <w:rPr>
          <w:rFonts w:hint="eastAsia" w:ascii="仿宋" w:hAnsi="仿宋" w:eastAsia="仿宋" w:cs="仿宋"/>
          <w:kern w:val="0"/>
          <w:sz w:val="24"/>
          <w:highlight w:val="none"/>
          <w:lang w:val="zh-CN"/>
        </w:rPr>
        <w:t>四、依法参加采购活动，不与其他供应商互相串通投标，不排挤其他供应商的公平竞争，不损害招标人的合法权益；不与招标人或者招标代理机构串通投标，损害国家利益、社会公共利益或者他人的合法权益；不向招标人或者评标委员会成员行贿以牟取中标。维护市场秩序，不提供“三无”产品、以次充好。</w:t>
      </w:r>
    </w:p>
    <w:bookmarkEnd w:id="387"/>
    <w:p w14:paraId="73E7DE6A">
      <w:pPr>
        <w:autoSpaceDE w:val="0"/>
        <w:autoSpaceDN w:val="0"/>
        <w:adjustRightInd w:val="0"/>
        <w:spacing w:line="360" w:lineRule="auto"/>
        <w:ind w:firstLine="480"/>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五、严格按照招标文件的规定和要求提供所需的相关材料，并对所提供的各类资料的真实性负责。如有违反按照自治区财政厅下发的《关于开展政府采购领域“四类”违法违规行为专项整治工作的通知》精神，自愿接受检验检测报告的问题；不存在提供虚假的合同业绩及学历证书等证明材料的问题；处罚。供应商对所投标（响应）文件的真实性负责，绝不存在提供虚假的认证证书、不存在提供虚假的《中小企业声明函》的问题；不存在其他提供虚假材料的问题。</w:t>
      </w:r>
    </w:p>
    <w:p w14:paraId="312DA5D0">
      <w:pPr>
        <w:autoSpaceDE w:val="0"/>
        <w:autoSpaceDN w:val="0"/>
        <w:adjustRightInd w:val="0"/>
        <w:spacing w:line="360" w:lineRule="auto"/>
        <w:ind w:firstLine="480"/>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六、积极推动采购活动健康开展，对采购活动有疑问、异议时，按法律规定的程序实名（加盖单位章和法定代表人签名）反映情况，不恶意中伤、无事生非，以和谐、平等的心态参加采购活动。</w:t>
      </w:r>
    </w:p>
    <w:p w14:paraId="70B46E60">
      <w:pPr>
        <w:autoSpaceDE w:val="0"/>
        <w:autoSpaceDN w:val="0"/>
        <w:adjustRightInd w:val="0"/>
        <w:spacing w:line="360" w:lineRule="auto"/>
        <w:ind w:firstLine="480"/>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七、认真履行成交人应承担的责任和义务，全面执行采购合同规定的各项内容，保质保量地按时提供采购物品。</w:t>
      </w:r>
    </w:p>
    <w:p w14:paraId="3D76D841">
      <w:pPr>
        <w:autoSpaceDE w:val="0"/>
        <w:autoSpaceDN w:val="0"/>
        <w:adjustRightInd w:val="0"/>
        <w:spacing w:line="360" w:lineRule="auto"/>
        <w:ind w:firstLine="480" w:firstLineChars="200"/>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若本企业（单位）发生有悖于上述承诺的行为或形成恶意投诉，我们自愿接受《政府采购法》等有关法律法规中对供应商的相关处理：</w:t>
      </w:r>
      <w:bookmarkStart w:id="388" w:name="_Hlk182910718"/>
      <w:r>
        <w:rPr>
          <w:rFonts w:hint="eastAsia" w:ascii="仿宋" w:hAnsi="仿宋" w:eastAsia="仿宋" w:cs="仿宋"/>
          <w:kern w:val="0"/>
          <w:sz w:val="24"/>
          <w:highlight w:val="none"/>
          <w:lang w:val="zh-CN"/>
        </w:rPr>
        <w:t>自愿放弃中标资格、限制以后投标、记入不良信用档案、没收本次投标保证金，并愿意承担由此引起的其他法律责任。</w:t>
      </w:r>
      <w:bookmarkEnd w:id="388"/>
    </w:p>
    <w:p w14:paraId="17CAB71D">
      <w:pPr>
        <w:autoSpaceDE w:val="0"/>
        <w:autoSpaceDN w:val="0"/>
        <w:adjustRightInd w:val="0"/>
        <w:spacing w:line="360" w:lineRule="auto"/>
        <w:ind w:firstLine="4435" w:firstLineChars="1848"/>
        <w:rPr>
          <w:rFonts w:ascii="仿宋" w:hAnsi="仿宋" w:eastAsia="仿宋" w:cs="仿宋"/>
          <w:bCs/>
          <w:kern w:val="0"/>
          <w:sz w:val="24"/>
          <w:highlight w:val="none"/>
          <w:lang w:val="zh-CN"/>
        </w:rPr>
      </w:pPr>
      <w:bookmarkStart w:id="389" w:name="_Hlk182910783"/>
      <w:r>
        <w:rPr>
          <w:rFonts w:hint="eastAsia" w:ascii="仿宋" w:hAnsi="仿宋" w:eastAsia="仿宋" w:cs="仿宋"/>
          <w:bCs/>
          <w:kern w:val="0"/>
          <w:sz w:val="24"/>
          <w:highlight w:val="none"/>
          <w:lang w:val="zh-CN"/>
        </w:rPr>
        <w:t>供应商：             （公章）</w:t>
      </w:r>
    </w:p>
    <w:p w14:paraId="5A330534">
      <w:pPr>
        <w:autoSpaceDE w:val="0"/>
        <w:autoSpaceDN w:val="0"/>
        <w:adjustRightInd w:val="0"/>
        <w:spacing w:line="360" w:lineRule="auto"/>
        <w:rPr>
          <w:rFonts w:ascii="仿宋" w:hAnsi="仿宋" w:eastAsia="仿宋" w:cs="仿宋"/>
          <w:bCs/>
          <w:kern w:val="0"/>
          <w:sz w:val="24"/>
          <w:highlight w:val="none"/>
          <w:lang w:val="zh-CN"/>
        </w:rPr>
      </w:pPr>
      <w:r>
        <w:rPr>
          <w:rFonts w:hint="eastAsia" w:ascii="仿宋" w:hAnsi="仿宋" w:eastAsia="仿宋" w:cs="仿宋"/>
          <w:bCs/>
          <w:kern w:val="0"/>
          <w:sz w:val="24"/>
          <w:highlight w:val="none"/>
          <w:lang w:val="zh-CN"/>
        </w:rPr>
        <w:t xml:space="preserve">                     法定代表人或委托代理人：             （签字）</w:t>
      </w:r>
    </w:p>
    <w:p w14:paraId="51DAF361">
      <w:pPr>
        <w:spacing w:line="360" w:lineRule="auto"/>
        <w:rPr>
          <w:highlight w:val="none"/>
        </w:rPr>
      </w:pPr>
      <w:r>
        <w:rPr>
          <w:rFonts w:hint="eastAsia" w:ascii="仿宋" w:hAnsi="仿宋" w:eastAsia="仿宋" w:cs="仿宋"/>
          <w:bCs/>
          <w:kern w:val="0"/>
          <w:sz w:val="24"/>
          <w:highlight w:val="none"/>
          <w:lang w:val="zh-CN"/>
        </w:rPr>
        <w:t xml:space="preserve">                                         年   月   日</w:t>
      </w:r>
      <w:bookmarkEnd w:id="389"/>
    </w:p>
    <w:p w14:paraId="1427BEEF">
      <w:pPr>
        <w:pStyle w:val="14"/>
        <w:spacing w:line="360" w:lineRule="auto"/>
        <w:rPr>
          <w:highlight w:val="none"/>
        </w:rPr>
      </w:pPr>
    </w:p>
    <w:p w14:paraId="50088FDB">
      <w:pPr>
        <w:spacing w:line="360" w:lineRule="auto"/>
        <w:rPr>
          <w:highlight w:val="none"/>
        </w:rPr>
      </w:pPr>
      <w:r>
        <w:rPr>
          <w:rFonts w:hint="eastAsia"/>
          <w:highlight w:val="none"/>
        </w:rPr>
        <w:br w:type="page"/>
      </w:r>
    </w:p>
    <w:p w14:paraId="16675DDC">
      <w:pPr>
        <w:pStyle w:val="4"/>
        <w:spacing w:line="360" w:lineRule="auto"/>
        <w:rPr>
          <w:highlight w:val="none"/>
          <w:lang w:val="zh-CN"/>
        </w:rPr>
      </w:pPr>
      <w:bookmarkStart w:id="390" w:name="_Toc22101"/>
      <w:r>
        <w:rPr>
          <w:rFonts w:hint="eastAsia"/>
          <w:highlight w:val="none"/>
          <w:lang w:val="en-US" w:eastAsia="zh-CN"/>
        </w:rPr>
        <w:t>七</w:t>
      </w:r>
      <w:r>
        <w:rPr>
          <w:rFonts w:hint="eastAsia"/>
          <w:highlight w:val="none"/>
        </w:rPr>
        <w:t>、</w:t>
      </w:r>
      <w:bookmarkEnd w:id="385"/>
      <w:r>
        <w:rPr>
          <w:rFonts w:hint="eastAsia"/>
          <w:highlight w:val="none"/>
          <w:lang w:val="zh-CN"/>
        </w:rPr>
        <w:t>其他资格证明文件</w:t>
      </w:r>
      <w:bookmarkEnd w:id="390"/>
    </w:p>
    <w:p w14:paraId="34CDD6AA">
      <w:pPr>
        <w:pStyle w:val="5"/>
        <w:spacing w:line="360" w:lineRule="auto"/>
        <w:rPr>
          <w:highlight w:val="none"/>
        </w:rPr>
      </w:pPr>
      <w:r>
        <w:rPr>
          <w:highlight w:val="none"/>
        </w:rPr>
        <w:t>（一）控股、管理关系声明函</w:t>
      </w:r>
    </w:p>
    <w:p w14:paraId="683CF551">
      <w:pPr>
        <w:pStyle w:val="41"/>
        <w:spacing w:line="360" w:lineRule="auto"/>
        <w:ind w:firstLine="0"/>
        <w:jc w:val="center"/>
        <w:rPr>
          <w:b/>
          <w:highlight w:val="none"/>
        </w:rPr>
      </w:pPr>
      <w:r>
        <w:rPr>
          <w:b/>
          <w:highlight w:val="none"/>
        </w:rPr>
        <w:t>控股、管理关系声明函</w:t>
      </w:r>
    </w:p>
    <w:p w14:paraId="7C12D5F9">
      <w:pPr>
        <w:widowControl w:val="0"/>
        <w:spacing w:line="360" w:lineRule="auto"/>
        <w:ind w:firstLine="480" w:firstLineChars="200"/>
        <w:jc w:val="both"/>
        <w:rPr>
          <w:rFonts w:cs="宋体"/>
          <w:kern w:val="0"/>
          <w:szCs w:val="20"/>
          <w:highlight w:val="none"/>
        </w:rPr>
      </w:pPr>
      <w:r>
        <w:rPr>
          <w:rFonts w:hint="eastAsia" w:cs="宋体"/>
          <w:kern w:val="0"/>
          <w:szCs w:val="24"/>
          <w:highlight w:val="none"/>
        </w:rPr>
        <w:t>本公司</w:t>
      </w:r>
      <w:r>
        <w:rPr>
          <w:rFonts w:hint="eastAsia" w:cs="宋体"/>
          <w:kern w:val="0"/>
          <w:szCs w:val="24"/>
          <w:highlight w:val="none"/>
          <w:u w:val="single"/>
        </w:rPr>
        <w:t xml:space="preserve">              </w:t>
      </w:r>
      <w:r>
        <w:rPr>
          <w:rFonts w:hint="eastAsia" w:cs="宋体"/>
          <w:kern w:val="0"/>
          <w:szCs w:val="24"/>
          <w:highlight w:val="none"/>
        </w:rPr>
        <w:t>（公司名称）参加</w:t>
      </w:r>
      <w:r>
        <w:rPr>
          <w:rFonts w:hint="eastAsia" w:cs="宋体"/>
          <w:kern w:val="0"/>
          <w:szCs w:val="24"/>
          <w:highlight w:val="none"/>
          <w:u w:val="single"/>
        </w:rPr>
        <w:t xml:space="preserve">               </w:t>
      </w:r>
      <w:r>
        <w:rPr>
          <w:rFonts w:hint="eastAsia" w:cs="宋体"/>
          <w:kern w:val="0"/>
          <w:szCs w:val="24"/>
          <w:highlight w:val="none"/>
        </w:rPr>
        <w:t>（项目名称）的</w:t>
      </w:r>
      <w:r>
        <w:rPr>
          <w:rFonts w:hint="eastAsia" w:cs="宋体"/>
          <w:kern w:val="0"/>
          <w:szCs w:val="28"/>
          <w:highlight w:val="none"/>
        </w:rPr>
        <w:t>采购</w:t>
      </w:r>
      <w:r>
        <w:rPr>
          <w:rFonts w:hint="eastAsia" w:cs="宋体"/>
          <w:kern w:val="0"/>
          <w:szCs w:val="24"/>
          <w:highlight w:val="none"/>
        </w:rPr>
        <w:t>活动，现将我公司</w:t>
      </w:r>
      <w:r>
        <w:rPr>
          <w:highlight w:val="none"/>
        </w:rPr>
        <w:t>控股、管理关系声明如下：</w:t>
      </w:r>
    </w:p>
    <w:p w14:paraId="5FA30CEB">
      <w:pPr>
        <w:widowControl w:val="0"/>
        <w:spacing w:line="360" w:lineRule="auto"/>
        <w:ind w:firstLine="480" w:firstLineChars="200"/>
        <w:jc w:val="both"/>
        <w:rPr>
          <w:rFonts w:cs="宋体"/>
          <w:kern w:val="0"/>
          <w:szCs w:val="24"/>
          <w:highlight w:val="none"/>
        </w:rPr>
      </w:pPr>
      <w:r>
        <w:rPr>
          <w:rFonts w:cs="宋体"/>
          <w:kern w:val="0"/>
          <w:szCs w:val="24"/>
          <w:highlight w:val="none"/>
        </w:rPr>
        <w:t>（1）与我方单位负责人为同一人的其他单位名称：</w:t>
      </w:r>
    </w:p>
    <w:p w14:paraId="0D3373BB">
      <w:pPr>
        <w:widowControl w:val="0"/>
        <w:spacing w:line="360" w:lineRule="auto"/>
        <w:ind w:firstLine="480" w:firstLineChars="200"/>
        <w:jc w:val="both"/>
        <w:rPr>
          <w:rFonts w:cs="宋体"/>
          <w:kern w:val="0"/>
          <w:szCs w:val="24"/>
          <w:highlight w:val="none"/>
        </w:rPr>
      </w:pPr>
      <w:r>
        <w:rPr>
          <w:rFonts w:hint="eastAsia" w:cs="宋体"/>
          <w:kern w:val="0"/>
          <w:szCs w:val="24"/>
          <w:highlight w:val="none"/>
        </w:rPr>
        <w:t>□无；□有，具体单位名称为：</w:t>
      </w:r>
      <w:r>
        <w:rPr>
          <w:rFonts w:hint="eastAsia" w:cs="宋体"/>
          <w:kern w:val="0"/>
          <w:szCs w:val="24"/>
          <w:highlight w:val="none"/>
          <w:u w:val="single"/>
        </w:rPr>
        <w:t>（由投标人如实填写）</w:t>
      </w:r>
      <w:r>
        <w:rPr>
          <w:rFonts w:hint="eastAsia" w:cs="宋体"/>
          <w:kern w:val="0"/>
          <w:szCs w:val="24"/>
          <w:highlight w:val="none"/>
        </w:rPr>
        <w:t>。</w:t>
      </w:r>
    </w:p>
    <w:p w14:paraId="09EB970B">
      <w:pPr>
        <w:widowControl w:val="0"/>
        <w:spacing w:line="360" w:lineRule="auto"/>
        <w:ind w:firstLine="480" w:firstLineChars="200"/>
        <w:jc w:val="both"/>
        <w:rPr>
          <w:rFonts w:cs="宋体"/>
          <w:kern w:val="0"/>
          <w:szCs w:val="24"/>
          <w:highlight w:val="none"/>
        </w:rPr>
      </w:pPr>
      <w:r>
        <w:rPr>
          <w:rFonts w:cs="宋体"/>
          <w:kern w:val="0"/>
          <w:szCs w:val="24"/>
          <w:highlight w:val="none"/>
        </w:rPr>
        <w:t>（2）与我方存在控股、管理关系的其他单位的名称：</w:t>
      </w:r>
    </w:p>
    <w:p w14:paraId="2E0E26C3">
      <w:pPr>
        <w:widowControl w:val="0"/>
        <w:spacing w:line="360" w:lineRule="auto"/>
        <w:ind w:firstLine="480" w:firstLineChars="200"/>
        <w:jc w:val="both"/>
        <w:rPr>
          <w:rFonts w:cs="宋体"/>
          <w:kern w:val="0"/>
          <w:szCs w:val="24"/>
          <w:highlight w:val="none"/>
        </w:rPr>
      </w:pPr>
      <w:r>
        <w:rPr>
          <w:rFonts w:hint="eastAsia" w:cs="宋体"/>
          <w:kern w:val="0"/>
          <w:szCs w:val="24"/>
          <w:highlight w:val="none"/>
        </w:rPr>
        <w:t>□无；□有，具体单位名称为：</w:t>
      </w:r>
      <w:r>
        <w:rPr>
          <w:rFonts w:cs="宋体"/>
          <w:kern w:val="0"/>
          <w:szCs w:val="24"/>
          <w:highlight w:val="none"/>
          <w:u w:val="single"/>
        </w:rPr>
        <w:t xml:space="preserve"> （由投标人如实填写）</w:t>
      </w:r>
      <w:r>
        <w:rPr>
          <w:rFonts w:cs="宋体"/>
          <w:kern w:val="0"/>
          <w:szCs w:val="24"/>
          <w:highlight w:val="none"/>
        </w:rPr>
        <w:t>。</w:t>
      </w:r>
    </w:p>
    <w:p w14:paraId="7D687AC4">
      <w:pPr>
        <w:widowControl w:val="0"/>
        <w:spacing w:line="360" w:lineRule="auto"/>
        <w:ind w:firstLine="480" w:firstLineChars="200"/>
        <w:jc w:val="both"/>
        <w:rPr>
          <w:rFonts w:cs="宋体"/>
          <w:kern w:val="0"/>
          <w:szCs w:val="24"/>
          <w:highlight w:val="none"/>
        </w:rPr>
      </w:pPr>
      <w:r>
        <w:rPr>
          <w:rFonts w:hint="eastAsia" w:cs="宋体"/>
          <w:kern w:val="0"/>
          <w:szCs w:val="24"/>
          <w:highlight w:val="none"/>
        </w:rPr>
        <w:t>（备注：以上</w:t>
      </w:r>
      <w:r>
        <w:rPr>
          <w:rFonts w:cs="宋体"/>
          <w:kern w:val="0"/>
          <w:szCs w:val="24"/>
          <w:highlight w:val="none"/>
        </w:rPr>
        <w:t>2项声明，必须如实选择，选中项用</w:t>
      </w:r>
      <w:r>
        <w:rPr>
          <w:rFonts w:ascii="Segoe UI Symbol" w:hAnsi="Segoe UI Symbol" w:cs="宋体"/>
          <w:kern w:val="0"/>
          <w:szCs w:val="24"/>
          <w:highlight w:val="none"/>
        </w:rPr>
        <w:t>☑</w:t>
      </w:r>
      <w:r>
        <w:rPr>
          <w:rFonts w:cs="宋体"/>
          <w:kern w:val="0"/>
          <w:szCs w:val="24"/>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399CD5ED">
      <w:pPr>
        <w:widowControl w:val="0"/>
        <w:spacing w:line="360" w:lineRule="auto"/>
        <w:ind w:firstLine="480" w:firstLineChars="200"/>
        <w:jc w:val="both"/>
        <w:rPr>
          <w:rFonts w:cs="宋体"/>
          <w:kern w:val="0"/>
          <w:szCs w:val="24"/>
          <w:highlight w:val="none"/>
        </w:rPr>
      </w:pPr>
      <w:r>
        <w:rPr>
          <w:rFonts w:cs="宋体"/>
          <w:kern w:val="0"/>
          <w:szCs w:val="24"/>
          <w:highlight w:val="none"/>
        </w:rPr>
        <w:t>同时本公司承诺</w:t>
      </w:r>
      <w:r>
        <w:rPr>
          <w:rFonts w:hint="eastAsia" w:cs="宋体"/>
          <w:kern w:val="0"/>
          <w:szCs w:val="24"/>
          <w:highlight w:val="none"/>
        </w:rPr>
        <w:t>参加本次采购活动不存在：</w:t>
      </w:r>
    </w:p>
    <w:p w14:paraId="50C7BD70">
      <w:pPr>
        <w:widowControl w:val="0"/>
        <w:spacing w:line="360" w:lineRule="auto"/>
        <w:ind w:firstLine="480" w:firstLineChars="200"/>
        <w:jc w:val="both"/>
        <w:rPr>
          <w:rFonts w:cs="宋体"/>
          <w:kern w:val="0"/>
          <w:szCs w:val="24"/>
          <w:highlight w:val="none"/>
        </w:rPr>
      </w:pPr>
      <w:r>
        <w:rPr>
          <w:rFonts w:hint="eastAsia" w:cs="宋体"/>
          <w:kern w:val="0"/>
          <w:szCs w:val="24"/>
          <w:highlight w:val="none"/>
        </w:rPr>
        <w:t>（</w:t>
      </w:r>
      <w:r>
        <w:rPr>
          <w:rFonts w:cs="宋体"/>
          <w:kern w:val="0"/>
          <w:szCs w:val="24"/>
          <w:highlight w:val="none"/>
        </w:rPr>
        <w:t>1）与招标人存在利害关系可能影响招标公正性的法定代表人、其他组织或者个人参加投标的情形；</w:t>
      </w:r>
    </w:p>
    <w:p w14:paraId="7B3600EF">
      <w:pPr>
        <w:widowControl w:val="0"/>
        <w:spacing w:line="360" w:lineRule="auto"/>
        <w:ind w:firstLine="480" w:firstLineChars="200"/>
        <w:jc w:val="both"/>
        <w:rPr>
          <w:rFonts w:cs="宋体"/>
          <w:kern w:val="0"/>
          <w:szCs w:val="24"/>
          <w:highlight w:val="none"/>
        </w:rPr>
      </w:pPr>
      <w:r>
        <w:rPr>
          <w:rFonts w:hint="eastAsia" w:cs="宋体"/>
          <w:kern w:val="0"/>
          <w:szCs w:val="24"/>
          <w:highlight w:val="none"/>
        </w:rPr>
        <w:t>（</w:t>
      </w:r>
      <w:r>
        <w:rPr>
          <w:rFonts w:cs="宋体"/>
          <w:kern w:val="0"/>
          <w:szCs w:val="24"/>
          <w:highlight w:val="none"/>
        </w:rPr>
        <w:t>2）单位负责人为同一人或者存在直接控股、管理关系的不同单位，参加同一合同项下的同一招标项目投标的情形；</w:t>
      </w:r>
    </w:p>
    <w:p w14:paraId="2C3AAE56">
      <w:pPr>
        <w:widowControl w:val="0"/>
        <w:spacing w:line="360" w:lineRule="auto"/>
        <w:ind w:firstLine="480" w:firstLineChars="200"/>
        <w:jc w:val="both"/>
        <w:rPr>
          <w:rFonts w:cs="宋体"/>
          <w:kern w:val="0"/>
          <w:szCs w:val="24"/>
          <w:highlight w:val="none"/>
        </w:rPr>
      </w:pPr>
      <w:r>
        <w:rPr>
          <w:rFonts w:hint="eastAsia" w:cs="宋体"/>
          <w:kern w:val="0"/>
          <w:szCs w:val="24"/>
          <w:highlight w:val="none"/>
        </w:rPr>
        <w:t>本公司对上述承诺内容事项真实性负责。如经查实上述承诺的内容事项存在虚假，我公司愿意接受以提供虚假材料谋取中标追究法律责任。</w:t>
      </w:r>
    </w:p>
    <w:p w14:paraId="623ED9E7">
      <w:pPr>
        <w:widowControl w:val="0"/>
        <w:spacing w:line="360" w:lineRule="auto"/>
        <w:ind w:firstLine="480" w:firstLineChars="200"/>
        <w:jc w:val="both"/>
        <w:rPr>
          <w:rFonts w:cs="宋体"/>
          <w:kern w:val="0"/>
          <w:szCs w:val="20"/>
          <w:highlight w:val="none"/>
        </w:rPr>
      </w:pPr>
    </w:p>
    <w:p w14:paraId="203A69C2">
      <w:pPr>
        <w:widowControl w:val="0"/>
        <w:spacing w:line="360" w:lineRule="auto"/>
        <w:ind w:firstLine="480" w:firstLineChars="200"/>
        <w:jc w:val="both"/>
        <w:rPr>
          <w:rFonts w:cs="宋体"/>
          <w:kern w:val="0"/>
          <w:szCs w:val="20"/>
          <w:highlight w:val="none"/>
        </w:rPr>
      </w:pPr>
    </w:p>
    <w:p w14:paraId="7BF7EE19">
      <w:pPr>
        <w:widowControl w:val="0"/>
        <w:spacing w:line="360" w:lineRule="auto"/>
        <w:ind w:firstLine="480" w:firstLineChars="200"/>
        <w:jc w:val="right"/>
        <w:rPr>
          <w:rFonts w:cs="Times New Roman"/>
          <w:kern w:val="0"/>
          <w:szCs w:val="20"/>
          <w:highlight w:val="none"/>
        </w:rPr>
      </w:pPr>
      <w:r>
        <w:rPr>
          <w:rFonts w:hint="eastAsia" w:cs="Times New Roman"/>
          <w:kern w:val="0"/>
          <w:szCs w:val="20"/>
          <w:highlight w:val="none"/>
        </w:rPr>
        <w:t>投标人名称：XXXX（单位公章）</w:t>
      </w:r>
    </w:p>
    <w:p w14:paraId="71761EE1">
      <w:pPr>
        <w:widowControl w:val="0"/>
        <w:spacing w:line="360" w:lineRule="auto"/>
        <w:ind w:firstLine="480" w:firstLineChars="200"/>
        <w:jc w:val="right"/>
        <w:rPr>
          <w:rFonts w:cs="Times New Roman"/>
          <w:kern w:val="0"/>
          <w:szCs w:val="20"/>
          <w:highlight w:val="none"/>
        </w:rPr>
      </w:pPr>
      <w:r>
        <w:rPr>
          <w:rFonts w:hint="eastAsia" w:cs="Times New Roman"/>
          <w:kern w:val="0"/>
          <w:szCs w:val="20"/>
          <w:highlight w:val="none"/>
        </w:rPr>
        <w:t>法定代表人/单位负责人或授权代表（签字或加盖个人名章）：XXXX</w:t>
      </w:r>
    </w:p>
    <w:p w14:paraId="23E05626">
      <w:pPr>
        <w:pStyle w:val="41"/>
        <w:spacing w:line="360" w:lineRule="auto"/>
        <w:ind w:firstLine="0"/>
        <w:jc w:val="right"/>
        <w:rPr>
          <w:highlight w:val="none"/>
        </w:rPr>
      </w:pPr>
      <w:r>
        <w:rPr>
          <w:rFonts w:hint="eastAsia" w:cs="Times New Roman"/>
          <w:iCs w:val="0"/>
          <w:kern w:val="0"/>
          <w:szCs w:val="20"/>
          <w:highlight w:val="none"/>
          <w:shd w:val="clear" w:color="auto" w:fill="auto"/>
          <w:lang w:val="en-US"/>
        </w:rPr>
        <w:t>投标日期：XXXX</w:t>
      </w:r>
    </w:p>
    <w:p w14:paraId="47126320">
      <w:pPr>
        <w:spacing w:line="360" w:lineRule="auto"/>
        <w:rPr>
          <w:b/>
          <w:bCs/>
          <w:sz w:val="30"/>
          <w:szCs w:val="32"/>
          <w:highlight w:val="none"/>
        </w:rPr>
      </w:pPr>
      <w:r>
        <w:rPr>
          <w:highlight w:val="none"/>
        </w:rPr>
        <w:br w:type="page"/>
      </w:r>
    </w:p>
    <w:p w14:paraId="059C13FF">
      <w:pPr>
        <w:pStyle w:val="5"/>
        <w:spacing w:line="360" w:lineRule="auto"/>
        <w:rPr>
          <w:rFonts w:hint="eastAsia" w:ascii="宋体" w:hAnsi="宋体" w:eastAsia="宋体" w:cstheme="minorBidi"/>
          <w:b/>
          <w:bCs/>
          <w:iCs w:val="0"/>
          <w:kern w:val="2"/>
          <w:sz w:val="30"/>
          <w:szCs w:val="32"/>
          <w:highlight w:val="none"/>
          <w:shd w:val="clear" w:color="auto" w:fill="CCE8CF" w:themeFill="background1"/>
          <w:lang w:val="en-US" w:eastAsia="zh-CN" w:bidi="ar-SA"/>
        </w:rPr>
      </w:pPr>
      <w:r>
        <w:rPr>
          <w:rFonts w:hint="eastAsia" w:ascii="宋体" w:hAnsi="宋体" w:eastAsia="宋体" w:cstheme="minorBidi"/>
          <w:b/>
          <w:bCs/>
          <w:iCs w:val="0"/>
          <w:kern w:val="2"/>
          <w:sz w:val="30"/>
          <w:szCs w:val="32"/>
          <w:highlight w:val="none"/>
          <w:shd w:val="clear" w:color="auto" w:fill="CCE8CF" w:themeFill="background1"/>
          <w:lang w:val="en-US" w:eastAsia="zh-CN" w:bidi="ar-SA"/>
        </w:rPr>
        <w:t>（二）其他利害关系声明函</w:t>
      </w:r>
    </w:p>
    <w:p w14:paraId="5AABD7DC">
      <w:pPr>
        <w:widowControl w:val="0"/>
        <w:spacing w:line="360" w:lineRule="auto"/>
        <w:ind w:firstLine="480" w:firstLineChars="200"/>
        <w:jc w:val="both"/>
        <w:rPr>
          <w:rFonts w:cs="宋体"/>
          <w:kern w:val="0"/>
          <w:szCs w:val="20"/>
          <w:highlight w:val="none"/>
        </w:rPr>
      </w:pPr>
      <w:r>
        <w:rPr>
          <w:rFonts w:hint="eastAsia" w:cs="宋体"/>
          <w:kern w:val="0"/>
          <w:szCs w:val="24"/>
          <w:highlight w:val="none"/>
        </w:rPr>
        <w:t>本公司</w:t>
      </w:r>
      <w:r>
        <w:rPr>
          <w:rFonts w:hint="eastAsia" w:cs="宋体"/>
          <w:kern w:val="0"/>
          <w:szCs w:val="24"/>
          <w:highlight w:val="none"/>
          <w:u w:val="single"/>
        </w:rPr>
        <w:t xml:space="preserve">              </w:t>
      </w:r>
      <w:r>
        <w:rPr>
          <w:rFonts w:hint="eastAsia" w:cs="宋体"/>
          <w:kern w:val="0"/>
          <w:szCs w:val="24"/>
          <w:highlight w:val="none"/>
        </w:rPr>
        <w:t>（公司名称）参加</w:t>
      </w:r>
      <w:r>
        <w:rPr>
          <w:rFonts w:hint="eastAsia" w:cs="宋体"/>
          <w:kern w:val="0"/>
          <w:szCs w:val="24"/>
          <w:highlight w:val="none"/>
          <w:u w:val="single"/>
        </w:rPr>
        <w:t xml:space="preserve">               </w:t>
      </w:r>
      <w:r>
        <w:rPr>
          <w:rFonts w:hint="eastAsia" w:cs="宋体"/>
          <w:kern w:val="0"/>
          <w:szCs w:val="24"/>
          <w:highlight w:val="none"/>
        </w:rPr>
        <w:t>（项目名称）的</w:t>
      </w:r>
      <w:r>
        <w:rPr>
          <w:rFonts w:hint="eastAsia" w:cs="宋体"/>
          <w:kern w:val="0"/>
          <w:szCs w:val="28"/>
          <w:highlight w:val="none"/>
        </w:rPr>
        <w:t>采购</w:t>
      </w:r>
      <w:r>
        <w:rPr>
          <w:rFonts w:hint="eastAsia" w:cs="宋体"/>
          <w:kern w:val="0"/>
          <w:szCs w:val="24"/>
          <w:highlight w:val="none"/>
        </w:rPr>
        <w:t>活动，我公司</w:t>
      </w:r>
      <w:r>
        <w:rPr>
          <w:highlight w:val="none"/>
        </w:rPr>
        <w:t>其他利害关系声明如下：</w:t>
      </w:r>
    </w:p>
    <w:p w14:paraId="7D5F6464">
      <w:pPr>
        <w:widowControl w:val="0"/>
        <w:spacing w:line="360" w:lineRule="auto"/>
        <w:ind w:firstLine="480" w:firstLineChars="200"/>
        <w:jc w:val="both"/>
        <w:rPr>
          <w:rFonts w:cs="宋体"/>
          <w:kern w:val="0"/>
          <w:szCs w:val="24"/>
          <w:highlight w:val="none"/>
        </w:rPr>
      </w:pPr>
      <w:r>
        <w:rPr>
          <w:rFonts w:cs="宋体"/>
          <w:kern w:val="0"/>
          <w:szCs w:val="24"/>
          <w:highlight w:val="none"/>
        </w:rPr>
        <w:t xml:space="preserve">（1）参与本项目采购活动前，是否为本项目前期准备提供过整体设计、规范编制或者项目管理、监理、检测等服务： </w:t>
      </w:r>
    </w:p>
    <w:p w14:paraId="4F9B539A">
      <w:pPr>
        <w:widowControl w:val="0"/>
        <w:spacing w:line="360" w:lineRule="auto"/>
        <w:ind w:firstLine="480" w:firstLineChars="200"/>
        <w:jc w:val="both"/>
        <w:rPr>
          <w:rFonts w:cs="宋体"/>
          <w:kern w:val="0"/>
          <w:szCs w:val="24"/>
          <w:highlight w:val="none"/>
        </w:rPr>
      </w:pPr>
      <w:r>
        <w:rPr>
          <w:rFonts w:hint="eastAsia" w:cs="宋体"/>
          <w:kern w:val="0"/>
          <w:szCs w:val="24"/>
          <w:highlight w:val="none"/>
        </w:rPr>
        <w:t>□无；□有，已提供的具体服务内容为：</w:t>
      </w:r>
      <w:r>
        <w:rPr>
          <w:rFonts w:cs="宋体"/>
          <w:kern w:val="0"/>
          <w:szCs w:val="24"/>
          <w:highlight w:val="none"/>
          <w:u w:val="single"/>
        </w:rPr>
        <w:t xml:space="preserve"> （由投标人如实填写）</w:t>
      </w:r>
      <w:r>
        <w:rPr>
          <w:rFonts w:cs="宋体"/>
          <w:kern w:val="0"/>
          <w:szCs w:val="24"/>
          <w:highlight w:val="none"/>
        </w:rPr>
        <w:t>。</w:t>
      </w:r>
    </w:p>
    <w:p w14:paraId="14E31DC7">
      <w:pPr>
        <w:widowControl w:val="0"/>
        <w:spacing w:line="360" w:lineRule="auto"/>
        <w:ind w:firstLine="480" w:firstLineChars="200"/>
        <w:jc w:val="both"/>
        <w:rPr>
          <w:rFonts w:cs="宋体"/>
          <w:kern w:val="0"/>
          <w:szCs w:val="24"/>
          <w:highlight w:val="none"/>
        </w:rPr>
      </w:pPr>
      <w:r>
        <w:rPr>
          <w:rFonts w:hint="eastAsia" w:cs="宋体"/>
          <w:kern w:val="0"/>
          <w:szCs w:val="24"/>
          <w:highlight w:val="none"/>
        </w:rPr>
        <w:t>（备注：以上</w:t>
      </w:r>
      <w:r>
        <w:rPr>
          <w:rFonts w:cs="宋体"/>
          <w:kern w:val="0"/>
          <w:szCs w:val="24"/>
          <w:highlight w:val="none"/>
        </w:rPr>
        <w:t>声明，必须如实选择，选中项用</w:t>
      </w:r>
      <w:r>
        <w:rPr>
          <w:rFonts w:ascii="Segoe UI Symbol" w:hAnsi="Segoe UI Symbol" w:cs="宋体"/>
          <w:kern w:val="0"/>
          <w:szCs w:val="24"/>
          <w:highlight w:val="none"/>
        </w:rPr>
        <w:t>☑</w:t>
      </w:r>
      <w:r>
        <w:rPr>
          <w:rFonts w:cs="宋体"/>
          <w:kern w:val="0"/>
          <w:szCs w:val="24"/>
          <w:highlight w:val="none"/>
        </w:rPr>
        <w:t>表示，未选中项用□表示。供应商如未如实填报，视为提供虚假材料谋取中标，应承担相应法律责任。）</w:t>
      </w:r>
    </w:p>
    <w:p w14:paraId="35233811">
      <w:pPr>
        <w:widowControl w:val="0"/>
        <w:spacing w:line="360" w:lineRule="auto"/>
        <w:ind w:firstLine="480" w:firstLineChars="200"/>
        <w:jc w:val="both"/>
        <w:rPr>
          <w:rFonts w:cs="宋体"/>
          <w:kern w:val="0"/>
          <w:szCs w:val="24"/>
          <w:highlight w:val="none"/>
        </w:rPr>
      </w:pPr>
      <w:r>
        <w:rPr>
          <w:rFonts w:cs="宋体"/>
          <w:kern w:val="0"/>
          <w:szCs w:val="24"/>
          <w:highlight w:val="none"/>
        </w:rPr>
        <w:t>同时本公司承诺</w:t>
      </w:r>
      <w:r>
        <w:rPr>
          <w:rFonts w:hint="eastAsia" w:cs="宋体"/>
          <w:kern w:val="0"/>
          <w:szCs w:val="24"/>
          <w:highlight w:val="none"/>
        </w:rPr>
        <w:t>参加本次采购活动不存在：</w:t>
      </w:r>
      <w:r>
        <w:rPr>
          <w:rFonts w:cs="宋体"/>
          <w:kern w:val="0"/>
          <w:szCs w:val="24"/>
          <w:highlight w:val="none"/>
        </w:rPr>
        <w:t>参与本项目采购活动前，为本项目前期准备提供过整体设计、规范编制或者项目管理、监理、检测等服务：</w:t>
      </w:r>
    </w:p>
    <w:p w14:paraId="7C1A1A13">
      <w:pPr>
        <w:widowControl w:val="0"/>
        <w:spacing w:line="360" w:lineRule="auto"/>
        <w:ind w:firstLine="480" w:firstLineChars="200"/>
        <w:jc w:val="both"/>
        <w:rPr>
          <w:rFonts w:cs="宋体"/>
          <w:kern w:val="0"/>
          <w:szCs w:val="24"/>
          <w:highlight w:val="none"/>
        </w:rPr>
      </w:pPr>
      <w:r>
        <w:rPr>
          <w:rFonts w:hint="eastAsia" w:cs="宋体"/>
          <w:kern w:val="0"/>
          <w:szCs w:val="24"/>
          <w:highlight w:val="none"/>
        </w:rPr>
        <w:t>本公司对上述承诺内容事项真实性负责。如经查实上述承诺的内容事项存在虚假，我公司愿意接受以提供虚假材料谋取中标追究法律责任。</w:t>
      </w:r>
    </w:p>
    <w:p w14:paraId="106742DE">
      <w:pPr>
        <w:widowControl w:val="0"/>
        <w:spacing w:line="360" w:lineRule="auto"/>
        <w:ind w:firstLine="480" w:firstLineChars="200"/>
        <w:jc w:val="both"/>
        <w:rPr>
          <w:rFonts w:cs="宋体"/>
          <w:kern w:val="0"/>
          <w:szCs w:val="20"/>
          <w:highlight w:val="none"/>
        </w:rPr>
      </w:pPr>
    </w:p>
    <w:p w14:paraId="647CEAC8">
      <w:pPr>
        <w:widowControl w:val="0"/>
        <w:spacing w:line="360" w:lineRule="auto"/>
        <w:ind w:firstLine="480" w:firstLineChars="200"/>
        <w:jc w:val="both"/>
        <w:rPr>
          <w:rFonts w:cs="宋体"/>
          <w:kern w:val="0"/>
          <w:szCs w:val="20"/>
          <w:highlight w:val="none"/>
        </w:rPr>
      </w:pPr>
    </w:p>
    <w:p w14:paraId="2747D3F9">
      <w:pPr>
        <w:widowControl w:val="0"/>
        <w:spacing w:line="360" w:lineRule="auto"/>
        <w:ind w:firstLine="480" w:firstLineChars="200"/>
        <w:jc w:val="right"/>
        <w:rPr>
          <w:rFonts w:cs="Times New Roman"/>
          <w:kern w:val="0"/>
          <w:szCs w:val="20"/>
          <w:highlight w:val="none"/>
        </w:rPr>
      </w:pPr>
      <w:r>
        <w:rPr>
          <w:rFonts w:hint="eastAsia" w:cs="Times New Roman"/>
          <w:kern w:val="0"/>
          <w:szCs w:val="20"/>
          <w:highlight w:val="none"/>
        </w:rPr>
        <w:t>投标人名称：XXXX（单位公章）</w:t>
      </w:r>
    </w:p>
    <w:p w14:paraId="099BBEB8">
      <w:pPr>
        <w:widowControl w:val="0"/>
        <w:spacing w:line="360" w:lineRule="auto"/>
        <w:ind w:firstLine="480" w:firstLineChars="200"/>
        <w:jc w:val="right"/>
        <w:rPr>
          <w:rFonts w:cs="Times New Roman"/>
          <w:kern w:val="0"/>
          <w:szCs w:val="20"/>
          <w:highlight w:val="none"/>
        </w:rPr>
      </w:pPr>
      <w:r>
        <w:rPr>
          <w:rFonts w:hint="eastAsia" w:cs="Times New Roman"/>
          <w:kern w:val="0"/>
          <w:szCs w:val="20"/>
          <w:highlight w:val="none"/>
        </w:rPr>
        <w:t>法定代表人/单位负责人或授权代表（签字或加盖个人名章）：XXXX</w:t>
      </w:r>
    </w:p>
    <w:p w14:paraId="4FB7E2DF">
      <w:pPr>
        <w:pStyle w:val="41"/>
        <w:spacing w:line="360" w:lineRule="auto"/>
        <w:rPr>
          <w:rFonts w:cs="宋体"/>
          <w:szCs w:val="24"/>
          <w:highlight w:val="none"/>
        </w:rPr>
      </w:pPr>
      <w:r>
        <w:rPr>
          <w:rFonts w:hint="eastAsia" w:cs="Times New Roman"/>
          <w:iCs w:val="0"/>
          <w:kern w:val="0"/>
          <w:szCs w:val="20"/>
          <w:highlight w:val="none"/>
          <w:shd w:val="clear" w:color="auto" w:fill="auto"/>
          <w:lang w:val="en-US"/>
        </w:rPr>
        <w:t>投标日期：XXXX</w:t>
      </w:r>
    </w:p>
    <w:p w14:paraId="67CF27D3">
      <w:pPr>
        <w:pStyle w:val="41"/>
        <w:spacing w:line="360" w:lineRule="auto"/>
        <w:rPr>
          <w:rFonts w:cs="宋体"/>
          <w:szCs w:val="24"/>
          <w:highlight w:val="none"/>
        </w:rPr>
      </w:pPr>
    </w:p>
    <w:p w14:paraId="1137B57A">
      <w:pPr>
        <w:pStyle w:val="41"/>
        <w:spacing w:line="360" w:lineRule="auto"/>
        <w:rPr>
          <w:highlight w:val="none"/>
        </w:rPr>
      </w:pPr>
    </w:p>
    <w:p w14:paraId="413D3690">
      <w:pPr>
        <w:spacing w:line="360" w:lineRule="auto"/>
        <w:rPr>
          <w:b/>
          <w:bCs/>
          <w:sz w:val="30"/>
          <w:szCs w:val="32"/>
          <w:highlight w:val="none"/>
        </w:rPr>
      </w:pPr>
      <w:r>
        <w:rPr>
          <w:highlight w:val="none"/>
        </w:rPr>
        <w:br w:type="page"/>
      </w:r>
    </w:p>
    <w:p w14:paraId="43958EAC">
      <w:pPr>
        <w:pStyle w:val="5"/>
        <w:bidi w:val="0"/>
        <w:spacing w:line="360" w:lineRule="auto"/>
        <w:rPr>
          <w:rFonts w:hint="eastAsia"/>
          <w:highlight w:val="none"/>
          <w:lang w:val="en-US" w:eastAsia="zh-CN"/>
        </w:rPr>
      </w:pPr>
      <w:r>
        <w:rPr>
          <w:rFonts w:hint="eastAsia"/>
          <w:highlight w:val="none"/>
          <w:lang w:val="en-US" w:eastAsia="zh-CN"/>
        </w:rPr>
        <w:t>（三）投标人认为需提供的其它相关资格证明材料</w:t>
      </w:r>
    </w:p>
    <w:p w14:paraId="0D701E9E">
      <w:pPr>
        <w:pStyle w:val="41"/>
        <w:spacing w:line="360" w:lineRule="auto"/>
        <w:rPr>
          <w:rFonts w:hint="default" w:eastAsia="宋体"/>
          <w:highlight w:val="none"/>
          <w:lang w:val="en-US" w:eastAsia="zh-CN"/>
        </w:rPr>
      </w:pPr>
      <w:r>
        <w:rPr>
          <w:rFonts w:hint="eastAsia"/>
          <w:highlight w:val="none"/>
          <w:lang w:val="en-US" w:eastAsia="zh-CN"/>
        </w:rPr>
        <w:t>格式自拟。</w:t>
      </w:r>
    </w:p>
    <w:p w14:paraId="15801AAC">
      <w:pPr>
        <w:pStyle w:val="41"/>
        <w:spacing w:line="360" w:lineRule="auto"/>
        <w:rPr>
          <w:highlight w:val="none"/>
        </w:rPr>
      </w:pPr>
    </w:p>
    <w:p w14:paraId="5478D20D">
      <w:pPr>
        <w:pStyle w:val="41"/>
        <w:spacing w:line="360" w:lineRule="auto"/>
        <w:rPr>
          <w:highlight w:val="none"/>
        </w:rPr>
      </w:pPr>
    </w:p>
    <w:p w14:paraId="4DC63F1D">
      <w:pPr>
        <w:pStyle w:val="41"/>
        <w:spacing w:line="360" w:lineRule="auto"/>
        <w:rPr>
          <w:highlight w:val="none"/>
        </w:rPr>
      </w:pPr>
    </w:p>
    <w:p w14:paraId="32FA84C0">
      <w:pPr>
        <w:pStyle w:val="41"/>
        <w:spacing w:line="360" w:lineRule="auto"/>
        <w:rPr>
          <w:highlight w:val="none"/>
        </w:rPr>
      </w:pPr>
    </w:p>
    <w:p w14:paraId="1D61454F">
      <w:pPr>
        <w:pStyle w:val="41"/>
        <w:spacing w:line="360" w:lineRule="auto"/>
        <w:rPr>
          <w:highlight w:val="none"/>
        </w:rPr>
      </w:pPr>
    </w:p>
    <w:p w14:paraId="4E33DDDB">
      <w:pPr>
        <w:pStyle w:val="41"/>
        <w:spacing w:line="360" w:lineRule="auto"/>
        <w:rPr>
          <w:highlight w:val="none"/>
        </w:rPr>
      </w:pPr>
    </w:p>
    <w:p w14:paraId="668F6688">
      <w:pPr>
        <w:pStyle w:val="41"/>
        <w:spacing w:line="360" w:lineRule="auto"/>
        <w:rPr>
          <w:highlight w:val="none"/>
        </w:rPr>
      </w:pPr>
    </w:p>
    <w:p w14:paraId="18F00D8C">
      <w:pPr>
        <w:pStyle w:val="41"/>
        <w:spacing w:line="360" w:lineRule="auto"/>
        <w:rPr>
          <w:highlight w:val="none"/>
        </w:rPr>
      </w:pPr>
    </w:p>
    <w:p w14:paraId="06B0E902">
      <w:pPr>
        <w:pStyle w:val="41"/>
        <w:spacing w:line="360" w:lineRule="auto"/>
        <w:rPr>
          <w:highlight w:val="none"/>
        </w:rPr>
      </w:pPr>
    </w:p>
    <w:p w14:paraId="4265880E">
      <w:pPr>
        <w:pStyle w:val="41"/>
        <w:spacing w:line="360" w:lineRule="auto"/>
        <w:rPr>
          <w:highlight w:val="none"/>
        </w:rPr>
      </w:pPr>
    </w:p>
    <w:p w14:paraId="12548B48">
      <w:pPr>
        <w:pStyle w:val="41"/>
        <w:spacing w:line="360" w:lineRule="auto"/>
        <w:rPr>
          <w:highlight w:val="none"/>
        </w:rPr>
      </w:pPr>
    </w:p>
    <w:p w14:paraId="63027383">
      <w:pPr>
        <w:pStyle w:val="41"/>
        <w:spacing w:line="360" w:lineRule="auto"/>
        <w:rPr>
          <w:highlight w:val="none"/>
        </w:rPr>
      </w:pPr>
    </w:p>
    <w:p w14:paraId="40143DAD">
      <w:pPr>
        <w:pStyle w:val="41"/>
        <w:spacing w:line="360" w:lineRule="auto"/>
        <w:rPr>
          <w:highlight w:val="none"/>
        </w:rPr>
      </w:pPr>
    </w:p>
    <w:p w14:paraId="27CEBF25">
      <w:pPr>
        <w:pStyle w:val="41"/>
        <w:spacing w:line="360" w:lineRule="auto"/>
        <w:rPr>
          <w:highlight w:val="none"/>
        </w:rPr>
      </w:pPr>
    </w:p>
    <w:p w14:paraId="409D59AE">
      <w:pPr>
        <w:pStyle w:val="41"/>
        <w:spacing w:line="360" w:lineRule="auto"/>
        <w:rPr>
          <w:highlight w:val="none"/>
        </w:rPr>
      </w:pPr>
    </w:p>
    <w:p w14:paraId="02FB0E75">
      <w:pPr>
        <w:pStyle w:val="41"/>
        <w:spacing w:line="360" w:lineRule="auto"/>
        <w:rPr>
          <w:highlight w:val="none"/>
        </w:rPr>
      </w:pPr>
    </w:p>
    <w:p w14:paraId="293CED76">
      <w:pPr>
        <w:pStyle w:val="41"/>
        <w:spacing w:line="360" w:lineRule="auto"/>
        <w:rPr>
          <w:highlight w:val="none"/>
        </w:rPr>
      </w:pPr>
    </w:p>
    <w:p w14:paraId="1D4CECEE">
      <w:pPr>
        <w:pStyle w:val="41"/>
        <w:spacing w:line="360" w:lineRule="auto"/>
        <w:rPr>
          <w:highlight w:val="none"/>
        </w:rPr>
      </w:pPr>
    </w:p>
    <w:p w14:paraId="781EAEE7">
      <w:pPr>
        <w:pStyle w:val="41"/>
        <w:spacing w:line="360" w:lineRule="auto"/>
        <w:rPr>
          <w:highlight w:val="none"/>
        </w:rPr>
      </w:pPr>
    </w:p>
    <w:p w14:paraId="2BC4C021">
      <w:pPr>
        <w:pStyle w:val="41"/>
        <w:spacing w:line="360" w:lineRule="auto"/>
        <w:rPr>
          <w:highlight w:val="none"/>
        </w:rPr>
      </w:pPr>
    </w:p>
    <w:p w14:paraId="4E025127">
      <w:pPr>
        <w:pStyle w:val="41"/>
        <w:spacing w:line="360" w:lineRule="auto"/>
        <w:rPr>
          <w:highlight w:val="none"/>
        </w:rPr>
      </w:pPr>
    </w:p>
    <w:p w14:paraId="398EE12D">
      <w:pPr>
        <w:pStyle w:val="41"/>
        <w:spacing w:line="360" w:lineRule="auto"/>
        <w:rPr>
          <w:highlight w:val="none"/>
        </w:rPr>
      </w:pPr>
    </w:p>
    <w:p w14:paraId="7336314B">
      <w:pPr>
        <w:pStyle w:val="41"/>
        <w:spacing w:line="360" w:lineRule="auto"/>
        <w:rPr>
          <w:highlight w:val="none"/>
        </w:rPr>
      </w:pPr>
    </w:p>
    <w:p w14:paraId="7E0A6A87">
      <w:pPr>
        <w:pStyle w:val="41"/>
        <w:spacing w:line="360" w:lineRule="auto"/>
        <w:rPr>
          <w:highlight w:val="none"/>
        </w:rPr>
      </w:pPr>
    </w:p>
    <w:p w14:paraId="41C52AB0">
      <w:pPr>
        <w:pStyle w:val="41"/>
        <w:spacing w:line="360" w:lineRule="auto"/>
        <w:rPr>
          <w:highlight w:val="none"/>
        </w:rPr>
      </w:pPr>
    </w:p>
    <w:p w14:paraId="22329235">
      <w:pPr>
        <w:pStyle w:val="64"/>
        <w:spacing w:line="360" w:lineRule="auto"/>
        <w:rPr>
          <w:rFonts w:ascii="宋体" w:hAnsi="宋体" w:eastAsia="宋体" w:cs="宋体"/>
          <w:b/>
          <w:bCs/>
          <w:highlight w:val="none"/>
        </w:rPr>
      </w:pPr>
    </w:p>
    <w:p w14:paraId="54DC0C6F">
      <w:pPr>
        <w:spacing w:line="360" w:lineRule="auto"/>
        <w:rPr>
          <w:highlight w:val="none"/>
          <w:lang w:val="zh-CN"/>
        </w:rPr>
      </w:pPr>
      <w:r>
        <w:rPr>
          <w:highlight w:val="none"/>
          <w:lang w:val="zh-CN"/>
        </w:rPr>
        <w:br w:type="page"/>
      </w:r>
    </w:p>
    <w:p w14:paraId="0064F989">
      <w:pPr>
        <w:spacing w:line="360" w:lineRule="auto"/>
        <w:rPr>
          <w:highlight w:val="none"/>
          <w:lang w:val="zh-CN"/>
        </w:rPr>
      </w:pPr>
      <w:r>
        <w:rPr>
          <w:rFonts w:hint="eastAsia"/>
          <w:highlight w:val="none"/>
          <w:lang w:val="zh-CN"/>
        </w:rPr>
        <w:t>封面：</w:t>
      </w:r>
    </w:p>
    <w:p w14:paraId="28D56E45">
      <w:pPr>
        <w:spacing w:line="360" w:lineRule="auto"/>
        <w:rPr>
          <w:highlight w:val="none"/>
        </w:rPr>
      </w:pPr>
    </w:p>
    <w:p w14:paraId="2D02C0C4">
      <w:pPr>
        <w:spacing w:line="360" w:lineRule="auto"/>
        <w:rPr>
          <w:highlight w:val="none"/>
        </w:rPr>
      </w:pPr>
    </w:p>
    <w:p w14:paraId="0A589C24">
      <w:pPr>
        <w:spacing w:line="360" w:lineRule="auto"/>
        <w:rPr>
          <w:highlight w:val="none"/>
        </w:rPr>
      </w:pPr>
    </w:p>
    <w:p w14:paraId="512E39A0">
      <w:pPr>
        <w:pStyle w:val="3"/>
        <w:spacing w:line="360" w:lineRule="auto"/>
        <w:rPr>
          <w:highlight w:val="none"/>
        </w:rPr>
      </w:pPr>
      <w:bookmarkStart w:id="391" w:name="_Toc4103"/>
      <w:r>
        <w:rPr>
          <w:rFonts w:hint="eastAsia"/>
          <w:highlight w:val="none"/>
        </w:rPr>
        <w:t>投 标 文 件</w:t>
      </w:r>
      <w:bookmarkEnd w:id="391"/>
    </w:p>
    <w:p w14:paraId="191E0C1C">
      <w:pPr>
        <w:pStyle w:val="4"/>
        <w:spacing w:line="360" w:lineRule="auto"/>
        <w:rPr>
          <w:highlight w:val="none"/>
        </w:rPr>
      </w:pPr>
      <w:bookmarkStart w:id="392" w:name="_Toc32571"/>
      <w:r>
        <w:rPr>
          <w:rFonts w:hint="eastAsia"/>
          <w:highlight w:val="none"/>
        </w:rPr>
        <w:t>报价文件</w:t>
      </w:r>
      <w:bookmarkEnd w:id="392"/>
    </w:p>
    <w:p w14:paraId="38719292">
      <w:pPr>
        <w:spacing w:line="360" w:lineRule="auto"/>
        <w:rPr>
          <w:highlight w:val="none"/>
        </w:rPr>
      </w:pPr>
    </w:p>
    <w:p w14:paraId="118A93E1">
      <w:pPr>
        <w:pStyle w:val="2"/>
        <w:rPr>
          <w:highlight w:val="none"/>
        </w:rPr>
      </w:pPr>
    </w:p>
    <w:p w14:paraId="7532EE2B">
      <w:pPr>
        <w:spacing w:line="360" w:lineRule="auto"/>
        <w:rPr>
          <w:highlight w:val="none"/>
        </w:rPr>
      </w:pPr>
    </w:p>
    <w:p w14:paraId="334198EB">
      <w:pPr>
        <w:spacing w:line="360" w:lineRule="auto"/>
        <w:rPr>
          <w:highlight w:val="none"/>
        </w:rPr>
      </w:pPr>
    </w:p>
    <w:p w14:paraId="71B8BD39">
      <w:pPr>
        <w:spacing w:line="360" w:lineRule="auto"/>
        <w:rPr>
          <w:highlight w:val="none"/>
        </w:rPr>
      </w:pPr>
      <w:r>
        <w:rPr>
          <w:rFonts w:hint="eastAsia"/>
          <w:highlight w:val="none"/>
        </w:rPr>
        <w:t xml:space="preserve">项目编号/包号：                            </w:t>
      </w:r>
    </w:p>
    <w:p w14:paraId="016F8B31">
      <w:pPr>
        <w:spacing w:line="360" w:lineRule="auto"/>
        <w:rPr>
          <w:highlight w:val="none"/>
        </w:rPr>
      </w:pPr>
      <w:r>
        <w:rPr>
          <w:rFonts w:hint="eastAsia"/>
          <w:highlight w:val="none"/>
        </w:rPr>
        <w:t xml:space="preserve">项目名称：                                 </w:t>
      </w:r>
    </w:p>
    <w:p w14:paraId="181932C9">
      <w:pPr>
        <w:spacing w:line="360" w:lineRule="auto"/>
        <w:rPr>
          <w:highlight w:val="none"/>
        </w:rPr>
      </w:pPr>
      <w:r>
        <w:rPr>
          <w:rFonts w:hint="eastAsia"/>
          <w:highlight w:val="none"/>
        </w:rPr>
        <w:t xml:space="preserve">投 标 人：                                 </w:t>
      </w:r>
    </w:p>
    <w:p w14:paraId="6E175E37">
      <w:pPr>
        <w:spacing w:line="360" w:lineRule="auto"/>
        <w:rPr>
          <w:highlight w:val="none"/>
        </w:rPr>
      </w:pPr>
    </w:p>
    <w:p w14:paraId="49F112E9">
      <w:pPr>
        <w:spacing w:line="360" w:lineRule="auto"/>
        <w:rPr>
          <w:highlight w:val="none"/>
        </w:rPr>
      </w:pPr>
    </w:p>
    <w:p w14:paraId="19EF92B7">
      <w:pPr>
        <w:spacing w:line="360" w:lineRule="auto"/>
        <w:rPr>
          <w:highlight w:val="none"/>
        </w:rPr>
      </w:pPr>
      <w:r>
        <w:rPr>
          <w:rFonts w:hint="eastAsia"/>
          <w:highlight w:val="none"/>
        </w:rPr>
        <w:t>年   月    日</w:t>
      </w:r>
    </w:p>
    <w:p w14:paraId="0DD2CB51">
      <w:pPr>
        <w:spacing w:line="360" w:lineRule="auto"/>
        <w:rPr>
          <w:highlight w:val="none"/>
          <w:lang w:val="zh-CN"/>
        </w:rPr>
      </w:pPr>
      <w:r>
        <w:rPr>
          <w:highlight w:val="none"/>
          <w:lang w:val="zh-CN"/>
        </w:rPr>
        <w:br w:type="page"/>
      </w:r>
    </w:p>
    <w:p w14:paraId="34E861D7">
      <w:pPr>
        <w:pStyle w:val="5"/>
        <w:spacing w:line="360" w:lineRule="auto"/>
        <w:rPr>
          <w:highlight w:val="none"/>
        </w:rPr>
      </w:pPr>
      <w:bookmarkStart w:id="393" w:name="_Toc8563"/>
      <w:r>
        <w:rPr>
          <w:rFonts w:hint="eastAsia"/>
          <w:highlight w:val="none"/>
        </w:rPr>
        <w:t>一、开标一览表</w:t>
      </w:r>
      <w:bookmarkEnd w:id="393"/>
    </w:p>
    <w:p w14:paraId="7562328C">
      <w:pPr>
        <w:spacing w:line="360" w:lineRule="auto"/>
        <w:rPr>
          <w:highlight w:val="none"/>
        </w:rPr>
      </w:pPr>
    </w:p>
    <w:p w14:paraId="18417931">
      <w:pPr>
        <w:spacing w:line="360" w:lineRule="auto"/>
        <w:rPr>
          <w:highlight w:val="none"/>
          <w:lang w:val="zh-CN"/>
        </w:rPr>
      </w:pPr>
      <w:r>
        <w:rPr>
          <w:rFonts w:hint="eastAsia"/>
          <w:highlight w:val="none"/>
          <w:lang w:val="zh-CN"/>
        </w:rPr>
        <w:t xml:space="preserve">项目名称：                     </w:t>
      </w:r>
    </w:p>
    <w:p w14:paraId="2AF0CC2F">
      <w:pPr>
        <w:spacing w:line="360" w:lineRule="auto"/>
        <w:rPr>
          <w:highlight w:val="none"/>
          <w:lang w:val="zh-CN"/>
        </w:rPr>
      </w:pPr>
      <w:r>
        <w:rPr>
          <w:rFonts w:hint="eastAsia"/>
          <w:highlight w:val="none"/>
          <w:lang w:val="zh-CN"/>
        </w:rPr>
        <w:t>项目编号</w:t>
      </w:r>
      <w:r>
        <w:rPr>
          <w:rFonts w:hint="eastAsia"/>
          <w:highlight w:val="none"/>
        </w:rPr>
        <w:t>/</w:t>
      </w:r>
      <w:r>
        <w:rPr>
          <w:rFonts w:hint="eastAsia"/>
          <w:highlight w:val="none"/>
          <w:lang w:val="zh-CN"/>
        </w:rPr>
        <w:t xml:space="preserve">包号：                </w:t>
      </w:r>
    </w:p>
    <w:tbl>
      <w:tblPr>
        <w:tblStyle w:val="33"/>
        <w:tblW w:w="8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8"/>
        <w:gridCol w:w="2717"/>
        <w:gridCol w:w="3283"/>
      </w:tblGrid>
      <w:tr w14:paraId="45626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2958" w:type="dxa"/>
            <w:vAlign w:val="center"/>
          </w:tcPr>
          <w:p w14:paraId="6AFEA76F">
            <w:pPr>
              <w:spacing w:line="360" w:lineRule="auto"/>
              <w:rPr>
                <w:rFonts w:hint="eastAsia" w:eastAsia="宋体"/>
                <w:highlight w:val="none"/>
                <w:lang w:eastAsia="zh-CN"/>
              </w:rPr>
            </w:pPr>
            <w:r>
              <w:rPr>
                <w:rFonts w:hint="eastAsia"/>
                <w:highlight w:val="none"/>
              </w:rPr>
              <w:t>投标报价</w:t>
            </w:r>
            <w:r>
              <w:rPr>
                <w:rFonts w:hint="eastAsia"/>
                <w:highlight w:val="none"/>
                <w:lang w:eastAsia="zh-CN"/>
              </w:rPr>
              <w:t>（单价合计）</w:t>
            </w:r>
          </w:p>
        </w:tc>
        <w:tc>
          <w:tcPr>
            <w:tcW w:w="2717" w:type="dxa"/>
            <w:vAlign w:val="center"/>
          </w:tcPr>
          <w:p w14:paraId="1387885C">
            <w:pPr>
              <w:spacing w:line="360" w:lineRule="auto"/>
              <w:rPr>
                <w:highlight w:val="none"/>
              </w:rPr>
            </w:pPr>
            <w:r>
              <w:rPr>
                <w:rFonts w:hint="eastAsia"/>
                <w:highlight w:val="none"/>
              </w:rPr>
              <w:t>交货期限</w:t>
            </w:r>
          </w:p>
        </w:tc>
        <w:tc>
          <w:tcPr>
            <w:tcW w:w="3283" w:type="dxa"/>
            <w:vAlign w:val="center"/>
          </w:tcPr>
          <w:p w14:paraId="056492C2">
            <w:pPr>
              <w:spacing w:line="360" w:lineRule="auto"/>
              <w:rPr>
                <w:highlight w:val="none"/>
              </w:rPr>
            </w:pPr>
            <w:r>
              <w:rPr>
                <w:rFonts w:hint="eastAsia"/>
                <w:highlight w:val="none"/>
              </w:rPr>
              <w:t>备注（如有）</w:t>
            </w:r>
          </w:p>
        </w:tc>
      </w:tr>
      <w:tr w14:paraId="0E86F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2958" w:type="dxa"/>
            <w:vAlign w:val="center"/>
          </w:tcPr>
          <w:p w14:paraId="71AD58D0">
            <w:pPr>
              <w:spacing w:line="360" w:lineRule="auto"/>
              <w:rPr>
                <w:highlight w:val="none"/>
              </w:rPr>
            </w:pPr>
            <w:r>
              <w:rPr>
                <w:rFonts w:hint="eastAsia"/>
                <w:highlight w:val="none"/>
              </w:rPr>
              <w:t>小写：</w:t>
            </w:r>
          </w:p>
          <w:p w14:paraId="4D7C8D10">
            <w:pPr>
              <w:spacing w:line="360" w:lineRule="auto"/>
              <w:rPr>
                <w:highlight w:val="none"/>
              </w:rPr>
            </w:pPr>
            <w:r>
              <w:rPr>
                <w:rFonts w:hint="eastAsia"/>
                <w:highlight w:val="none"/>
              </w:rPr>
              <w:t>大写：</w:t>
            </w:r>
          </w:p>
        </w:tc>
        <w:tc>
          <w:tcPr>
            <w:tcW w:w="2717" w:type="dxa"/>
            <w:vAlign w:val="center"/>
          </w:tcPr>
          <w:p w14:paraId="5E4C8FC7">
            <w:pPr>
              <w:spacing w:line="360" w:lineRule="auto"/>
              <w:rPr>
                <w:highlight w:val="none"/>
              </w:rPr>
            </w:pPr>
          </w:p>
        </w:tc>
        <w:tc>
          <w:tcPr>
            <w:tcW w:w="3283" w:type="dxa"/>
            <w:vAlign w:val="center"/>
          </w:tcPr>
          <w:p w14:paraId="48B32467">
            <w:pPr>
              <w:spacing w:line="360" w:lineRule="auto"/>
              <w:rPr>
                <w:highlight w:val="none"/>
              </w:rPr>
            </w:pPr>
          </w:p>
        </w:tc>
      </w:tr>
    </w:tbl>
    <w:p w14:paraId="1743BDEA">
      <w:pPr>
        <w:spacing w:line="360" w:lineRule="auto"/>
        <w:rPr>
          <w:highlight w:val="none"/>
        </w:rPr>
      </w:pPr>
    </w:p>
    <w:p w14:paraId="6853ABC9">
      <w:pPr>
        <w:spacing w:line="360" w:lineRule="auto"/>
        <w:rPr>
          <w:highlight w:val="none"/>
        </w:rPr>
      </w:pPr>
      <w:r>
        <w:rPr>
          <w:highlight w:val="none"/>
        </w:rPr>
        <w:t>投标人名称</w:t>
      </w:r>
      <w:r>
        <w:rPr>
          <w:rFonts w:hint="eastAsia" w:cs="仿宋_GB2312"/>
          <w:szCs w:val="24"/>
          <w:highlight w:val="none"/>
        </w:rPr>
        <w:t>（</w:t>
      </w:r>
      <w:r>
        <w:rPr>
          <w:rFonts w:hint="eastAsia" w:cs="宋体"/>
          <w:kern w:val="0"/>
          <w:szCs w:val="24"/>
          <w:highlight w:val="none"/>
        </w:rPr>
        <w:t>公章</w:t>
      </w:r>
      <w:r>
        <w:rPr>
          <w:rFonts w:hint="eastAsia" w:cs="宋体"/>
          <w:kern w:val="0"/>
          <w:highlight w:val="none"/>
          <w:lang w:val="zh-CN"/>
        </w:rPr>
        <w:t>)</w:t>
      </w:r>
      <w:r>
        <w:rPr>
          <w:highlight w:val="none"/>
        </w:rPr>
        <w:t>：</w:t>
      </w:r>
    </w:p>
    <w:p w14:paraId="7D7F4416">
      <w:pPr>
        <w:spacing w:line="360" w:lineRule="auto"/>
        <w:rPr>
          <w:highlight w:val="none"/>
          <w:lang w:bidi="ar"/>
        </w:rPr>
      </w:pPr>
      <w:r>
        <w:rPr>
          <w:rFonts w:hint="eastAsia"/>
          <w:highlight w:val="none"/>
          <w:lang w:bidi="ar"/>
        </w:rPr>
        <w:t>法定代表人或授权代表（签字或印章）：</w:t>
      </w:r>
    </w:p>
    <w:p w14:paraId="57F27E0A">
      <w:pPr>
        <w:spacing w:line="360" w:lineRule="auto"/>
        <w:rPr>
          <w:highlight w:val="none"/>
          <w:u w:val="single"/>
        </w:rPr>
      </w:pPr>
      <w:r>
        <w:rPr>
          <w:highlight w:val="none"/>
        </w:rPr>
        <w:t>日期：</w:t>
      </w:r>
    </w:p>
    <w:p w14:paraId="5B773DE5">
      <w:pPr>
        <w:spacing w:line="360" w:lineRule="auto"/>
        <w:rPr>
          <w:highlight w:val="none"/>
        </w:rPr>
      </w:pPr>
    </w:p>
    <w:p w14:paraId="5F74A430">
      <w:pPr>
        <w:pStyle w:val="14"/>
        <w:spacing w:line="360" w:lineRule="auto"/>
        <w:rPr>
          <w:highlight w:val="none"/>
        </w:rPr>
      </w:pPr>
    </w:p>
    <w:p w14:paraId="293FAAD2">
      <w:pPr>
        <w:pStyle w:val="14"/>
        <w:spacing w:line="360" w:lineRule="auto"/>
        <w:rPr>
          <w:highlight w:val="none"/>
        </w:rPr>
      </w:pPr>
    </w:p>
    <w:p w14:paraId="787228B6">
      <w:pPr>
        <w:pStyle w:val="14"/>
        <w:spacing w:line="360" w:lineRule="auto"/>
        <w:rPr>
          <w:highlight w:val="none"/>
        </w:rPr>
      </w:pPr>
    </w:p>
    <w:p w14:paraId="6D7BD302">
      <w:pPr>
        <w:pStyle w:val="14"/>
        <w:spacing w:line="360" w:lineRule="auto"/>
        <w:rPr>
          <w:highlight w:val="none"/>
        </w:rPr>
      </w:pPr>
    </w:p>
    <w:p w14:paraId="66F3D60A">
      <w:pPr>
        <w:spacing w:line="360" w:lineRule="auto"/>
        <w:rPr>
          <w:highlight w:val="none"/>
        </w:rPr>
      </w:pPr>
      <w:r>
        <w:rPr>
          <w:rFonts w:hint="eastAsia"/>
          <w:highlight w:val="none"/>
        </w:rPr>
        <w:t>注：</w:t>
      </w:r>
    </w:p>
    <w:p w14:paraId="2659A953">
      <w:pPr>
        <w:spacing w:line="360" w:lineRule="auto"/>
        <w:rPr>
          <w:highlight w:val="none"/>
        </w:rPr>
      </w:pPr>
      <w:r>
        <w:rPr>
          <w:rFonts w:hint="eastAsia"/>
          <w:highlight w:val="none"/>
        </w:rPr>
        <w:t>1.此表用于开标唱标之用。</w:t>
      </w:r>
    </w:p>
    <w:p w14:paraId="105030D4">
      <w:pPr>
        <w:spacing w:line="360" w:lineRule="auto"/>
        <w:rPr>
          <w:highlight w:val="none"/>
        </w:rPr>
      </w:pPr>
      <w:r>
        <w:rPr>
          <w:rFonts w:hint="eastAsia"/>
          <w:highlight w:val="none"/>
        </w:rPr>
        <w:t>2.表中投标报价即为优惠后报价，并作为评审及定标依据。任何有选择或有条件的投标报价，或者表中某一包填写多个报价，均为无效报价。</w:t>
      </w:r>
    </w:p>
    <w:p w14:paraId="0562EE1A">
      <w:pPr>
        <w:spacing w:line="360" w:lineRule="auto"/>
        <w:rPr>
          <w:rFonts w:hint="eastAsia" w:ascii="宋体" w:hAnsi="宋体" w:eastAsia="宋体"/>
          <w:highlight w:val="none"/>
        </w:rPr>
      </w:pPr>
      <w:r>
        <w:rPr>
          <w:rFonts w:hint="eastAsia" w:ascii="宋体" w:hAnsi="宋体" w:eastAsia="宋体"/>
          <w:highlight w:val="none"/>
        </w:rPr>
        <w:t>3.表中大写与小写不一致的，以大写为准。</w:t>
      </w:r>
    </w:p>
    <w:p w14:paraId="53EB9D85">
      <w:pPr>
        <w:pStyle w:val="14"/>
        <w:spacing w:line="360" w:lineRule="auto"/>
        <w:rPr>
          <w:highlight w:val="none"/>
        </w:rPr>
      </w:pPr>
    </w:p>
    <w:p w14:paraId="602A8303">
      <w:pPr>
        <w:pStyle w:val="14"/>
        <w:spacing w:line="360" w:lineRule="auto"/>
        <w:rPr>
          <w:highlight w:val="none"/>
        </w:rPr>
      </w:pPr>
    </w:p>
    <w:p w14:paraId="16842D17">
      <w:pPr>
        <w:pStyle w:val="14"/>
        <w:spacing w:line="360" w:lineRule="auto"/>
        <w:rPr>
          <w:highlight w:val="none"/>
        </w:rPr>
      </w:pPr>
    </w:p>
    <w:p w14:paraId="5DA8CA88">
      <w:pPr>
        <w:pStyle w:val="4"/>
        <w:spacing w:line="360" w:lineRule="auto"/>
        <w:rPr>
          <w:highlight w:val="none"/>
        </w:rPr>
        <w:sectPr>
          <w:footerReference r:id="rId10" w:type="default"/>
          <w:pgSz w:w="11906" w:h="16838"/>
          <w:pgMar w:top="1440" w:right="1800" w:bottom="1440" w:left="1800" w:header="851" w:footer="992" w:gutter="0"/>
          <w:pgNumType w:fmt="decimal"/>
          <w:cols w:space="425" w:num="1"/>
          <w:docGrid w:type="lines" w:linePitch="312" w:charSpace="0"/>
        </w:sectPr>
      </w:pPr>
    </w:p>
    <w:p w14:paraId="7D24FFA0">
      <w:pPr>
        <w:pStyle w:val="5"/>
        <w:spacing w:line="360" w:lineRule="auto"/>
        <w:rPr>
          <w:highlight w:val="none"/>
        </w:rPr>
      </w:pPr>
      <w:bookmarkStart w:id="394" w:name="_Toc23873"/>
      <w:r>
        <w:rPr>
          <w:rFonts w:hint="eastAsia"/>
          <w:highlight w:val="none"/>
        </w:rPr>
        <w:t>二、分项报价表</w:t>
      </w:r>
      <w:bookmarkEnd w:id="394"/>
    </w:p>
    <w:p w14:paraId="59780873">
      <w:pPr>
        <w:spacing w:line="360" w:lineRule="auto"/>
        <w:jc w:val="center"/>
        <w:rPr>
          <w:highlight w:val="none"/>
          <w:lang w:val="zh-CN"/>
        </w:rPr>
      </w:pPr>
      <w:r>
        <w:rPr>
          <w:sz w:val="28"/>
          <w:highlight w:val="none"/>
        </w:rPr>
        <w:t>投标明细报价表</w:t>
      </w:r>
    </w:p>
    <w:p w14:paraId="3E59E32F">
      <w:pPr>
        <w:spacing w:line="360" w:lineRule="auto"/>
        <w:rPr>
          <w:highlight w:val="none"/>
          <w:lang w:val="zh-CN"/>
        </w:rPr>
      </w:pPr>
      <w:r>
        <w:rPr>
          <w:rFonts w:hint="eastAsia"/>
          <w:highlight w:val="none"/>
          <w:lang w:val="zh-CN"/>
        </w:rPr>
        <w:t xml:space="preserve">项目名称：                  </w:t>
      </w:r>
      <w:r>
        <w:rPr>
          <w:rFonts w:hint="eastAsia"/>
          <w:highlight w:val="none"/>
        </w:rPr>
        <w:t xml:space="preserve">     </w:t>
      </w:r>
      <w:r>
        <w:rPr>
          <w:rFonts w:hint="eastAsia"/>
          <w:highlight w:val="none"/>
          <w:lang w:val="zh-CN"/>
        </w:rPr>
        <w:t xml:space="preserve">   </w:t>
      </w:r>
    </w:p>
    <w:p w14:paraId="2A6997E8">
      <w:pPr>
        <w:spacing w:line="360" w:lineRule="auto"/>
        <w:rPr>
          <w:highlight w:val="none"/>
          <w:lang w:val="zh-CN"/>
        </w:rPr>
      </w:pPr>
      <w:r>
        <w:rPr>
          <w:rFonts w:hint="eastAsia"/>
          <w:highlight w:val="none"/>
          <w:lang w:val="zh-CN"/>
        </w:rPr>
        <w:t>项目编号</w:t>
      </w:r>
      <w:r>
        <w:rPr>
          <w:rFonts w:hint="eastAsia"/>
          <w:highlight w:val="none"/>
        </w:rPr>
        <w:t>/</w:t>
      </w:r>
      <w:r>
        <w:rPr>
          <w:rFonts w:hint="eastAsia"/>
          <w:highlight w:val="none"/>
          <w:lang w:val="zh-CN"/>
        </w:rPr>
        <w:t xml:space="preserve">包号：                           </w:t>
      </w:r>
    </w:p>
    <w:tbl>
      <w:tblPr>
        <w:tblStyle w:val="33"/>
        <w:tblW w:w="142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
        <w:gridCol w:w="1463"/>
        <w:gridCol w:w="958"/>
        <w:gridCol w:w="1230"/>
        <w:gridCol w:w="1442"/>
        <w:gridCol w:w="1633"/>
        <w:gridCol w:w="962"/>
        <w:gridCol w:w="870"/>
        <w:gridCol w:w="1758"/>
        <w:gridCol w:w="1828"/>
        <w:gridCol w:w="1276"/>
      </w:tblGrid>
      <w:tr w14:paraId="2081A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92" w:type="dxa"/>
            <w:vAlign w:val="center"/>
          </w:tcPr>
          <w:p w14:paraId="7AB9E874">
            <w:pPr>
              <w:widowControl w:val="0"/>
              <w:adjustRightInd w:val="0"/>
              <w:spacing w:line="360" w:lineRule="auto"/>
              <w:jc w:val="center"/>
              <w:textAlignment w:val="baseline"/>
              <w:rPr>
                <w:rFonts w:cs="宋体"/>
                <w:kern w:val="0"/>
                <w:szCs w:val="24"/>
              </w:rPr>
            </w:pPr>
            <w:r>
              <w:rPr>
                <w:rFonts w:hint="eastAsia" w:cs="宋体"/>
                <w:kern w:val="0"/>
                <w:szCs w:val="24"/>
              </w:rPr>
              <w:t>序号</w:t>
            </w:r>
          </w:p>
        </w:tc>
        <w:tc>
          <w:tcPr>
            <w:tcW w:w="1463" w:type="dxa"/>
            <w:vAlign w:val="center"/>
          </w:tcPr>
          <w:p w14:paraId="52FA032E">
            <w:pPr>
              <w:widowControl w:val="0"/>
              <w:adjustRightInd w:val="0"/>
              <w:spacing w:line="360" w:lineRule="auto"/>
              <w:jc w:val="center"/>
              <w:textAlignment w:val="baseline"/>
              <w:rPr>
                <w:rFonts w:hint="eastAsia" w:cs="宋体"/>
                <w:kern w:val="0"/>
                <w:szCs w:val="24"/>
              </w:rPr>
            </w:pPr>
            <w:r>
              <w:rPr>
                <w:rFonts w:hint="eastAsia" w:cs="宋体"/>
                <w:kern w:val="0"/>
                <w:szCs w:val="24"/>
                <w:lang w:val="en-US" w:eastAsia="zh-CN"/>
              </w:rPr>
              <w:t>产品</w:t>
            </w:r>
            <w:r>
              <w:rPr>
                <w:rFonts w:hint="eastAsia" w:cs="宋体"/>
                <w:kern w:val="0"/>
                <w:szCs w:val="24"/>
              </w:rPr>
              <w:t>名称</w:t>
            </w:r>
          </w:p>
        </w:tc>
        <w:tc>
          <w:tcPr>
            <w:tcW w:w="958" w:type="dxa"/>
            <w:vAlign w:val="center"/>
          </w:tcPr>
          <w:p w14:paraId="190FEC9D">
            <w:pPr>
              <w:widowControl w:val="0"/>
              <w:adjustRightInd w:val="0"/>
              <w:spacing w:line="360" w:lineRule="auto"/>
              <w:jc w:val="center"/>
              <w:textAlignment w:val="baseline"/>
              <w:rPr>
                <w:rFonts w:hint="eastAsia" w:cs="宋体"/>
                <w:kern w:val="0"/>
                <w:szCs w:val="24"/>
              </w:rPr>
            </w:pPr>
            <w:r>
              <w:rPr>
                <w:rFonts w:hint="eastAsia" w:cs="宋体"/>
                <w:kern w:val="0"/>
                <w:szCs w:val="24"/>
              </w:rPr>
              <w:t>品牌</w:t>
            </w:r>
          </w:p>
        </w:tc>
        <w:tc>
          <w:tcPr>
            <w:tcW w:w="1230" w:type="dxa"/>
            <w:vAlign w:val="center"/>
          </w:tcPr>
          <w:p w14:paraId="05517588">
            <w:pPr>
              <w:widowControl w:val="0"/>
              <w:adjustRightInd w:val="0"/>
              <w:spacing w:line="360" w:lineRule="auto"/>
              <w:jc w:val="center"/>
              <w:textAlignment w:val="baseline"/>
              <w:rPr>
                <w:rFonts w:hint="eastAsia" w:cs="宋体"/>
                <w:kern w:val="0"/>
                <w:szCs w:val="24"/>
              </w:rPr>
            </w:pPr>
            <w:r>
              <w:rPr>
                <w:rFonts w:hint="eastAsia" w:cs="宋体"/>
                <w:kern w:val="0"/>
                <w:szCs w:val="24"/>
              </w:rPr>
              <w:t>规格型号</w:t>
            </w:r>
          </w:p>
        </w:tc>
        <w:tc>
          <w:tcPr>
            <w:tcW w:w="1442" w:type="dxa"/>
            <w:vAlign w:val="center"/>
          </w:tcPr>
          <w:p w14:paraId="3293FE57">
            <w:pPr>
              <w:widowControl w:val="0"/>
              <w:adjustRightInd w:val="0"/>
              <w:spacing w:line="360" w:lineRule="auto"/>
              <w:jc w:val="center"/>
              <w:textAlignment w:val="baseline"/>
              <w:rPr>
                <w:rFonts w:hint="default" w:eastAsia="宋体" w:cs="宋体"/>
                <w:kern w:val="0"/>
                <w:szCs w:val="24"/>
                <w:lang w:val="en-US" w:eastAsia="zh-CN"/>
              </w:rPr>
            </w:pPr>
            <w:r>
              <w:rPr>
                <w:rFonts w:hint="eastAsia" w:cs="宋体"/>
                <w:kern w:val="0"/>
                <w:szCs w:val="24"/>
                <w:lang w:val="en-US" w:eastAsia="zh-CN"/>
              </w:rPr>
              <w:t>生产厂家</w:t>
            </w:r>
          </w:p>
        </w:tc>
        <w:tc>
          <w:tcPr>
            <w:tcW w:w="1633" w:type="dxa"/>
            <w:vAlign w:val="center"/>
          </w:tcPr>
          <w:p w14:paraId="7BB54B33">
            <w:pPr>
              <w:widowControl w:val="0"/>
              <w:adjustRightInd w:val="0"/>
              <w:spacing w:line="360" w:lineRule="auto"/>
              <w:jc w:val="center"/>
              <w:textAlignment w:val="baseline"/>
              <w:rPr>
                <w:rFonts w:hint="eastAsia" w:eastAsia="宋体" w:cs="宋体"/>
                <w:kern w:val="0"/>
                <w:szCs w:val="24"/>
                <w:highlight w:val="none"/>
                <w:lang w:val="en-US" w:eastAsia="zh-CN"/>
              </w:rPr>
            </w:pPr>
            <w:r>
              <w:rPr>
                <w:rFonts w:hint="eastAsia" w:cs="宋体"/>
                <w:kern w:val="0"/>
                <w:szCs w:val="24"/>
                <w:highlight w:val="none"/>
                <w:lang w:val="en-US" w:eastAsia="zh-CN"/>
              </w:rPr>
              <w:t>产地</w:t>
            </w:r>
          </w:p>
        </w:tc>
        <w:tc>
          <w:tcPr>
            <w:tcW w:w="962" w:type="dxa"/>
            <w:vAlign w:val="center"/>
          </w:tcPr>
          <w:p w14:paraId="343096DB">
            <w:pPr>
              <w:widowControl w:val="0"/>
              <w:adjustRightInd w:val="0"/>
              <w:spacing w:line="360" w:lineRule="auto"/>
              <w:jc w:val="center"/>
              <w:textAlignment w:val="baseline"/>
              <w:rPr>
                <w:rFonts w:hint="eastAsia" w:cs="宋体"/>
                <w:kern w:val="0"/>
                <w:szCs w:val="24"/>
                <w:highlight w:val="none"/>
              </w:rPr>
            </w:pPr>
            <w:r>
              <w:rPr>
                <w:rFonts w:hint="eastAsia" w:cs="宋体"/>
                <w:kern w:val="0"/>
                <w:szCs w:val="24"/>
                <w:highlight w:val="none"/>
              </w:rPr>
              <w:t>单位</w:t>
            </w:r>
          </w:p>
        </w:tc>
        <w:tc>
          <w:tcPr>
            <w:tcW w:w="870" w:type="dxa"/>
            <w:vAlign w:val="center"/>
          </w:tcPr>
          <w:p w14:paraId="514DA190">
            <w:pPr>
              <w:widowControl w:val="0"/>
              <w:adjustRightInd w:val="0"/>
              <w:spacing w:line="360" w:lineRule="auto"/>
              <w:jc w:val="center"/>
              <w:textAlignment w:val="baseline"/>
              <w:rPr>
                <w:rFonts w:hint="eastAsia" w:cs="宋体"/>
                <w:kern w:val="0"/>
                <w:szCs w:val="24"/>
              </w:rPr>
            </w:pPr>
            <w:r>
              <w:rPr>
                <w:rFonts w:hint="eastAsia" w:cs="宋体"/>
                <w:kern w:val="0"/>
                <w:szCs w:val="24"/>
              </w:rPr>
              <w:t>数量</w:t>
            </w:r>
            <w:bookmarkStart w:id="451" w:name="_GoBack"/>
            <w:bookmarkEnd w:id="451"/>
          </w:p>
        </w:tc>
        <w:tc>
          <w:tcPr>
            <w:tcW w:w="1758" w:type="dxa"/>
            <w:vAlign w:val="center"/>
          </w:tcPr>
          <w:p w14:paraId="1142628C">
            <w:pPr>
              <w:widowControl w:val="0"/>
              <w:adjustRightInd w:val="0"/>
              <w:spacing w:line="360" w:lineRule="auto"/>
              <w:jc w:val="center"/>
              <w:textAlignment w:val="baseline"/>
              <w:rPr>
                <w:rFonts w:hint="eastAsia" w:cs="宋体"/>
                <w:kern w:val="0"/>
                <w:szCs w:val="24"/>
              </w:rPr>
            </w:pPr>
            <w:r>
              <w:rPr>
                <w:rFonts w:hint="eastAsia" w:cs="宋体"/>
                <w:kern w:val="0"/>
                <w:szCs w:val="24"/>
              </w:rPr>
              <w:t>含税单价（元）</w:t>
            </w:r>
          </w:p>
        </w:tc>
        <w:tc>
          <w:tcPr>
            <w:tcW w:w="1828" w:type="dxa"/>
            <w:vAlign w:val="center"/>
          </w:tcPr>
          <w:p w14:paraId="677BE5B6">
            <w:pPr>
              <w:widowControl w:val="0"/>
              <w:adjustRightInd w:val="0"/>
              <w:spacing w:line="360" w:lineRule="auto"/>
              <w:jc w:val="center"/>
              <w:textAlignment w:val="baseline"/>
              <w:rPr>
                <w:rFonts w:hint="eastAsia" w:cs="宋体"/>
                <w:kern w:val="0"/>
                <w:szCs w:val="24"/>
              </w:rPr>
            </w:pPr>
            <w:r>
              <w:rPr>
                <w:rFonts w:hint="eastAsia" w:ascii="Arial" w:hAnsi="Arial" w:eastAsia="宋体" w:cs="Arial"/>
                <w:sz w:val="24"/>
                <w:szCs w:val="24"/>
                <w:highlight w:val="none"/>
              </w:rPr>
              <w:t>包装价</w:t>
            </w:r>
            <w:r>
              <w:rPr>
                <w:rFonts w:hint="eastAsia" w:eastAsia="宋体" w:cs="Arial"/>
                <w:sz w:val="24"/>
                <w:szCs w:val="24"/>
                <w:highlight w:val="none"/>
                <w:lang w:eastAsia="zh-CN"/>
              </w:rPr>
              <w:t>（</w:t>
            </w:r>
            <w:r>
              <w:rPr>
                <w:rFonts w:hint="eastAsia" w:eastAsia="宋体" w:cs="Arial"/>
                <w:sz w:val="24"/>
                <w:szCs w:val="24"/>
                <w:highlight w:val="none"/>
                <w:lang w:val="en-US" w:eastAsia="zh-CN"/>
              </w:rPr>
              <w:t>元</w:t>
            </w:r>
            <w:r>
              <w:rPr>
                <w:rFonts w:hint="eastAsia" w:eastAsia="宋体" w:cs="Arial"/>
                <w:sz w:val="24"/>
                <w:szCs w:val="24"/>
                <w:highlight w:val="none"/>
                <w:lang w:eastAsia="zh-CN"/>
              </w:rPr>
              <w:t>）</w:t>
            </w:r>
          </w:p>
        </w:tc>
        <w:tc>
          <w:tcPr>
            <w:tcW w:w="1276" w:type="dxa"/>
            <w:vAlign w:val="center"/>
          </w:tcPr>
          <w:p w14:paraId="5B15FB42">
            <w:pPr>
              <w:widowControl w:val="0"/>
              <w:adjustRightInd w:val="0"/>
              <w:spacing w:line="360" w:lineRule="auto"/>
              <w:jc w:val="center"/>
              <w:textAlignment w:val="baseline"/>
              <w:rPr>
                <w:rFonts w:hint="eastAsia" w:cs="宋体"/>
                <w:kern w:val="0"/>
                <w:szCs w:val="24"/>
              </w:rPr>
            </w:pPr>
            <w:r>
              <w:rPr>
                <w:rFonts w:hint="eastAsia" w:cs="宋体"/>
                <w:kern w:val="0"/>
                <w:szCs w:val="24"/>
              </w:rPr>
              <w:t>备注</w:t>
            </w:r>
          </w:p>
        </w:tc>
      </w:tr>
      <w:tr w14:paraId="61539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92" w:type="dxa"/>
            <w:vAlign w:val="center"/>
          </w:tcPr>
          <w:p w14:paraId="2FE047EE">
            <w:pPr>
              <w:widowControl w:val="0"/>
              <w:adjustRightInd w:val="0"/>
              <w:spacing w:line="360" w:lineRule="auto"/>
              <w:jc w:val="center"/>
              <w:textAlignment w:val="baseline"/>
              <w:rPr>
                <w:rFonts w:hint="eastAsia" w:cs="宋体"/>
                <w:kern w:val="0"/>
                <w:szCs w:val="24"/>
              </w:rPr>
            </w:pPr>
            <w:r>
              <w:rPr>
                <w:rFonts w:hint="eastAsia" w:cs="宋体"/>
                <w:kern w:val="0"/>
                <w:szCs w:val="24"/>
              </w:rPr>
              <w:t>1</w:t>
            </w:r>
          </w:p>
        </w:tc>
        <w:tc>
          <w:tcPr>
            <w:tcW w:w="1463" w:type="dxa"/>
            <w:vAlign w:val="center"/>
          </w:tcPr>
          <w:p w14:paraId="0994F255">
            <w:pPr>
              <w:adjustRightInd w:val="0"/>
              <w:jc w:val="center"/>
              <w:textAlignment w:val="center"/>
              <w:rPr>
                <w:rFonts w:hint="eastAsia" w:cs="方正仿宋_GB2312"/>
                <w:color w:val="000000"/>
                <w:kern w:val="0"/>
                <w:szCs w:val="18"/>
                <w:lang w:bidi="ar"/>
              </w:rPr>
            </w:pPr>
          </w:p>
        </w:tc>
        <w:tc>
          <w:tcPr>
            <w:tcW w:w="958" w:type="dxa"/>
            <w:vAlign w:val="center"/>
          </w:tcPr>
          <w:p w14:paraId="5E82A438">
            <w:pPr>
              <w:adjustRightInd w:val="0"/>
              <w:jc w:val="center"/>
              <w:textAlignment w:val="center"/>
              <w:rPr>
                <w:rFonts w:hint="eastAsia" w:cs="方正仿宋_GB2312"/>
                <w:color w:val="000000"/>
                <w:kern w:val="0"/>
                <w:szCs w:val="18"/>
                <w:lang w:bidi="ar"/>
              </w:rPr>
            </w:pPr>
          </w:p>
        </w:tc>
        <w:tc>
          <w:tcPr>
            <w:tcW w:w="1230" w:type="dxa"/>
            <w:vAlign w:val="center"/>
          </w:tcPr>
          <w:p w14:paraId="73A23609">
            <w:pPr>
              <w:widowControl w:val="0"/>
              <w:adjustRightInd w:val="0"/>
              <w:spacing w:line="360" w:lineRule="auto"/>
              <w:jc w:val="center"/>
              <w:textAlignment w:val="baseline"/>
              <w:rPr>
                <w:rFonts w:hint="eastAsia" w:cs="宋体"/>
                <w:kern w:val="0"/>
                <w:szCs w:val="24"/>
              </w:rPr>
            </w:pPr>
          </w:p>
        </w:tc>
        <w:tc>
          <w:tcPr>
            <w:tcW w:w="1442" w:type="dxa"/>
            <w:vAlign w:val="center"/>
          </w:tcPr>
          <w:p w14:paraId="08566B75">
            <w:pPr>
              <w:widowControl w:val="0"/>
              <w:adjustRightInd w:val="0"/>
              <w:spacing w:line="360" w:lineRule="auto"/>
              <w:jc w:val="center"/>
              <w:textAlignment w:val="baseline"/>
              <w:rPr>
                <w:rFonts w:hint="eastAsia" w:cs="宋体"/>
                <w:kern w:val="0"/>
                <w:szCs w:val="24"/>
              </w:rPr>
            </w:pPr>
          </w:p>
        </w:tc>
        <w:tc>
          <w:tcPr>
            <w:tcW w:w="1633" w:type="dxa"/>
          </w:tcPr>
          <w:p w14:paraId="5FECC71D">
            <w:pPr>
              <w:widowControl w:val="0"/>
              <w:adjustRightInd w:val="0"/>
              <w:spacing w:line="360" w:lineRule="auto"/>
              <w:jc w:val="center"/>
              <w:textAlignment w:val="baseline"/>
              <w:rPr>
                <w:rFonts w:hint="eastAsia" w:cs="宋体"/>
                <w:kern w:val="0"/>
                <w:szCs w:val="24"/>
              </w:rPr>
            </w:pPr>
          </w:p>
        </w:tc>
        <w:tc>
          <w:tcPr>
            <w:tcW w:w="962" w:type="dxa"/>
            <w:vAlign w:val="center"/>
          </w:tcPr>
          <w:p w14:paraId="08213E42">
            <w:pPr>
              <w:widowControl w:val="0"/>
              <w:adjustRightInd w:val="0"/>
              <w:spacing w:line="360" w:lineRule="auto"/>
              <w:jc w:val="center"/>
              <w:textAlignment w:val="baseline"/>
              <w:rPr>
                <w:rFonts w:hint="eastAsia" w:cs="宋体"/>
                <w:kern w:val="0"/>
                <w:szCs w:val="24"/>
              </w:rPr>
            </w:pPr>
          </w:p>
        </w:tc>
        <w:tc>
          <w:tcPr>
            <w:tcW w:w="870" w:type="dxa"/>
            <w:vAlign w:val="center"/>
          </w:tcPr>
          <w:p w14:paraId="7E4D9FAC">
            <w:pPr>
              <w:adjustRightInd w:val="0"/>
              <w:spacing w:line="360" w:lineRule="atLeast"/>
              <w:jc w:val="center"/>
              <w:textAlignment w:val="center"/>
              <w:rPr>
                <w:rFonts w:hint="eastAsia" w:eastAsia="宋体" w:cs="宋体"/>
                <w:szCs w:val="24"/>
                <w:lang w:val="en-US" w:eastAsia="zh-CN"/>
              </w:rPr>
            </w:pPr>
          </w:p>
        </w:tc>
        <w:tc>
          <w:tcPr>
            <w:tcW w:w="1758" w:type="dxa"/>
            <w:vAlign w:val="center"/>
          </w:tcPr>
          <w:p w14:paraId="6659B6CA">
            <w:pPr>
              <w:adjustRightInd w:val="0"/>
              <w:spacing w:line="360" w:lineRule="atLeast"/>
              <w:jc w:val="center"/>
              <w:textAlignment w:val="center"/>
              <w:rPr>
                <w:rFonts w:cs="宋体"/>
                <w:szCs w:val="24"/>
              </w:rPr>
            </w:pPr>
          </w:p>
        </w:tc>
        <w:tc>
          <w:tcPr>
            <w:tcW w:w="1828" w:type="dxa"/>
            <w:vAlign w:val="center"/>
          </w:tcPr>
          <w:p w14:paraId="19F56EC8">
            <w:pPr>
              <w:widowControl w:val="0"/>
              <w:adjustRightInd w:val="0"/>
              <w:spacing w:line="360" w:lineRule="atLeast"/>
              <w:jc w:val="center"/>
              <w:textAlignment w:val="center"/>
              <w:rPr>
                <w:rFonts w:hint="eastAsia" w:cs="仿宋"/>
                <w:color w:val="000000"/>
                <w:kern w:val="0"/>
                <w:szCs w:val="24"/>
                <w:lang w:bidi="ar"/>
              </w:rPr>
            </w:pPr>
          </w:p>
        </w:tc>
        <w:tc>
          <w:tcPr>
            <w:tcW w:w="1276" w:type="dxa"/>
            <w:vAlign w:val="center"/>
          </w:tcPr>
          <w:p w14:paraId="01AAC240">
            <w:pPr>
              <w:widowControl w:val="0"/>
              <w:adjustRightInd w:val="0"/>
              <w:spacing w:line="360" w:lineRule="auto"/>
              <w:jc w:val="center"/>
              <w:textAlignment w:val="baseline"/>
              <w:rPr>
                <w:rFonts w:hint="eastAsia" w:cs="宋体"/>
                <w:kern w:val="0"/>
                <w:szCs w:val="24"/>
              </w:rPr>
            </w:pPr>
          </w:p>
        </w:tc>
      </w:tr>
      <w:tr w14:paraId="6399B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92" w:type="dxa"/>
            <w:vAlign w:val="center"/>
          </w:tcPr>
          <w:p w14:paraId="096362C5">
            <w:pPr>
              <w:widowControl w:val="0"/>
              <w:adjustRightInd w:val="0"/>
              <w:spacing w:line="360" w:lineRule="auto"/>
              <w:jc w:val="center"/>
              <w:textAlignment w:val="baseline"/>
              <w:rPr>
                <w:rFonts w:hint="eastAsia" w:cs="宋体"/>
                <w:kern w:val="0"/>
                <w:szCs w:val="24"/>
              </w:rPr>
            </w:pPr>
            <w:r>
              <w:rPr>
                <w:rFonts w:hint="eastAsia" w:cs="宋体"/>
                <w:kern w:val="0"/>
                <w:szCs w:val="24"/>
              </w:rPr>
              <w:t>2</w:t>
            </w:r>
          </w:p>
        </w:tc>
        <w:tc>
          <w:tcPr>
            <w:tcW w:w="1463" w:type="dxa"/>
            <w:vAlign w:val="center"/>
          </w:tcPr>
          <w:p w14:paraId="70A6207E">
            <w:pPr>
              <w:adjustRightInd w:val="0"/>
              <w:jc w:val="center"/>
              <w:textAlignment w:val="center"/>
              <w:rPr>
                <w:rFonts w:hint="eastAsia" w:cs="方正仿宋_GB2312"/>
                <w:color w:val="000000"/>
                <w:kern w:val="0"/>
                <w:szCs w:val="18"/>
                <w:lang w:bidi="ar"/>
              </w:rPr>
            </w:pPr>
          </w:p>
        </w:tc>
        <w:tc>
          <w:tcPr>
            <w:tcW w:w="958" w:type="dxa"/>
            <w:vAlign w:val="center"/>
          </w:tcPr>
          <w:p w14:paraId="3E325786">
            <w:pPr>
              <w:adjustRightInd w:val="0"/>
              <w:jc w:val="center"/>
              <w:textAlignment w:val="center"/>
              <w:rPr>
                <w:rFonts w:hint="eastAsia" w:cs="方正仿宋_GB2312"/>
                <w:color w:val="000000"/>
                <w:kern w:val="0"/>
                <w:szCs w:val="18"/>
                <w:lang w:bidi="ar"/>
              </w:rPr>
            </w:pPr>
          </w:p>
        </w:tc>
        <w:tc>
          <w:tcPr>
            <w:tcW w:w="1230" w:type="dxa"/>
            <w:vAlign w:val="center"/>
          </w:tcPr>
          <w:p w14:paraId="09C5B8B9">
            <w:pPr>
              <w:widowControl w:val="0"/>
              <w:adjustRightInd w:val="0"/>
              <w:spacing w:line="360" w:lineRule="auto"/>
              <w:jc w:val="center"/>
              <w:textAlignment w:val="baseline"/>
              <w:rPr>
                <w:rFonts w:hint="eastAsia" w:cs="宋体"/>
                <w:kern w:val="0"/>
                <w:szCs w:val="24"/>
              </w:rPr>
            </w:pPr>
          </w:p>
        </w:tc>
        <w:tc>
          <w:tcPr>
            <w:tcW w:w="1442" w:type="dxa"/>
            <w:vAlign w:val="center"/>
          </w:tcPr>
          <w:p w14:paraId="607AAC91">
            <w:pPr>
              <w:widowControl w:val="0"/>
              <w:adjustRightInd w:val="0"/>
              <w:spacing w:line="360" w:lineRule="auto"/>
              <w:jc w:val="center"/>
              <w:textAlignment w:val="baseline"/>
              <w:rPr>
                <w:rFonts w:hint="eastAsia" w:cs="宋体"/>
                <w:kern w:val="0"/>
                <w:szCs w:val="24"/>
              </w:rPr>
            </w:pPr>
          </w:p>
        </w:tc>
        <w:tc>
          <w:tcPr>
            <w:tcW w:w="1633" w:type="dxa"/>
          </w:tcPr>
          <w:p w14:paraId="56E83007">
            <w:pPr>
              <w:widowControl w:val="0"/>
              <w:adjustRightInd w:val="0"/>
              <w:spacing w:line="360" w:lineRule="auto"/>
              <w:jc w:val="center"/>
              <w:textAlignment w:val="baseline"/>
              <w:rPr>
                <w:rFonts w:hint="eastAsia" w:cs="宋体"/>
                <w:kern w:val="0"/>
                <w:szCs w:val="24"/>
              </w:rPr>
            </w:pPr>
          </w:p>
        </w:tc>
        <w:tc>
          <w:tcPr>
            <w:tcW w:w="962" w:type="dxa"/>
            <w:vAlign w:val="center"/>
          </w:tcPr>
          <w:p w14:paraId="4E825106">
            <w:pPr>
              <w:widowControl w:val="0"/>
              <w:adjustRightInd w:val="0"/>
              <w:spacing w:line="360" w:lineRule="auto"/>
              <w:jc w:val="center"/>
              <w:textAlignment w:val="baseline"/>
              <w:rPr>
                <w:rFonts w:hint="eastAsia" w:cs="宋体"/>
                <w:kern w:val="0"/>
                <w:szCs w:val="24"/>
              </w:rPr>
            </w:pPr>
          </w:p>
        </w:tc>
        <w:tc>
          <w:tcPr>
            <w:tcW w:w="870" w:type="dxa"/>
            <w:vAlign w:val="center"/>
          </w:tcPr>
          <w:p w14:paraId="6FB01F58">
            <w:pPr>
              <w:adjustRightInd w:val="0"/>
              <w:spacing w:line="360" w:lineRule="atLeast"/>
              <w:jc w:val="center"/>
              <w:textAlignment w:val="center"/>
              <w:rPr>
                <w:rFonts w:hint="eastAsia" w:eastAsia="宋体" w:cs="宋体"/>
                <w:szCs w:val="24"/>
                <w:lang w:val="en-US" w:eastAsia="zh-CN"/>
              </w:rPr>
            </w:pPr>
          </w:p>
        </w:tc>
        <w:tc>
          <w:tcPr>
            <w:tcW w:w="1758" w:type="dxa"/>
            <w:vAlign w:val="center"/>
          </w:tcPr>
          <w:p w14:paraId="4725B4DC">
            <w:pPr>
              <w:adjustRightInd w:val="0"/>
              <w:spacing w:line="360" w:lineRule="atLeast"/>
              <w:jc w:val="center"/>
              <w:textAlignment w:val="center"/>
              <w:rPr>
                <w:rFonts w:cs="宋体"/>
                <w:szCs w:val="24"/>
              </w:rPr>
            </w:pPr>
          </w:p>
        </w:tc>
        <w:tc>
          <w:tcPr>
            <w:tcW w:w="1828" w:type="dxa"/>
            <w:vAlign w:val="center"/>
          </w:tcPr>
          <w:p w14:paraId="05824E7B">
            <w:pPr>
              <w:adjustRightInd w:val="0"/>
              <w:spacing w:line="360" w:lineRule="atLeast"/>
              <w:jc w:val="center"/>
              <w:textAlignment w:val="center"/>
              <w:rPr>
                <w:rFonts w:cs="宋体"/>
                <w:color w:val="000000"/>
                <w:kern w:val="0"/>
                <w:szCs w:val="24"/>
                <w:lang w:bidi="ar"/>
              </w:rPr>
            </w:pPr>
          </w:p>
        </w:tc>
        <w:tc>
          <w:tcPr>
            <w:tcW w:w="1276" w:type="dxa"/>
            <w:vAlign w:val="center"/>
          </w:tcPr>
          <w:p w14:paraId="539E5D8D">
            <w:pPr>
              <w:widowControl w:val="0"/>
              <w:adjustRightInd w:val="0"/>
              <w:spacing w:line="360" w:lineRule="auto"/>
              <w:jc w:val="center"/>
              <w:textAlignment w:val="baseline"/>
              <w:rPr>
                <w:rFonts w:hint="eastAsia" w:cs="宋体"/>
                <w:kern w:val="0"/>
                <w:szCs w:val="24"/>
              </w:rPr>
            </w:pPr>
          </w:p>
        </w:tc>
      </w:tr>
      <w:tr w14:paraId="6C21F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92" w:type="dxa"/>
            <w:vAlign w:val="center"/>
          </w:tcPr>
          <w:p w14:paraId="7A5CB73A">
            <w:pPr>
              <w:widowControl w:val="0"/>
              <w:adjustRightInd w:val="0"/>
              <w:spacing w:line="360" w:lineRule="auto"/>
              <w:jc w:val="center"/>
              <w:textAlignment w:val="baseline"/>
              <w:rPr>
                <w:rFonts w:hint="eastAsia" w:cs="宋体"/>
                <w:kern w:val="0"/>
                <w:szCs w:val="24"/>
              </w:rPr>
            </w:pPr>
            <w:r>
              <w:rPr>
                <w:rFonts w:cs="宋体"/>
                <w:kern w:val="0"/>
                <w:szCs w:val="24"/>
              </w:rPr>
              <w:t>3</w:t>
            </w:r>
          </w:p>
        </w:tc>
        <w:tc>
          <w:tcPr>
            <w:tcW w:w="1463" w:type="dxa"/>
            <w:vAlign w:val="center"/>
          </w:tcPr>
          <w:p w14:paraId="47669169">
            <w:pPr>
              <w:adjustRightInd w:val="0"/>
              <w:jc w:val="center"/>
              <w:textAlignment w:val="center"/>
              <w:rPr>
                <w:rFonts w:hint="eastAsia" w:cs="方正仿宋_GB2312"/>
                <w:color w:val="000000"/>
                <w:kern w:val="0"/>
                <w:szCs w:val="18"/>
                <w:lang w:bidi="ar"/>
              </w:rPr>
            </w:pPr>
          </w:p>
        </w:tc>
        <w:tc>
          <w:tcPr>
            <w:tcW w:w="958" w:type="dxa"/>
            <w:vAlign w:val="center"/>
          </w:tcPr>
          <w:p w14:paraId="31F93A07">
            <w:pPr>
              <w:adjustRightInd w:val="0"/>
              <w:jc w:val="center"/>
              <w:textAlignment w:val="center"/>
              <w:rPr>
                <w:rFonts w:hint="eastAsia" w:cs="方正仿宋_GB2312"/>
                <w:color w:val="000000"/>
                <w:kern w:val="0"/>
                <w:szCs w:val="18"/>
                <w:lang w:bidi="ar"/>
              </w:rPr>
            </w:pPr>
          </w:p>
        </w:tc>
        <w:tc>
          <w:tcPr>
            <w:tcW w:w="1230" w:type="dxa"/>
            <w:vAlign w:val="center"/>
          </w:tcPr>
          <w:p w14:paraId="4D3BEBBA">
            <w:pPr>
              <w:widowControl w:val="0"/>
              <w:adjustRightInd w:val="0"/>
              <w:spacing w:line="360" w:lineRule="auto"/>
              <w:jc w:val="center"/>
              <w:textAlignment w:val="baseline"/>
              <w:rPr>
                <w:rFonts w:hint="eastAsia" w:cs="宋体"/>
                <w:kern w:val="0"/>
                <w:szCs w:val="24"/>
              </w:rPr>
            </w:pPr>
          </w:p>
        </w:tc>
        <w:tc>
          <w:tcPr>
            <w:tcW w:w="1442" w:type="dxa"/>
            <w:vAlign w:val="center"/>
          </w:tcPr>
          <w:p w14:paraId="76B95AB3">
            <w:pPr>
              <w:widowControl w:val="0"/>
              <w:adjustRightInd w:val="0"/>
              <w:spacing w:line="360" w:lineRule="auto"/>
              <w:jc w:val="center"/>
              <w:textAlignment w:val="baseline"/>
              <w:rPr>
                <w:rFonts w:hint="eastAsia" w:cs="宋体"/>
                <w:kern w:val="0"/>
                <w:szCs w:val="24"/>
              </w:rPr>
            </w:pPr>
          </w:p>
        </w:tc>
        <w:tc>
          <w:tcPr>
            <w:tcW w:w="1633" w:type="dxa"/>
          </w:tcPr>
          <w:p w14:paraId="18B4EA78">
            <w:pPr>
              <w:widowControl w:val="0"/>
              <w:adjustRightInd w:val="0"/>
              <w:spacing w:line="360" w:lineRule="auto"/>
              <w:jc w:val="center"/>
              <w:textAlignment w:val="baseline"/>
              <w:rPr>
                <w:rFonts w:hint="eastAsia" w:cs="宋体"/>
                <w:kern w:val="0"/>
                <w:szCs w:val="24"/>
              </w:rPr>
            </w:pPr>
          </w:p>
        </w:tc>
        <w:tc>
          <w:tcPr>
            <w:tcW w:w="962" w:type="dxa"/>
            <w:vAlign w:val="center"/>
          </w:tcPr>
          <w:p w14:paraId="5A7706BA">
            <w:pPr>
              <w:widowControl w:val="0"/>
              <w:adjustRightInd w:val="0"/>
              <w:spacing w:line="360" w:lineRule="auto"/>
              <w:jc w:val="center"/>
              <w:textAlignment w:val="baseline"/>
              <w:rPr>
                <w:rFonts w:hint="eastAsia" w:cs="宋体"/>
                <w:kern w:val="0"/>
                <w:szCs w:val="24"/>
              </w:rPr>
            </w:pPr>
          </w:p>
        </w:tc>
        <w:tc>
          <w:tcPr>
            <w:tcW w:w="870" w:type="dxa"/>
            <w:vAlign w:val="center"/>
          </w:tcPr>
          <w:p w14:paraId="46D13F0E">
            <w:pPr>
              <w:adjustRightInd w:val="0"/>
              <w:spacing w:line="360" w:lineRule="atLeast"/>
              <w:jc w:val="center"/>
              <w:textAlignment w:val="center"/>
              <w:rPr>
                <w:rFonts w:hint="eastAsia" w:eastAsia="宋体" w:cs="宋体"/>
                <w:color w:val="000000"/>
                <w:kern w:val="0"/>
                <w:szCs w:val="24"/>
                <w:lang w:val="en-US" w:eastAsia="zh-CN" w:bidi="ar"/>
              </w:rPr>
            </w:pPr>
          </w:p>
        </w:tc>
        <w:tc>
          <w:tcPr>
            <w:tcW w:w="1758" w:type="dxa"/>
            <w:vAlign w:val="center"/>
          </w:tcPr>
          <w:p w14:paraId="2CF34CA6">
            <w:pPr>
              <w:adjustRightInd w:val="0"/>
              <w:spacing w:line="360" w:lineRule="atLeast"/>
              <w:jc w:val="center"/>
              <w:textAlignment w:val="center"/>
              <w:rPr>
                <w:rFonts w:cs="宋体"/>
                <w:color w:val="000000"/>
                <w:kern w:val="0"/>
                <w:szCs w:val="24"/>
                <w:lang w:bidi="ar"/>
              </w:rPr>
            </w:pPr>
          </w:p>
        </w:tc>
        <w:tc>
          <w:tcPr>
            <w:tcW w:w="1828" w:type="dxa"/>
            <w:vAlign w:val="center"/>
          </w:tcPr>
          <w:p w14:paraId="05668DAF">
            <w:pPr>
              <w:adjustRightInd w:val="0"/>
              <w:spacing w:line="360" w:lineRule="atLeast"/>
              <w:jc w:val="center"/>
              <w:textAlignment w:val="center"/>
              <w:rPr>
                <w:rFonts w:cs="宋体"/>
                <w:color w:val="000000"/>
                <w:kern w:val="0"/>
                <w:szCs w:val="24"/>
                <w:lang w:bidi="ar"/>
              </w:rPr>
            </w:pPr>
          </w:p>
        </w:tc>
        <w:tc>
          <w:tcPr>
            <w:tcW w:w="1276" w:type="dxa"/>
            <w:vAlign w:val="center"/>
          </w:tcPr>
          <w:p w14:paraId="2BA955CC">
            <w:pPr>
              <w:widowControl w:val="0"/>
              <w:adjustRightInd w:val="0"/>
              <w:spacing w:line="360" w:lineRule="auto"/>
              <w:jc w:val="center"/>
              <w:textAlignment w:val="baseline"/>
              <w:rPr>
                <w:rFonts w:hint="eastAsia" w:cs="宋体"/>
                <w:kern w:val="0"/>
                <w:szCs w:val="24"/>
              </w:rPr>
            </w:pPr>
          </w:p>
        </w:tc>
      </w:tr>
      <w:tr w14:paraId="24665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255" w:type="dxa"/>
            <w:gridSpan w:val="2"/>
            <w:vAlign w:val="center"/>
          </w:tcPr>
          <w:p w14:paraId="4FD8E8C0">
            <w:pPr>
              <w:widowControl w:val="0"/>
              <w:adjustRightInd w:val="0"/>
              <w:spacing w:line="360" w:lineRule="auto"/>
              <w:jc w:val="center"/>
              <w:textAlignment w:val="baseline"/>
              <w:rPr>
                <w:rFonts w:hint="eastAsia" w:cs="宋体"/>
                <w:b/>
                <w:kern w:val="0"/>
                <w:szCs w:val="24"/>
              </w:rPr>
            </w:pPr>
            <w:r>
              <w:rPr>
                <w:rFonts w:hint="eastAsia" w:cs="宋体"/>
                <w:b/>
                <w:kern w:val="0"/>
                <w:szCs w:val="24"/>
              </w:rPr>
              <w:t>总计：人民币</w:t>
            </w:r>
          </w:p>
        </w:tc>
        <w:tc>
          <w:tcPr>
            <w:tcW w:w="8853" w:type="dxa"/>
            <w:gridSpan w:val="7"/>
          </w:tcPr>
          <w:p w14:paraId="6F6FB18C">
            <w:pPr>
              <w:widowControl w:val="0"/>
              <w:adjustRightInd w:val="0"/>
              <w:spacing w:line="360" w:lineRule="auto"/>
              <w:jc w:val="center"/>
              <w:textAlignment w:val="baseline"/>
              <w:rPr>
                <w:rFonts w:hint="eastAsia" w:cs="宋体"/>
                <w:b/>
                <w:kern w:val="0"/>
                <w:szCs w:val="24"/>
              </w:rPr>
            </w:pPr>
            <w:r>
              <w:rPr>
                <w:rFonts w:hint="eastAsia" w:cs="宋体"/>
                <w:b/>
                <w:kern w:val="0"/>
                <w:szCs w:val="24"/>
                <w:lang w:val="en-US" w:eastAsia="zh-CN"/>
              </w:rPr>
              <w:t xml:space="preserve">   </w:t>
            </w:r>
            <w:r>
              <w:rPr>
                <w:rFonts w:hint="eastAsia" w:cs="宋体"/>
                <w:b/>
                <w:kern w:val="0"/>
                <w:szCs w:val="24"/>
              </w:rPr>
              <w:t>　元</w:t>
            </w:r>
          </w:p>
        </w:tc>
        <w:tc>
          <w:tcPr>
            <w:tcW w:w="3104" w:type="dxa"/>
            <w:gridSpan w:val="2"/>
            <w:vAlign w:val="center"/>
          </w:tcPr>
          <w:p w14:paraId="44AF955C">
            <w:pPr>
              <w:widowControl w:val="0"/>
              <w:adjustRightInd w:val="0"/>
              <w:spacing w:line="360" w:lineRule="auto"/>
              <w:jc w:val="center"/>
              <w:textAlignment w:val="baseline"/>
              <w:rPr>
                <w:rFonts w:hint="eastAsia" w:cs="宋体"/>
                <w:b/>
                <w:kern w:val="0"/>
                <w:szCs w:val="24"/>
              </w:rPr>
            </w:pPr>
            <w:r>
              <w:rPr>
                <w:rFonts w:hint="eastAsia" w:cs="宋体"/>
                <w:b/>
                <w:kern w:val="0"/>
                <w:szCs w:val="24"/>
              </w:rPr>
              <w:t>　元</w:t>
            </w:r>
          </w:p>
        </w:tc>
      </w:tr>
    </w:tbl>
    <w:p w14:paraId="5C72E95D">
      <w:pPr>
        <w:spacing w:line="360" w:lineRule="auto"/>
        <w:rPr>
          <w:highlight w:val="none"/>
        </w:rPr>
      </w:pPr>
      <w:r>
        <w:rPr>
          <w:highlight w:val="none"/>
        </w:rPr>
        <w:t>投标人名称</w:t>
      </w:r>
      <w:r>
        <w:rPr>
          <w:rFonts w:hint="eastAsia" w:cs="仿宋_GB2312"/>
          <w:szCs w:val="24"/>
          <w:highlight w:val="none"/>
        </w:rPr>
        <w:t>（</w:t>
      </w:r>
      <w:r>
        <w:rPr>
          <w:rFonts w:hint="eastAsia" w:cs="宋体"/>
          <w:kern w:val="0"/>
          <w:szCs w:val="24"/>
          <w:highlight w:val="none"/>
        </w:rPr>
        <w:t>公章</w:t>
      </w:r>
      <w:r>
        <w:rPr>
          <w:rFonts w:hint="eastAsia" w:cs="宋体"/>
          <w:kern w:val="0"/>
          <w:highlight w:val="none"/>
          <w:lang w:val="zh-CN"/>
        </w:rPr>
        <w:t>)</w:t>
      </w:r>
      <w:r>
        <w:rPr>
          <w:highlight w:val="none"/>
        </w:rPr>
        <w:t>：</w:t>
      </w:r>
    </w:p>
    <w:p w14:paraId="586CE46E">
      <w:pPr>
        <w:spacing w:line="360" w:lineRule="auto"/>
        <w:rPr>
          <w:highlight w:val="none"/>
          <w:lang w:bidi="ar"/>
        </w:rPr>
      </w:pPr>
      <w:r>
        <w:rPr>
          <w:rFonts w:hint="eastAsia"/>
          <w:highlight w:val="none"/>
          <w:lang w:bidi="ar"/>
        </w:rPr>
        <w:t>法定代表人或授权代表（签字或印章）：</w:t>
      </w:r>
    </w:p>
    <w:p w14:paraId="4425DA01">
      <w:pPr>
        <w:spacing w:line="360" w:lineRule="auto"/>
        <w:rPr>
          <w:highlight w:val="none"/>
        </w:rPr>
      </w:pPr>
      <w:r>
        <w:rPr>
          <w:highlight w:val="none"/>
        </w:rPr>
        <w:t>日期：</w:t>
      </w:r>
    </w:p>
    <w:p w14:paraId="1680CDF0">
      <w:pPr>
        <w:spacing w:line="360" w:lineRule="auto"/>
        <w:rPr>
          <w:highlight w:val="none"/>
        </w:rPr>
      </w:pPr>
    </w:p>
    <w:p w14:paraId="503135D0">
      <w:pPr>
        <w:spacing w:line="360" w:lineRule="auto"/>
        <w:rPr>
          <w:highlight w:val="none"/>
        </w:rPr>
      </w:pPr>
      <w:r>
        <w:rPr>
          <w:rFonts w:hint="eastAsia"/>
          <w:b/>
          <w:highlight w:val="none"/>
        </w:rPr>
        <w:t>注：</w:t>
      </w:r>
      <w:r>
        <w:rPr>
          <w:rFonts w:hint="eastAsia"/>
          <w:highlight w:val="none"/>
        </w:rPr>
        <w:t>1.</w:t>
      </w:r>
      <w:r>
        <w:rPr>
          <w:highlight w:val="none"/>
        </w:rPr>
        <w:t>按照本表填写的</w:t>
      </w:r>
      <w:r>
        <w:rPr>
          <w:rFonts w:hint="eastAsia"/>
          <w:highlight w:val="none"/>
        </w:rPr>
        <w:t>总</w:t>
      </w:r>
      <w:r>
        <w:rPr>
          <w:highlight w:val="none"/>
        </w:rPr>
        <w:t>价填写到</w:t>
      </w:r>
      <w:r>
        <w:rPr>
          <w:rFonts w:hint="eastAsia"/>
          <w:highlight w:val="none"/>
        </w:rPr>
        <w:t>“开标一览表”</w:t>
      </w:r>
      <w:r>
        <w:rPr>
          <w:highlight w:val="none"/>
        </w:rPr>
        <w:t>中对应的</w:t>
      </w:r>
      <w:r>
        <w:rPr>
          <w:rFonts w:hint="eastAsia"/>
          <w:highlight w:val="none"/>
        </w:rPr>
        <w:t>“投标报价”</w:t>
      </w:r>
      <w:r>
        <w:rPr>
          <w:highlight w:val="none"/>
        </w:rPr>
        <w:t>栏中。</w:t>
      </w:r>
    </w:p>
    <w:p w14:paraId="0D318A0F">
      <w:pPr>
        <w:spacing w:line="360" w:lineRule="auto"/>
        <w:rPr>
          <w:highlight w:val="none"/>
        </w:rPr>
      </w:pPr>
      <w:r>
        <w:rPr>
          <w:rFonts w:hint="eastAsia"/>
          <w:highlight w:val="none"/>
        </w:rPr>
        <w:t>2.表中所列货物为对应本项目需求的全部货物及所需附件购置费、包装费、运输费、人工费、保险费、安装调试费、各种税费、资料费、售后服务费及完成项目应有的全部费用。如有漏项或缺项，投标人承担全部责任。</w:t>
      </w:r>
    </w:p>
    <w:p w14:paraId="272741DA">
      <w:pPr>
        <w:spacing w:line="360" w:lineRule="auto"/>
        <w:rPr>
          <w:highlight w:val="none"/>
        </w:rPr>
      </w:pPr>
      <w:r>
        <w:rPr>
          <w:rFonts w:hint="eastAsia"/>
          <w:highlight w:val="none"/>
        </w:rPr>
        <w:t>3.表中须明确列出所投产品的货物名称、生产厂家、</w:t>
      </w:r>
      <w:r>
        <w:rPr>
          <w:rFonts w:hint="eastAsia"/>
          <w:bCs/>
          <w:highlight w:val="none"/>
        </w:rPr>
        <w:t>产地/国别、</w:t>
      </w:r>
      <w:r>
        <w:rPr>
          <w:rFonts w:hint="eastAsia"/>
          <w:highlight w:val="none"/>
        </w:rPr>
        <w:t>品牌、规格型号、单价、数量、合价等，否则可能导致</w:t>
      </w:r>
      <w:r>
        <w:rPr>
          <w:rFonts w:hint="eastAsia"/>
          <w:b/>
          <w:bCs/>
          <w:highlight w:val="none"/>
        </w:rPr>
        <w:t>响应无效</w:t>
      </w:r>
      <w:r>
        <w:rPr>
          <w:rFonts w:hint="eastAsia"/>
          <w:highlight w:val="none"/>
        </w:rPr>
        <w:t>。</w:t>
      </w:r>
    </w:p>
    <w:p w14:paraId="2DE6AA02">
      <w:pPr>
        <w:spacing w:line="360" w:lineRule="auto"/>
        <w:rPr>
          <w:highlight w:val="none"/>
          <w:lang w:bidi="ar"/>
        </w:rPr>
      </w:pPr>
      <w:r>
        <w:rPr>
          <w:highlight w:val="none"/>
          <w:lang w:bidi="ar"/>
        </w:rPr>
        <w:br w:type="page"/>
      </w:r>
    </w:p>
    <w:p w14:paraId="0643063C">
      <w:pPr>
        <w:pStyle w:val="4"/>
        <w:spacing w:line="360" w:lineRule="auto"/>
        <w:rPr>
          <w:rFonts w:hint="eastAsia"/>
          <w:highlight w:val="none"/>
        </w:rPr>
        <w:sectPr>
          <w:pgSz w:w="16838" w:h="11906" w:orient="landscape"/>
          <w:pgMar w:top="1803" w:right="1440" w:bottom="1803" w:left="1440" w:header="851" w:footer="992" w:gutter="0"/>
          <w:pgNumType w:fmt="decimal"/>
          <w:cols w:space="0" w:num="1"/>
          <w:docGrid w:type="lines" w:linePitch="332" w:charSpace="0"/>
        </w:sectPr>
      </w:pPr>
      <w:bookmarkStart w:id="395" w:name="_Toc11433"/>
    </w:p>
    <w:p w14:paraId="46E226BB">
      <w:pPr>
        <w:pStyle w:val="5"/>
        <w:spacing w:line="360" w:lineRule="auto"/>
        <w:rPr>
          <w:highlight w:val="none"/>
        </w:rPr>
      </w:pPr>
      <w:r>
        <w:rPr>
          <w:rFonts w:hint="eastAsia"/>
          <w:highlight w:val="none"/>
        </w:rPr>
        <w:t>三、关于符合本国产品标准的声明函或财政部规定的其他证明文件</w:t>
      </w:r>
      <w:bookmarkEnd w:id="395"/>
    </w:p>
    <w:p w14:paraId="1F01C885">
      <w:pPr>
        <w:spacing w:line="360" w:lineRule="auto"/>
        <w:rPr>
          <w:highlight w:val="none"/>
        </w:rPr>
      </w:pPr>
      <w:r>
        <w:rPr>
          <w:rFonts w:hint="eastAsia"/>
          <w:highlight w:val="none"/>
        </w:rPr>
        <w:t>附件1</w:t>
      </w:r>
    </w:p>
    <w:p w14:paraId="302F668F">
      <w:pPr>
        <w:spacing w:line="360" w:lineRule="auto"/>
        <w:jc w:val="center"/>
        <w:rPr>
          <w:b/>
          <w:bCs/>
          <w:highlight w:val="none"/>
          <w:lang w:bidi="ar"/>
        </w:rPr>
      </w:pPr>
      <w:r>
        <w:rPr>
          <w:rFonts w:hint="eastAsia"/>
          <w:b/>
          <w:bCs/>
          <w:highlight w:val="none"/>
          <w:lang w:bidi="ar"/>
        </w:rPr>
        <w:t>（一）关于符合本国产品标准的声明函</w:t>
      </w:r>
    </w:p>
    <w:p w14:paraId="1D51F9A5">
      <w:pPr>
        <w:spacing w:line="360" w:lineRule="auto"/>
        <w:rPr>
          <w:highlight w:val="none"/>
          <w:lang w:bidi="ar"/>
        </w:rPr>
      </w:pPr>
      <w:r>
        <w:rPr>
          <w:rFonts w:hint="eastAsia"/>
          <w:highlight w:val="none"/>
          <w:lang w:bidi="ar"/>
        </w:rPr>
        <w:t>本公司（单位）郑重声明，根据《国务院办公厅关于在政府采购中实施本国产品标准及相关政策的通知》（国办发〔2025〕34号）的规定，本公司（单位）提供的以下产品属于本国产品。具体情况如下：</w:t>
      </w:r>
    </w:p>
    <w:p w14:paraId="17A83294">
      <w:pPr>
        <w:spacing w:line="360" w:lineRule="auto"/>
        <w:rPr>
          <w:highlight w:val="none"/>
          <w:lang w:bidi="ar"/>
        </w:rPr>
      </w:pPr>
      <w:r>
        <w:rPr>
          <w:rFonts w:hint="eastAsia"/>
          <w:highlight w:val="none"/>
          <w:lang w:bidi="ar"/>
        </w:rPr>
        <w:t>1.（产品名称1）1，生产厂为（厂名）2，厂址为（生产厂址）。（产品名称1）的中国境内生产的组件成本占比≥（规定比例）3。（产品名称1）的（关键组件）4在中国境内生产。（产品名称1）的（关键工序）5在中国境内完成。</w:t>
      </w:r>
    </w:p>
    <w:p w14:paraId="6BBB25E9">
      <w:pPr>
        <w:spacing w:line="360" w:lineRule="auto"/>
        <w:rPr>
          <w:highlight w:val="none"/>
          <w:lang w:bidi="ar"/>
        </w:rPr>
      </w:pPr>
      <w:r>
        <w:rPr>
          <w:rFonts w:hint="eastAsia"/>
          <w:highlight w:val="none"/>
          <w:lang w:bidi="ar"/>
        </w:rPr>
        <w:t>2.</w:t>
      </w:r>
      <w:r>
        <w:rPr>
          <w:rFonts w:hint="eastAsia"/>
          <w:highlight w:val="none"/>
          <w:u w:val="single"/>
          <w:lang w:bidi="ar"/>
        </w:rPr>
        <w:t>（产品名称2）</w:t>
      </w:r>
      <w:r>
        <w:rPr>
          <w:rFonts w:hint="eastAsia"/>
          <w:highlight w:val="none"/>
          <w:lang w:bidi="ar"/>
        </w:rPr>
        <w:t>，生产厂为</w:t>
      </w:r>
      <w:r>
        <w:rPr>
          <w:rFonts w:hint="eastAsia"/>
          <w:highlight w:val="none"/>
          <w:u w:val="single"/>
          <w:lang w:bidi="ar"/>
        </w:rPr>
        <w:t>（厂名）</w:t>
      </w:r>
      <w:r>
        <w:rPr>
          <w:rFonts w:hint="eastAsia"/>
          <w:highlight w:val="none"/>
          <w:lang w:bidi="ar"/>
        </w:rPr>
        <w:t>，厂址为</w:t>
      </w:r>
      <w:r>
        <w:rPr>
          <w:rFonts w:hint="eastAsia"/>
          <w:highlight w:val="none"/>
          <w:u w:val="single"/>
          <w:lang w:bidi="ar"/>
        </w:rPr>
        <w:t>（生产厂址）</w:t>
      </w:r>
      <w:r>
        <w:rPr>
          <w:rFonts w:hint="eastAsia"/>
          <w:highlight w:val="none"/>
          <w:lang w:bidi="ar"/>
        </w:rPr>
        <w:t>。</w:t>
      </w:r>
      <w:r>
        <w:rPr>
          <w:rFonts w:hint="eastAsia"/>
          <w:highlight w:val="none"/>
          <w:u w:val="single"/>
          <w:lang w:bidi="ar"/>
        </w:rPr>
        <w:t>（产品名称2）</w:t>
      </w:r>
      <w:r>
        <w:rPr>
          <w:rFonts w:hint="eastAsia"/>
          <w:highlight w:val="none"/>
          <w:lang w:bidi="ar"/>
        </w:rPr>
        <w:t>的中国境内生产的组件成本占比≥</w:t>
      </w:r>
      <w:r>
        <w:rPr>
          <w:rFonts w:hint="eastAsia"/>
          <w:highlight w:val="none"/>
          <w:u w:val="single"/>
          <w:lang w:bidi="ar"/>
        </w:rPr>
        <w:t>（规定比例）</w:t>
      </w:r>
      <w:r>
        <w:rPr>
          <w:rFonts w:hint="eastAsia"/>
          <w:highlight w:val="none"/>
          <w:lang w:bidi="ar"/>
        </w:rPr>
        <w:t>。</w:t>
      </w:r>
      <w:r>
        <w:rPr>
          <w:rFonts w:hint="eastAsia"/>
          <w:highlight w:val="none"/>
          <w:u w:val="single"/>
          <w:lang w:bidi="ar"/>
        </w:rPr>
        <w:t>（产品名称2）</w:t>
      </w:r>
      <w:r>
        <w:rPr>
          <w:rFonts w:hint="eastAsia"/>
          <w:highlight w:val="none"/>
          <w:lang w:bidi="ar"/>
        </w:rPr>
        <w:t>的</w:t>
      </w:r>
      <w:r>
        <w:rPr>
          <w:rFonts w:hint="eastAsia"/>
          <w:highlight w:val="none"/>
          <w:u w:val="single"/>
          <w:lang w:bidi="ar"/>
        </w:rPr>
        <w:t>（关键组件）</w:t>
      </w:r>
      <w:r>
        <w:rPr>
          <w:rFonts w:hint="eastAsia"/>
          <w:highlight w:val="none"/>
          <w:lang w:bidi="ar"/>
        </w:rPr>
        <w:t>在中国境内生产。</w:t>
      </w:r>
      <w:r>
        <w:rPr>
          <w:rFonts w:hint="eastAsia"/>
          <w:highlight w:val="none"/>
          <w:u w:val="single"/>
          <w:lang w:bidi="ar"/>
        </w:rPr>
        <w:t>（产品名称2）</w:t>
      </w:r>
      <w:r>
        <w:rPr>
          <w:rFonts w:hint="eastAsia"/>
          <w:highlight w:val="none"/>
          <w:lang w:bidi="ar"/>
        </w:rPr>
        <w:t>的（关键工序）在中国境内完成。</w:t>
      </w:r>
    </w:p>
    <w:p w14:paraId="653103FC">
      <w:pPr>
        <w:spacing w:line="360" w:lineRule="auto"/>
        <w:rPr>
          <w:highlight w:val="none"/>
          <w:lang w:bidi="ar"/>
        </w:rPr>
      </w:pPr>
      <w:r>
        <w:rPr>
          <w:rFonts w:hint="eastAsia"/>
          <w:highlight w:val="none"/>
          <w:lang w:bidi="ar"/>
        </w:rPr>
        <w:t>……</w:t>
      </w:r>
    </w:p>
    <w:p w14:paraId="75DE23F0">
      <w:pPr>
        <w:spacing w:line="360" w:lineRule="auto"/>
        <w:rPr>
          <w:highlight w:val="none"/>
          <w:lang w:bidi="ar"/>
        </w:rPr>
      </w:pPr>
      <w:r>
        <w:rPr>
          <w:rFonts w:hint="eastAsia"/>
          <w:highlight w:val="none"/>
          <w:lang w:bidi="ar"/>
        </w:rPr>
        <w:t>本公司（单位）对上述声明内容的真实性负责。如有虚假，愿承担相应法律责任。</w:t>
      </w:r>
    </w:p>
    <w:p w14:paraId="52C493A9">
      <w:pPr>
        <w:spacing w:line="360" w:lineRule="auto"/>
        <w:rPr>
          <w:highlight w:val="none"/>
          <w:lang w:bidi="ar"/>
        </w:rPr>
      </w:pPr>
    </w:p>
    <w:p w14:paraId="45DE4254">
      <w:pPr>
        <w:spacing w:line="360" w:lineRule="auto"/>
        <w:rPr>
          <w:highlight w:val="none"/>
          <w:lang w:bidi="ar"/>
        </w:rPr>
      </w:pPr>
      <w:r>
        <w:rPr>
          <w:rFonts w:hint="eastAsia"/>
          <w:highlight w:val="none"/>
          <w:lang w:bidi="ar"/>
        </w:rPr>
        <w:t>公司（单位）名称（盖章）：　        </w:t>
      </w:r>
    </w:p>
    <w:p w14:paraId="0B859AED">
      <w:pPr>
        <w:spacing w:line="360" w:lineRule="auto"/>
        <w:rPr>
          <w:highlight w:val="none"/>
          <w:lang w:bidi="ar"/>
        </w:rPr>
      </w:pPr>
      <w:r>
        <w:rPr>
          <w:rFonts w:hint="eastAsia"/>
          <w:highlight w:val="none"/>
          <w:lang w:bidi="ar"/>
        </w:rPr>
        <w:t>日期：　     </w:t>
      </w:r>
      <w:r>
        <w:rPr>
          <w:rFonts w:hint="eastAsia" w:cs="宋体"/>
          <w:highlight w:val="none"/>
          <w:lang w:bidi="ar"/>
        </w:rPr>
        <w:t>年　</w:t>
      </w:r>
      <w:r>
        <w:rPr>
          <w:rFonts w:hint="eastAsia"/>
          <w:highlight w:val="none"/>
          <w:lang w:bidi="ar"/>
        </w:rPr>
        <w:t>  </w:t>
      </w:r>
      <w:r>
        <w:rPr>
          <w:rFonts w:hint="eastAsia" w:cs="宋体"/>
          <w:highlight w:val="none"/>
          <w:lang w:bidi="ar"/>
        </w:rPr>
        <w:t>月　</w:t>
      </w:r>
      <w:r>
        <w:rPr>
          <w:rFonts w:hint="eastAsia"/>
          <w:highlight w:val="none"/>
          <w:lang w:bidi="ar"/>
        </w:rPr>
        <w:t>  </w:t>
      </w:r>
      <w:r>
        <w:rPr>
          <w:rFonts w:hint="eastAsia" w:cs="宋体"/>
          <w:highlight w:val="none"/>
          <w:lang w:bidi="ar"/>
        </w:rPr>
        <w:t>日</w:t>
      </w:r>
      <w:r>
        <w:rPr>
          <w:rFonts w:hint="eastAsia"/>
          <w:highlight w:val="none"/>
          <w:lang w:bidi="ar"/>
        </w:rPr>
        <w:t>         </w:t>
      </w:r>
    </w:p>
    <w:p w14:paraId="777213C1">
      <w:pPr>
        <w:spacing w:line="360" w:lineRule="auto"/>
        <w:rPr>
          <w:highlight w:val="none"/>
          <w:lang w:bidi="ar"/>
        </w:rPr>
      </w:pPr>
    </w:p>
    <w:p w14:paraId="7ADEC11D">
      <w:pPr>
        <w:spacing w:line="360" w:lineRule="auto"/>
        <w:rPr>
          <w:highlight w:val="none"/>
          <w:lang w:bidi="ar"/>
        </w:rPr>
      </w:pPr>
      <w:r>
        <w:rPr>
          <w:rFonts w:hint="eastAsia"/>
          <w:b/>
          <w:bCs/>
          <w:highlight w:val="none"/>
          <w:lang w:bidi="ar"/>
        </w:rPr>
        <w:t>注：</w:t>
      </w:r>
      <w:r>
        <w:rPr>
          <w:rFonts w:hint="eastAsia"/>
          <w:highlight w:val="none"/>
          <w:lang w:bidi="ar"/>
        </w:rPr>
        <w:t>1.产品如有型号，请在“产品名称”栏一并填写。</w:t>
      </w:r>
    </w:p>
    <w:p w14:paraId="76B284D7">
      <w:pPr>
        <w:spacing w:line="360" w:lineRule="auto"/>
        <w:rPr>
          <w:highlight w:val="none"/>
          <w:lang w:bidi="ar"/>
        </w:rPr>
      </w:pPr>
      <w:r>
        <w:rPr>
          <w:rFonts w:hint="eastAsia"/>
          <w:highlight w:val="none"/>
          <w:lang w:bidi="ar"/>
        </w:rPr>
        <w:t>2.生产厂名与厂址应与生产厂营业执照载明的相关信息保持一致。</w:t>
      </w:r>
    </w:p>
    <w:p w14:paraId="7982783D">
      <w:pPr>
        <w:spacing w:line="360" w:lineRule="auto"/>
        <w:rPr>
          <w:highlight w:val="none"/>
          <w:lang w:bidi="ar"/>
        </w:rPr>
      </w:pPr>
      <w:r>
        <w:rPr>
          <w:rFonts w:hint="eastAsia"/>
          <w:highlight w:val="none"/>
          <w:lang w:bidi="ar"/>
        </w:rPr>
        <w:t>3.该产品的中国境内生产的组件成本占比相关要求实施前，“规定比例”栏可不填，下同。</w:t>
      </w:r>
    </w:p>
    <w:p w14:paraId="7E195A45">
      <w:pPr>
        <w:spacing w:line="360" w:lineRule="auto"/>
        <w:rPr>
          <w:highlight w:val="none"/>
          <w:lang w:bidi="ar"/>
        </w:rPr>
      </w:pPr>
      <w:r>
        <w:rPr>
          <w:rFonts w:hint="eastAsia"/>
          <w:highlight w:val="none"/>
          <w:lang w:bidi="ar"/>
        </w:rPr>
        <w:t>4.该产品的关键组件要求实施前，“关键组件”栏可不填，下同。</w:t>
      </w:r>
    </w:p>
    <w:p w14:paraId="0F282BFD">
      <w:pPr>
        <w:spacing w:line="360" w:lineRule="auto"/>
        <w:rPr>
          <w:highlight w:val="none"/>
          <w:lang w:bidi="ar"/>
        </w:rPr>
      </w:pPr>
      <w:r>
        <w:rPr>
          <w:rFonts w:hint="eastAsia"/>
          <w:highlight w:val="none"/>
          <w:lang w:bidi="ar"/>
        </w:rPr>
        <w:t>5.该产品的关键工序要求实施前，“关键工序”栏可不填，下同。</w:t>
      </w:r>
    </w:p>
    <w:p w14:paraId="316B06DA">
      <w:pPr>
        <w:spacing w:line="360" w:lineRule="auto"/>
        <w:rPr>
          <w:highlight w:val="none"/>
          <w:lang w:bidi="ar"/>
        </w:rPr>
      </w:pPr>
      <w:r>
        <w:rPr>
          <w:rFonts w:hint="eastAsia"/>
          <w:highlight w:val="none"/>
          <w:lang w:bidi="ar"/>
        </w:rPr>
        <w:br w:type="page"/>
      </w:r>
    </w:p>
    <w:p w14:paraId="5C8E880D">
      <w:pPr>
        <w:spacing w:line="360" w:lineRule="auto"/>
        <w:rPr>
          <w:highlight w:val="none"/>
        </w:rPr>
      </w:pPr>
      <w:r>
        <w:rPr>
          <w:rFonts w:hint="eastAsia"/>
          <w:highlight w:val="none"/>
        </w:rPr>
        <w:t>附件2</w:t>
      </w:r>
    </w:p>
    <w:p w14:paraId="4859F891">
      <w:pPr>
        <w:spacing w:line="360" w:lineRule="auto"/>
        <w:jc w:val="center"/>
        <w:rPr>
          <w:b/>
          <w:bCs/>
          <w:highlight w:val="none"/>
          <w:lang w:bidi="ar"/>
        </w:rPr>
      </w:pPr>
      <w:r>
        <w:rPr>
          <w:rFonts w:hint="eastAsia"/>
          <w:b/>
          <w:bCs/>
          <w:highlight w:val="none"/>
          <w:lang w:bidi="ar"/>
        </w:rPr>
        <w:t>（二）本国产品成本占比承诺函</w:t>
      </w:r>
    </w:p>
    <w:p w14:paraId="77267CFE">
      <w:pPr>
        <w:spacing w:line="360" w:lineRule="auto"/>
        <w:rPr>
          <w:highlight w:val="none"/>
        </w:rPr>
      </w:pPr>
    </w:p>
    <w:p w14:paraId="16234896">
      <w:pPr>
        <w:spacing w:line="360" w:lineRule="auto"/>
        <w:rPr>
          <w:highlight w:val="none"/>
          <w:lang w:bidi="ar"/>
        </w:rPr>
      </w:pPr>
      <w:r>
        <w:rPr>
          <w:rFonts w:hint="eastAsia"/>
          <w:highlight w:val="none"/>
          <w:lang w:bidi="ar"/>
        </w:rPr>
        <w:t>致:[采购人/采购代理机构名称]</w:t>
      </w:r>
    </w:p>
    <w:p w14:paraId="4336D090">
      <w:pPr>
        <w:spacing w:line="360" w:lineRule="auto"/>
        <w:rPr>
          <w:highlight w:val="none"/>
          <w:lang w:bidi="ar"/>
        </w:rPr>
      </w:pPr>
      <w:r>
        <w:rPr>
          <w:rFonts w:hint="eastAsia"/>
          <w:highlight w:val="none"/>
          <w:lang w:bidi="ar"/>
        </w:rPr>
        <w:t>本单位就参与[项目名称      、编号      ]政府采购项目，郑重承诺如下:</w:t>
      </w:r>
    </w:p>
    <w:p w14:paraId="43FF66E9">
      <w:pPr>
        <w:spacing w:line="360" w:lineRule="auto"/>
        <w:rPr>
          <w:highlight w:val="none"/>
          <w:lang w:bidi="ar"/>
        </w:rPr>
      </w:pPr>
      <w:r>
        <w:rPr>
          <w:rFonts w:hint="eastAsia"/>
          <w:highlight w:val="none"/>
          <w:lang w:bidi="ar"/>
        </w:rPr>
        <w:t>本单位为该项目(或采购包)提供的符合本国产品标准的产品成本之和，占所提供全部产品成本之和的比例为</w:t>
      </w:r>
      <w:r>
        <w:rPr>
          <w:rFonts w:hint="eastAsia"/>
          <w:highlight w:val="none"/>
          <w:u w:val="single"/>
          <w:lang w:bidi="ar"/>
        </w:rPr>
        <w:t xml:space="preserve">     </w:t>
      </w:r>
      <w:r>
        <w:rPr>
          <w:rFonts w:hint="eastAsia"/>
          <w:highlight w:val="none"/>
          <w:lang w:bidi="ar"/>
        </w:rPr>
        <w:t>%。本承诺内容真实有效，若存在虚假承诺，愿意承担相应法律责任，放弃中标(成交)资格，并接受政府采购监管部门处罚。</w:t>
      </w:r>
    </w:p>
    <w:p w14:paraId="1F4E7318">
      <w:pPr>
        <w:spacing w:line="360" w:lineRule="auto"/>
        <w:rPr>
          <w:highlight w:val="none"/>
          <w:lang w:bidi="ar"/>
        </w:rPr>
      </w:pPr>
    </w:p>
    <w:p w14:paraId="5E17169D">
      <w:pPr>
        <w:spacing w:line="360" w:lineRule="auto"/>
        <w:rPr>
          <w:highlight w:val="none"/>
          <w:lang w:bidi="ar"/>
        </w:rPr>
      </w:pPr>
      <w:r>
        <w:rPr>
          <w:rFonts w:hint="eastAsia"/>
          <w:highlight w:val="none"/>
          <w:lang w:bidi="ar"/>
        </w:rPr>
        <w:t>承诺人(供应商公章):</w:t>
      </w:r>
    </w:p>
    <w:p w14:paraId="5B00F163">
      <w:pPr>
        <w:spacing w:line="360" w:lineRule="auto"/>
        <w:rPr>
          <w:highlight w:val="none"/>
          <w:lang w:bidi="ar"/>
        </w:rPr>
      </w:pPr>
      <w:r>
        <w:rPr>
          <w:rFonts w:hint="eastAsia"/>
          <w:highlight w:val="none"/>
          <w:lang w:bidi="ar"/>
        </w:rPr>
        <w:t>法定代表人或授权代表签字:</w:t>
      </w:r>
    </w:p>
    <w:p w14:paraId="50144DF0">
      <w:pPr>
        <w:spacing w:line="360" w:lineRule="auto"/>
        <w:rPr>
          <w:highlight w:val="none"/>
          <w:lang w:bidi="ar"/>
        </w:rPr>
      </w:pPr>
      <w:r>
        <w:rPr>
          <w:rFonts w:hint="eastAsia"/>
          <w:highlight w:val="none"/>
          <w:lang w:bidi="ar"/>
        </w:rPr>
        <w:t>日期:  年  月  日</w:t>
      </w:r>
    </w:p>
    <w:p w14:paraId="49DDA8D1">
      <w:pPr>
        <w:spacing w:line="360" w:lineRule="auto"/>
        <w:rPr>
          <w:highlight w:val="none"/>
          <w:lang w:bidi="ar"/>
        </w:rPr>
      </w:pPr>
    </w:p>
    <w:p w14:paraId="00D225C9">
      <w:pPr>
        <w:spacing w:line="360" w:lineRule="auto"/>
        <w:rPr>
          <w:highlight w:val="none"/>
          <w:lang w:bidi="ar"/>
        </w:rPr>
      </w:pPr>
    </w:p>
    <w:p w14:paraId="766D9743">
      <w:pPr>
        <w:spacing w:line="360" w:lineRule="auto"/>
        <w:rPr>
          <w:highlight w:val="none"/>
          <w:lang w:bidi="ar"/>
        </w:rPr>
      </w:pPr>
    </w:p>
    <w:p w14:paraId="48B32593">
      <w:pPr>
        <w:spacing w:line="360" w:lineRule="auto"/>
        <w:rPr>
          <w:highlight w:val="none"/>
          <w:lang w:bidi="ar"/>
        </w:rPr>
      </w:pPr>
    </w:p>
    <w:p w14:paraId="426C00BD">
      <w:pPr>
        <w:spacing w:line="360" w:lineRule="auto"/>
        <w:rPr>
          <w:highlight w:val="none"/>
          <w:lang w:bidi="ar"/>
        </w:rPr>
      </w:pPr>
    </w:p>
    <w:p w14:paraId="25CC1CD4">
      <w:pPr>
        <w:spacing w:line="360" w:lineRule="auto"/>
        <w:rPr>
          <w:highlight w:val="none"/>
          <w:lang w:bidi="ar"/>
        </w:rPr>
      </w:pPr>
    </w:p>
    <w:p w14:paraId="725B1599">
      <w:pPr>
        <w:spacing w:line="360" w:lineRule="auto"/>
        <w:rPr>
          <w:highlight w:val="none"/>
          <w:lang w:bidi="ar"/>
        </w:rPr>
      </w:pPr>
    </w:p>
    <w:p w14:paraId="4B60DDE0">
      <w:pPr>
        <w:spacing w:line="360" w:lineRule="auto"/>
        <w:rPr>
          <w:highlight w:val="none"/>
          <w:lang w:bidi="ar"/>
        </w:rPr>
      </w:pPr>
    </w:p>
    <w:p w14:paraId="36248AF1">
      <w:pPr>
        <w:spacing w:line="360" w:lineRule="auto"/>
        <w:rPr>
          <w:highlight w:val="none"/>
          <w:lang w:bidi="ar"/>
        </w:rPr>
      </w:pPr>
    </w:p>
    <w:p w14:paraId="5EDAE3F7">
      <w:pPr>
        <w:spacing w:line="360" w:lineRule="auto"/>
        <w:rPr>
          <w:highlight w:val="none"/>
          <w:lang w:bidi="ar"/>
        </w:rPr>
      </w:pPr>
    </w:p>
    <w:p w14:paraId="509A27E7">
      <w:pPr>
        <w:spacing w:line="360" w:lineRule="auto"/>
        <w:rPr>
          <w:highlight w:val="none"/>
          <w:lang w:bidi="ar"/>
        </w:rPr>
        <w:sectPr>
          <w:pgSz w:w="11906" w:h="16838"/>
          <w:pgMar w:top="1440" w:right="1803" w:bottom="1440" w:left="1803" w:header="851" w:footer="992" w:gutter="0"/>
          <w:pgNumType w:fmt="decimal"/>
          <w:cols w:space="0" w:num="1"/>
          <w:docGrid w:type="lines" w:linePitch="332" w:charSpace="0"/>
        </w:sectPr>
      </w:pPr>
      <w:r>
        <w:rPr>
          <w:rFonts w:hint="eastAsia"/>
          <w:b/>
          <w:bCs/>
          <w:highlight w:val="none"/>
          <w:lang w:bidi="ar"/>
        </w:rPr>
        <w:t>注：</w:t>
      </w:r>
      <w:r>
        <w:rPr>
          <w:rFonts w:hint="eastAsia"/>
          <w:highlight w:val="none"/>
          <w:lang w:bidi="ar"/>
        </w:rPr>
        <w:t>若供应商所投产品均符合本国产品标准，且已提供《声明函》，可不填写《承诺函》。</w:t>
      </w:r>
    </w:p>
    <w:p w14:paraId="6AF91251">
      <w:pPr>
        <w:pStyle w:val="64"/>
        <w:spacing w:line="360" w:lineRule="auto"/>
        <w:rPr>
          <w:rFonts w:ascii="宋体" w:hAnsi="宋体" w:eastAsia="宋体" w:cs="宋体"/>
          <w:b/>
          <w:bCs/>
          <w:highlight w:val="none"/>
        </w:rPr>
      </w:pPr>
    </w:p>
    <w:p w14:paraId="2F7DB2D2">
      <w:pPr>
        <w:spacing w:line="360" w:lineRule="auto"/>
        <w:rPr>
          <w:highlight w:val="none"/>
          <w:lang w:val="zh-CN"/>
        </w:rPr>
      </w:pPr>
      <w:r>
        <w:rPr>
          <w:rFonts w:hint="eastAsia"/>
          <w:highlight w:val="none"/>
          <w:lang w:val="zh-CN"/>
        </w:rPr>
        <w:t>封面：</w:t>
      </w:r>
    </w:p>
    <w:p w14:paraId="15FEF85A">
      <w:pPr>
        <w:spacing w:line="360" w:lineRule="auto"/>
        <w:rPr>
          <w:highlight w:val="none"/>
        </w:rPr>
      </w:pPr>
    </w:p>
    <w:p w14:paraId="316B8450">
      <w:pPr>
        <w:spacing w:line="360" w:lineRule="auto"/>
        <w:rPr>
          <w:highlight w:val="none"/>
        </w:rPr>
      </w:pPr>
    </w:p>
    <w:p w14:paraId="69CB2AED">
      <w:pPr>
        <w:spacing w:line="360" w:lineRule="auto"/>
        <w:rPr>
          <w:highlight w:val="none"/>
        </w:rPr>
      </w:pPr>
    </w:p>
    <w:p w14:paraId="7DAC725A">
      <w:pPr>
        <w:pStyle w:val="4"/>
        <w:spacing w:line="360" w:lineRule="auto"/>
        <w:rPr>
          <w:highlight w:val="none"/>
        </w:rPr>
      </w:pPr>
      <w:bookmarkStart w:id="396" w:name="_Toc14188"/>
      <w:r>
        <w:rPr>
          <w:rFonts w:hint="eastAsia"/>
          <w:highlight w:val="none"/>
        </w:rPr>
        <w:t>投 标 文 件</w:t>
      </w:r>
      <w:bookmarkEnd w:id="396"/>
    </w:p>
    <w:p w14:paraId="128F8BD4">
      <w:pPr>
        <w:pStyle w:val="4"/>
        <w:spacing w:line="360" w:lineRule="auto"/>
        <w:rPr>
          <w:highlight w:val="none"/>
        </w:rPr>
      </w:pPr>
      <w:bookmarkStart w:id="397" w:name="_Toc26592"/>
      <w:r>
        <w:rPr>
          <w:rFonts w:hint="eastAsia"/>
          <w:highlight w:val="none"/>
        </w:rPr>
        <w:t>商务技术文件</w:t>
      </w:r>
      <w:bookmarkEnd w:id="397"/>
    </w:p>
    <w:p w14:paraId="6F92E461">
      <w:pPr>
        <w:spacing w:line="360" w:lineRule="auto"/>
        <w:rPr>
          <w:highlight w:val="none"/>
        </w:rPr>
      </w:pPr>
      <w:r>
        <w:rPr>
          <w:rFonts w:hint="eastAsia"/>
          <w:highlight w:val="none"/>
        </w:rPr>
        <w:t>（第XX包）【如不分包，请删去本行】</w:t>
      </w:r>
    </w:p>
    <w:p w14:paraId="4043C5C8">
      <w:pPr>
        <w:spacing w:line="360" w:lineRule="auto"/>
        <w:rPr>
          <w:highlight w:val="none"/>
        </w:rPr>
      </w:pPr>
    </w:p>
    <w:p w14:paraId="622D10AF">
      <w:pPr>
        <w:spacing w:line="360" w:lineRule="auto"/>
        <w:rPr>
          <w:highlight w:val="none"/>
        </w:rPr>
      </w:pPr>
    </w:p>
    <w:p w14:paraId="1C7A117C">
      <w:pPr>
        <w:spacing w:line="360" w:lineRule="auto"/>
        <w:rPr>
          <w:highlight w:val="none"/>
        </w:rPr>
      </w:pPr>
    </w:p>
    <w:p w14:paraId="4911634A">
      <w:pPr>
        <w:spacing w:line="360" w:lineRule="auto"/>
        <w:rPr>
          <w:highlight w:val="none"/>
        </w:rPr>
      </w:pPr>
    </w:p>
    <w:p w14:paraId="2245E726">
      <w:pPr>
        <w:spacing w:line="360" w:lineRule="auto"/>
        <w:rPr>
          <w:highlight w:val="none"/>
        </w:rPr>
      </w:pPr>
      <w:r>
        <w:rPr>
          <w:rFonts w:hint="eastAsia"/>
          <w:highlight w:val="none"/>
        </w:rPr>
        <w:t xml:space="preserve">项目编号/包号：                           </w:t>
      </w:r>
    </w:p>
    <w:p w14:paraId="54DC9207">
      <w:pPr>
        <w:spacing w:line="360" w:lineRule="auto"/>
        <w:rPr>
          <w:highlight w:val="none"/>
        </w:rPr>
      </w:pPr>
      <w:r>
        <w:rPr>
          <w:rFonts w:hint="eastAsia"/>
          <w:highlight w:val="none"/>
        </w:rPr>
        <w:t xml:space="preserve">项目名称：                                </w:t>
      </w:r>
    </w:p>
    <w:p w14:paraId="7587FB97">
      <w:pPr>
        <w:spacing w:line="360" w:lineRule="auto"/>
        <w:rPr>
          <w:highlight w:val="none"/>
        </w:rPr>
      </w:pPr>
      <w:r>
        <w:rPr>
          <w:rFonts w:hint="eastAsia"/>
          <w:highlight w:val="none"/>
        </w:rPr>
        <w:t xml:space="preserve">投 标 人：                                </w:t>
      </w:r>
    </w:p>
    <w:p w14:paraId="6B925894">
      <w:pPr>
        <w:spacing w:line="360" w:lineRule="auto"/>
        <w:rPr>
          <w:highlight w:val="none"/>
        </w:rPr>
      </w:pPr>
    </w:p>
    <w:p w14:paraId="35971169">
      <w:pPr>
        <w:spacing w:line="360" w:lineRule="auto"/>
        <w:rPr>
          <w:highlight w:val="none"/>
        </w:rPr>
      </w:pPr>
    </w:p>
    <w:p w14:paraId="05E18F13">
      <w:pPr>
        <w:spacing w:line="360" w:lineRule="auto"/>
        <w:rPr>
          <w:highlight w:val="none"/>
        </w:rPr>
      </w:pPr>
    </w:p>
    <w:p w14:paraId="1F570593">
      <w:pPr>
        <w:spacing w:line="360" w:lineRule="auto"/>
        <w:rPr>
          <w:highlight w:val="none"/>
        </w:rPr>
      </w:pPr>
      <w:r>
        <w:rPr>
          <w:rFonts w:hint="eastAsia"/>
          <w:highlight w:val="none"/>
        </w:rPr>
        <w:t>年   月    日</w:t>
      </w:r>
    </w:p>
    <w:p w14:paraId="7DD078B3">
      <w:pPr>
        <w:spacing w:line="360" w:lineRule="auto"/>
        <w:rPr>
          <w:highlight w:val="none"/>
          <w:lang w:val="zh-CN"/>
        </w:rPr>
      </w:pPr>
      <w:r>
        <w:rPr>
          <w:highlight w:val="none"/>
          <w:lang w:val="zh-CN"/>
        </w:rPr>
        <w:br w:type="page"/>
      </w:r>
    </w:p>
    <w:p w14:paraId="40D96348">
      <w:pPr>
        <w:pStyle w:val="5"/>
        <w:spacing w:line="360" w:lineRule="auto"/>
        <w:rPr>
          <w:highlight w:val="none"/>
        </w:rPr>
      </w:pPr>
      <w:bookmarkStart w:id="398" w:name="_Toc3577"/>
      <w:bookmarkStart w:id="399" w:name="_Toc163492915"/>
      <w:bookmarkStart w:id="400" w:name="_Toc140132831"/>
      <w:bookmarkStart w:id="401" w:name="_Toc109899489"/>
      <w:bookmarkStart w:id="402" w:name="_Toc28987"/>
      <w:bookmarkStart w:id="403" w:name="_Toc109899908"/>
      <w:bookmarkStart w:id="404" w:name="_Toc155185921"/>
      <w:bookmarkStart w:id="405" w:name="_Toc25402"/>
      <w:bookmarkStart w:id="406" w:name="_Toc109900327"/>
      <w:r>
        <w:rPr>
          <w:rFonts w:hint="eastAsia"/>
          <w:highlight w:val="none"/>
        </w:rPr>
        <w:t>一、投标函</w:t>
      </w:r>
      <w:bookmarkEnd w:id="398"/>
      <w:bookmarkEnd w:id="399"/>
      <w:bookmarkEnd w:id="400"/>
      <w:bookmarkEnd w:id="401"/>
      <w:bookmarkEnd w:id="402"/>
      <w:bookmarkEnd w:id="403"/>
      <w:bookmarkEnd w:id="404"/>
      <w:bookmarkEnd w:id="405"/>
      <w:bookmarkEnd w:id="406"/>
    </w:p>
    <w:p w14:paraId="2C511578">
      <w:pPr>
        <w:spacing w:line="360" w:lineRule="auto"/>
        <w:rPr>
          <w:highlight w:val="none"/>
        </w:rPr>
      </w:pPr>
      <w:r>
        <w:rPr>
          <w:rFonts w:hint="eastAsia"/>
          <w:highlight w:val="none"/>
        </w:rPr>
        <w:t>致：（采购人）</w:t>
      </w:r>
    </w:p>
    <w:p w14:paraId="45B39BD6">
      <w:pPr>
        <w:spacing w:line="360" w:lineRule="auto"/>
        <w:rPr>
          <w:b/>
          <w:bCs/>
          <w:highlight w:val="none"/>
        </w:rPr>
      </w:pPr>
      <w:r>
        <w:rPr>
          <w:rFonts w:hint="eastAsia"/>
          <w:highlight w:val="none"/>
        </w:rPr>
        <w:t>根据贵方</w:t>
      </w:r>
      <w:r>
        <w:rPr>
          <w:rFonts w:hint="eastAsia"/>
          <w:highlight w:val="none"/>
          <w:u w:val="single"/>
        </w:rPr>
        <w:t>（项目名称）（项目编号/包号）</w:t>
      </w:r>
      <w:r>
        <w:rPr>
          <w:rFonts w:hint="eastAsia"/>
          <w:highlight w:val="none"/>
        </w:rPr>
        <w:t>项目的招标公告，签字代表</w:t>
      </w:r>
      <w:r>
        <w:rPr>
          <w:rFonts w:hint="eastAsia"/>
          <w:highlight w:val="none"/>
          <w:u w:val="single"/>
        </w:rPr>
        <w:t>（姓名、职务）</w:t>
      </w:r>
      <w:r>
        <w:rPr>
          <w:rFonts w:hint="eastAsia"/>
          <w:highlight w:val="none"/>
        </w:rPr>
        <w:t>经正式授权并代表投标人</w:t>
      </w:r>
      <w:r>
        <w:rPr>
          <w:rFonts w:hint="eastAsia"/>
          <w:highlight w:val="none"/>
          <w:u w:val="single"/>
        </w:rPr>
        <w:t>（投标人名称、地址）</w:t>
      </w:r>
      <w:r>
        <w:rPr>
          <w:rFonts w:hint="eastAsia"/>
          <w:highlight w:val="none"/>
        </w:rPr>
        <w:t>提交下述文件</w:t>
      </w:r>
      <w:r>
        <w:rPr>
          <w:rFonts w:hint="eastAsia"/>
          <w:b/>
          <w:bCs/>
          <w:highlight w:val="none"/>
        </w:rPr>
        <w:t>：</w:t>
      </w:r>
    </w:p>
    <w:p w14:paraId="2D52CCCD">
      <w:pPr>
        <w:spacing w:line="360" w:lineRule="auto"/>
        <w:rPr>
          <w:highlight w:val="none"/>
        </w:rPr>
      </w:pPr>
      <w:r>
        <w:rPr>
          <w:rFonts w:hint="eastAsia"/>
          <w:highlight w:val="none"/>
        </w:rPr>
        <w:t>1.资格证明文件</w:t>
      </w:r>
      <w:r>
        <w:rPr>
          <w:highlight w:val="none"/>
        </w:rPr>
        <w:t>；</w:t>
      </w:r>
    </w:p>
    <w:p w14:paraId="17DE75ED">
      <w:pPr>
        <w:spacing w:line="360" w:lineRule="auto"/>
        <w:rPr>
          <w:highlight w:val="none"/>
        </w:rPr>
      </w:pPr>
      <w:r>
        <w:rPr>
          <w:rFonts w:hint="eastAsia"/>
          <w:highlight w:val="none"/>
        </w:rPr>
        <w:t>2.投标报价</w:t>
      </w:r>
      <w:r>
        <w:rPr>
          <w:highlight w:val="none"/>
        </w:rPr>
        <w:t>文件</w:t>
      </w:r>
      <w:r>
        <w:rPr>
          <w:rFonts w:hint="eastAsia"/>
          <w:highlight w:val="none"/>
        </w:rPr>
        <w:t>；</w:t>
      </w:r>
    </w:p>
    <w:p w14:paraId="2DCD48DE">
      <w:pPr>
        <w:spacing w:line="360" w:lineRule="auto"/>
        <w:rPr>
          <w:highlight w:val="none"/>
        </w:rPr>
      </w:pPr>
      <w:r>
        <w:rPr>
          <w:rFonts w:hint="eastAsia"/>
          <w:highlight w:val="none"/>
        </w:rPr>
        <w:t>3.商务技术文件</w:t>
      </w:r>
      <w:r>
        <w:rPr>
          <w:highlight w:val="none"/>
        </w:rPr>
        <w:t>。</w:t>
      </w:r>
    </w:p>
    <w:p w14:paraId="35BF6EA5">
      <w:pPr>
        <w:spacing w:line="360" w:lineRule="auto"/>
        <w:rPr>
          <w:highlight w:val="none"/>
        </w:rPr>
      </w:pPr>
      <w:r>
        <w:rPr>
          <w:highlight w:val="none"/>
        </w:rPr>
        <w:t>根据此函，签字代表宣布同意如下：</w:t>
      </w:r>
    </w:p>
    <w:p w14:paraId="474A1A81">
      <w:pPr>
        <w:spacing w:line="360" w:lineRule="auto"/>
        <w:rPr>
          <w:highlight w:val="none"/>
        </w:rPr>
      </w:pPr>
      <w:r>
        <w:rPr>
          <w:rFonts w:hint="eastAsia"/>
          <w:highlight w:val="none"/>
        </w:rPr>
        <w:t>1.</w:t>
      </w:r>
      <w:r>
        <w:rPr>
          <w:highlight w:val="none"/>
        </w:rPr>
        <w:t>所附投标价格表中规定的应提交和交付的</w:t>
      </w:r>
      <w:r>
        <w:rPr>
          <w:rFonts w:hint="eastAsia"/>
          <w:highlight w:val="none"/>
        </w:rPr>
        <w:t>货物</w:t>
      </w:r>
      <w:r>
        <w:rPr>
          <w:highlight w:val="none"/>
        </w:rPr>
        <w:t>和</w:t>
      </w:r>
      <w:r>
        <w:rPr>
          <w:rFonts w:hint="eastAsia"/>
          <w:highlight w:val="none"/>
        </w:rPr>
        <w:t>相关</w:t>
      </w:r>
      <w:r>
        <w:rPr>
          <w:highlight w:val="none"/>
        </w:rPr>
        <w:t>服务</w:t>
      </w:r>
      <w:r>
        <w:rPr>
          <w:rFonts w:hint="eastAsia"/>
          <w:highlight w:val="none"/>
        </w:rPr>
        <w:t>（如有）</w:t>
      </w:r>
      <w:r>
        <w:rPr>
          <w:highlight w:val="none"/>
        </w:rPr>
        <w:t>的</w:t>
      </w:r>
      <w:r>
        <w:rPr>
          <w:rFonts w:hint="eastAsia"/>
          <w:highlight w:val="none"/>
        </w:rPr>
        <w:t>投标报价</w:t>
      </w:r>
      <w:r>
        <w:rPr>
          <w:highlight w:val="none"/>
        </w:rPr>
        <w:t>为</w:t>
      </w:r>
      <w:r>
        <w:rPr>
          <w:rFonts w:hint="eastAsia"/>
          <w:highlight w:val="none"/>
        </w:rPr>
        <w:t xml:space="preserve"> </w:t>
      </w:r>
      <w:r>
        <w:rPr>
          <w:rFonts w:hint="eastAsia"/>
          <w:highlight w:val="none"/>
          <w:u w:val="single"/>
        </w:rPr>
        <w:t xml:space="preserve">                  </w:t>
      </w:r>
      <w:r>
        <w:rPr>
          <w:highlight w:val="none"/>
        </w:rPr>
        <w:t>。</w:t>
      </w:r>
    </w:p>
    <w:p w14:paraId="29F3E06A">
      <w:pPr>
        <w:spacing w:line="360" w:lineRule="auto"/>
        <w:rPr>
          <w:highlight w:val="none"/>
        </w:rPr>
      </w:pPr>
      <w:r>
        <w:rPr>
          <w:rFonts w:hint="eastAsia"/>
          <w:highlight w:val="none"/>
        </w:rPr>
        <w:t>2.我方</w:t>
      </w:r>
      <w:r>
        <w:rPr>
          <w:highlight w:val="none"/>
        </w:rPr>
        <w:t>将按招标文件的规定履行合同责任和义务。</w:t>
      </w:r>
    </w:p>
    <w:p w14:paraId="1A9D97D1">
      <w:pPr>
        <w:spacing w:line="360" w:lineRule="auto"/>
        <w:rPr>
          <w:highlight w:val="none"/>
        </w:rPr>
      </w:pPr>
      <w:r>
        <w:rPr>
          <w:rFonts w:hint="eastAsia"/>
          <w:highlight w:val="none"/>
        </w:rPr>
        <w:t>3.我方</w:t>
      </w:r>
      <w:r>
        <w:rPr>
          <w:highlight w:val="none"/>
        </w:rPr>
        <w:t>已详细审查全部招标文件，包括第</w:t>
      </w:r>
      <w:r>
        <w:rPr>
          <w:iCs/>
          <w:highlight w:val="none"/>
          <w:u w:val="single"/>
        </w:rPr>
        <w:t>（编号、补遗书）（如果有的话）</w:t>
      </w:r>
      <w:r>
        <w:rPr>
          <w:highlight w:val="none"/>
        </w:rPr>
        <w:t>。我</w:t>
      </w:r>
      <w:r>
        <w:rPr>
          <w:rFonts w:hint="eastAsia"/>
          <w:highlight w:val="none"/>
        </w:rPr>
        <w:t>方</w:t>
      </w:r>
      <w:r>
        <w:rPr>
          <w:highlight w:val="none"/>
        </w:rPr>
        <w:t>完全理解并同意放弃对这方面有不明及误解的权力。</w:t>
      </w:r>
    </w:p>
    <w:p w14:paraId="1040AC67">
      <w:pPr>
        <w:spacing w:line="360" w:lineRule="auto"/>
        <w:rPr>
          <w:highlight w:val="none"/>
        </w:rPr>
      </w:pPr>
      <w:r>
        <w:rPr>
          <w:rFonts w:hint="eastAsia"/>
          <w:highlight w:val="none"/>
        </w:rPr>
        <w:t>4.投标有效期为自提交投标文件的截止之日起</w:t>
      </w:r>
      <w:r>
        <w:rPr>
          <w:rFonts w:hint="eastAsia"/>
          <w:i/>
          <w:highlight w:val="none"/>
          <w:u w:val="single"/>
        </w:rPr>
        <w:t xml:space="preserve"> </w:t>
      </w:r>
      <w:r>
        <w:rPr>
          <w:rFonts w:hint="eastAsia"/>
          <w:iCs/>
          <w:highlight w:val="none"/>
          <w:u w:val="single"/>
        </w:rPr>
        <w:t>（由投标人填写）</w:t>
      </w:r>
      <w:r>
        <w:rPr>
          <w:highlight w:val="none"/>
        </w:rPr>
        <w:t>个日历天。</w:t>
      </w:r>
    </w:p>
    <w:p w14:paraId="38C46DF3">
      <w:pPr>
        <w:spacing w:line="360" w:lineRule="auto"/>
        <w:rPr>
          <w:highlight w:val="none"/>
        </w:rPr>
      </w:pPr>
      <w:r>
        <w:rPr>
          <w:rFonts w:hint="eastAsia"/>
          <w:highlight w:val="none"/>
        </w:rPr>
        <w:t>5.我方</w:t>
      </w:r>
      <w:r>
        <w:rPr>
          <w:highlight w:val="none"/>
        </w:rPr>
        <w:t>同意提供按照贵方</w:t>
      </w:r>
      <w:r>
        <w:rPr>
          <w:rFonts w:hint="eastAsia"/>
          <w:highlight w:val="none"/>
        </w:rPr>
        <w:t>招标文件</w:t>
      </w:r>
      <w:r>
        <w:rPr>
          <w:highlight w:val="none"/>
        </w:rPr>
        <w:t>要求的与投标有关的一切数据或资料，</w:t>
      </w:r>
      <w:r>
        <w:rPr>
          <w:rFonts w:hint="eastAsia"/>
          <w:highlight w:val="none"/>
        </w:rPr>
        <w:t>采用综合评分法时，我方</w:t>
      </w:r>
      <w:r>
        <w:rPr>
          <w:highlight w:val="none"/>
        </w:rPr>
        <w:t>完全理解贵方不一定接受最低价的投标。</w:t>
      </w:r>
    </w:p>
    <w:p w14:paraId="12A12150">
      <w:pPr>
        <w:spacing w:line="360" w:lineRule="auto"/>
        <w:rPr>
          <w:highlight w:val="none"/>
        </w:rPr>
      </w:pPr>
      <w:r>
        <w:rPr>
          <w:rFonts w:hint="eastAsia"/>
          <w:highlight w:val="none"/>
        </w:rPr>
        <w:t>6.本项目如由中标人支付采购代理服务费，我方同意按投标人须知前附表中规定向采购代理机构支付采购代理服务费。</w:t>
      </w:r>
    </w:p>
    <w:p w14:paraId="25B2B55F">
      <w:pPr>
        <w:spacing w:line="360" w:lineRule="auto"/>
        <w:rPr>
          <w:highlight w:val="none"/>
        </w:rPr>
      </w:pPr>
      <w:r>
        <w:rPr>
          <w:rFonts w:hint="eastAsia"/>
          <w:highlight w:val="none"/>
        </w:rPr>
        <w:t>7.重要声明：</w:t>
      </w:r>
    </w:p>
    <w:p w14:paraId="679251A4">
      <w:pPr>
        <w:spacing w:line="360" w:lineRule="auto"/>
        <w:rPr>
          <w:highlight w:val="none"/>
        </w:rPr>
      </w:pPr>
      <w:r>
        <w:rPr>
          <w:rFonts w:hint="eastAsia"/>
          <w:highlight w:val="none"/>
        </w:rPr>
        <w:t>1）与我方单位负责人为同一人的其他单位名称：</w:t>
      </w:r>
    </w:p>
    <w:p w14:paraId="2CE5DB71">
      <w:pPr>
        <w:spacing w:line="360" w:lineRule="auto"/>
        <w:rPr>
          <w:iCs/>
          <w:highlight w:val="none"/>
        </w:rPr>
      </w:pPr>
      <w:r>
        <w:rPr>
          <w:rFonts w:hint="eastAsia"/>
          <w:highlight w:val="none"/>
        </w:rPr>
        <w:t>□无；□有，具体单位名称为：</w:t>
      </w:r>
      <w:r>
        <w:rPr>
          <w:rFonts w:hint="eastAsia" w:cs="Arial"/>
          <w:iCs/>
          <w:highlight w:val="none"/>
          <w:u w:val="single"/>
        </w:rPr>
        <w:t>（由投标人如实填写）</w:t>
      </w:r>
      <w:r>
        <w:rPr>
          <w:rFonts w:hint="eastAsia"/>
          <w:iCs/>
          <w:highlight w:val="none"/>
        </w:rPr>
        <w:t>。</w:t>
      </w:r>
    </w:p>
    <w:p w14:paraId="00161000">
      <w:pPr>
        <w:spacing w:line="360" w:lineRule="auto"/>
        <w:rPr>
          <w:highlight w:val="none"/>
        </w:rPr>
      </w:pPr>
      <w:r>
        <w:rPr>
          <w:rFonts w:hint="eastAsia"/>
          <w:highlight w:val="none"/>
        </w:rPr>
        <w:t>2）与我方存在控股、管理关系的其他单位的名称：</w:t>
      </w:r>
    </w:p>
    <w:p w14:paraId="6EA66C95">
      <w:pPr>
        <w:spacing w:line="360" w:lineRule="auto"/>
        <w:rPr>
          <w:highlight w:val="none"/>
        </w:rPr>
      </w:pPr>
      <w:r>
        <w:rPr>
          <w:rFonts w:hint="eastAsia"/>
          <w:highlight w:val="none"/>
        </w:rPr>
        <w:t xml:space="preserve">□无；□有，具体单位名称为： </w:t>
      </w:r>
      <w:r>
        <w:rPr>
          <w:rFonts w:hint="eastAsia" w:cs="Arial"/>
          <w:highlight w:val="none"/>
          <w:u w:val="single"/>
        </w:rPr>
        <w:t>（由投标人如实填写）</w:t>
      </w:r>
      <w:r>
        <w:rPr>
          <w:rFonts w:hint="eastAsia"/>
          <w:highlight w:val="none"/>
        </w:rPr>
        <w:t>。</w:t>
      </w:r>
    </w:p>
    <w:p w14:paraId="450D7A28">
      <w:pPr>
        <w:spacing w:line="360" w:lineRule="auto"/>
        <w:rPr>
          <w:highlight w:val="none"/>
        </w:rPr>
      </w:pPr>
      <w:r>
        <w:rPr>
          <w:rFonts w:hint="eastAsia"/>
          <w:highlight w:val="none"/>
        </w:rPr>
        <w:t>3）参与本项目采购活动前，是否为本项目前期准备提供过整体设计、规范编制或者项目管理、监理、检测等服务：</w:t>
      </w:r>
    </w:p>
    <w:p w14:paraId="3A03424C">
      <w:pPr>
        <w:spacing w:line="360" w:lineRule="auto"/>
        <w:rPr>
          <w:highlight w:val="none"/>
        </w:rPr>
      </w:pPr>
      <w:r>
        <w:rPr>
          <w:rFonts w:hint="eastAsia"/>
          <w:highlight w:val="none"/>
        </w:rPr>
        <w:t xml:space="preserve">□无；□有，已提供的具体服务内容为： </w:t>
      </w:r>
      <w:r>
        <w:rPr>
          <w:rFonts w:hint="eastAsia" w:cs="Arial"/>
          <w:highlight w:val="none"/>
          <w:u w:val="single"/>
        </w:rPr>
        <w:t>（由投标人如实填写）</w:t>
      </w:r>
      <w:r>
        <w:rPr>
          <w:rFonts w:hint="eastAsia"/>
          <w:highlight w:val="none"/>
        </w:rPr>
        <w:t>。</w:t>
      </w:r>
    </w:p>
    <w:p w14:paraId="22F77446">
      <w:pPr>
        <w:spacing w:line="360" w:lineRule="auto"/>
        <w:rPr>
          <w:highlight w:val="none"/>
        </w:rPr>
      </w:pPr>
      <w:r>
        <w:rPr>
          <w:rFonts w:hint="eastAsia"/>
          <w:highlight w:val="none"/>
        </w:rPr>
        <w:t>（备注：以上</w:t>
      </w:r>
      <w:r>
        <w:rPr>
          <w:highlight w:val="none"/>
        </w:rPr>
        <w:t>3</w:t>
      </w:r>
      <w:r>
        <w:rPr>
          <w:rFonts w:hint="eastAsia"/>
          <w:highlight w:val="none"/>
        </w:rPr>
        <w:t>项声明，必须如实选择，选中项用</w:t>
      </w:r>
      <w:r>
        <w:rPr>
          <w:rFonts w:ascii="Segoe UI Symbol" w:hAnsi="Segoe UI Symbol" w:cs="Segoe UI Symbol"/>
          <w:highlight w:val="none"/>
        </w:rPr>
        <w:t>☑</w:t>
      </w:r>
      <w:r>
        <w:rPr>
          <w:rFonts w:hint="eastAsia" w:cs="宋体"/>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61E7DCF9">
      <w:pPr>
        <w:spacing w:line="360" w:lineRule="auto"/>
        <w:rPr>
          <w:highlight w:val="none"/>
        </w:rPr>
      </w:pPr>
      <w:r>
        <w:rPr>
          <w:rFonts w:hint="eastAsia"/>
          <w:highlight w:val="none"/>
        </w:rPr>
        <w:t>4）我方在本投标文件中所提供的全部资料均真实有效，我方承诺对其真实性负责并承担相应后果。</w:t>
      </w:r>
    </w:p>
    <w:p w14:paraId="57C86A40">
      <w:pPr>
        <w:spacing w:line="360" w:lineRule="auto"/>
        <w:rPr>
          <w:highlight w:val="none"/>
        </w:rPr>
      </w:pPr>
      <w:r>
        <w:rPr>
          <w:rFonts w:hint="eastAsia"/>
          <w:highlight w:val="none"/>
        </w:rPr>
        <w:t>5）</w:t>
      </w:r>
      <w:bookmarkStart w:id="407" w:name="_Hlk161604053"/>
      <w:r>
        <w:rPr>
          <w:rFonts w:hint="eastAsia"/>
          <w:highlight w:val="none"/>
        </w:rPr>
        <w:t>我方承诺本《投标函》的签章对本投标文件全部内容具有约束力并承担法律责任。</w:t>
      </w:r>
      <w:bookmarkEnd w:id="407"/>
    </w:p>
    <w:p w14:paraId="3886ADD5">
      <w:pPr>
        <w:spacing w:line="360" w:lineRule="auto"/>
        <w:rPr>
          <w:highlight w:val="none"/>
        </w:rPr>
      </w:pPr>
    </w:p>
    <w:p w14:paraId="36988FF6">
      <w:pPr>
        <w:spacing w:line="360" w:lineRule="auto"/>
        <w:rPr>
          <w:highlight w:val="none"/>
        </w:rPr>
      </w:pPr>
    </w:p>
    <w:p w14:paraId="05ED25FF">
      <w:pPr>
        <w:spacing w:line="360" w:lineRule="auto"/>
        <w:rPr>
          <w:highlight w:val="none"/>
        </w:rPr>
      </w:pPr>
    </w:p>
    <w:p w14:paraId="699E744E">
      <w:pPr>
        <w:spacing w:line="360" w:lineRule="auto"/>
        <w:rPr>
          <w:highlight w:val="none"/>
          <w:lang w:val="zh-CN"/>
        </w:rPr>
      </w:pPr>
      <w:r>
        <w:rPr>
          <w:rFonts w:hint="eastAsia"/>
          <w:highlight w:val="none"/>
          <w:lang w:bidi="ar"/>
        </w:rPr>
        <w:t>投标人名称</w:t>
      </w:r>
      <w:r>
        <w:rPr>
          <w:rFonts w:hint="eastAsia" w:cs="仿宋_GB2312"/>
          <w:highlight w:val="none"/>
        </w:rPr>
        <w:t>（</w:t>
      </w:r>
      <w:r>
        <w:rPr>
          <w:rFonts w:hint="eastAsia"/>
          <w:highlight w:val="none"/>
        </w:rPr>
        <w:t>公章）</w:t>
      </w:r>
      <w:r>
        <w:rPr>
          <w:rFonts w:hint="eastAsia"/>
          <w:highlight w:val="none"/>
          <w:lang w:val="zh-CN"/>
        </w:rPr>
        <w:t>：</w:t>
      </w:r>
    </w:p>
    <w:p w14:paraId="7C7387AD">
      <w:pPr>
        <w:spacing w:line="360" w:lineRule="auto"/>
        <w:rPr>
          <w:highlight w:val="none"/>
          <w:lang w:bidi="ar"/>
        </w:rPr>
      </w:pPr>
      <w:r>
        <w:rPr>
          <w:rFonts w:hint="eastAsia"/>
          <w:highlight w:val="none"/>
          <w:lang w:bidi="ar"/>
        </w:rPr>
        <w:t>法定代表人或授权代表（签字或印章）：</w:t>
      </w:r>
    </w:p>
    <w:p w14:paraId="616525D6">
      <w:pPr>
        <w:spacing w:line="360" w:lineRule="auto"/>
        <w:rPr>
          <w:highlight w:val="none"/>
        </w:rPr>
      </w:pPr>
      <w:r>
        <w:rPr>
          <w:rFonts w:hint="eastAsia"/>
          <w:highlight w:val="none"/>
        </w:rPr>
        <w:t>通  讯  地  址：</w:t>
      </w:r>
    </w:p>
    <w:p w14:paraId="747178FB">
      <w:pPr>
        <w:spacing w:line="360" w:lineRule="auto"/>
        <w:rPr>
          <w:highlight w:val="none"/>
        </w:rPr>
      </w:pPr>
      <w:r>
        <w:rPr>
          <w:rFonts w:hint="eastAsia"/>
          <w:highlight w:val="none"/>
        </w:rPr>
        <w:t xml:space="preserve">传       </w:t>
      </w:r>
      <w:r>
        <w:rPr>
          <w:highlight w:val="none"/>
        </w:rPr>
        <w:t xml:space="preserve">   </w:t>
      </w:r>
      <w:r>
        <w:rPr>
          <w:rFonts w:hint="eastAsia"/>
          <w:highlight w:val="none"/>
        </w:rPr>
        <w:t>真：</w:t>
      </w:r>
    </w:p>
    <w:p w14:paraId="7F00B0EF">
      <w:pPr>
        <w:spacing w:line="360" w:lineRule="auto"/>
        <w:rPr>
          <w:highlight w:val="none"/>
        </w:rPr>
      </w:pPr>
      <w:r>
        <w:rPr>
          <w:rFonts w:hint="eastAsia"/>
          <w:highlight w:val="none"/>
        </w:rPr>
        <w:t>电          话：</w:t>
      </w:r>
    </w:p>
    <w:p w14:paraId="68B8D24D">
      <w:pPr>
        <w:spacing w:line="360" w:lineRule="auto"/>
        <w:rPr>
          <w:rFonts w:cs="Arial"/>
          <w:szCs w:val="24"/>
          <w:highlight w:val="none"/>
        </w:rPr>
      </w:pPr>
      <w:r>
        <w:rPr>
          <w:rFonts w:hint="eastAsia"/>
          <w:highlight w:val="none"/>
        </w:rPr>
        <w:t xml:space="preserve">日     </w:t>
      </w:r>
      <w:r>
        <w:rPr>
          <w:highlight w:val="none"/>
        </w:rPr>
        <w:t xml:space="preserve">  </w:t>
      </w:r>
      <w:r>
        <w:rPr>
          <w:rFonts w:hint="eastAsia"/>
          <w:highlight w:val="none"/>
        </w:rPr>
        <w:t xml:space="preserve">   期：</w:t>
      </w:r>
    </w:p>
    <w:p w14:paraId="7759CFDA">
      <w:pPr>
        <w:spacing w:line="360" w:lineRule="auto"/>
        <w:rPr>
          <w:highlight w:val="none"/>
        </w:rPr>
      </w:pPr>
    </w:p>
    <w:p w14:paraId="7F386523">
      <w:pPr>
        <w:spacing w:line="360" w:lineRule="auto"/>
        <w:rPr>
          <w:highlight w:val="none"/>
        </w:rPr>
      </w:pPr>
      <w:r>
        <w:rPr>
          <w:highlight w:val="none"/>
        </w:rPr>
        <w:br w:type="page"/>
      </w:r>
    </w:p>
    <w:p w14:paraId="6947A583">
      <w:pPr>
        <w:pStyle w:val="5"/>
        <w:spacing w:line="360" w:lineRule="auto"/>
        <w:rPr>
          <w:highlight w:val="none"/>
        </w:rPr>
      </w:pPr>
      <w:bookmarkStart w:id="408" w:name="_Toc7740"/>
      <w:bookmarkStart w:id="409" w:name="_Toc155185924"/>
      <w:bookmarkStart w:id="410" w:name="_Toc163492918"/>
      <w:r>
        <w:rPr>
          <w:rFonts w:hint="eastAsia"/>
          <w:highlight w:val="none"/>
        </w:rPr>
        <w:t>二、法定代表人（单位负责人）身份证明</w:t>
      </w:r>
      <w:bookmarkEnd w:id="408"/>
      <w:bookmarkEnd w:id="409"/>
      <w:bookmarkEnd w:id="410"/>
    </w:p>
    <w:p w14:paraId="605E1771">
      <w:pPr>
        <w:spacing w:line="360" w:lineRule="auto"/>
        <w:rPr>
          <w:highlight w:val="none"/>
        </w:rPr>
      </w:pPr>
      <w:r>
        <w:rPr>
          <w:rFonts w:hint="eastAsia"/>
          <w:highlight w:val="none"/>
        </w:rPr>
        <w:t xml:space="preserve">致：（采购人或采购代理机构） </w:t>
      </w:r>
    </w:p>
    <w:p w14:paraId="07D7ED78">
      <w:pPr>
        <w:spacing w:line="360" w:lineRule="auto"/>
        <w:rPr>
          <w:highlight w:val="none"/>
        </w:rPr>
      </w:pPr>
      <w:r>
        <w:rPr>
          <w:rFonts w:hint="eastAsia"/>
          <w:highlight w:val="none"/>
        </w:rPr>
        <w:t xml:space="preserve">兹证明， </w:t>
      </w:r>
    </w:p>
    <w:p w14:paraId="27AAA167">
      <w:pPr>
        <w:spacing w:line="360" w:lineRule="auto"/>
        <w:rPr>
          <w:highlight w:val="none"/>
        </w:rPr>
      </w:pPr>
      <w:r>
        <w:rPr>
          <w:rFonts w:hint="eastAsia"/>
          <w:highlight w:val="none"/>
        </w:rPr>
        <w:t xml:space="preserve">姓名：____性别：____年龄：____职务：____ </w:t>
      </w:r>
    </w:p>
    <w:p w14:paraId="6E715D42">
      <w:pPr>
        <w:spacing w:line="360" w:lineRule="auto"/>
        <w:rPr>
          <w:highlight w:val="none"/>
        </w:rPr>
      </w:pPr>
      <w:r>
        <w:rPr>
          <w:rFonts w:hint="eastAsia"/>
          <w:highlight w:val="none"/>
        </w:rPr>
        <w:t xml:space="preserve">系 </w:t>
      </w:r>
      <w:r>
        <w:rPr>
          <w:rFonts w:hint="eastAsia"/>
          <w:highlight w:val="none"/>
          <w:u w:val="single"/>
        </w:rPr>
        <w:t xml:space="preserve">            </w:t>
      </w:r>
      <w:r>
        <w:rPr>
          <w:rFonts w:hint="eastAsia"/>
          <w:highlight w:val="none"/>
        </w:rPr>
        <w:t xml:space="preserve">（投标人名称）的法定代表人（单位负责人）。 </w:t>
      </w:r>
    </w:p>
    <w:p w14:paraId="3DAAF766">
      <w:pPr>
        <w:spacing w:line="360" w:lineRule="auto"/>
        <w:rPr>
          <w:highlight w:val="none"/>
        </w:rPr>
      </w:pPr>
      <w:r>
        <w:rPr>
          <w:rFonts w:hint="eastAsia"/>
          <w:highlight w:val="none"/>
        </w:rPr>
        <w:t xml:space="preserve">附：法定代表人（单位负责人）身份证、护照等身份证明文件电子件： </w:t>
      </w:r>
    </w:p>
    <w:p w14:paraId="59115B76">
      <w:pPr>
        <w:spacing w:line="360" w:lineRule="auto"/>
        <w:rPr>
          <w:highlight w:val="none"/>
        </w:rPr>
      </w:pPr>
    </w:p>
    <w:p w14:paraId="67B67501">
      <w:pPr>
        <w:spacing w:line="360" w:lineRule="auto"/>
        <w:rPr>
          <w:highlight w:val="none"/>
        </w:rPr>
      </w:pPr>
    </w:p>
    <w:tbl>
      <w:tblPr>
        <w:tblStyle w:val="33"/>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531AF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4273F201">
            <w:pPr>
              <w:spacing w:line="360" w:lineRule="auto"/>
              <w:rPr>
                <w:highlight w:val="none"/>
              </w:rPr>
            </w:pPr>
          </w:p>
        </w:tc>
      </w:tr>
    </w:tbl>
    <w:p w14:paraId="15C98B47">
      <w:pPr>
        <w:spacing w:line="360" w:lineRule="auto"/>
        <w:rPr>
          <w:highlight w:val="none"/>
        </w:rPr>
      </w:pPr>
    </w:p>
    <w:p w14:paraId="7961927E">
      <w:pPr>
        <w:spacing w:line="360" w:lineRule="auto"/>
        <w:rPr>
          <w:highlight w:val="none"/>
        </w:rPr>
      </w:pPr>
      <w:r>
        <w:rPr>
          <w:rFonts w:hint="eastAsia" w:cs="宋体"/>
          <w:highlight w:val="none"/>
          <w:lang w:bidi="ar"/>
        </w:rPr>
        <w:t>投标人名称</w:t>
      </w:r>
      <w:r>
        <w:rPr>
          <w:rFonts w:hint="eastAsia" w:cs="仿宋_GB2312"/>
          <w:highlight w:val="none"/>
        </w:rPr>
        <w:t>（</w:t>
      </w:r>
      <w:r>
        <w:rPr>
          <w:rFonts w:hint="eastAsia" w:cs="宋体"/>
          <w:highlight w:val="none"/>
        </w:rPr>
        <w:t>公章）</w:t>
      </w:r>
      <w:r>
        <w:rPr>
          <w:rFonts w:hint="eastAsia" w:cs="宋体"/>
          <w:highlight w:val="none"/>
          <w:lang w:bidi="ar"/>
        </w:rPr>
        <w:t>：</w:t>
      </w:r>
      <w:r>
        <w:rPr>
          <w:highlight w:val="none"/>
          <w:lang w:bidi="ar"/>
        </w:rPr>
        <w:t xml:space="preserve">________________ </w:t>
      </w:r>
    </w:p>
    <w:p w14:paraId="50C7776E">
      <w:pPr>
        <w:spacing w:line="360" w:lineRule="auto"/>
        <w:rPr>
          <w:highlight w:val="none"/>
        </w:rPr>
      </w:pPr>
      <w:r>
        <w:rPr>
          <w:rFonts w:hint="eastAsia"/>
          <w:highlight w:val="none"/>
          <w:lang w:bidi="ar"/>
        </w:rPr>
        <w:t>法定代表人（单位负责人）（签字或</w:t>
      </w:r>
      <w:r>
        <w:rPr>
          <w:rFonts w:hint="eastAsia"/>
          <w:highlight w:val="none"/>
        </w:rPr>
        <w:t>盖章</w:t>
      </w:r>
      <w:r>
        <w:rPr>
          <w:rFonts w:hint="eastAsia"/>
          <w:highlight w:val="none"/>
          <w:lang w:bidi="ar"/>
        </w:rPr>
        <w:t>）：</w:t>
      </w:r>
      <w:r>
        <w:rPr>
          <w:rFonts w:ascii="DejaVuSans" w:hAnsi="DejaVuSans" w:eastAsia="DejaVuSans" w:cs="DejaVuSans"/>
          <w:highlight w:val="none"/>
          <w:lang w:bidi="ar"/>
        </w:rPr>
        <w:t xml:space="preserve">_______ </w:t>
      </w:r>
    </w:p>
    <w:p w14:paraId="4E420E04">
      <w:pPr>
        <w:spacing w:line="360" w:lineRule="auto"/>
        <w:rPr>
          <w:highlight w:val="none"/>
          <w:lang w:bidi="ar"/>
        </w:rPr>
      </w:pPr>
    </w:p>
    <w:p w14:paraId="75B5037E">
      <w:pPr>
        <w:spacing w:line="360" w:lineRule="auto"/>
        <w:rPr>
          <w:highlight w:val="none"/>
        </w:rPr>
      </w:pPr>
      <w:r>
        <w:rPr>
          <w:rFonts w:hint="eastAsia" w:cs="宋体"/>
          <w:highlight w:val="none"/>
          <w:lang w:bidi="ar"/>
        </w:rPr>
        <w:t>日期：</w:t>
      </w:r>
      <w:r>
        <w:rPr>
          <w:highlight w:val="none"/>
          <w:lang w:bidi="ar"/>
        </w:rPr>
        <w:t>_____</w:t>
      </w:r>
      <w:r>
        <w:rPr>
          <w:rFonts w:hint="eastAsia" w:cs="宋体"/>
          <w:highlight w:val="none"/>
          <w:lang w:bidi="ar"/>
        </w:rPr>
        <w:t>年</w:t>
      </w:r>
      <w:r>
        <w:rPr>
          <w:highlight w:val="none"/>
          <w:lang w:bidi="ar"/>
        </w:rPr>
        <w:t>______</w:t>
      </w:r>
      <w:r>
        <w:rPr>
          <w:rFonts w:hint="eastAsia" w:cs="宋体"/>
          <w:highlight w:val="none"/>
          <w:lang w:bidi="ar"/>
        </w:rPr>
        <w:t>月</w:t>
      </w:r>
      <w:r>
        <w:rPr>
          <w:highlight w:val="none"/>
          <w:lang w:bidi="ar"/>
        </w:rPr>
        <w:t>______</w:t>
      </w:r>
      <w:r>
        <w:rPr>
          <w:rFonts w:hint="eastAsia" w:cs="宋体"/>
          <w:highlight w:val="none"/>
          <w:lang w:bidi="ar"/>
        </w:rPr>
        <w:t>日</w:t>
      </w:r>
    </w:p>
    <w:p w14:paraId="67409F7B">
      <w:pPr>
        <w:spacing w:line="360" w:lineRule="auto"/>
        <w:rPr>
          <w:highlight w:val="none"/>
        </w:rPr>
      </w:pPr>
    </w:p>
    <w:p w14:paraId="62D24A31">
      <w:pPr>
        <w:spacing w:line="360" w:lineRule="auto"/>
        <w:rPr>
          <w:highlight w:val="none"/>
        </w:rPr>
      </w:pPr>
      <w:r>
        <w:rPr>
          <w:highlight w:val="none"/>
        </w:rPr>
        <w:br w:type="page"/>
      </w:r>
    </w:p>
    <w:p w14:paraId="38FE907D">
      <w:pPr>
        <w:pStyle w:val="5"/>
        <w:spacing w:line="360" w:lineRule="auto"/>
        <w:rPr>
          <w:highlight w:val="none"/>
        </w:rPr>
      </w:pPr>
      <w:bookmarkStart w:id="411" w:name="_Toc12401"/>
      <w:bookmarkStart w:id="412" w:name="_Toc163492919"/>
      <w:bookmarkStart w:id="413" w:name="_Toc155185925"/>
      <w:r>
        <w:rPr>
          <w:rFonts w:hint="eastAsia"/>
          <w:highlight w:val="none"/>
        </w:rPr>
        <w:t>三、授权委托书</w:t>
      </w:r>
      <w:bookmarkEnd w:id="411"/>
      <w:bookmarkEnd w:id="412"/>
      <w:bookmarkEnd w:id="413"/>
    </w:p>
    <w:p w14:paraId="7EE612D2">
      <w:pPr>
        <w:spacing w:line="360" w:lineRule="auto"/>
        <w:rPr>
          <w:highlight w:val="none"/>
        </w:rPr>
      </w:pPr>
      <w:r>
        <w:rPr>
          <w:rFonts w:hint="eastAsia"/>
          <w:highlight w:val="none"/>
        </w:rPr>
        <w:t>本人</w:t>
      </w:r>
      <w:r>
        <w:rPr>
          <w:highlight w:val="none"/>
          <w:u w:val="single"/>
        </w:rPr>
        <w:t xml:space="preserve">     </w:t>
      </w:r>
      <w:r>
        <w:rPr>
          <w:rFonts w:hint="eastAsia"/>
          <w:highlight w:val="none"/>
        </w:rPr>
        <w:t>（姓名）系</w:t>
      </w:r>
      <w:r>
        <w:rPr>
          <w:rFonts w:hint="eastAsia"/>
          <w:highlight w:val="none"/>
          <w:u w:val="single"/>
        </w:rPr>
        <w:t xml:space="preserve">          </w:t>
      </w:r>
      <w:r>
        <w:rPr>
          <w:rFonts w:hint="eastAsia"/>
          <w:highlight w:val="none"/>
        </w:rPr>
        <w:t>（投标人名称）的法定代表人（单位负责人），现委托</w:t>
      </w:r>
      <w:r>
        <w:rPr>
          <w:rFonts w:hint="eastAsia"/>
          <w:highlight w:val="none"/>
          <w:u w:val="single"/>
        </w:rPr>
        <w:t xml:space="preserve">     </w:t>
      </w:r>
      <w:r>
        <w:rPr>
          <w:rFonts w:hint="eastAsia"/>
          <w:highlight w:val="none"/>
        </w:rPr>
        <w:t>（姓名）为我方代理人。代理人根据授权，以我方名义签署、澄清确认、说明、补正、递交、撤回、修改</w:t>
      </w:r>
      <w:r>
        <w:rPr>
          <w:rFonts w:hint="eastAsia"/>
          <w:highlight w:val="none"/>
          <w:u w:val="single"/>
        </w:rPr>
        <w:t xml:space="preserve">           </w:t>
      </w:r>
      <w:r>
        <w:rPr>
          <w:rFonts w:hint="eastAsia"/>
          <w:highlight w:val="none"/>
        </w:rPr>
        <w:t>（项目名称）投标文件、签订合同和处理有关事宜，其法律后果由我方承担。</w:t>
      </w:r>
    </w:p>
    <w:p w14:paraId="26801B5F">
      <w:pPr>
        <w:spacing w:line="360" w:lineRule="auto"/>
        <w:rPr>
          <w:highlight w:val="none"/>
        </w:rPr>
      </w:pPr>
      <w:r>
        <w:rPr>
          <w:rFonts w:hint="eastAsia"/>
          <w:highlight w:val="none"/>
        </w:rPr>
        <w:t>委托期限：自本授权委托书签署之日起至投标有效期届满之日止。</w:t>
      </w:r>
    </w:p>
    <w:p w14:paraId="5B780D83">
      <w:pPr>
        <w:spacing w:line="360" w:lineRule="auto"/>
        <w:rPr>
          <w:highlight w:val="none"/>
        </w:rPr>
      </w:pPr>
      <w:r>
        <w:rPr>
          <w:rFonts w:hint="eastAsia"/>
          <w:highlight w:val="none"/>
        </w:rPr>
        <w:t>代理人无转委托权。</w:t>
      </w:r>
    </w:p>
    <w:p w14:paraId="44C2E781">
      <w:pPr>
        <w:spacing w:line="360" w:lineRule="auto"/>
        <w:rPr>
          <w:highlight w:val="none"/>
        </w:rPr>
      </w:pPr>
    </w:p>
    <w:p w14:paraId="0871EA47">
      <w:pPr>
        <w:spacing w:line="360" w:lineRule="auto"/>
        <w:rPr>
          <w:highlight w:val="none"/>
        </w:rPr>
      </w:pPr>
      <w:r>
        <w:rPr>
          <w:rFonts w:hint="eastAsia" w:cs="宋体"/>
          <w:highlight w:val="none"/>
          <w:lang w:bidi="ar"/>
        </w:rPr>
        <w:t>投标人名称</w:t>
      </w:r>
      <w:r>
        <w:rPr>
          <w:rFonts w:hint="eastAsia" w:cs="仿宋_GB2312"/>
          <w:highlight w:val="none"/>
        </w:rPr>
        <w:t>（</w:t>
      </w:r>
      <w:r>
        <w:rPr>
          <w:rFonts w:hint="eastAsia" w:cs="宋体"/>
          <w:highlight w:val="none"/>
        </w:rPr>
        <w:t>公章）</w:t>
      </w:r>
      <w:r>
        <w:rPr>
          <w:rFonts w:hint="eastAsia" w:cs="宋体"/>
          <w:highlight w:val="none"/>
          <w:lang w:bidi="ar"/>
        </w:rPr>
        <w:t>：</w:t>
      </w:r>
      <w:r>
        <w:rPr>
          <w:highlight w:val="none"/>
          <w:lang w:bidi="ar"/>
        </w:rPr>
        <w:t xml:space="preserve">________________ </w:t>
      </w:r>
    </w:p>
    <w:p w14:paraId="1435E56E">
      <w:pPr>
        <w:spacing w:line="360" w:lineRule="auto"/>
        <w:rPr>
          <w:highlight w:val="none"/>
        </w:rPr>
      </w:pPr>
      <w:r>
        <w:rPr>
          <w:rFonts w:hint="eastAsia"/>
          <w:highlight w:val="none"/>
          <w:lang w:bidi="ar"/>
        </w:rPr>
        <w:t>法定代表人（单位负责人）（签字或</w:t>
      </w:r>
      <w:r>
        <w:rPr>
          <w:rFonts w:hint="eastAsia"/>
          <w:highlight w:val="none"/>
        </w:rPr>
        <w:t>盖章）</w:t>
      </w:r>
      <w:r>
        <w:rPr>
          <w:rFonts w:hint="eastAsia"/>
          <w:highlight w:val="none"/>
          <w:lang w:bidi="ar"/>
        </w:rPr>
        <w:t>：</w:t>
      </w:r>
      <w:r>
        <w:rPr>
          <w:rFonts w:ascii="DejaVuSans" w:hAnsi="DejaVuSans" w:eastAsia="DejaVuSans" w:cs="DejaVuSans"/>
          <w:highlight w:val="none"/>
          <w:lang w:bidi="ar"/>
        </w:rPr>
        <w:t xml:space="preserve">________________ </w:t>
      </w:r>
    </w:p>
    <w:p w14:paraId="17892530">
      <w:pPr>
        <w:spacing w:line="360" w:lineRule="auto"/>
        <w:rPr>
          <w:highlight w:val="none"/>
        </w:rPr>
      </w:pPr>
      <w:r>
        <w:rPr>
          <w:rFonts w:hint="eastAsia" w:cs="宋体"/>
          <w:highlight w:val="none"/>
          <w:lang w:bidi="ar"/>
        </w:rPr>
        <w:t>委托代理人（签字或</w:t>
      </w:r>
      <w:r>
        <w:rPr>
          <w:rFonts w:hint="eastAsia" w:cs="宋体"/>
          <w:highlight w:val="none"/>
        </w:rPr>
        <w:t>盖章）</w:t>
      </w:r>
      <w:r>
        <w:rPr>
          <w:rFonts w:hint="eastAsia" w:cs="宋体"/>
          <w:highlight w:val="none"/>
          <w:lang w:bidi="ar"/>
        </w:rPr>
        <w:t>：</w:t>
      </w:r>
      <w:r>
        <w:rPr>
          <w:highlight w:val="none"/>
          <w:lang w:bidi="ar"/>
        </w:rPr>
        <w:t xml:space="preserve">________________ </w:t>
      </w:r>
      <w:r>
        <w:rPr>
          <w:rFonts w:hint="eastAsia"/>
          <w:highlight w:val="none"/>
          <w:lang w:bidi="ar"/>
        </w:rPr>
        <w:t xml:space="preserve">   联系电话：</w:t>
      </w:r>
      <w:r>
        <w:rPr>
          <w:highlight w:val="none"/>
          <w:lang w:bidi="ar"/>
        </w:rPr>
        <w:t>________</w:t>
      </w:r>
    </w:p>
    <w:p w14:paraId="4F7DB7BB">
      <w:pPr>
        <w:spacing w:line="360" w:lineRule="auto"/>
        <w:rPr>
          <w:highlight w:val="none"/>
        </w:rPr>
      </w:pPr>
      <w:r>
        <w:rPr>
          <w:rFonts w:hint="eastAsia" w:cs="宋体"/>
          <w:highlight w:val="none"/>
          <w:lang w:bidi="ar"/>
        </w:rPr>
        <w:t>日期：</w:t>
      </w:r>
      <w:r>
        <w:rPr>
          <w:highlight w:val="none"/>
          <w:lang w:bidi="ar"/>
        </w:rPr>
        <w:t>_____</w:t>
      </w:r>
      <w:r>
        <w:rPr>
          <w:rFonts w:hint="eastAsia" w:cs="宋体"/>
          <w:highlight w:val="none"/>
          <w:lang w:bidi="ar"/>
        </w:rPr>
        <w:t>年</w:t>
      </w:r>
      <w:r>
        <w:rPr>
          <w:highlight w:val="none"/>
          <w:lang w:bidi="ar"/>
        </w:rPr>
        <w:t>______</w:t>
      </w:r>
      <w:r>
        <w:rPr>
          <w:rFonts w:hint="eastAsia" w:cs="宋体"/>
          <w:highlight w:val="none"/>
          <w:lang w:bidi="ar"/>
        </w:rPr>
        <w:t>月</w:t>
      </w:r>
      <w:r>
        <w:rPr>
          <w:highlight w:val="none"/>
          <w:lang w:bidi="ar"/>
        </w:rPr>
        <w:t>______</w:t>
      </w:r>
      <w:r>
        <w:rPr>
          <w:rFonts w:hint="eastAsia" w:cs="宋体"/>
          <w:highlight w:val="none"/>
          <w:lang w:bidi="ar"/>
        </w:rPr>
        <w:t xml:space="preserve">日 </w:t>
      </w:r>
    </w:p>
    <w:p w14:paraId="722D3FD9">
      <w:pPr>
        <w:spacing w:line="360" w:lineRule="auto"/>
        <w:rPr>
          <w:highlight w:val="none"/>
        </w:rPr>
      </w:pPr>
    </w:p>
    <w:p w14:paraId="4DFB2187">
      <w:pPr>
        <w:spacing w:line="360" w:lineRule="auto"/>
        <w:rPr>
          <w:highlight w:val="none"/>
        </w:rPr>
      </w:pPr>
      <w:r>
        <w:rPr>
          <w:rFonts w:hint="eastAsia"/>
          <w:highlight w:val="none"/>
          <w:lang w:bidi="ar"/>
        </w:rPr>
        <w:t xml:space="preserve">附：法定代表人及委托代理人身份证明文件电子件： </w:t>
      </w:r>
    </w:p>
    <w:tbl>
      <w:tblPr>
        <w:tblStyle w:val="33"/>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696F6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3271F5F8">
            <w:pPr>
              <w:spacing w:line="360" w:lineRule="auto"/>
              <w:rPr>
                <w:highlight w:val="none"/>
              </w:rPr>
            </w:pPr>
          </w:p>
        </w:tc>
      </w:tr>
    </w:tbl>
    <w:p w14:paraId="7A4A30DF">
      <w:pPr>
        <w:spacing w:line="360" w:lineRule="auto"/>
        <w:rPr>
          <w:highlight w:val="none"/>
        </w:rPr>
      </w:pPr>
      <w:r>
        <w:rPr>
          <w:rFonts w:hint="eastAsia"/>
          <w:highlight w:val="none"/>
        </w:rPr>
        <w:t xml:space="preserve">说明： </w:t>
      </w:r>
    </w:p>
    <w:p w14:paraId="40138BEB">
      <w:pPr>
        <w:spacing w:line="360" w:lineRule="auto"/>
        <w:rPr>
          <w:highlight w:val="none"/>
        </w:rPr>
      </w:pPr>
      <w:r>
        <w:rPr>
          <w:rFonts w:hint="eastAsia"/>
          <w:highlight w:val="none"/>
        </w:rPr>
        <w:t xml:space="preserve">1.若投标人为事业单位或其他组织或分支机构，则法定代表人（单位负责人）处的签署人可为单位负责人。 </w:t>
      </w:r>
    </w:p>
    <w:p w14:paraId="338AD6BB">
      <w:pPr>
        <w:spacing w:line="360" w:lineRule="auto"/>
        <w:rPr>
          <w:highlight w:val="none"/>
        </w:rPr>
      </w:pPr>
      <w:r>
        <w:rPr>
          <w:highlight w:val="none"/>
        </w:rPr>
        <w:t>2.</w:t>
      </w:r>
      <w:r>
        <w:rPr>
          <w:rFonts w:hint="eastAsia"/>
          <w:highlight w:val="none"/>
        </w:rPr>
        <w:t xml:space="preserve">若投标文件中签字之处均为法定代表人（单位负责人）本人签署，则可不提供本《授权委托书》，但须提供《法定代表人（单位负责人）身份证明》。 </w:t>
      </w:r>
    </w:p>
    <w:p w14:paraId="2B857BAA">
      <w:pPr>
        <w:spacing w:line="360" w:lineRule="auto"/>
        <w:rPr>
          <w:highlight w:val="none"/>
        </w:rPr>
      </w:pPr>
      <w:r>
        <w:rPr>
          <w:highlight w:val="none"/>
        </w:rPr>
        <w:t>3.</w:t>
      </w:r>
      <w:r>
        <w:rPr>
          <w:rFonts w:hint="eastAsia"/>
          <w:highlight w:val="none"/>
        </w:rPr>
        <w:t xml:space="preserve">投标人为自然人的情形，可不提供本《授权委托书》。 </w:t>
      </w:r>
    </w:p>
    <w:p w14:paraId="67929FE2">
      <w:pPr>
        <w:spacing w:line="360" w:lineRule="auto"/>
        <w:rPr>
          <w:highlight w:val="none"/>
        </w:rPr>
      </w:pPr>
      <w:r>
        <w:rPr>
          <w:highlight w:val="none"/>
        </w:rPr>
        <w:t>4.</w:t>
      </w:r>
      <w:r>
        <w:rPr>
          <w:rFonts w:hint="eastAsia"/>
          <w:highlight w:val="none"/>
        </w:rPr>
        <w:t>投标人应随本《授权委托书》同时提供法定代表人（单位负责人）及委托代理人的有效的身份证、护照等身份证明文件电子件。提供身份证的，应同时提供身份证</w:t>
      </w:r>
      <w:r>
        <w:rPr>
          <w:rFonts w:hint="eastAsia"/>
          <w:b/>
          <w:bCs/>
          <w:highlight w:val="none"/>
        </w:rPr>
        <w:t>双面</w:t>
      </w:r>
      <w:r>
        <w:rPr>
          <w:rFonts w:hint="eastAsia"/>
          <w:highlight w:val="none"/>
        </w:rPr>
        <w:t>电子件。</w:t>
      </w:r>
    </w:p>
    <w:p w14:paraId="2E5323F6">
      <w:pPr>
        <w:spacing w:line="360" w:lineRule="auto"/>
        <w:rPr>
          <w:rFonts w:asciiTheme="majorHAnsi" w:hAnsiTheme="majorHAnsi" w:cstheme="majorBidi"/>
          <w:b/>
          <w:bCs/>
          <w:sz w:val="32"/>
          <w:szCs w:val="32"/>
          <w:highlight w:val="none"/>
        </w:rPr>
      </w:pPr>
      <w:bookmarkStart w:id="414" w:name="_Toc155185934"/>
      <w:bookmarkStart w:id="415" w:name="_Toc163492928"/>
      <w:r>
        <w:rPr>
          <w:highlight w:val="none"/>
        </w:rPr>
        <w:br w:type="page"/>
      </w:r>
    </w:p>
    <w:p w14:paraId="157DEF65">
      <w:pPr>
        <w:pStyle w:val="5"/>
        <w:spacing w:line="360" w:lineRule="auto"/>
        <w:rPr>
          <w:highlight w:val="none"/>
        </w:rPr>
      </w:pPr>
      <w:bookmarkStart w:id="416" w:name="_Toc4311"/>
      <w:r>
        <w:rPr>
          <w:rFonts w:hint="eastAsia"/>
          <w:highlight w:val="none"/>
        </w:rPr>
        <w:t>四、</w:t>
      </w:r>
      <w:bookmarkEnd w:id="414"/>
      <w:bookmarkEnd w:id="415"/>
      <w:bookmarkStart w:id="417" w:name="_Toc163492929"/>
      <w:r>
        <w:rPr>
          <w:rFonts w:hint="eastAsia"/>
          <w:highlight w:val="none"/>
          <w:lang w:val="zh-CN"/>
        </w:rPr>
        <w:t>政府采购</w:t>
      </w:r>
      <w:r>
        <w:rPr>
          <w:rFonts w:hint="eastAsia"/>
          <w:highlight w:val="none"/>
        </w:rPr>
        <w:t>投标人</w:t>
      </w:r>
      <w:r>
        <w:rPr>
          <w:rFonts w:hint="eastAsia"/>
          <w:highlight w:val="none"/>
          <w:lang w:val="zh-CN"/>
        </w:rPr>
        <w:t>廉洁自律承诺书</w:t>
      </w:r>
      <w:bookmarkEnd w:id="416"/>
    </w:p>
    <w:p w14:paraId="2A81C7D7">
      <w:pPr>
        <w:pStyle w:val="14"/>
        <w:spacing w:line="360" w:lineRule="auto"/>
        <w:rPr>
          <w:highlight w:val="none"/>
          <w:u w:val="single"/>
        </w:rPr>
      </w:pPr>
    </w:p>
    <w:p w14:paraId="55AC4BA4">
      <w:pPr>
        <w:spacing w:line="360" w:lineRule="auto"/>
        <w:rPr>
          <w:kern w:val="0"/>
          <w:highlight w:val="none"/>
        </w:rPr>
      </w:pPr>
      <w:r>
        <w:rPr>
          <w:highlight w:val="none"/>
          <w:u w:val="single"/>
        </w:rPr>
        <w:t xml:space="preserve">   </w:t>
      </w:r>
      <w:r>
        <w:rPr>
          <w:rFonts w:hint="eastAsia"/>
          <w:highlight w:val="none"/>
          <w:u w:val="single"/>
          <w:lang w:val="en-US" w:eastAsia="zh-CN"/>
        </w:rPr>
        <w:t xml:space="preserve">     </w:t>
      </w:r>
      <w:r>
        <w:rPr>
          <w:highlight w:val="none"/>
          <w:u w:val="single"/>
        </w:rPr>
        <w:t xml:space="preserve"> </w:t>
      </w:r>
      <w:r>
        <w:rPr>
          <w:rFonts w:hint="eastAsia"/>
          <w:highlight w:val="none"/>
        </w:rPr>
        <w:t>（采购人）、（采购代理机构）</w:t>
      </w:r>
      <w:r>
        <w:rPr>
          <w:rFonts w:hint="eastAsia"/>
          <w:kern w:val="0"/>
          <w:highlight w:val="none"/>
          <w:lang w:val="zh-CN"/>
        </w:rPr>
        <w:t>：</w:t>
      </w:r>
    </w:p>
    <w:p w14:paraId="1B9F9982">
      <w:pPr>
        <w:spacing w:line="360" w:lineRule="auto"/>
        <w:rPr>
          <w:highlight w:val="none"/>
          <w:lang w:val="zh-CN"/>
        </w:rPr>
      </w:pPr>
      <w:r>
        <w:rPr>
          <w:rFonts w:hint="eastAsia"/>
          <w:highlight w:val="none"/>
          <w:lang w:val="zh-CN"/>
        </w:rPr>
        <w:t>我单位响应你</w:t>
      </w:r>
      <w:r>
        <w:rPr>
          <w:rFonts w:hint="eastAsia"/>
          <w:highlight w:val="none"/>
        </w:rPr>
        <w:t>单位</w:t>
      </w:r>
      <w:r>
        <w:rPr>
          <w:rFonts w:hint="eastAsia"/>
          <w:highlight w:val="none"/>
          <w:lang w:val="zh-CN"/>
        </w:rPr>
        <w:t>项目招标</w:t>
      </w:r>
      <w:r>
        <w:rPr>
          <w:rFonts w:hint="eastAsia"/>
          <w:highlight w:val="none"/>
        </w:rPr>
        <w:t>文件</w:t>
      </w:r>
      <w:r>
        <w:rPr>
          <w:rFonts w:hint="eastAsia"/>
          <w:highlight w:val="none"/>
          <w:lang w:val="zh-CN"/>
        </w:rPr>
        <w:t>要求参加投标。在这次投标过程中和中标后，我们将严格遵守国家法律法规要求，并郑重承诺：</w:t>
      </w:r>
    </w:p>
    <w:p w14:paraId="5415BA10">
      <w:pPr>
        <w:spacing w:line="360" w:lineRule="auto"/>
        <w:rPr>
          <w:highlight w:val="none"/>
          <w:lang w:val="zh-CN"/>
        </w:rPr>
      </w:pPr>
      <w:r>
        <w:rPr>
          <w:rFonts w:hint="eastAsia"/>
          <w:highlight w:val="none"/>
          <w:lang w:val="zh-CN"/>
        </w:rPr>
        <w:t xml:space="preserve">一、不向项目有关人员及部门赠送礼金礼物、有价证券、回扣以及中介费、介绍费、咨询费等好处费； </w:t>
      </w:r>
    </w:p>
    <w:p w14:paraId="68749FCA">
      <w:pPr>
        <w:spacing w:line="360" w:lineRule="auto"/>
        <w:rPr>
          <w:highlight w:val="none"/>
          <w:lang w:val="zh-CN"/>
        </w:rPr>
      </w:pPr>
      <w:r>
        <w:rPr>
          <w:rFonts w:hint="eastAsia"/>
          <w:highlight w:val="none"/>
          <w:lang w:val="zh-CN"/>
        </w:rPr>
        <w:t xml:space="preserve">二、不为项目有关人员及部门报销应由你方单位或个人支付的费用； </w:t>
      </w:r>
    </w:p>
    <w:p w14:paraId="3570DE0B">
      <w:pPr>
        <w:spacing w:line="360" w:lineRule="auto"/>
        <w:rPr>
          <w:highlight w:val="none"/>
          <w:lang w:val="zh-CN"/>
        </w:rPr>
      </w:pPr>
      <w:r>
        <w:rPr>
          <w:rFonts w:hint="eastAsia"/>
          <w:highlight w:val="none"/>
          <w:lang w:val="zh-CN"/>
        </w:rPr>
        <w:t>三、不向项目有关人员及部门提供有可能影响公正的宴请和健身娱乐等活动；</w:t>
      </w:r>
    </w:p>
    <w:p w14:paraId="0C9C74B5">
      <w:pPr>
        <w:spacing w:line="360" w:lineRule="auto"/>
        <w:rPr>
          <w:highlight w:val="none"/>
          <w:lang w:val="zh-CN"/>
        </w:rPr>
      </w:pPr>
      <w:r>
        <w:rPr>
          <w:rFonts w:hint="eastAsia"/>
          <w:highlight w:val="none"/>
          <w:lang w:val="zh-CN"/>
        </w:rPr>
        <w:t>四、不为项目有关人员及部门出国（境）、旅游等提供方便；</w:t>
      </w:r>
    </w:p>
    <w:p w14:paraId="7FA2F499">
      <w:pPr>
        <w:spacing w:line="360" w:lineRule="auto"/>
        <w:rPr>
          <w:highlight w:val="none"/>
          <w:lang w:val="zh-CN"/>
        </w:rPr>
      </w:pPr>
      <w:r>
        <w:rPr>
          <w:rFonts w:hint="eastAsia"/>
          <w:highlight w:val="none"/>
          <w:lang w:val="zh-CN"/>
        </w:rPr>
        <w:t>五、不为项目有关人员个人装修住房、婚丧嫁娶、配偶子女工作安排等提供好处；</w:t>
      </w:r>
    </w:p>
    <w:p w14:paraId="37F6CEA1">
      <w:pPr>
        <w:spacing w:line="360" w:lineRule="auto"/>
        <w:rPr>
          <w:highlight w:val="none"/>
          <w:lang w:val="zh-CN"/>
        </w:rPr>
      </w:pPr>
      <w:r>
        <w:rPr>
          <w:rFonts w:hint="eastAsia"/>
          <w:highlight w:val="none"/>
          <w:lang w:val="zh-CN"/>
        </w:rPr>
        <w:t>六、严格遵守《中华人民共和国政府采购法》《中华人民共和国政府采购法</w:t>
      </w:r>
      <w:r>
        <w:rPr>
          <w:rFonts w:hint="eastAsia"/>
          <w:highlight w:val="none"/>
        </w:rPr>
        <w:t>实施条例</w:t>
      </w:r>
      <w:r>
        <w:rPr>
          <w:rFonts w:hint="eastAsia"/>
          <w:highlight w:val="none"/>
          <w:lang w:val="zh-CN"/>
        </w:rPr>
        <w:t xml:space="preserve">》《中华人民共和国民法典》等法律法规，诚实守信，合法经营，坚决抵制各种违法违纪行为。 </w:t>
      </w:r>
    </w:p>
    <w:p w14:paraId="62E9C6FA">
      <w:pPr>
        <w:spacing w:line="360" w:lineRule="auto"/>
        <w:rPr>
          <w:highlight w:val="none"/>
          <w:lang w:val="zh-CN"/>
        </w:rPr>
      </w:pPr>
      <w:r>
        <w:rPr>
          <w:rFonts w:hint="eastAsia"/>
          <w:highlight w:val="none"/>
          <w:lang w:val="zh-CN"/>
        </w:rPr>
        <w:t>如违反上述承诺，你单位有权立即取消我单位投标、中标或在建项目的建设资格，有权拒绝我单位在一定时期内进入你单位进行项目建设或其他经营活动，并通报</w:t>
      </w:r>
      <w:r>
        <w:rPr>
          <w:rFonts w:hint="eastAsia"/>
          <w:highlight w:val="none"/>
        </w:rPr>
        <w:t>兵团</w:t>
      </w:r>
      <w:r>
        <w:rPr>
          <w:rFonts w:hint="eastAsia"/>
          <w:highlight w:val="none"/>
          <w:lang w:val="zh-CN"/>
        </w:rPr>
        <w:t>财政局。由此引起的相应损失均由我单位承担。</w:t>
      </w:r>
    </w:p>
    <w:p w14:paraId="12A654B4">
      <w:pPr>
        <w:spacing w:line="360" w:lineRule="auto"/>
        <w:rPr>
          <w:highlight w:val="none"/>
          <w:lang w:val="zh-CN"/>
        </w:rPr>
      </w:pPr>
    </w:p>
    <w:p w14:paraId="03B574B2">
      <w:pPr>
        <w:spacing w:line="360" w:lineRule="auto"/>
        <w:rPr>
          <w:highlight w:val="none"/>
          <w:lang w:val="zh-CN"/>
        </w:rPr>
      </w:pPr>
    </w:p>
    <w:p w14:paraId="63FE86F6">
      <w:pPr>
        <w:spacing w:line="360" w:lineRule="auto"/>
        <w:rPr>
          <w:highlight w:val="none"/>
          <w:lang w:val="zh-CN"/>
        </w:rPr>
      </w:pPr>
    </w:p>
    <w:p w14:paraId="085AA5B4">
      <w:pPr>
        <w:spacing w:line="360" w:lineRule="auto"/>
        <w:rPr>
          <w:highlight w:val="none"/>
          <w:lang w:val="zh-CN"/>
        </w:rPr>
      </w:pPr>
      <w:r>
        <w:rPr>
          <w:rFonts w:hint="eastAsia"/>
          <w:highlight w:val="none"/>
          <w:lang w:val="zh-CN"/>
        </w:rPr>
        <w:t>投标人名称</w:t>
      </w:r>
      <w:r>
        <w:rPr>
          <w:rFonts w:hint="eastAsia" w:cs="仿宋_GB2312"/>
          <w:highlight w:val="none"/>
        </w:rPr>
        <w:t>（</w:t>
      </w:r>
      <w:r>
        <w:rPr>
          <w:rFonts w:hint="eastAsia"/>
          <w:highlight w:val="none"/>
        </w:rPr>
        <w:t>公章）</w:t>
      </w:r>
      <w:r>
        <w:rPr>
          <w:rFonts w:hint="eastAsia"/>
          <w:highlight w:val="none"/>
          <w:lang w:val="zh-CN"/>
        </w:rPr>
        <w:t xml:space="preserve">：                                                                                                                                                                                                               </w:t>
      </w:r>
    </w:p>
    <w:p w14:paraId="398B486D">
      <w:pPr>
        <w:spacing w:line="360" w:lineRule="auto"/>
        <w:rPr>
          <w:rFonts w:asciiTheme="majorHAnsi" w:hAnsiTheme="majorHAnsi" w:cstheme="majorBidi"/>
          <w:b/>
          <w:bCs/>
          <w:highlight w:val="none"/>
        </w:rPr>
      </w:pPr>
      <w:r>
        <w:rPr>
          <w:rFonts w:hint="eastAsia"/>
          <w:highlight w:val="none"/>
          <w:lang w:val="zh-CN"/>
        </w:rPr>
        <w:t>日期</w:t>
      </w:r>
      <w:r>
        <w:rPr>
          <w:rFonts w:hint="eastAsia"/>
          <w:highlight w:val="none"/>
        </w:rPr>
        <w:t>：</w:t>
      </w:r>
      <w:r>
        <w:rPr>
          <w:rFonts w:hint="eastAsia"/>
          <w:highlight w:val="none"/>
          <w:lang w:val="zh-CN"/>
        </w:rPr>
        <w:t xml:space="preserve">   年   月   日</w:t>
      </w:r>
    </w:p>
    <w:p w14:paraId="2189E4FA">
      <w:pPr>
        <w:spacing w:line="360" w:lineRule="auto"/>
        <w:rPr>
          <w:highlight w:val="none"/>
        </w:rPr>
      </w:pPr>
    </w:p>
    <w:p w14:paraId="7ED58A5E">
      <w:pPr>
        <w:pStyle w:val="14"/>
        <w:spacing w:line="360" w:lineRule="auto"/>
        <w:rPr>
          <w:highlight w:val="none"/>
        </w:rPr>
      </w:pPr>
    </w:p>
    <w:p w14:paraId="4060BDD9">
      <w:pPr>
        <w:pStyle w:val="14"/>
        <w:spacing w:line="360" w:lineRule="auto"/>
        <w:rPr>
          <w:highlight w:val="none"/>
        </w:rPr>
      </w:pPr>
    </w:p>
    <w:p w14:paraId="098CB363">
      <w:pPr>
        <w:spacing w:line="360" w:lineRule="auto"/>
        <w:rPr>
          <w:rFonts w:asciiTheme="majorHAnsi" w:hAnsiTheme="majorHAnsi" w:cstheme="majorBidi"/>
          <w:b/>
          <w:bCs/>
          <w:sz w:val="32"/>
          <w:szCs w:val="32"/>
          <w:highlight w:val="none"/>
        </w:rPr>
      </w:pPr>
      <w:r>
        <w:rPr>
          <w:highlight w:val="none"/>
        </w:rPr>
        <w:br w:type="page"/>
      </w:r>
    </w:p>
    <w:p w14:paraId="51AE386B">
      <w:pPr>
        <w:pStyle w:val="5"/>
        <w:spacing w:line="360" w:lineRule="auto"/>
        <w:rPr>
          <w:highlight w:val="none"/>
        </w:rPr>
      </w:pPr>
      <w:bookmarkStart w:id="418" w:name="_Toc17030"/>
      <w:r>
        <w:rPr>
          <w:rFonts w:hint="eastAsia"/>
          <w:highlight w:val="none"/>
        </w:rPr>
        <w:t>五、</w:t>
      </w:r>
      <w:r>
        <w:rPr>
          <w:rFonts w:hint="eastAsia"/>
          <w:highlight w:val="none"/>
          <w:lang w:val="zh-CN"/>
        </w:rPr>
        <w:t>实质性响应一览表【</w:t>
      </w:r>
      <w:r>
        <w:rPr>
          <w:rFonts w:hint="eastAsia"/>
          <w:highlight w:val="none"/>
        </w:rPr>
        <w:t>本表须与第五章的一致】</w:t>
      </w:r>
      <w:bookmarkEnd w:id="418"/>
    </w:p>
    <w:p w14:paraId="21B996BA">
      <w:pPr>
        <w:spacing w:line="360" w:lineRule="auto"/>
        <w:rPr>
          <w:highlight w:val="none"/>
        </w:rPr>
      </w:pPr>
      <w:r>
        <w:rPr>
          <w:rFonts w:hint="eastAsia"/>
          <w:highlight w:val="none"/>
        </w:rPr>
        <w:t>（投标人须对本附表所有内容逐条响应且无负偏离，否则其</w:t>
      </w:r>
      <w:r>
        <w:rPr>
          <w:rFonts w:hint="eastAsia"/>
          <w:b/>
          <w:highlight w:val="none"/>
        </w:rPr>
        <w:t>投标无效</w:t>
      </w:r>
      <w:r>
        <w:rPr>
          <w:rFonts w:hint="eastAsia"/>
          <w:highlight w:val="none"/>
        </w:rPr>
        <w:t>）</w:t>
      </w:r>
    </w:p>
    <w:p w14:paraId="149DEBC4">
      <w:pPr>
        <w:pStyle w:val="26"/>
        <w:spacing w:line="360" w:lineRule="auto"/>
        <w:rPr>
          <w:highlight w:val="none"/>
        </w:rPr>
      </w:pPr>
    </w:p>
    <w:tbl>
      <w:tblPr>
        <w:tblStyle w:val="33"/>
        <w:tblW w:w="5294"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
        <w:gridCol w:w="1991"/>
        <w:gridCol w:w="3746"/>
        <w:gridCol w:w="1955"/>
        <w:gridCol w:w="922"/>
      </w:tblGrid>
      <w:tr w14:paraId="21266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26" w:type="pct"/>
            <w:vMerge w:val="restart"/>
            <w:vAlign w:val="center"/>
          </w:tcPr>
          <w:p w14:paraId="0F536992">
            <w:pPr>
              <w:spacing w:line="360" w:lineRule="auto"/>
              <w:rPr>
                <w:highlight w:val="none"/>
              </w:rPr>
            </w:pPr>
            <w:r>
              <w:rPr>
                <w:rFonts w:hint="eastAsia"/>
                <w:highlight w:val="none"/>
              </w:rPr>
              <w:t>序号</w:t>
            </w:r>
          </w:p>
        </w:tc>
        <w:tc>
          <w:tcPr>
            <w:tcW w:w="3178" w:type="pct"/>
            <w:gridSpan w:val="2"/>
            <w:vAlign w:val="center"/>
          </w:tcPr>
          <w:p w14:paraId="1902EE8E">
            <w:pPr>
              <w:spacing w:line="360" w:lineRule="auto"/>
              <w:rPr>
                <w:highlight w:val="none"/>
              </w:rPr>
            </w:pPr>
            <w:r>
              <w:rPr>
                <w:rFonts w:hint="eastAsia"/>
                <w:highlight w:val="none"/>
              </w:rPr>
              <w:t>招标文件要求的实质性响应内容</w:t>
            </w:r>
          </w:p>
        </w:tc>
        <w:tc>
          <w:tcPr>
            <w:tcW w:w="1083" w:type="pct"/>
            <w:vMerge w:val="restart"/>
            <w:vAlign w:val="center"/>
          </w:tcPr>
          <w:p w14:paraId="5F603D82">
            <w:pPr>
              <w:spacing w:line="360" w:lineRule="auto"/>
              <w:rPr>
                <w:highlight w:val="none"/>
              </w:rPr>
            </w:pPr>
            <w:r>
              <w:rPr>
                <w:rFonts w:hint="eastAsia"/>
                <w:highlight w:val="none"/>
              </w:rPr>
              <w:t>投标文件响应的具体内容</w:t>
            </w:r>
          </w:p>
        </w:tc>
        <w:tc>
          <w:tcPr>
            <w:tcW w:w="511" w:type="pct"/>
            <w:vMerge w:val="restart"/>
            <w:vAlign w:val="center"/>
          </w:tcPr>
          <w:p w14:paraId="652052FB">
            <w:pPr>
              <w:spacing w:line="360" w:lineRule="auto"/>
              <w:rPr>
                <w:highlight w:val="none"/>
              </w:rPr>
            </w:pPr>
            <w:r>
              <w:rPr>
                <w:rFonts w:hint="eastAsia"/>
                <w:highlight w:val="none"/>
              </w:rPr>
              <w:t>备注</w:t>
            </w:r>
          </w:p>
        </w:tc>
      </w:tr>
      <w:tr w14:paraId="3229B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26" w:type="pct"/>
            <w:vMerge w:val="continue"/>
            <w:vAlign w:val="center"/>
          </w:tcPr>
          <w:p w14:paraId="3E8E2020">
            <w:pPr>
              <w:spacing w:line="360" w:lineRule="auto"/>
              <w:rPr>
                <w:highlight w:val="none"/>
              </w:rPr>
            </w:pPr>
          </w:p>
        </w:tc>
        <w:tc>
          <w:tcPr>
            <w:tcW w:w="1103" w:type="pct"/>
            <w:vAlign w:val="center"/>
          </w:tcPr>
          <w:p w14:paraId="41560644">
            <w:pPr>
              <w:spacing w:line="360" w:lineRule="auto"/>
              <w:rPr>
                <w:highlight w:val="none"/>
              </w:rPr>
            </w:pPr>
            <w:r>
              <w:rPr>
                <w:rFonts w:hint="eastAsia"/>
                <w:highlight w:val="none"/>
              </w:rPr>
              <w:t>实质性要求</w:t>
            </w:r>
          </w:p>
        </w:tc>
        <w:tc>
          <w:tcPr>
            <w:tcW w:w="2074" w:type="pct"/>
            <w:vAlign w:val="center"/>
          </w:tcPr>
          <w:p w14:paraId="58621E37">
            <w:pPr>
              <w:spacing w:line="360" w:lineRule="auto"/>
              <w:rPr>
                <w:highlight w:val="none"/>
              </w:rPr>
            </w:pPr>
            <w:r>
              <w:rPr>
                <w:rFonts w:hint="eastAsia"/>
                <w:highlight w:val="none"/>
              </w:rPr>
              <w:t>招标文件中的规定</w:t>
            </w:r>
          </w:p>
        </w:tc>
        <w:tc>
          <w:tcPr>
            <w:tcW w:w="1083" w:type="pct"/>
            <w:vMerge w:val="continue"/>
            <w:vAlign w:val="center"/>
          </w:tcPr>
          <w:p w14:paraId="62D40F9C">
            <w:pPr>
              <w:spacing w:line="360" w:lineRule="auto"/>
              <w:rPr>
                <w:highlight w:val="none"/>
              </w:rPr>
            </w:pPr>
          </w:p>
        </w:tc>
        <w:tc>
          <w:tcPr>
            <w:tcW w:w="511" w:type="pct"/>
            <w:vMerge w:val="continue"/>
            <w:vAlign w:val="center"/>
          </w:tcPr>
          <w:p w14:paraId="1DA20770">
            <w:pPr>
              <w:spacing w:line="360" w:lineRule="auto"/>
              <w:rPr>
                <w:highlight w:val="none"/>
              </w:rPr>
            </w:pPr>
          </w:p>
        </w:tc>
      </w:tr>
      <w:tr w14:paraId="6C6AD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713330CD">
            <w:pPr>
              <w:spacing w:line="360" w:lineRule="auto"/>
              <w:rPr>
                <w:highlight w:val="none"/>
              </w:rPr>
            </w:pPr>
            <w:r>
              <w:rPr>
                <w:rFonts w:hint="eastAsia"/>
                <w:highlight w:val="none"/>
              </w:rPr>
              <w:t>1</w:t>
            </w:r>
          </w:p>
        </w:tc>
        <w:tc>
          <w:tcPr>
            <w:tcW w:w="1103" w:type="pct"/>
            <w:shd w:val="clear" w:color="auto" w:fill="auto"/>
            <w:vAlign w:val="center"/>
          </w:tcPr>
          <w:p w14:paraId="1504E386">
            <w:pPr>
              <w:spacing w:line="360" w:lineRule="auto"/>
              <w:rPr>
                <w:highlight w:val="none"/>
              </w:rPr>
            </w:pPr>
          </w:p>
        </w:tc>
        <w:tc>
          <w:tcPr>
            <w:tcW w:w="2074" w:type="pct"/>
            <w:shd w:val="clear" w:color="auto" w:fill="auto"/>
            <w:vAlign w:val="center"/>
          </w:tcPr>
          <w:p w14:paraId="5498EA77">
            <w:pPr>
              <w:spacing w:line="360" w:lineRule="auto"/>
              <w:rPr>
                <w:highlight w:val="none"/>
              </w:rPr>
            </w:pPr>
          </w:p>
        </w:tc>
        <w:tc>
          <w:tcPr>
            <w:tcW w:w="1083" w:type="pct"/>
            <w:vAlign w:val="center"/>
          </w:tcPr>
          <w:p w14:paraId="1921A928">
            <w:pPr>
              <w:spacing w:line="360" w:lineRule="auto"/>
              <w:rPr>
                <w:highlight w:val="none"/>
              </w:rPr>
            </w:pPr>
          </w:p>
        </w:tc>
        <w:tc>
          <w:tcPr>
            <w:tcW w:w="511" w:type="pct"/>
            <w:vAlign w:val="center"/>
          </w:tcPr>
          <w:p w14:paraId="3C24FC9C">
            <w:pPr>
              <w:spacing w:line="360" w:lineRule="auto"/>
              <w:rPr>
                <w:highlight w:val="none"/>
              </w:rPr>
            </w:pPr>
          </w:p>
        </w:tc>
      </w:tr>
      <w:tr w14:paraId="6029E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4E2893DD">
            <w:pPr>
              <w:spacing w:line="360" w:lineRule="auto"/>
              <w:rPr>
                <w:highlight w:val="none"/>
              </w:rPr>
            </w:pPr>
            <w:r>
              <w:rPr>
                <w:rFonts w:hint="eastAsia"/>
                <w:highlight w:val="none"/>
              </w:rPr>
              <w:t>2</w:t>
            </w:r>
          </w:p>
        </w:tc>
        <w:tc>
          <w:tcPr>
            <w:tcW w:w="1103" w:type="pct"/>
            <w:shd w:val="clear" w:color="auto" w:fill="auto"/>
            <w:vAlign w:val="center"/>
          </w:tcPr>
          <w:p w14:paraId="40A7327D">
            <w:pPr>
              <w:spacing w:line="360" w:lineRule="auto"/>
              <w:rPr>
                <w:highlight w:val="none"/>
              </w:rPr>
            </w:pPr>
          </w:p>
        </w:tc>
        <w:tc>
          <w:tcPr>
            <w:tcW w:w="2074" w:type="pct"/>
            <w:shd w:val="clear" w:color="auto" w:fill="auto"/>
            <w:vAlign w:val="center"/>
          </w:tcPr>
          <w:p w14:paraId="0D29B3B2">
            <w:pPr>
              <w:spacing w:line="360" w:lineRule="auto"/>
              <w:rPr>
                <w:highlight w:val="none"/>
              </w:rPr>
            </w:pPr>
          </w:p>
        </w:tc>
        <w:tc>
          <w:tcPr>
            <w:tcW w:w="1083" w:type="pct"/>
            <w:vAlign w:val="center"/>
          </w:tcPr>
          <w:p w14:paraId="6F89F8AC">
            <w:pPr>
              <w:spacing w:line="360" w:lineRule="auto"/>
              <w:rPr>
                <w:highlight w:val="none"/>
              </w:rPr>
            </w:pPr>
          </w:p>
        </w:tc>
        <w:tc>
          <w:tcPr>
            <w:tcW w:w="511" w:type="pct"/>
            <w:vAlign w:val="center"/>
          </w:tcPr>
          <w:p w14:paraId="250F3067">
            <w:pPr>
              <w:spacing w:line="360" w:lineRule="auto"/>
              <w:rPr>
                <w:highlight w:val="none"/>
              </w:rPr>
            </w:pPr>
          </w:p>
        </w:tc>
      </w:tr>
      <w:tr w14:paraId="040F2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0AD68DF0">
            <w:pPr>
              <w:spacing w:line="360" w:lineRule="auto"/>
              <w:rPr>
                <w:highlight w:val="none"/>
              </w:rPr>
            </w:pPr>
            <w:r>
              <w:rPr>
                <w:rFonts w:hint="eastAsia"/>
                <w:highlight w:val="none"/>
              </w:rPr>
              <w:t>3</w:t>
            </w:r>
          </w:p>
        </w:tc>
        <w:tc>
          <w:tcPr>
            <w:tcW w:w="1103" w:type="pct"/>
            <w:shd w:val="clear" w:color="auto" w:fill="auto"/>
            <w:vAlign w:val="center"/>
          </w:tcPr>
          <w:p w14:paraId="43F81D06">
            <w:pPr>
              <w:pStyle w:val="53"/>
              <w:spacing w:line="360" w:lineRule="auto"/>
              <w:rPr>
                <w:rFonts w:cs="宋体"/>
                <w:szCs w:val="24"/>
                <w:highlight w:val="none"/>
              </w:rPr>
            </w:pPr>
          </w:p>
        </w:tc>
        <w:tc>
          <w:tcPr>
            <w:tcW w:w="2074" w:type="pct"/>
            <w:shd w:val="clear" w:color="auto" w:fill="auto"/>
            <w:vAlign w:val="center"/>
          </w:tcPr>
          <w:p w14:paraId="561ED100">
            <w:pPr>
              <w:pStyle w:val="53"/>
              <w:spacing w:line="360" w:lineRule="auto"/>
              <w:rPr>
                <w:rFonts w:cs="宋体"/>
                <w:szCs w:val="24"/>
                <w:highlight w:val="none"/>
              </w:rPr>
            </w:pPr>
          </w:p>
        </w:tc>
        <w:tc>
          <w:tcPr>
            <w:tcW w:w="1083" w:type="pct"/>
            <w:vAlign w:val="center"/>
          </w:tcPr>
          <w:p w14:paraId="2B8291D9">
            <w:pPr>
              <w:spacing w:line="360" w:lineRule="auto"/>
              <w:rPr>
                <w:highlight w:val="none"/>
              </w:rPr>
            </w:pPr>
          </w:p>
        </w:tc>
        <w:tc>
          <w:tcPr>
            <w:tcW w:w="511" w:type="pct"/>
            <w:vAlign w:val="center"/>
          </w:tcPr>
          <w:p w14:paraId="52D22633">
            <w:pPr>
              <w:spacing w:line="360" w:lineRule="auto"/>
              <w:rPr>
                <w:highlight w:val="none"/>
              </w:rPr>
            </w:pPr>
          </w:p>
        </w:tc>
      </w:tr>
      <w:tr w14:paraId="67CAB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77DAC6FB">
            <w:pPr>
              <w:spacing w:line="360" w:lineRule="auto"/>
              <w:rPr>
                <w:highlight w:val="none"/>
              </w:rPr>
            </w:pPr>
            <w:r>
              <w:rPr>
                <w:rFonts w:hint="eastAsia"/>
                <w:highlight w:val="none"/>
              </w:rPr>
              <w:t>4</w:t>
            </w:r>
          </w:p>
        </w:tc>
        <w:tc>
          <w:tcPr>
            <w:tcW w:w="1103" w:type="pct"/>
            <w:shd w:val="clear" w:color="auto" w:fill="auto"/>
            <w:vAlign w:val="center"/>
          </w:tcPr>
          <w:p w14:paraId="488795E0">
            <w:pPr>
              <w:pStyle w:val="53"/>
              <w:spacing w:line="360" w:lineRule="auto"/>
              <w:rPr>
                <w:rFonts w:cs="宋体"/>
                <w:szCs w:val="24"/>
                <w:highlight w:val="none"/>
              </w:rPr>
            </w:pPr>
          </w:p>
        </w:tc>
        <w:tc>
          <w:tcPr>
            <w:tcW w:w="2074" w:type="pct"/>
            <w:shd w:val="clear" w:color="auto" w:fill="auto"/>
            <w:vAlign w:val="center"/>
          </w:tcPr>
          <w:p w14:paraId="1A76B50F">
            <w:pPr>
              <w:pStyle w:val="53"/>
              <w:spacing w:line="360" w:lineRule="auto"/>
              <w:rPr>
                <w:rFonts w:cs="宋体"/>
                <w:szCs w:val="24"/>
                <w:highlight w:val="none"/>
              </w:rPr>
            </w:pPr>
          </w:p>
        </w:tc>
        <w:tc>
          <w:tcPr>
            <w:tcW w:w="1083" w:type="pct"/>
            <w:vAlign w:val="center"/>
          </w:tcPr>
          <w:p w14:paraId="398844E8">
            <w:pPr>
              <w:spacing w:line="360" w:lineRule="auto"/>
              <w:rPr>
                <w:highlight w:val="none"/>
              </w:rPr>
            </w:pPr>
          </w:p>
        </w:tc>
        <w:tc>
          <w:tcPr>
            <w:tcW w:w="511" w:type="pct"/>
            <w:vAlign w:val="center"/>
          </w:tcPr>
          <w:p w14:paraId="48E2C2A1">
            <w:pPr>
              <w:spacing w:line="360" w:lineRule="auto"/>
              <w:rPr>
                <w:highlight w:val="none"/>
              </w:rPr>
            </w:pPr>
          </w:p>
        </w:tc>
      </w:tr>
      <w:tr w14:paraId="7486C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42166F00">
            <w:pPr>
              <w:spacing w:line="360" w:lineRule="auto"/>
              <w:rPr>
                <w:highlight w:val="none"/>
              </w:rPr>
            </w:pPr>
            <w:r>
              <w:rPr>
                <w:rFonts w:hint="eastAsia"/>
                <w:highlight w:val="none"/>
              </w:rPr>
              <w:t>5</w:t>
            </w:r>
          </w:p>
        </w:tc>
        <w:tc>
          <w:tcPr>
            <w:tcW w:w="1103" w:type="pct"/>
            <w:vAlign w:val="center"/>
          </w:tcPr>
          <w:p w14:paraId="37B34EC2">
            <w:pPr>
              <w:spacing w:line="360" w:lineRule="auto"/>
              <w:rPr>
                <w:highlight w:val="none"/>
              </w:rPr>
            </w:pPr>
            <w:r>
              <w:rPr>
                <w:rFonts w:hint="eastAsia"/>
                <w:highlight w:val="none"/>
                <w:lang w:val="zh-CN"/>
              </w:rPr>
              <w:t>……</w:t>
            </w:r>
          </w:p>
        </w:tc>
        <w:tc>
          <w:tcPr>
            <w:tcW w:w="2074" w:type="pct"/>
            <w:vAlign w:val="center"/>
          </w:tcPr>
          <w:p w14:paraId="2926B506">
            <w:pPr>
              <w:pStyle w:val="77"/>
              <w:spacing w:line="360" w:lineRule="auto"/>
              <w:rPr>
                <w:highlight w:val="none"/>
              </w:rPr>
            </w:pPr>
          </w:p>
        </w:tc>
        <w:tc>
          <w:tcPr>
            <w:tcW w:w="1083" w:type="pct"/>
            <w:vAlign w:val="center"/>
          </w:tcPr>
          <w:p w14:paraId="4C3F859A">
            <w:pPr>
              <w:spacing w:line="360" w:lineRule="auto"/>
              <w:rPr>
                <w:highlight w:val="none"/>
              </w:rPr>
            </w:pPr>
          </w:p>
        </w:tc>
        <w:tc>
          <w:tcPr>
            <w:tcW w:w="511" w:type="pct"/>
            <w:vAlign w:val="center"/>
          </w:tcPr>
          <w:p w14:paraId="6DDBEDBF">
            <w:pPr>
              <w:spacing w:line="360" w:lineRule="auto"/>
              <w:rPr>
                <w:highlight w:val="none"/>
              </w:rPr>
            </w:pPr>
          </w:p>
        </w:tc>
      </w:tr>
      <w:tr w14:paraId="7C0B0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64B58AAF">
            <w:pPr>
              <w:spacing w:line="360" w:lineRule="auto"/>
              <w:rPr>
                <w:highlight w:val="none"/>
              </w:rPr>
            </w:pPr>
            <w:r>
              <w:rPr>
                <w:rFonts w:hint="eastAsia"/>
                <w:highlight w:val="none"/>
              </w:rPr>
              <w:t>6</w:t>
            </w:r>
          </w:p>
        </w:tc>
        <w:tc>
          <w:tcPr>
            <w:tcW w:w="1103" w:type="pct"/>
            <w:vAlign w:val="center"/>
          </w:tcPr>
          <w:p w14:paraId="0826CECB">
            <w:pPr>
              <w:spacing w:line="360" w:lineRule="auto"/>
              <w:rPr>
                <w:highlight w:val="none"/>
              </w:rPr>
            </w:pPr>
            <w:r>
              <w:rPr>
                <w:rFonts w:hint="eastAsia"/>
                <w:highlight w:val="none"/>
                <w:lang w:val="zh-CN"/>
              </w:rPr>
              <w:t>……</w:t>
            </w:r>
          </w:p>
        </w:tc>
        <w:tc>
          <w:tcPr>
            <w:tcW w:w="2074" w:type="pct"/>
            <w:vAlign w:val="center"/>
          </w:tcPr>
          <w:p w14:paraId="65BE1F18">
            <w:pPr>
              <w:spacing w:line="360" w:lineRule="auto"/>
              <w:rPr>
                <w:highlight w:val="none"/>
              </w:rPr>
            </w:pPr>
          </w:p>
        </w:tc>
        <w:tc>
          <w:tcPr>
            <w:tcW w:w="1083" w:type="pct"/>
            <w:vAlign w:val="center"/>
          </w:tcPr>
          <w:p w14:paraId="2F494542">
            <w:pPr>
              <w:spacing w:line="360" w:lineRule="auto"/>
              <w:rPr>
                <w:highlight w:val="none"/>
              </w:rPr>
            </w:pPr>
          </w:p>
        </w:tc>
        <w:tc>
          <w:tcPr>
            <w:tcW w:w="511" w:type="pct"/>
            <w:vAlign w:val="center"/>
          </w:tcPr>
          <w:p w14:paraId="0A39B7DE">
            <w:pPr>
              <w:spacing w:line="360" w:lineRule="auto"/>
              <w:rPr>
                <w:highlight w:val="none"/>
              </w:rPr>
            </w:pPr>
          </w:p>
        </w:tc>
      </w:tr>
      <w:tr w14:paraId="2409D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4A135C36">
            <w:pPr>
              <w:spacing w:line="360" w:lineRule="auto"/>
              <w:rPr>
                <w:highlight w:val="none"/>
              </w:rPr>
            </w:pPr>
            <w:r>
              <w:rPr>
                <w:rFonts w:hint="eastAsia"/>
                <w:highlight w:val="none"/>
              </w:rPr>
              <w:t>7</w:t>
            </w:r>
          </w:p>
        </w:tc>
        <w:tc>
          <w:tcPr>
            <w:tcW w:w="1103" w:type="pct"/>
            <w:vAlign w:val="center"/>
          </w:tcPr>
          <w:p w14:paraId="06064A2A">
            <w:pPr>
              <w:spacing w:line="360" w:lineRule="auto"/>
              <w:rPr>
                <w:highlight w:val="none"/>
              </w:rPr>
            </w:pPr>
            <w:r>
              <w:rPr>
                <w:rFonts w:hint="eastAsia"/>
                <w:highlight w:val="none"/>
                <w:lang w:val="zh-CN"/>
              </w:rPr>
              <w:t>……</w:t>
            </w:r>
          </w:p>
        </w:tc>
        <w:tc>
          <w:tcPr>
            <w:tcW w:w="2074" w:type="pct"/>
            <w:vAlign w:val="center"/>
          </w:tcPr>
          <w:p w14:paraId="45A700BA">
            <w:pPr>
              <w:spacing w:line="360" w:lineRule="auto"/>
              <w:rPr>
                <w:highlight w:val="none"/>
              </w:rPr>
            </w:pPr>
          </w:p>
        </w:tc>
        <w:tc>
          <w:tcPr>
            <w:tcW w:w="1083" w:type="pct"/>
            <w:vAlign w:val="center"/>
          </w:tcPr>
          <w:p w14:paraId="24C68192">
            <w:pPr>
              <w:spacing w:line="360" w:lineRule="auto"/>
              <w:rPr>
                <w:highlight w:val="none"/>
              </w:rPr>
            </w:pPr>
          </w:p>
        </w:tc>
        <w:tc>
          <w:tcPr>
            <w:tcW w:w="511" w:type="pct"/>
            <w:vAlign w:val="center"/>
          </w:tcPr>
          <w:p w14:paraId="5D983D9E">
            <w:pPr>
              <w:spacing w:line="360" w:lineRule="auto"/>
              <w:rPr>
                <w:highlight w:val="none"/>
              </w:rPr>
            </w:pPr>
          </w:p>
        </w:tc>
      </w:tr>
      <w:tr w14:paraId="3C6C4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33B29090">
            <w:pPr>
              <w:spacing w:line="360" w:lineRule="auto"/>
              <w:rPr>
                <w:highlight w:val="none"/>
              </w:rPr>
            </w:pPr>
          </w:p>
        </w:tc>
        <w:tc>
          <w:tcPr>
            <w:tcW w:w="1103" w:type="pct"/>
            <w:shd w:val="clear" w:color="auto" w:fill="auto"/>
            <w:vAlign w:val="center"/>
          </w:tcPr>
          <w:p w14:paraId="79DD08B6">
            <w:pPr>
              <w:spacing w:line="360" w:lineRule="auto"/>
              <w:rPr>
                <w:highlight w:val="none"/>
                <w:lang w:val="zh-CN"/>
              </w:rPr>
            </w:pPr>
            <w:r>
              <w:rPr>
                <w:rFonts w:hint="eastAsia"/>
                <w:highlight w:val="none"/>
                <w:lang w:val="zh-CN"/>
              </w:rPr>
              <w:t>……</w:t>
            </w:r>
          </w:p>
        </w:tc>
        <w:tc>
          <w:tcPr>
            <w:tcW w:w="2074" w:type="pct"/>
            <w:vAlign w:val="center"/>
          </w:tcPr>
          <w:p w14:paraId="46AEF0A7">
            <w:pPr>
              <w:spacing w:line="360" w:lineRule="auto"/>
              <w:rPr>
                <w:highlight w:val="none"/>
              </w:rPr>
            </w:pPr>
          </w:p>
        </w:tc>
        <w:tc>
          <w:tcPr>
            <w:tcW w:w="1083" w:type="pct"/>
            <w:vAlign w:val="center"/>
          </w:tcPr>
          <w:p w14:paraId="34EE5A13">
            <w:pPr>
              <w:spacing w:line="360" w:lineRule="auto"/>
              <w:rPr>
                <w:highlight w:val="none"/>
              </w:rPr>
            </w:pPr>
          </w:p>
        </w:tc>
        <w:tc>
          <w:tcPr>
            <w:tcW w:w="511" w:type="pct"/>
            <w:vAlign w:val="center"/>
          </w:tcPr>
          <w:p w14:paraId="2A73A3CA">
            <w:pPr>
              <w:spacing w:line="360" w:lineRule="auto"/>
              <w:rPr>
                <w:highlight w:val="none"/>
              </w:rPr>
            </w:pPr>
          </w:p>
        </w:tc>
      </w:tr>
    </w:tbl>
    <w:p w14:paraId="6C1514D1">
      <w:pPr>
        <w:spacing w:line="360" w:lineRule="auto"/>
        <w:rPr>
          <w:highlight w:val="none"/>
        </w:rPr>
      </w:pPr>
    </w:p>
    <w:p w14:paraId="454F32ED">
      <w:pPr>
        <w:spacing w:line="360" w:lineRule="auto"/>
        <w:rPr>
          <w:highlight w:val="none"/>
        </w:rPr>
      </w:pPr>
      <w:r>
        <w:rPr>
          <w:rFonts w:hint="eastAsia"/>
          <w:highlight w:val="none"/>
        </w:rPr>
        <w:br w:type="page"/>
      </w:r>
    </w:p>
    <w:p w14:paraId="34DCF5FD">
      <w:pPr>
        <w:pStyle w:val="5"/>
        <w:spacing w:line="360" w:lineRule="auto"/>
        <w:rPr>
          <w:highlight w:val="none"/>
        </w:rPr>
      </w:pPr>
      <w:bookmarkStart w:id="419" w:name="_Toc11528"/>
      <w:r>
        <w:rPr>
          <w:rFonts w:hint="eastAsia"/>
          <w:highlight w:val="none"/>
        </w:rPr>
        <w:t>六、商务响应偏离表</w:t>
      </w:r>
      <w:bookmarkEnd w:id="417"/>
      <w:bookmarkEnd w:id="419"/>
    </w:p>
    <w:p w14:paraId="70308DD2">
      <w:pPr>
        <w:spacing w:line="360" w:lineRule="auto"/>
        <w:rPr>
          <w:highlight w:val="none"/>
        </w:rPr>
      </w:pPr>
      <w:r>
        <w:rPr>
          <w:rFonts w:hint="eastAsia"/>
          <w:highlight w:val="none"/>
        </w:rPr>
        <w:t xml:space="preserve">项目名称：                                         </w:t>
      </w:r>
    </w:p>
    <w:p w14:paraId="1A6843B4">
      <w:pPr>
        <w:spacing w:line="360" w:lineRule="auto"/>
        <w:rPr>
          <w:highlight w:val="none"/>
        </w:rPr>
      </w:pPr>
      <w:r>
        <w:rPr>
          <w:rFonts w:hint="eastAsia"/>
          <w:highlight w:val="none"/>
        </w:rPr>
        <w:t>项目编号</w:t>
      </w:r>
      <w:r>
        <w:rPr>
          <w:rFonts w:hint="eastAsia"/>
          <w:bCs/>
          <w:szCs w:val="21"/>
          <w:highlight w:val="none"/>
        </w:rPr>
        <w:t>/</w:t>
      </w:r>
      <w:r>
        <w:rPr>
          <w:rFonts w:hint="eastAsia"/>
          <w:bCs/>
          <w:szCs w:val="21"/>
          <w:highlight w:val="none"/>
          <w:lang w:val="zh-CN"/>
        </w:rPr>
        <w:t>包号</w:t>
      </w:r>
      <w:r>
        <w:rPr>
          <w:rFonts w:hint="eastAsia"/>
          <w:highlight w:val="none"/>
        </w:rPr>
        <w:t xml:space="preserve">：        </w:t>
      </w:r>
    </w:p>
    <w:tbl>
      <w:tblPr>
        <w:tblStyle w:val="33"/>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3AA27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69BCFD92">
            <w:pPr>
              <w:pStyle w:val="53"/>
              <w:spacing w:line="360" w:lineRule="auto"/>
              <w:jc w:val="center"/>
              <w:rPr>
                <w:rFonts w:cs="宋体"/>
                <w:sz w:val="21"/>
                <w:szCs w:val="21"/>
                <w:highlight w:val="none"/>
              </w:rPr>
            </w:pPr>
            <w:r>
              <w:rPr>
                <w:rFonts w:hint="eastAsia" w:cs="宋体"/>
                <w:sz w:val="21"/>
                <w:szCs w:val="21"/>
                <w:highlight w:val="none"/>
              </w:rPr>
              <w:t>序号</w:t>
            </w:r>
          </w:p>
        </w:tc>
        <w:tc>
          <w:tcPr>
            <w:tcW w:w="1395" w:type="pct"/>
            <w:vAlign w:val="center"/>
          </w:tcPr>
          <w:p w14:paraId="4290BF67">
            <w:pPr>
              <w:pStyle w:val="53"/>
              <w:spacing w:line="360" w:lineRule="auto"/>
              <w:jc w:val="center"/>
              <w:rPr>
                <w:rFonts w:cs="宋体"/>
                <w:sz w:val="21"/>
                <w:szCs w:val="21"/>
                <w:highlight w:val="none"/>
              </w:rPr>
            </w:pPr>
            <w:r>
              <w:rPr>
                <w:rFonts w:hint="eastAsia" w:cs="宋体"/>
                <w:sz w:val="21"/>
                <w:szCs w:val="21"/>
                <w:highlight w:val="none"/>
              </w:rPr>
              <w:t>招标文件的商务条款</w:t>
            </w:r>
          </w:p>
        </w:tc>
        <w:tc>
          <w:tcPr>
            <w:tcW w:w="1002" w:type="pct"/>
            <w:vAlign w:val="center"/>
          </w:tcPr>
          <w:p w14:paraId="062DCD31">
            <w:pPr>
              <w:pStyle w:val="53"/>
              <w:spacing w:line="360" w:lineRule="auto"/>
              <w:jc w:val="center"/>
              <w:rPr>
                <w:rFonts w:cs="宋体"/>
                <w:sz w:val="21"/>
                <w:szCs w:val="21"/>
                <w:highlight w:val="none"/>
              </w:rPr>
            </w:pPr>
            <w:r>
              <w:rPr>
                <w:rFonts w:hint="eastAsia" w:cs="宋体"/>
                <w:sz w:val="21"/>
                <w:szCs w:val="21"/>
                <w:highlight w:val="none"/>
              </w:rPr>
              <w:t>投标文件的响应内容</w:t>
            </w:r>
          </w:p>
        </w:tc>
        <w:tc>
          <w:tcPr>
            <w:tcW w:w="1090" w:type="pct"/>
            <w:vAlign w:val="center"/>
          </w:tcPr>
          <w:p w14:paraId="4DCBBA92">
            <w:pPr>
              <w:pStyle w:val="53"/>
              <w:spacing w:line="360" w:lineRule="auto"/>
              <w:jc w:val="center"/>
              <w:rPr>
                <w:rFonts w:cs="宋体"/>
                <w:sz w:val="21"/>
                <w:szCs w:val="21"/>
                <w:highlight w:val="none"/>
              </w:rPr>
            </w:pPr>
            <w:r>
              <w:rPr>
                <w:rFonts w:hint="eastAsia" w:cs="宋体"/>
                <w:sz w:val="21"/>
                <w:szCs w:val="21"/>
                <w:highlight w:val="none"/>
              </w:rPr>
              <w:t>响应情况</w:t>
            </w:r>
          </w:p>
        </w:tc>
        <w:tc>
          <w:tcPr>
            <w:tcW w:w="1090" w:type="pct"/>
            <w:vAlign w:val="center"/>
          </w:tcPr>
          <w:p w14:paraId="645013B8">
            <w:pPr>
              <w:pStyle w:val="53"/>
              <w:spacing w:line="360" w:lineRule="auto"/>
              <w:jc w:val="center"/>
              <w:rPr>
                <w:rFonts w:cs="宋体"/>
                <w:sz w:val="21"/>
                <w:szCs w:val="21"/>
                <w:highlight w:val="none"/>
              </w:rPr>
            </w:pPr>
            <w:r>
              <w:rPr>
                <w:rFonts w:hint="eastAsia" w:cs="宋体"/>
                <w:sz w:val="21"/>
                <w:szCs w:val="21"/>
                <w:highlight w:val="none"/>
              </w:rPr>
              <w:t>说明及索引</w:t>
            </w:r>
          </w:p>
        </w:tc>
      </w:tr>
      <w:tr w14:paraId="416EC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18471EF9">
            <w:pPr>
              <w:pStyle w:val="53"/>
              <w:spacing w:line="360" w:lineRule="auto"/>
              <w:jc w:val="center"/>
              <w:rPr>
                <w:rFonts w:cs="宋体"/>
                <w:sz w:val="21"/>
                <w:szCs w:val="21"/>
                <w:highlight w:val="none"/>
              </w:rPr>
            </w:pPr>
            <w:r>
              <w:rPr>
                <w:rFonts w:hint="eastAsia" w:cs="宋体"/>
                <w:sz w:val="21"/>
                <w:szCs w:val="21"/>
                <w:highlight w:val="none"/>
              </w:rPr>
              <w:t>1</w:t>
            </w:r>
          </w:p>
        </w:tc>
        <w:tc>
          <w:tcPr>
            <w:tcW w:w="1395" w:type="pct"/>
            <w:vAlign w:val="center"/>
          </w:tcPr>
          <w:p w14:paraId="2E319F8E">
            <w:pPr>
              <w:pStyle w:val="53"/>
              <w:spacing w:line="360" w:lineRule="auto"/>
              <w:jc w:val="center"/>
              <w:rPr>
                <w:rFonts w:cs="宋体"/>
                <w:sz w:val="21"/>
                <w:szCs w:val="21"/>
                <w:highlight w:val="none"/>
              </w:rPr>
            </w:pPr>
            <w:r>
              <w:rPr>
                <w:rFonts w:hint="eastAsia" w:cs="宋体"/>
                <w:sz w:val="21"/>
                <w:szCs w:val="21"/>
                <w:highlight w:val="none"/>
              </w:rPr>
              <w:t>*******</w:t>
            </w:r>
          </w:p>
        </w:tc>
        <w:tc>
          <w:tcPr>
            <w:tcW w:w="1002" w:type="pct"/>
            <w:vAlign w:val="center"/>
          </w:tcPr>
          <w:p w14:paraId="341F79AE">
            <w:pPr>
              <w:pStyle w:val="53"/>
              <w:spacing w:line="360" w:lineRule="auto"/>
              <w:jc w:val="center"/>
              <w:rPr>
                <w:rFonts w:cs="宋体"/>
                <w:sz w:val="21"/>
                <w:szCs w:val="21"/>
                <w:highlight w:val="none"/>
              </w:rPr>
            </w:pPr>
            <w:r>
              <w:rPr>
                <w:rFonts w:hint="eastAsia" w:cs="宋体"/>
                <w:sz w:val="21"/>
                <w:szCs w:val="21"/>
                <w:highlight w:val="none"/>
              </w:rPr>
              <w:t>*******</w:t>
            </w:r>
          </w:p>
        </w:tc>
        <w:tc>
          <w:tcPr>
            <w:tcW w:w="1090" w:type="pct"/>
            <w:vAlign w:val="center"/>
          </w:tcPr>
          <w:p w14:paraId="4B9F4DD0">
            <w:pPr>
              <w:pStyle w:val="53"/>
              <w:spacing w:line="360" w:lineRule="auto"/>
              <w:jc w:val="center"/>
              <w:rPr>
                <w:rFonts w:cs="宋体"/>
                <w:sz w:val="21"/>
                <w:szCs w:val="21"/>
                <w:highlight w:val="none"/>
              </w:rPr>
            </w:pPr>
            <w:r>
              <w:rPr>
                <w:rFonts w:hint="eastAsia" w:cs="宋体"/>
                <w:sz w:val="21"/>
                <w:szCs w:val="21"/>
                <w:highlight w:val="none"/>
              </w:rPr>
              <w:t>响应/偏离</w:t>
            </w:r>
          </w:p>
        </w:tc>
        <w:tc>
          <w:tcPr>
            <w:tcW w:w="1090" w:type="pct"/>
            <w:vAlign w:val="center"/>
          </w:tcPr>
          <w:p w14:paraId="2F0E14CA">
            <w:pPr>
              <w:pStyle w:val="53"/>
              <w:spacing w:line="360" w:lineRule="auto"/>
              <w:jc w:val="center"/>
              <w:rPr>
                <w:rFonts w:cs="宋体"/>
                <w:sz w:val="21"/>
                <w:szCs w:val="21"/>
                <w:highlight w:val="none"/>
              </w:rPr>
            </w:pPr>
          </w:p>
        </w:tc>
      </w:tr>
      <w:tr w14:paraId="53D3C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28A4729B">
            <w:pPr>
              <w:pStyle w:val="53"/>
              <w:spacing w:line="360" w:lineRule="auto"/>
              <w:jc w:val="center"/>
              <w:rPr>
                <w:rFonts w:cs="宋体"/>
                <w:sz w:val="21"/>
                <w:szCs w:val="21"/>
                <w:highlight w:val="none"/>
              </w:rPr>
            </w:pPr>
            <w:r>
              <w:rPr>
                <w:rFonts w:hint="eastAsia" w:cs="宋体"/>
                <w:sz w:val="21"/>
                <w:szCs w:val="21"/>
                <w:highlight w:val="none"/>
              </w:rPr>
              <w:t>2</w:t>
            </w:r>
          </w:p>
        </w:tc>
        <w:tc>
          <w:tcPr>
            <w:tcW w:w="1395" w:type="pct"/>
            <w:vAlign w:val="center"/>
          </w:tcPr>
          <w:p w14:paraId="4E7225F1">
            <w:pPr>
              <w:pStyle w:val="53"/>
              <w:spacing w:line="360" w:lineRule="auto"/>
              <w:jc w:val="center"/>
              <w:rPr>
                <w:rFonts w:cs="宋体"/>
                <w:sz w:val="21"/>
                <w:szCs w:val="21"/>
                <w:highlight w:val="none"/>
              </w:rPr>
            </w:pPr>
            <w:r>
              <w:rPr>
                <w:rFonts w:hint="eastAsia" w:cs="宋体"/>
                <w:sz w:val="21"/>
                <w:szCs w:val="21"/>
                <w:highlight w:val="none"/>
              </w:rPr>
              <w:t>*******</w:t>
            </w:r>
          </w:p>
        </w:tc>
        <w:tc>
          <w:tcPr>
            <w:tcW w:w="1002" w:type="pct"/>
            <w:vAlign w:val="center"/>
          </w:tcPr>
          <w:p w14:paraId="3F0F203D">
            <w:pPr>
              <w:pStyle w:val="53"/>
              <w:spacing w:line="360" w:lineRule="auto"/>
              <w:jc w:val="center"/>
              <w:rPr>
                <w:rFonts w:cs="宋体"/>
                <w:sz w:val="21"/>
                <w:szCs w:val="21"/>
                <w:highlight w:val="none"/>
              </w:rPr>
            </w:pPr>
            <w:r>
              <w:rPr>
                <w:rFonts w:hint="eastAsia" w:cs="宋体"/>
                <w:sz w:val="21"/>
                <w:szCs w:val="21"/>
                <w:highlight w:val="none"/>
              </w:rPr>
              <w:t>*******</w:t>
            </w:r>
          </w:p>
        </w:tc>
        <w:tc>
          <w:tcPr>
            <w:tcW w:w="1090" w:type="pct"/>
            <w:vAlign w:val="center"/>
          </w:tcPr>
          <w:p w14:paraId="4670D71E">
            <w:pPr>
              <w:pStyle w:val="53"/>
              <w:spacing w:line="360" w:lineRule="auto"/>
              <w:jc w:val="center"/>
              <w:rPr>
                <w:rFonts w:cs="宋体"/>
                <w:sz w:val="21"/>
                <w:szCs w:val="21"/>
                <w:highlight w:val="none"/>
              </w:rPr>
            </w:pPr>
          </w:p>
        </w:tc>
        <w:tc>
          <w:tcPr>
            <w:tcW w:w="1090" w:type="pct"/>
            <w:vAlign w:val="center"/>
          </w:tcPr>
          <w:p w14:paraId="35C339AA">
            <w:pPr>
              <w:pStyle w:val="53"/>
              <w:spacing w:line="360" w:lineRule="auto"/>
              <w:jc w:val="center"/>
              <w:rPr>
                <w:rFonts w:cs="宋体"/>
                <w:sz w:val="21"/>
                <w:szCs w:val="21"/>
                <w:highlight w:val="none"/>
              </w:rPr>
            </w:pPr>
          </w:p>
        </w:tc>
      </w:tr>
      <w:tr w14:paraId="3B091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3E4591E">
            <w:pPr>
              <w:pStyle w:val="53"/>
              <w:spacing w:line="360" w:lineRule="auto"/>
              <w:jc w:val="center"/>
              <w:rPr>
                <w:rFonts w:cs="宋体"/>
                <w:sz w:val="21"/>
                <w:szCs w:val="21"/>
                <w:highlight w:val="none"/>
              </w:rPr>
            </w:pPr>
            <w:r>
              <w:rPr>
                <w:rFonts w:hint="eastAsia" w:cs="宋体"/>
                <w:sz w:val="21"/>
                <w:szCs w:val="21"/>
                <w:highlight w:val="none"/>
              </w:rPr>
              <w:t>3</w:t>
            </w:r>
          </w:p>
        </w:tc>
        <w:tc>
          <w:tcPr>
            <w:tcW w:w="1395" w:type="pct"/>
            <w:vAlign w:val="center"/>
          </w:tcPr>
          <w:p w14:paraId="7849F3A2">
            <w:pPr>
              <w:pStyle w:val="53"/>
              <w:spacing w:line="360" w:lineRule="auto"/>
              <w:jc w:val="center"/>
              <w:rPr>
                <w:rFonts w:cs="宋体"/>
                <w:sz w:val="21"/>
                <w:szCs w:val="21"/>
                <w:highlight w:val="none"/>
              </w:rPr>
            </w:pPr>
            <w:r>
              <w:rPr>
                <w:rFonts w:hint="eastAsia" w:cs="宋体"/>
                <w:sz w:val="21"/>
                <w:szCs w:val="21"/>
                <w:highlight w:val="none"/>
              </w:rPr>
              <w:t>*******</w:t>
            </w:r>
          </w:p>
        </w:tc>
        <w:tc>
          <w:tcPr>
            <w:tcW w:w="1002" w:type="pct"/>
            <w:vAlign w:val="center"/>
          </w:tcPr>
          <w:p w14:paraId="3F64DCC9">
            <w:pPr>
              <w:pStyle w:val="53"/>
              <w:spacing w:line="360" w:lineRule="auto"/>
              <w:jc w:val="center"/>
              <w:rPr>
                <w:rFonts w:cs="宋体"/>
                <w:sz w:val="21"/>
                <w:szCs w:val="21"/>
                <w:highlight w:val="none"/>
              </w:rPr>
            </w:pPr>
            <w:r>
              <w:rPr>
                <w:rFonts w:hint="eastAsia" w:cs="宋体"/>
                <w:sz w:val="21"/>
                <w:szCs w:val="21"/>
                <w:highlight w:val="none"/>
              </w:rPr>
              <w:t>*******</w:t>
            </w:r>
          </w:p>
        </w:tc>
        <w:tc>
          <w:tcPr>
            <w:tcW w:w="1090" w:type="pct"/>
            <w:vAlign w:val="center"/>
          </w:tcPr>
          <w:p w14:paraId="0EC8A411">
            <w:pPr>
              <w:pStyle w:val="53"/>
              <w:spacing w:line="360" w:lineRule="auto"/>
              <w:jc w:val="center"/>
              <w:rPr>
                <w:rFonts w:cs="宋体"/>
                <w:sz w:val="21"/>
                <w:szCs w:val="21"/>
                <w:highlight w:val="none"/>
              </w:rPr>
            </w:pPr>
          </w:p>
        </w:tc>
        <w:tc>
          <w:tcPr>
            <w:tcW w:w="1090" w:type="pct"/>
            <w:vAlign w:val="center"/>
          </w:tcPr>
          <w:p w14:paraId="02EC88B1">
            <w:pPr>
              <w:pStyle w:val="53"/>
              <w:spacing w:line="360" w:lineRule="auto"/>
              <w:jc w:val="center"/>
              <w:rPr>
                <w:rFonts w:cs="宋体"/>
                <w:sz w:val="21"/>
                <w:szCs w:val="21"/>
                <w:highlight w:val="none"/>
              </w:rPr>
            </w:pPr>
          </w:p>
        </w:tc>
      </w:tr>
      <w:tr w14:paraId="7AE90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AD8A528">
            <w:pPr>
              <w:pStyle w:val="53"/>
              <w:spacing w:line="360" w:lineRule="auto"/>
              <w:jc w:val="center"/>
              <w:rPr>
                <w:rFonts w:cs="宋体"/>
                <w:sz w:val="21"/>
                <w:szCs w:val="21"/>
                <w:highlight w:val="none"/>
              </w:rPr>
            </w:pPr>
          </w:p>
        </w:tc>
        <w:tc>
          <w:tcPr>
            <w:tcW w:w="1395" w:type="pct"/>
            <w:vAlign w:val="center"/>
          </w:tcPr>
          <w:p w14:paraId="78C67F0C">
            <w:pPr>
              <w:pStyle w:val="53"/>
              <w:spacing w:line="360" w:lineRule="auto"/>
              <w:jc w:val="center"/>
              <w:rPr>
                <w:rFonts w:cs="宋体"/>
                <w:sz w:val="21"/>
                <w:szCs w:val="21"/>
                <w:highlight w:val="none"/>
              </w:rPr>
            </w:pPr>
          </w:p>
        </w:tc>
        <w:tc>
          <w:tcPr>
            <w:tcW w:w="1002" w:type="pct"/>
            <w:vAlign w:val="center"/>
          </w:tcPr>
          <w:p w14:paraId="2F495673">
            <w:pPr>
              <w:pStyle w:val="53"/>
              <w:spacing w:line="360" w:lineRule="auto"/>
              <w:jc w:val="center"/>
              <w:rPr>
                <w:rFonts w:cs="宋体"/>
                <w:sz w:val="21"/>
                <w:szCs w:val="21"/>
                <w:highlight w:val="none"/>
              </w:rPr>
            </w:pPr>
          </w:p>
        </w:tc>
        <w:tc>
          <w:tcPr>
            <w:tcW w:w="1090" w:type="pct"/>
            <w:vAlign w:val="center"/>
          </w:tcPr>
          <w:p w14:paraId="5CFA47A6">
            <w:pPr>
              <w:pStyle w:val="53"/>
              <w:spacing w:line="360" w:lineRule="auto"/>
              <w:jc w:val="center"/>
              <w:rPr>
                <w:rFonts w:cs="宋体"/>
                <w:sz w:val="21"/>
                <w:szCs w:val="21"/>
                <w:highlight w:val="none"/>
              </w:rPr>
            </w:pPr>
          </w:p>
        </w:tc>
        <w:tc>
          <w:tcPr>
            <w:tcW w:w="1090" w:type="pct"/>
            <w:vAlign w:val="center"/>
          </w:tcPr>
          <w:p w14:paraId="20FD1257">
            <w:pPr>
              <w:pStyle w:val="53"/>
              <w:spacing w:line="360" w:lineRule="auto"/>
              <w:jc w:val="center"/>
              <w:rPr>
                <w:rFonts w:cs="宋体"/>
                <w:sz w:val="21"/>
                <w:szCs w:val="21"/>
                <w:highlight w:val="none"/>
              </w:rPr>
            </w:pPr>
          </w:p>
        </w:tc>
      </w:tr>
      <w:tr w14:paraId="51F1F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D591261">
            <w:pPr>
              <w:pStyle w:val="53"/>
              <w:spacing w:line="360" w:lineRule="auto"/>
              <w:jc w:val="center"/>
              <w:rPr>
                <w:rFonts w:cs="宋体"/>
                <w:sz w:val="21"/>
                <w:szCs w:val="21"/>
                <w:highlight w:val="none"/>
              </w:rPr>
            </w:pPr>
          </w:p>
        </w:tc>
        <w:tc>
          <w:tcPr>
            <w:tcW w:w="1395" w:type="pct"/>
            <w:vAlign w:val="center"/>
          </w:tcPr>
          <w:p w14:paraId="366C5D95">
            <w:pPr>
              <w:pStyle w:val="53"/>
              <w:spacing w:line="360" w:lineRule="auto"/>
              <w:jc w:val="center"/>
              <w:rPr>
                <w:rFonts w:cs="宋体"/>
                <w:sz w:val="21"/>
                <w:szCs w:val="21"/>
                <w:highlight w:val="none"/>
              </w:rPr>
            </w:pPr>
          </w:p>
        </w:tc>
        <w:tc>
          <w:tcPr>
            <w:tcW w:w="1002" w:type="pct"/>
            <w:vAlign w:val="center"/>
          </w:tcPr>
          <w:p w14:paraId="1B473820">
            <w:pPr>
              <w:pStyle w:val="53"/>
              <w:spacing w:line="360" w:lineRule="auto"/>
              <w:jc w:val="center"/>
              <w:rPr>
                <w:rFonts w:cs="宋体"/>
                <w:sz w:val="21"/>
                <w:szCs w:val="21"/>
                <w:highlight w:val="none"/>
              </w:rPr>
            </w:pPr>
          </w:p>
        </w:tc>
        <w:tc>
          <w:tcPr>
            <w:tcW w:w="1090" w:type="pct"/>
            <w:vAlign w:val="center"/>
          </w:tcPr>
          <w:p w14:paraId="76DAD8C9">
            <w:pPr>
              <w:pStyle w:val="53"/>
              <w:spacing w:line="360" w:lineRule="auto"/>
              <w:jc w:val="center"/>
              <w:rPr>
                <w:rFonts w:cs="宋体"/>
                <w:sz w:val="21"/>
                <w:szCs w:val="21"/>
                <w:highlight w:val="none"/>
              </w:rPr>
            </w:pPr>
          </w:p>
        </w:tc>
        <w:tc>
          <w:tcPr>
            <w:tcW w:w="1090" w:type="pct"/>
            <w:vAlign w:val="center"/>
          </w:tcPr>
          <w:p w14:paraId="18648F04">
            <w:pPr>
              <w:pStyle w:val="53"/>
              <w:spacing w:line="360" w:lineRule="auto"/>
              <w:jc w:val="center"/>
              <w:rPr>
                <w:rFonts w:cs="宋体"/>
                <w:sz w:val="21"/>
                <w:szCs w:val="21"/>
                <w:highlight w:val="none"/>
              </w:rPr>
            </w:pPr>
          </w:p>
        </w:tc>
      </w:tr>
      <w:tr w14:paraId="1C74D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24F94C25">
            <w:pPr>
              <w:pStyle w:val="53"/>
              <w:spacing w:line="360" w:lineRule="auto"/>
              <w:jc w:val="center"/>
              <w:rPr>
                <w:rFonts w:cs="宋体"/>
                <w:sz w:val="21"/>
                <w:szCs w:val="21"/>
                <w:highlight w:val="none"/>
              </w:rPr>
            </w:pPr>
          </w:p>
        </w:tc>
        <w:tc>
          <w:tcPr>
            <w:tcW w:w="1395" w:type="pct"/>
            <w:vAlign w:val="center"/>
          </w:tcPr>
          <w:p w14:paraId="1DC3C669">
            <w:pPr>
              <w:pStyle w:val="53"/>
              <w:spacing w:line="360" w:lineRule="auto"/>
              <w:jc w:val="center"/>
              <w:rPr>
                <w:rFonts w:cs="宋体"/>
                <w:sz w:val="21"/>
                <w:szCs w:val="21"/>
                <w:highlight w:val="none"/>
              </w:rPr>
            </w:pPr>
          </w:p>
        </w:tc>
        <w:tc>
          <w:tcPr>
            <w:tcW w:w="1002" w:type="pct"/>
            <w:vAlign w:val="center"/>
          </w:tcPr>
          <w:p w14:paraId="46D23629">
            <w:pPr>
              <w:pStyle w:val="53"/>
              <w:spacing w:line="360" w:lineRule="auto"/>
              <w:jc w:val="center"/>
              <w:rPr>
                <w:rFonts w:cs="宋体"/>
                <w:sz w:val="21"/>
                <w:szCs w:val="21"/>
                <w:highlight w:val="none"/>
              </w:rPr>
            </w:pPr>
          </w:p>
        </w:tc>
        <w:tc>
          <w:tcPr>
            <w:tcW w:w="1090" w:type="pct"/>
            <w:vAlign w:val="center"/>
          </w:tcPr>
          <w:p w14:paraId="3E5C428A">
            <w:pPr>
              <w:pStyle w:val="53"/>
              <w:spacing w:line="360" w:lineRule="auto"/>
              <w:jc w:val="center"/>
              <w:rPr>
                <w:rFonts w:cs="宋体"/>
                <w:sz w:val="21"/>
                <w:szCs w:val="21"/>
                <w:highlight w:val="none"/>
              </w:rPr>
            </w:pPr>
          </w:p>
        </w:tc>
        <w:tc>
          <w:tcPr>
            <w:tcW w:w="1090" w:type="pct"/>
            <w:vAlign w:val="center"/>
          </w:tcPr>
          <w:p w14:paraId="60F4116A">
            <w:pPr>
              <w:pStyle w:val="53"/>
              <w:spacing w:line="360" w:lineRule="auto"/>
              <w:jc w:val="center"/>
              <w:rPr>
                <w:rFonts w:cs="宋体"/>
                <w:sz w:val="21"/>
                <w:szCs w:val="21"/>
                <w:highlight w:val="none"/>
              </w:rPr>
            </w:pPr>
          </w:p>
        </w:tc>
      </w:tr>
      <w:tr w14:paraId="2256B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15E1DBD7">
            <w:pPr>
              <w:pStyle w:val="53"/>
              <w:spacing w:line="360" w:lineRule="auto"/>
              <w:jc w:val="center"/>
              <w:rPr>
                <w:rFonts w:cs="宋体"/>
                <w:sz w:val="21"/>
                <w:szCs w:val="21"/>
                <w:highlight w:val="none"/>
              </w:rPr>
            </w:pPr>
          </w:p>
        </w:tc>
        <w:tc>
          <w:tcPr>
            <w:tcW w:w="1395" w:type="pct"/>
            <w:vAlign w:val="center"/>
          </w:tcPr>
          <w:p w14:paraId="0019BBAE">
            <w:pPr>
              <w:pStyle w:val="53"/>
              <w:spacing w:line="360" w:lineRule="auto"/>
              <w:jc w:val="center"/>
              <w:rPr>
                <w:rFonts w:cs="宋体"/>
                <w:sz w:val="21"/>
                <w:szCs w:val="21"/>
                <w:highlight w:val="none"/>
              </w:rPr>
            </w:pPr>
          </w:p>
        </w:tc>
        <w:tc>
          <w:tcPr>
            <w:tcW w:w="1002" w:type="pct"/>
            <w:vAlign w:val="center"/>
          </w:tcPr>
          <w:p w14:paraId="3D2E4CB4">
            <w:pPr>
              <w:pStyle w:val="53"/>
              <w:spacing w:line="360" w:lineRule="auto"/>
              <w:jc w:val="center"/>
              <w:rPr>
                <w:rFonts w:cs="宋体"/>
                <w:sz w:val="21"/>
                <w:szCs w:val="21"/>
                <w:highlight w:val="none"/>
              </w:rPr>
            </w:pPr>
          </w:p>
        </w:tc>
        <w:tc>
          <w:tcPr>
            <w:tcW w:w="1090" w:type="pct"/>
            <w:vAlign w:val="center"/>
          </w:tcPr>
          <w:p w14:paraId="2D800748">
            <w:pPr>
              <w:pStyle w:val="53"/>
              <w:spacing w:line="360" w:lineRule="auto"/>
              <w:jc w:val="center"/>
              <w:rPr>
                <w:rFonts w:cs="宋体"/>
                <w:sz w:val="21"/>
                <w:szCs w:val="21"/>
                <w:highlight w:val="none"/>
              </w:rPr>
            </w:pPr>
          </w:p>
        </w:tc>
        <w:tc>
          <w:tcPr>
            <w:tcW w:w="1090" w:type="pct"/>
            <w:vAlign w:val="center"/>
          </w:tcPr>
          <w:p w14:paraId="3BC5227F">
            <w:pPr>
              <w:pStyle w:val="53"/>
              <w:spacing w:line="360" w:lineRule="auto"/>
              <w:jc w:val="center"/>
              <w:rPr>
                <w:rFonts w:cs="宋体"/>
                <w:sz w:val="21"/>
                <w:szCs w:val="21"/>
                <w:highlight w:val="none"/>
              </w:rPr>
            </w:pPr>
          </w:p>
        </w:tc>
      </w:tr>
      <w:tr w14:paraId="4F10D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3BEE256">
            <w:pPr>
              <w:pStyle w:val="53"/>
              <w:spacing w:line="360" w:lineRule="auto"/>
              <w:jc w:val="center"/>
              <w:rPr>
                <w:rFonts w:cs="宋体"/>
                <w:sz w:val="21"/>
                <w:szCs w:val="21"/>
                <w:highlight w:val="none"/>
              </w:rPr>
            </w:pPr>
          </w:p>
        </w:tc>
        <w:tc>
          <w:tcPr>
            <w:tcW w:w="1395" w:type="pct"/>
            <w:vAlign w:val="center"/>
          </w:tcPr>
          <w:p w14:paraId="5CFAC89A">
            <w:pPr>
              <w:pStyle w:val="53"/>
              <w:spacing w:line="360" w:lineRule="auto"/>
              <w:jc w:val="center"/>
              <w:rPr>
                <w:rFonts w:cs="宋体"/>
                <w:sz w:val="21"/>
                <w:szCs w:val="21"/>
                <w:highlight w:val="none"/>
              </w:rPr>
            </w:pPr>
          </w:p>
        </w:tc>
        <w:tc>
          <w:tcPr>
            <w:tcW w:w="1002" w:type="pct"/>
            <w:vAlign w:val="center"/>
          </w:tcPr>
          <w:p w14:paraId="0AC5EDD7">
            <w:pPr>
              <w:pStyle w:val="53"/>
              <w:spacing w:line="360" w:lineRule="auto"/>
              <w:jc w:val="center"/>
              <w:rPr>
                <w:rFonts w:cs="宋体"/>
                <w:sz w:val="21"/>
                <w:szCs w:val="21"/>
                <w:highlight w:val="none"/>
              </w:rPr>
            </w:pPr>
          </w:p>
        </w:tc>
        <w:tc>
          <w:tcPr>
            <w:tcW w:w="1090" w:type="pct"/>
            <w:vAlign w:val="center"/>
          </w:tcPr>
          <w:p w14:paraId="3779ED8C">
            <w:pPr>
              <w:pStyle w:val="53"/>
              <w:spacing w:line="360" w:lineRule="auto"/>
              <w:jc w:val="center"/>
              <w:rPr>
                <w:rFonts w:cs="宋体"/>
                <w:sz w:val="21"/>
                <w:szCs w:val="21"/>
                <w:highlight w:val="none"/>
              </w:rPr>
            </w:pPr>
          </w:p>
        </w:tc>
        <w:tc>
          <w:tcPr>
            <w:tcW w:w="1090" w:type="pct"/>
            <w:vAlign w:val="center"/>
          </w:tcPr>
          <w:p w14:paraId="6670B560">
            <w:pPr>
              <w:pStyle w:val="53"/>
              <w:spacing w:line="360" w:lineRule="auto"/>
              <w:jc w:val="center"/>
              <w:rPr>
                <w:rFonts w:cs="宋体"/>
                <w:sz w:val="21"/>
                <w:szCs w:val="21"/>
                <w:highlight w:val="none"/>
              </w:rPr>
            </w:pPr>
          </w:p>
        </w:tc>
      </w:tr>
      <w:tr w14:paraId="48EEE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33DE2D5">
            <w:pPr>
              <w:pStyle w:val="53"/>
              <w:spacing w:line="360" w:lineRule="auto"/>
              <w:jc w:val="center"/>
              <w:rPr>
                <w:rFonts w:cs="宋体"/>
                <w:sz w:val="21"/>
                <w:szCs w:val="21"/>
                <w:highlight w:val="none"/>
              </w:rPr>
            </w:pPr>
          </w:p>
        </w:tc>
        <w:tc>
          <w:tcPr>
            <w:tcW w:w="1395" w:type="pct"/>
            <w:vAlign w:val="center"/>
          </w:tcPr>
          <w:p w14:paraId="3FC520C0">
            <w:pPr>
              <w:pStyle w:val="53"/>
              <w:spacing w:line="360" w:lineRule="auto"/>
              <w:jc w:val="center"/>
              <w:rPr>
                <w:rFonts w:cs="宋体"/>
                <w:sz w:val="21"/>
                <w:szCs w:val="21"/>
                <w:highlight w:val="none"/>
              </w:rPr>
            </w:pPr>
          </w:p>
        </w:tc>
        <w:tc>
          <w:tcPr>
            <w:tcW w:w="1002" w:type="pct"/>
            <w:vAlign w:val="center"/>
          </w:tcPr>
          <w:p w14:paraId="2473038C">
            <w:pPr>
              <w:pStyle w:val="53"/>
              <w:spacing w:line="360" w:lineRule="auto"/>
              <w:jc w:val="center"/>
              <w:rPr>
                <w:rFonts w:cs="宋体"/>
                <w:sz w:val="21"/>
                <w:szCs w:val="21"/>
                <w:highlight w:val="none"/>
              </w:rPr>
            </w:pPr>
          </w:p>
        </w:tc>
        <w:tc>
          <w:tcPr>
            <w:tcW w:w="1090" w:type="pct"/>
            <w:vAlign w:val="center"/>
          </w:tcPr>
          <w:p w14:paraId="73CA5C18">
            <w:pPr>
              <w:pStyle w:val="53"/>
              <w:spacing w:line="360" w:lineRule="auto"/>
              <w:jc w:val="center"/>
              <w:rPr>
                <w:rFonts w:cs="宋体"/>
                <w:sz w:val="21"/>
                <w:szCs w:val="21"/>
                <w:highlight w:val="none"/>
              </w:rPr>
            </w:pPr>
          </w:p>
        </w:tc>
        <w:tc>
          <w:tcPr>
            <w:tcW w:w="1090" w:type="pct"/>
            <w:vAlign w:val="center"/>
          </w:tcPr>
          <w:p w14:paraId="2EE57492">
            <w:pPr>
              <w:pStyle w:val="53"/>
              <w:spacing w:line="360" w:lineRule="auto"/>
              <w:jc w:val="center"/>
              <w:rPr>
                <w:rFonts w:cs="宋体"/>
                <w:sz w:val="21"/>
                <w:szCs w:val="21"/>
                <w:highlight w:val="none"/>
              </w:rPr>
            </w:pPr>
          </w:p>
        </w:tc>
      </w:tr>
      <w:tr w14:paraId="32F77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511D994B">
            <w:pPr>
              <w:pStyle w:val="53"/>
              <w:spacing w:line="360" w:lineRule="auto"/>
              <w:jc w:val="center"/>
              <w:rPr>
                <w:rFonts w:cs="宋体"/>
                <w:sz w:val="21"/>
                <w:szCs w:val="21"/>
                <w:highlight w:val="none"/>
              </w:rPr>
            </w:pPr>
            <w:r>
              <w:rPr>
                <w:rFonts w:hint="eastAsia" w:cs="宋体"/>
                <w:sz w:val="21"/>
                <w:szCs w:val="21"/>
                <w:highlight w:val="none"/>
              </w:rPr>
              <w:t>……</w:t>
            </w:r>
          </w:p>
        </w:tc>
        <w:tc>
          <w:tcPr>
            <w:tcW w:w="1395" w:type="pct"/>
            <w:vAlign w:val="center"/>
          </w:tcPr>
          <w:p w14:paraId="55CB93E4">
            <w:pPr>
              <w:pStyle w:val="53"/>
              <w:spacing w:line="360" w:lineRule="auto"/>
              <w:jc w:val="center"/>
              <w:rPr>
                <w:rFonts w:cs="宋体"/>
                <w:sz w:val="21"/>
                <w:szCs w:val="21"/>
                <w:highlight w:val="none"/>
              </w:rPr>
            </w:pPr>
            <w:r>
              <w:rPr>
                <w:rFonts w:hint="eastAsia" w:cs="宋体"/>
                <w:sz w:val="21"/>
                <w:szCs w:val="21"/>
                <w:highlight w:val="none"/>
              </w:rPr>
              <w:t>…………</w:t>
            </w:r>
          </w:p>
        </w:tc>
        <w:tc>
          <w:tcPr>
            <w:tcW w:w="1002" w:type="pct"/>
            <w:vAlign w:val="center"/>
          </w:tcPr>
          <w:p w14:paraId="67F7E25C">
            <w:pPr>
              <w:pStyle w:val="53"/>
              <w:spacing w:line="360" w:lineRule="auto"/>
              <w:jc w:val="center"/>
              <w:rPr>
                <w:rFonts w:cs="宋体"/>
                <w:sz w:val="21"/>
                <w:szCs w:val="21"/>
                <w:highlight w:val="none"/>
              </w:rPr>
            </w:pPr>
            <w:r>
              <w:rPr>
                <w:rFonts w:hint="eastAsia" w:cs="宋体"/>
                <w:sz w:val="21"/>
                <w:szCs w:val="21"/>
                <w:highlight w:val="none"/>
              </w:rPr>
              <w:t>…………</w:t>
            </w:r>
          </w:p>
        </w:tc>
        <w:tc>
          <w:tcPr>
            <w:tcW w:w="1090" w:type="pct"/>
            <w:vAlign w:val="center"/>
          </w:tcPr>
          <w:p w14:paraId="76F661D4">
            <w:pPr>
              <w:pStyle w:val="53"/>
              <w:spacing w:line="360" w:lineRule="auto"/>
              <w:jc w:val="center"/>
              <w:rPr>
                <w:rFonts w:cs="宋体"/>
                <w:sz w:val="21"/>
                <w:szCs w:val="21"/>
                <w:highlight w:val="none"/>
              </w:rPr>
            </w:pPr>
            <w:r>
              <w:rPr>
                <w:rFonts w:hint="eastAsia" w:cs="宋体"/>
                <w:sz w:val="21"/>
                <w:szCs w:val="21"/>
                <w:highlight w:val="none"/>
              </w:rPr>
              <w:t>……</w:t>
            </w:r>
          </w:p>
        </w:tc>
        <w:tc>
          <w:tcPr>
            <w:tcW w:w="1090" w:type="pct"/>
            <w:vAlign w:val="center"/>
          </w:tcPr>
          <w:p w14:paraId="776174CA">
            <w:pPr>
              <w:pStyle w:val="53"/>
              <w:spacing w:line="360" w:lineRule="auto"/>
              <w:jc w:val="center"/>
              <w:rPr>
                <w:rFonts w:cs="宋体"/>
                <w:sz w:val="21"/>
                <w:szCs w:val="21"/>
                <w:highlight w:val="none"/>
              </w:rPr>
            </w:pPr>
          </w:p>
        </w:tc>
      </w:tr>
    </w:tbl>
    <w:p w14:paraId="3A186DC5">
      <w:pPr>
        <w:spacing w:line="360" w:lineRule="auto"/>
        <w:rPr>
          <w:highlight w:val="none"/>
        </w:rPr>
      </w:pPr>
    </w:p>
    <w:p w14:paraId="5A78CE4D">
      <w:pPr>
        <w:spacing w:line="360" w:lineRule="auto"/>
        <w:rPr>
          <w:highlight w:val="none"/>
        </w:rPr>
      </w:pPr>
    </w:p>
    <w:p w14:paraId="5B2F7B66">
      <w:pPr>
        <w:spacing w:line="360" w:lineRule="auto"/>
        <w:rPr>
          <w:highlight w:val="none"/>
        </w:rPr>
      </w:pPr>
      <w:r>
        <w:rPr>
          <w:rFonts w:hint="eastAsia"/>
          <w:highlight w:val="none"/>
        </w:rPr>
        <w:t>投标人名称（</w:t>
      </w:r>
      <w:r>
        <w:rPr>
          <w:rFonts w:hint="eastAsia" w:cs="宋体"/>
          <w:kern w:val="0"/>
          <w:highlight w:val="none"/>
        </w:rPr>
        <w:t>公章）</w:t>
      </w:r>
      <w:r>
        <w:rPr>
          <w:rFonts w:hint="eastAsia"/>
          <w:highlight w:val="none"/>
        </w:rPr>
        <w:t>：</w:t>
      </w:r>
      <w:r>
        <w:rPr>
          <w:highlight w:val="none"/>
        </w:rPr>
        <w:t xml:space="preserve"> </w:t>
      </w:r>
    </w:p>
    <w:p w14:paraId="3D37ADE3">
      <w:pPr>
        <w:spacing w:line="360" w:lineRule="auto"/>
        <w:rPr>
          <w:highlight w:val="none"/>
        </w:rPr>
      </w:pPr>
      <w:r>
        <w:rPr>
          <w:rFonts w:hint="eastAsia"/>
          <w:highlight w:val="none"/>
        </w:rPr>
        <w:t>日      期：</w:t>
      </w:r>
    </w:p>
    <w:p w14:paraId="6D18EDCF">
      <w:pPr>
        <w:spacing w:line="360" w:lineRule="auto"/>
        <w:rPr>
          <w:highlight w:val="none"/>
        </w:rPr>
      </w:pPr>
    </w:p>
    <w:p w14:paraId="2BEADB33">
      <w:pPr>
        <w:spacing w:line="360" w:lineRule="auto"/>
        <w:rPr>
          <w:szCs w:val="24"/>
          <w:highlight w:val="none"/>
        </w:rPr>
      </w:pPr>
      <w:r>
        <w:rPr>
          <w:rFonts w:hint="eastAsia"/>
          <w:highlight w:val="none"/>
        </w:rPr>
        <w:t>注：投标人应按照招标文件“第三章 采购需求”中的商务要求填写：</w:t>
      </w:r>
    </w:p>
    <w:p w14:paraId="1C93593C">
      <w:pPr>
        <w:spacing w:line="360" w:lineRule="auto"/>
        <w:rPr>
          <w:highlight w:val="none"/>
        </w:rPr>
      </w:pPr>
      <w:r>
        <w:rPr>
          <w:rFonts w:hint="eastAsia"/>
          <w:highlight w:val="none"/>
        </w:rPr>
        <w:t xml:space="preserve">1.“招标文件的商务条款”栏应详细列明招标文件中的商务要求。 </w:t>
      </w:r>
    </w:p>
    <w:p w14:paraId="2D6D8839">
      <w:pPr>
        <w:spacing w:line="360" w:lineRule="auto"/>
        <w:rPr>
          <w:highlight w:val="none"/>
        </w:rPr>
      </w:pPr>
      <w:r>
        <w:rPr>
          <w:rFonts w:hint="eastAsia"/>
          <w:highlight w:val="none"/>
        </w:rPr>
        <w:t>2.“投标文件的响应内容”栏填写投标人对招标文件提出的商务条款作出的明确响应，并列明具体响应数值或内容，只注明符合、满足等无具体内容表述的，将视为未实质性满足招标文件要求</w:t>
      </w:r>
      <w:r>
        <w:rPr>
          <w:highlight w:val="none"/>
        </w:rPr>
        <w:t>，</w:t>
      </w:r>
      <w:r>
        <w:rPr>
          <w:rFonts w:hint="eastAsia"/>
          <w:b/>
          <w:bCs/>
          <w:highlight w:val="none"/>
        </w:rPr>
        <w:t>投标</w:t>
      </w:r>
      <w:r>
        <w:rPr>
          <w:b/>
          <w:bCs/>
          <w:highlight w:val="none"/>
        </w:rPr>
        <w:t>无效</w:t>
      </w:r>
      <w:r>
        <w:rPr>
          <w:rFonts w:hint="eastAsia"/>
          <w:highlight w:val="none"/>
        </w:rPr>
        <w:t xml:space="preserve">。 </w:t>
      </w:r>
    </w:p>
    <w:p w14:paraId="4E17E1F9">
      <w:pPr>
        <w:spacing w:line="360" w:lineRule="auto"/>
        <w:rPr>
          <w:highlight w:val="none"/>
        </w:rPr>
      </w:pPr>
      <w:r>
        <w:rPr>
          <w:rFonts w:hint="eastAsia"/>
          <w:highlight w:val="none"/>
        </w:rPr>
        <w:t xml:space="preserve">3.“响应情况”栏应据实填写“响应”、“正偏离”或“负偏离”。 </w:t>
      </w:r>
    </w:p>
    <w:p w14:paraId="6D2BF744">
      <w:pPr>
        <w:spacing w:line="360" w:lineRule="auto"/>
        <w:rPr>
          <w:highlight w:val="none"/>
        </w:rPr>
      </w:pPr>
      <w:r>
        <w:rPr>
          <w:rFonts w:hint="eastAsia"/>
          <w:highlight w:val="none"/>
        </w:rPr>
        <w:t>4.“说明及索引”栏可填写偏离情况的具体说明及索引。</w:t>
      </w:r>
    </w:p>
    <w:p w14:paraId="0D1744D4">
      <w:pPr>
        <w:spacing w:line="360" w:lineRule="auto"/>
        <w:rPr>
          <w:highlight w:val="none"/>
        </w:rPr>
      </w:pPr>
      <w:r>
        <w:rPr>
          <w:rFonts w:hint="eastAsia"/>
          <w:highlight w:val="none"/>
        </w:rPr>
        <w:t>5.对招标文件中的所有商务要求，除本表所列明的所有偏离外，均视作供应商</w:t>
      </w:r>
      <w:r>
        <w:rPr>
          <w:highlight w:val="none"/>
        </w:rPr>
        <w:t>已对之理解和响应。此表中若无任何文字说明，内容为空白的，</w:t>
      </w:r>
      <w:r>
        <w:rPr>
          <w:b/>
          <w:bCs/>
          <w:highlight w:val="none"/>
        </w:rPr>
        <w:t>投标无效</w:t>
      </w:r>
      <w:r>
        <w:rPr>
          <w:highlight w:val="none"/>
        </w:rPr>
        <w:t>。</w:t>
      </w:r>
    </w:p>
    <w:p w14:paraId="60C6463D">
      <w:pPr>
        <w:spacing w:line="360" w:lineRule="auto"/>
        <w:rPr>
          <w:highlight w:val="none"/>
        </w:rPr>
      </w:pPr>
      <w:r>
        <w:rPr>
          <w:highlight w:val="none"/>
        </w:rPr>
        <w:br w:type="page"/>
      </w:r>
    </w:p>
    <w:p w14:paraId="2F675525">
      <w:pPr>
        <w:pStyle w:val="5"/>
        <w:spacing w:line="360" w:lineRule="auto"/>
        <w:rPr>
          <w:highlight w:val="none"/>
        </w:rPr>
      </w:pPr>
      <w:bookmarkStart w:id="420" w:name="_Toc163492930"/>
      <w:bookmarkStart w:id="421" w:name="_Toc17988"/>
      <w:r>
        <w:rPr>
          <w:rFonts w:hint="eastAsia"/>
          <w:highlight w:val="none"/>
        </w:rPr>
        <w:t>七、业绩证明文件</w:t>
      </w:r>
      <w:bookmarkEnd w:id="420"/>
      <w:bookmarkEnd w:id="421"/>
    </w:p>
    <w:p w14:paraId="6E1716B1">
      <w:pPr>
        <w:spacing w:line="360" w:lineRule="auto"/>
        <w:rPr>
          <w:rFonts w:cs="仿宋_GB2312"/>
          <w:szCs w:val="24"/>
          <w:highlight w:val="none"/>
        </w:rPr>
      </w:pPr>
      <w:r>
        <w:rPr>
          <w:highlight w:val="none"/>
        </w:rPr>
        <w:fldChar w:fldCharType="begin"/>
      </w:r>
      <w:r>
        <w:rPr>
          <w:highlight w:val="none"/>
        </w:rPr>
        <w:instrText xml:space="preserve"> LINK Word.Document.8 "D:\\音乐厅\\4通用设备\\招标文件\\音乐厅空调设备招标文件v1.0.doc" "OLE_LINK8" \r  \* MERGEFORMAT </w:instrText>
      </w:r>
      <w:r>
        <w:rPr>
          <w:highlight w:val="none"/>
        </w:rPr>
        <w:fldChar w:fldCharType="separate"/>
      </w:r>
      <w:r>
        <w:rPr>
          <w:rFonts w:hint="eastAsia" w:cs="仿宋_GB2312"/>
          <w:szCs w:val="24"/>
          <w:highlight w:val="none"/>
        </w:rPr>
        <w:t xml:space="preserve">项目名称：                                         </w:t>
      </w:r>
    </w:p>
    <w:p w14:paraId="6118B5CF">
      <w:pPr>
        <w:spacing w:line="360" w:lineRule="auto"/>
        <w:rPr>
          <w:rFonts w:cs="Arial"/>
          <w:bCs/>
          <w:szCs w:val="21"/>
          <w:highlight w:val="none"/>
        </w:rPr>
      </w:pPr>
      <w:r>
        <w:rPr>
          <w:rFonts w:hint="eastAsia"/>
          <w:highlight w:val="none"/>
        </w:rPr>
        <w:t>项目编号</w:t>
      </w:r>
      <w:r>
        <w:rPr>
          <w:rFonts w:hint="eastAsia"/>
          <w:bCs/>
          <w:szCs w:val="21"/>
          <w:highlight w:val="none"/>
        </w:rPr>
        <w:t>/</w:t>
      </w:r>
      <w:r>
        <w:rPr>
          <w:rFonts w:hint="eastAsia"/>
          <w:bCs/>
          <w:szCs w:val="21"/>
          <w:highlight w:val="none"/>
          <w:lang w:val="zh-CN"/>
        </w:rPr>
        <w:t>包号</w:t>
      </w:r>
      <w:r>
        <w:rPr>
          <w:rFonts w:hint="eastAsia"/>
          <w:highlight w:val="none"/>
        </w:rPr>
        <w:t xml:space="preserve">：      </w:t>
      </w:r>
      <w:r>
        <w:rPr>
          <w:rFonts w:cs="Arial"/>
          <w:bCs/>
          <w:szCs w:val="21"/>
          <w:highlight w:val="none"/>
        </w:rPr>
        <w:fldChar w:fldCharType="end"/>
      </w:r>
    </w:p>
    <w:tbl>
      <w:tblPr>
        <w:tblStyle w:val="33"/>
        <w:tblW w:w="9072" w:type="dxa"/>
        <w:tblInd w:w="-2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560"/>
        <w:gridCol w:w="1248"/>
        <w:gridCol w:w="1560"/>
        <w:gridCol w:w="1344"/>
        <w:gridCol w:w="1525"/>
        <w:gridCol w:w="1091"/>
      </w:tblGrid>
      <w:tr w14:paraId="43D07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DD950C1">
            <w:pPr>
              <w:spacing w:line="360" w:lineRule="auto"/>
              <w:rPr>
                <w:highlight w:val="none"/>
              </w:rPr>
            </w:pPr>
            <w:bookmarkStart w:id="422" w:name="_Hlk46779239"/>
            <w:r>
              <w:rPr>
                <w:rFonts w:hint="eastAsia"/>
                <w:highlight w:val="none"/>
              </w:rPr>
              <w:t>序号</w:t>
            </w:r>
          </w:p>
        </w:tc>
        <w:tc>
          <w:tcPr>
            <w:tcW w:w="1560" w:type="dxa"/>
            <w:shd w:val="clear" w:color="auto" w:fill="auto"/>
            <w:vAlign w:val="center"/>
          </w:tcPr>
          <w:p w14:paraId="1EFA8784">
            <w:pPr>
              <w:spacing w:line="360" w:lineRule="auto"/>
              <w:rPr>
                <w:highlight w:val="none"/>
              </w:rPr>
            </w:pPr>
            <w:r>
              <w:rPr>
                <w:rFonts w:hint="eastAsia"/>
                <w:highlight w:val="none"/>
              </w:rPr>
              <w:t>项目名称</w:t>
            </w:r>
          </w:p>
        </w:tc>
        <w:tc>
          <w:tcPr>
            <w:tcW w:w="1248" w:type="dxa"/>
            <w:shd w:val="clear" w:color="auto" w:fill="auto"/>
            <w:vAlign w:val="center"/>
          </w:tcPr>
          <w:p w14:paraId="046C165B">
            <w:pPr>
              <w:spacing w:line="360" w:lineRule="auto"/>
              <w:rPr>
                <w:highlight w:val="none"/>
              </w:rPr>
            </w:pPr>
            <w:r>
              <w:rPr>
                <w:rFonts w:hint="eastAsia"/>
                <w:highlight w:val="none"/>
              </w:rPr>
              <w:t>标的内容</w:t>
            </w:r>
          </w:p>
        </w:tc>
        <w:tc>
          <w:tcPr>
            <w:tcW w:w="1560" w:type="dxa"/>
            <w:shd w:val="clear" w:color="auto" w:fill="auto"/>
            <w:vAlign w:val="center"/>
          </w:tcPr>
          <w:p w14:paraId="71F6AA2F">
            <w:pPr>
              <w:spacing w:line="360" w:lineRule="auto"/>
              <w:rPr>
                <w:highlight w:val="none"/>
              </w:rPr>
            </w:pPr>
            <w:r>
              <w:rPr>
                <w:rFonts w:hint="eastAsia"/>
                <w:highlight w:val="none"/>
              </w:rPr>
              <w:t>采购人名称</w:t>
            </w:r>
          </w:p>
        </w:tc>
        <w:tc>
          <w:tcPr>
            <w:tcW w:w="1344" w:type="dxa"/>
            <w:shd w:val="clear" w:color="auto" w:fill="auto"/>
            <w:vAlign w:val="center"/>
          </w:tcPr>
          <w:p w14:paraId="30F4E66F">
            <w:pPr>
              <w:spacing w:line="360" w:lineRule="auto"/>
              <w:rPr>
                <w:highlight w:val="none"/>
              </w:rPr>
            </w:pPr>
            <w:r>
              <w:rPr>
                <w:rFonts w:hint="eastAsia"/>
                <w:highlight w:val="none"/>
              </w:rPr>
              <w:t>中标（成交）金额</w:t>
            </w:r>
          </w:p>
        </w:tc>
        <w:tc>
          <w:tcPr>
            <w:tcW w:w="1525" w:type="dxa"/>
            <w:shd w:val="clear" w:color="auto" w:fill="auto"/>
            <w:vAlign w:val="center"/>
          </w:tcPr>
          <w:p w14:paraId="14AAF8CA">
            <w:pPr>
              <w:spacing w:line="360" w:lineRule="auto"/>
              <w:rPr>
                <w:highlight w:val="none"/>
              </w:rPr>
            </w:pPr>
            <w:r>
              <w:rPr>
                <w:rFonts w:hint="eastAsia"/>
                <w:highlight w:val="none"/>
              </w:rPr>
              <w:t>采购合同签订时间</w:t>
            </w:r>
          </w:p>
        </w:tc>
        <w:tc>
          <w:tcPr>
            <w:tcW w:w="1091" w:type="dxa"/>
            <w:vAlign w:val="center"/>
          </w:tcPr>
          <w:p w14:paraId="2B11B820">
            <w:pPr>
              <w:spacing w:line="360" w:lineRule="auto"/>
              <w:rPr>
                <w:highlight w:val="none"/>
              </w:rPr>
            </w:pPr>
            <w:r>
              <w:rPr>
                <w:rFonts w:hint="eastAsia"/>
                <w:highlight w:val="none"/>
              </w:rPr>
              <w:t>备注</w:t>
            </w:r>
          </w:p>
        </w:tc>
      </w:tr>
      <w:tr w14:paraId="0F6DC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3D40A1B2">
            <w:pPr>
              <w:spacing w:line="360" w:lineRule="auto"/>
              <w:rPr>
                <w:highlight w:val="none"/>
              </w:rPr>
            </w:pPr>
            <w:r>
              <w:rPr>
                <w:rFonts w:hint="eastAsia"/>
                <w:highlight w:val="none"/>
              </w:rPr>
              <w:t>1</w:t>
            </w:r>
          </w:p>
        </w:tc>
        <w:tc>
          <w:tcPr>
            <w:tcW w:w="1560" w:type="dxa"/>
            <w:vAlign w:val="center"/>
          </w:tcPr>
          <w:p w14:paraId="1A74FB96">
            <w:pPr>
              <w:spacing w:line="360" w:lineRule="auto"/>
              <w:rPr>
                <w:highlight w:val="none"/>
              </w:rPr>
            </w:pPr>
          </w:p>
        </w:tc>
        <w:tc>
          <w:tcPr>
            <w:tcW w:w="1248" w:type="dxa"/>
            <w:vAlign w:val="center"/>
          </w:tcPr>
          <w:p w14:paraId="2B493F7D">
            <w:pPr>
              <w:spacing w:line="360" w:lineRule="auto"/>
              <w:rPr>
                <w:highlight w:val="none"/>
              </w:rPr>
            </w:pPr>
          </w:p>
        </w:tc>
        <w:tc>
          <w:tcPr>
            <w:tcW w:w="1560" w:type="dxa"/>
            <w:vAlign w:val="center"/>
          </w:tcPr>
          <w:p w14:paraId="392D04EB">
            <w:pPr>
              <w:spacing w:line="360" w:lineRule="auto"/>
              <w:rPr>
                <w:highlight w:val="none"/>
              </w:rPr>
            </w:pPr>
          </w:p>
        </w:tc>
        <w:tc>
          <w:tcPr>
            <w:tcW w:w="1344" w:type="dxa"/>
            <w:vAlign w:val="center"/>
          </w:tcPr>
          <w:p w14:paraId="329CC45F">
            <w:pPr>
              <w:spacing w:line="360" w:lineRule="auto"/>
              <w:rPr>
                <w:highlight w:val="none"/>
              </w:rPr>
            </w:pPr>
          </w:p>
        </w:tc>
        <w:tc>
          <w:tcPr>
            <w:tcW w:w="1525" w:type="dxa"/>
            <w:vAlign w:val="center"/>
          </w:tcPr>
          <w:p w14:paraId="036D3C22">
            <w:pPr>
              <w:spacing w:line="360" w:lineRule="auto"/>
              <w:rPr>
                <w:highlight w:val="none"/>
              </w:rPr>
            </w:pPr>
          </w:p>
        </w:tc>
        <w:tc>
          <w:tcPr>
            <w:tcW w:w="1091" w:type="dxa"/>
            <w:vAlign w:val="center"/>
          </w:tcPr>
          <w:p w14:paraId="705941AF">
            <w:pPr>
              <w:spacing w:line="360" w:lineRule="auto"/>
              <w:rPr>
                <w:highlight w:val="none"/>
              </w:rPr>
            </w:pPr>
          </w:p>
        </w:tc>
      </w:tr>
      <w:tr w14:paraId="2A8D0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2F2246E7">
            <w:pPr>
              <w:spacing w:line="360" w:lineRule="auto"/>
              <w:rPr>
                <w:highlight w:val="none"/>
              </w:rPr>
            </w:pPr>
            <w:r>
              <w:rPr>
                <w:rFonts w:hint="eastAsia"/>
                <w:highlight w:val="none"/>
              </w:rPr>
              <w:t>2</w:t>
            </w:r>
          </w:p>
        </w:tc>
        <w:tc>
          <w:tcPr>
            <w:tcW w:w="1560" w:type="dxa"/>
            <w:vAlign w:val="center"/>
          </w:tcPr>
          <w:p w14:paraId="1DDD620D">
            <w:pPr>
              <w:spacing w:line="360" w:lineRule="auto"/>
              <w:rPr>
                <w:highlight w:val="none"/>
              </w:rPr>
            </w:pPr>
          </w:p>
        </w:tc>
        <w:tc>
          <w:tcPr>
            <w:tcW w:w="1248" w:type="dxa"/>
            <w:vAlign w:val="center"/>
          </w:tcPr>
          <w:p w14:paraId="5F11435F">
            <w:pPr>
              <w:spacing w:line="360" w:lineRule="auto"/>
              <w:rPr>
                <w:highlight w:val="none"/>
              </w:rPr>
            </w:pPr>
          </w:p>
        </w:tc>
        <w:tc>
          <w:tcPr>
            <w:tcW w:w="1560" w:type="dxa"/>
            <w:vAlign w:val="center"/>
          </w:tcPr>
          <w:p w14:paraId="38841BC8">
            <w:pPr>
              <w:spacing w:line="360" w:lineRule="auto"/>
              <w:rPr>
                <w:highlight w:val="none"/>
              </w:rPr>
            </w:pPr>
          </w:p>
        </w:tc>
        <w:tc>
          <w:tcPr>
            <w:tcW w:w="1344" w:type="dxa"/>
            <w:vAlign w:val="center"/>
          </w:tcPr>
          <w:p w14:paraId="2E8F74EA">
            <w:pPr>
              <w:spacing w:line="360" w:lineRule="auto"/>
              <w:rPr>
                <w:highlight w:val="none"/>
              </w:rPr>
            </w:pPr>
          </w:p>
        </w:tc>
        <w:tc>
          <w:tcPr>
            <w:tcW w:w="1525" w:type="dxa"/>
            <w:vAlign w:val="center"/>
          </w:tcPr>
          <w:p w14:paraId="1B8027CA">
            <w:pPr>
              <w:spacing w:line="360" w:lineRule="auto"/>
              <w:rPr>
                <w:highlight w:val="none"/>
              </w:rPr>
            </w:pPr>
          </w:p>
        </w:tc>
        <w:tc>
          <w:tcPr>
            <w:tcW w:w="1091" w:type="dxa"/>
            <w:vAlign w:val="center"/>
          </w:tcPr>
          <w:p w14:paraId="3A3E90BE">
            <w:pPr>
              <w:spacing w:line="360" w:lineRule="auto"/>
              <w:rPr>
                <w:highlight w:val="none"/>
              </w:rPr>
            </w:pPr>
          </w:p>
        </w:tc>
      </w:tr>
      <w:tr w14:paraId="6CCC7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6D2340DB">
            <w:pPr>
              <w:spacing w:line="360" w:lineRule="auto"/>
              <w:rPr>
                <w:highlight w:val="none"/>
              </w:rPr>
            </w:pPr>
            <w:r>
              <w:rPr>
                <w:rFonts w:hint="eastAsia"/>
                <w:highlight w:val="none"/>
              </w:rPr>
              <w:t>3</w:t>
            </w:r>
          </w:p>
        </w:tc>
        <w:tc>
          <w:tcPr>
            <w:tcW w:w="1560" w:type="dxa"/>
            <w:vAlign w:val="center"/>
          </w:tcPr>
          <w:p w14:paraId="2430F29A">
            <w:pPr>
              <w:spacing w:line="360" w:lineRule="auto"/>
              <w:rPr>
                <w:highlight w:val="none"/>
              </w:rPr>
            </w:pPr>
          </w:p>
        </w:tc>
        <w:tc>
          <w:tcPr>
            <w:tcW w:w="1248" w:type="dxa"/>
            <w:vAlign w:val="center"/>
          </w:tcPr>
          <w:p w14:paraId="61E3A20F">
            <w:pPr>
              <w:spacing w:line="360" w:lineRule="auto"/>
              <w:rPr>
                <w:highlight w:val="none"/>
              </w:rPr>
            </w:pPr>
          </w:p>
        </w:tc>
        <w:tc>
          <w:tcPr>
            <w:tcW w:w="1560" w:type="dxa"/>
            <w:vAlign w:val="center"/>
          </w:tcPr>
          <w:p w14:paraId="5FE324D6">
            <w:pPr>
              <w:spacing w:line="360" w:lineRule="auto"/>
              <w:rPr>
                <w:highlight w:val="none"/>
              </w:rPr>
            </w:pPr>
          </w:p>
        </w:tc>
        <w:tc>
          <w:tcPr>
            <w:tcW w:w="1344" w:type="dxa"/>
            <w:vAlign w:val="center"/>
          </w:tcPr>
          <w:p w14:paraId="31A9F615">
            <w:pPr>
              <w:spacing w:line="360" w:lineRule="auto"/>
              <w:rPr>
                <w:highlight w:val="none"/>
              </w:rPr>
            </w:pPr>
          </w:p>
        </w:tc>
        <w:tc>
          <w:tcPr>
            <w:tcW w:w="1525" w:type="dxa"/>
            <w:vAlign w:val="center"/>
          </w:tcPr>
          <w:p w14:paraId="15B96E17">
            <w:pPr>
              <w:spacing w:line="360" w:lineRule="auto"/>
              <w:rPr>
                <w:highlight w:val="none"/>
              </w:rPr>
            </w:pPr>
          </w:p>
        </w:tc>
        <w:tc>
          <w:tcPr>
            <w:tcW w:w="1091" w:type="dxa"/>
            <w:vAlign w:val="center"/>
          </w:tcPr>
          <w:p w14:paraId="6EBC1F4C">
            <w:pPr>
              <w:spacing w:line="360" w:lineRule="auto"/>
              <w:rPr>
                <w:highlight w:val="none"/>
              </w:rPr>
            </w:pPr>
          </w:p>
        </w:tc>
      </w:tr>
      <w:tr w14:paraId="40046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1020F6FE">
            <w:pPr>
              <w:spacing w:line="360" w:lineRule="auto"/>
              <w:rPr>
                <w:highlight w:val="none"/>
              </w:rPr>
            </w:pPr>
            <w:r>
              <w:rPr>
                <w:rFonts w:hint="eastAsia"/>
                <w:highlight w:val="none"/>
              </w:rPr>
              <w:t>4</w:t>
            </w:r>
          </w:p>
        </w:tc>
        <w:tc>
          <w:tcPr>
            <w:tcW w:w="1560" w:type="dxa"/>
            <w:vAlign w:val="center"/>
          </w:tcPr>
          <w:p w14:paraId="121C3952">
            <w:pPr>
              <w:spacing w:line="360" w:lineRule="auto"/>
              <w:rPr>
                <w:highlight w:val="none"/>
              </w:rPr>
            </w:pPr>
          </w:p>
        </w:tc>
        <w:tc>
          <w:tcPr>
            <w:tcW w:w="1248" w:type="dxa"/>
            <w:vAlign w:val="center"/>
          </w:tcPr>
          <w:p w14:paraId="7AF087B2">
            <w:pPr>
              <w:spacing w:line="360" w:lineRule="auto"/>
              <w:rPr>
                <w:highlight w:val="none"/>
              </w:rPr>
            </w:pPr>
          </w:p>
        </w:tc>
        <w:tc>
          <w:tcPr>
            <w:tcW w:w="1560" w:type="dxa"/>
            <w:vAlign w:val="center"/>
          </w:tcPr>
          <w:p w14:paraId="7D74A1EC">
            <w:pPr>
              <w:spacing w:line="360" w:lineRule="auto"/>
              <w:rPr>
                <w:highlight w:val="none"/>
              </w:rPr>
            </w:pPr>
          </w:p>
        </w:tc>
        <w:tc>
          <w:tcPr>
            <w:tcW w:w="1344" w:type="dxa"/>
            <w:vAlign w:val="center"/>
          </w:tcPr>
          <w:p w14:paraId="7C3D7491">
            <w:pPr>
              <w:spacing w:line="360" w:lineRule="auto"/>
              <w:rPr>
                <w:highlight w:val="none"/>
              </w:rPr>
            </w:pPr>
          </w:p>
        </w:tc>
        <w:tc>
          <w:tcPr>
            <w:tcW w:w="1525" w:type="dxa"/>
            <w:vAlign w:val="center"/>
          </w:tcPr>
          <w:p w14:paraId="72B2E91B">
            <w:pPr>
              <w:spacing w:line="360" w:lineRule="auto"/>
              <w:rPr>
                <w:highlight w:val="none"/>
              </w:rPr>
            </w:pPr>
          </w:p>
        </w:tc>
        <w:tc>
          <w:tcPr>
            <w:tcW w:w="1091" w:type="dxa"/>
            <w:vAlign w:val="center"/>
          </w:tcPr>
          <w:p w14:paraId="484E3123">
            <w:pPr>
              <w:spacing w:line="360" w:lineRule="auto"/>
              <w:rPr>
                <w:highlight w:val="none"/>
              </w:rPr>
            </w:pPr>
          </w:p>
        </w:tc>
      </w:tr>
      <w:tr w14:paraId="6CA25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5906E309">
            <w:pPr>
              <w:spacing w:line="360" w:lineRule="auto"/>
              <w:rPr>
                <w:highlight w:val="none"/>
              </w:rPr>
            </w:pPr>
            <w:r>
              <w:rPr>
                <w:rFonts w:hint="eastAsia"/>
                <w:highlight w:val="none"/>
              </w:rPr>
              <w:t>5</w:t>
            </w:r>
          </w:p>
        </w:tc>
        <w:tc>
          <w:tcPr>
            <w:tcW w:w="1560" w:type="dxa"/>
            <w:vAlign w:val="center"/>
          </w:tcPr>
          <w:p w14:paraId="7DB308A2">
            <w:pPr>
              <w:spacing w:line="360" w:lineRule="auto"/>
              <w:rPr>
                <w:highlight w:val="none"/>
              </w:rPr>
            </w:pPr>
          </w:p>
        </w:tc>
        <w:tc>
          <w:tcPr>
            <w:tcW w:w="1248" w:type="dxa"/>
            <w:vAlign w:val="center"/>
          </w:tcPr>
          <w:p w14:paraId="7FC57EC0">
            <w:pPr>
              <w:spacing w:line="360" w:lineRule="auto"/>
              <w:rPr>
                <w:highlight w:val="none"/>
              </w:rPr>
            </w:pPr>
          </w:p>
        </w:tc>
        <w:tc>
          <w:tcPr>
            <w:tcW w:w="1560" w:type="dxa"/>
            <w:vAlign w:val="center"/>
          </w:tcPr>
          <w:p w14:paraId="77A01AA6">
            <w:pPr>
              <w:spacing w:line="360" w:lineRule="auto"/>
              <w:rPr>
                <w:highlight w:val="none"/>
              </w:rPr>
            </w:pPr>
          </w:p>
        </w:tc>
        <w:tc>
          <w:tcPr>
            <w:tcW w:w="1344" w:type="dxa"/>
            <w:vAlign w:val="center"/>
          </w:tcPr>
          <w:p w14:paraId="080E9205">
            <w:pPr>
              <w:spacing w:line="360" w:lineRule="auto"/>
              <w:rPr>
                <w:highlight w:val="none"/>
              </w:rPr>
            </w:pPr>
          </w:p>
        </w:tc>
        <w:tc>
          <w:tcPr>
            <w:tcW w:w="1525" w:type="dxa"/>
            <w:vAlign w:val="center"/>
          </w:tcPr>
          <w:p w14:paraId="5AFF92C5">
            <w:pPr>
              <w:spacing w:line="360" w:lineRule="auto"/>
              <w:rPr>
                <w:highlight w:val="none"/>
              </w:rPr>
            </w:pPr>
          </w:p>
        </w:tc>
        <w:tc>
          <w:tcPr>
            <w:tcW w:w="1091" w:type="dxa"/>
            <w:vAlign w:val="center"/>
          </w:tcPr>
          <w:p w14:paraId="1059A3F4">
            <w:pPr>
              <w:spacing w:line="360" w:lineRule="auto"/>
              <w:rPr>
                <w:highlight w:val="none"/>
              </w:rPr>
            </w:pPr>
          </w:p>
        </w:tc>
      </w:tr>
      <w:tr w14:paraId="6BC9F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44" w:type="dxa"/>
            <w:vAlign w:val="center"/>
          </w:tcPr>
          <w:p w14:paraId="6462E33D">
            <w:pPr>
              <w:spacing w:line="360" w:lineRule="auto"/>
              <w:rPr>
                <w:highlight w:val="none"/>
              </w:rPr>
            </w:pPr>
            <w:r>
              <w:rPr>
                <w:rFonts w:hint="eastAsia"/>
                <w:highlight w:val="none"/>
              </w:rPr>
              <w:t>…</w:t>
            </w:r>
          </w:p>
        </w:tc>
        <w:tc>
          <w:tcPr>
            <w:tcW w:w="1560" w:type="dxa"/>
            <w:vAlign w:val="center"/>
          </w:tcPr>
          <w:p w14:paraId="49474EE9">
            <w:pPr>
              <w:spacing w:line="360" w:lineRule="auto"/>
              <w:rPr>
                <w:highlight w:val="none"/>
              </w:rPr>
            </w:pPr>
          </w:p>
        </w:tc>
        <w:tc>
          <w:tcPr>
            <w:tcW w:w="1248" w:type="dxa"/>
            <w:vAlign w:val="center"/>
          </w:tcPr>
          <w:p w14:paraId="7F2F1AC9">
            <w:pPr>
              <w:spacing w:line="360" w:lineRule="auto"/>
              <w:rPr>
                <w:highlight w:val="none"/>
              </w:rPr>
            </w:pPr>
          </w:p>
        </w:tc>
        <w:tc>
          <w:tcPr>
            <w:tcW w:w="1560" w:type="dxa"/>
            <w:vAlign w:val="center"/>
          </w:tcPr>
          <w:p w14:paraId="7B5483E8">
            <w:pPr>
              <w:spacing w:line="360" w:lineRule="auto"/>
              <w:rPr>
                <w:highlight w:val="none"/>
              </w:rPr>
            </w:pPr>
          </w:p>
        </w:tc>
        <w:tc>
          <w:tcPr>
            <w:tcW w:w="1344" w:type="dxa"/>
            <w:vAlign w:val="center"/>
          </w:tcPr>
          <w:p w14:paraId="044749F1">
            <w:pPr>
              <w:spacing w:line="360" w:lineRule="auto"/>
              <w:rPr>
                <w:highlight w:val="none"/>
              </w:rPr>
            </w:pPr>
          </w:p>
        </w:tc>
        <w:tc>
          <w:tcPr>
            <w:tcW w:w="1525" w:type="dxa"/>
            <w:vAlign w:val="center"/>
          </w:tcPr>
          <w:p w14:paraId="2DDAD109">
            <w:pPr>
              <w:spacing w:line="360" w:lineRule="auto"/>
              <w:rPr>
                <w:highlight w:val="none"/>
              </w:rPr>
            </w:pPr>
          </w:p>
        </w:tc>
        <w:tc>
          <w:tcPr>
            <w:tcW w:w="1091" w:type="dxa"/>
            <w:vAlign w:val="center"/>
          </w:tcPr>
          <w:p w14:paraId="32C441E0">
            <w:pPr>
              <w:spacing w:line="360" w:lineRule="auto"/>
              <w:rPr>
                <w:highlight w:val="none"/>
              </w:rPr>
            </w:pPr>
          </w:p>
        </w:tc>
      </w:tr>
      <w:bookmarkEnd w:id="422"/>
    </w:tbl>
    <w:p w14:paraId="3CD24294">
      <w:pPr>
        <w:spacing w:line="360" w:lineRule="auto"/>
        <w:rPr>
          <w:highlight w:val="none"/>
        </w:rPr>
      </w:pPr>
    </w:p>
    <w:p w14:paraId="1F3E71FC">
      <w:pPr>
        <w:spacing w:line="360" w:lineRule="auto"/>
        <w:rPr>
          <w:highlight w:val="none"/>
        </w:rPr>
      </w:pPr>
      <w:r>
        <w:rPr>
          <w:rFonts w:hint="eastAsia"/>
          <w:highlight w:val="none"/>
        </w:rPr>
        <w:t>注：投标人须按相关要求提供相应的采购合同、至少一张与采购合同对应的发票等业绩证明资料。</w:t>
      </w:r>
    </w:p>
    <w:p w14:paraId="14F9994F">
      <w:pPr>
        <w:spacing w:line="360" w:lineRule="auto"/>
        <w:rPr>
          <w:highlight w:val="none"/>
        </w:rPr>
      </w:pPr>
    </w:p>
    <w:p w14:paraId="7C906B17">
      <w:pPr>
        <w:spacing w:line="360" w:lineRule="auto"/>
        <w:rPr>
          <w:highlight w:val="none"/>
        </w:rPr>
      </w:pPr>
      <w:r>
        <w:rPr>
          <w:rFonts w:hint="eastAsia"/>
          <w:highlight w:val="none"/>
        </w:rPr>
        <w:t>投标人名称（</w:t>
      </w:r>
      <w:r>
        <w:rPr>
          <w:rFonts w:hint="eastAsia" w:cs="宋体"/>
          <w:kern w:val="0"/>
          <w:highlight w:val="none"/>
        </w:rPr>
        <w:t>公章）</w:t>
      </w:r>
      <w:r>
        <w:rPr>
          <w:rFonts w:hint="eastAsia"/>
          <w:highlight w:val="none"/>
        </w:rPr>
        <w:t>：</w:t>
      </w:r>
      <w:r>
        <w:rPr>
          <w:highlight w:val="none"/>
        </w:rPr>
        <w:t xml:space="preserve"> </w:t>
      </w:r>
    </w:p>
    <w:p w14:paraId="266ABE1E">
      <w:pPr>
        <w:spacing w:line="360" w:lineRule="auto"/>
        <w:rPr>
          <w:highlight w:val="none"/>
        </w:rPr>
      </w:pPr>
      <w:r>
        <w:rPr>
          <w:rFonts w:hint="eastAsia"/>
          <w:highlight w:val="none"/>
        </w:rPr>
        <w:t>日      期：</w:t>
      </w:r>
    </w:p>
    <w:p w14:paraId="734067CA">
      <w:pPr>
        <w:spacing w:line="360" w:lineRule="auto"/>
        <w:rPr>
          <w:highlight w:val="none"/>
        </w:rPr>
      </w:pPr>
      <w:r>
        <w:rPr>
          <w:highlight w:val="none"/>
        </w:rPr>
        <w:br w:type="page"/>
      </w:r>
    </w:p>
    <w:p w14:paraId="3F9564DC">
      <w:pPr>
        <w:pStyle w:val="5"/>
        <w:spacing w:line="360" w:lineRule="auto"/>
        <w:rPr>
          <w:highlight w:val="none"/>
        </w:rPr>
      </w:pPr>
      <w:bookmarkStart w:id="423" w:name="_Toc10743"/>
      <w:bookmarkStart w:id="424" w:name="_Toc163492931"/>
      <w:r>
        <w:rPr>
          <w:rFonts w:hint="eastAsia"/>
          <w:highlight w:val="none"/>
        </w:rPr>
        <w:t>八、拟派项目团队</w:t>
      </w:r>
      <w:bookmarkEnd w:id="423"/>
      <w:bookmarkEnd w:id="424"/>
    </w:p>
    <w:tbl>
      <w:tblPr>
        <w:tblStyle w:val="33"/>
        <w:tblW w:w="94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0"/>
        <w:gridCol w:w="1508"/>
        <w:gridCol w:w="1286"/>
        <w:gridCol w:w="957"/>
        <w:gridCol w:w="2214"/>
        <w:gridCol w:w="1614"/>
        <w:gridCol w:w="971"/>
      </w:tblGrid>
      <w:tr w14:paraId="74974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jc w:val="center"/>
        </w:trPr>
        <w:tc>
          <w:tcPr>
            <w:tcW w:w="920" w:type="dxa"/>
            <w:vAlign w:val="center"/>
          </w:tcPr>
          <w:p w14:paraId="2AECA597">
            <w:pPr>
              <w:pStyle w:val="53"/>
              <w:spacing w:line="360" w:lineRule="auto"/>
              <w:jc w:val="center"/>
              <w:rPr>
                <w:rFonts w:cs="宋体"/>
                <w:sz w:val="21"/>
                <w:szCs w:val="21"/>
                <w:highlight w:val="none"/>
              </w:rPr>
            </w:pPr>
            <w:r>
              <w:rPr>
                <w:rFonts w:hint="eastAsia" w:cs="宋体"/>
                <w:sz w:val="21"/>
                <w:szCs w:val="21"/>
                <w:highlight w:val="none"/>
              </w:rPr>
              <w:t>序号</w:t>
            </w:r>
          </w:p>
        </w:tc>
        <w:tc>
          <w:tcPr>
            <w:tcW w:w="1508" w:type="dxa"/>
            <w:vAlign w:val="center"/>
          </w:tcPr>
          <w:p w14:paraId="46CDC3FE">
            <w:pPr>
              <w:pStyle w:val="53"/>
              <w:spacing w:line="360" w:lineRule="auto"/>
              <w:jc w:val="center"/>
              <w:rPr>
                <w:rFonts w:cs="宋体"/>
                <w:sz w:val="21"/>
                <w:szCs w:val="21"/>
                <w:highlight w:val="none"/>
              </w:rPr>
            </w:pPr>
            <w:r>
              <w:rPr>
                <w:rFonts w:hint="eastAsia" w:cs="宋体"/>
                <w:sz w:val="21"/>
                <w:szCs w:val="21"/>
                <w:highlight w:val="none"/>
              </w:rPr>
              <w:t>团队成员</w:t>
            </w:r>
          </w:p>
          <w:p w14:paraId="53C52A5D">
            <w:pPr>
              <w:pStyle w:val="53"/>
              <w:spacing w:line="360" w:lineRule="auto"/>
              <w:jc w:val="center"/>
              <w:rPr>
                <w:rFonts w:cs="宋体"/>
                <w:sz w:val="21"/>
                <w:szCs w:val="21"/>
                <w:highlight w:val="none"/>
              </w:rPr>
            </w:pPr>
            <w:r>
              <w:rPr>
                <w:rFonts w:hint="eastAsia" w:cs="宋体"/>
                <w:sz w:val="21"/>
                <w:szCs w:val="21"/>
                <w:highlight w:val="none"/>
              </w:rPr>
              <w:t>姓名</w:t>
            </w:r>
          </w:p>
        </w:tc>
        <w:tc>
          <w:tcPr>
            <w:tcW w:w="1286" w:type="dxa"/>
            <w:tcBorders>
              <w:left w:val="single" w:color="auto" w:sz="4" w:space="0"/>
            </w:tcBorders>
            <w:vAlign w:val="center"/>
          </w:tcPr>
          <w:p w14:paraId="166D40A6">
            <w:pPr>
              <w:pStyle w:val="53"/>
              <w:spacing w:line="360" w:lineRule="auto"/>
              <w:jc w:val="center"/>
              <w:rPr>
                <w:rFonts w:cs="宋体"/>
                <w:sz w:val="21"/>
                <w:szCs w:val="21"/>
                <w:highlight w:val="none"/>
              </w:rPr>
            </w:pPr>
            <w:r>
              <w:rPr>
                <w:rFonts w:hint="eastAsia" w:cs="宋体"/>
                <w:sz w:val="21"/>
                <w:szCs w:val="21"/>
                <w:highlight w:val="none"/>
              </w:rPr>
              <w:t>身份证号</w:t>
            </w:r>
          </w:p>
        </w:tc>
        <w:tc>
          <w:tcPr>
            <w:tcW w:w="957" w:type="dxa"/>
            <w:tcBorders>
              <w:left w:val="single" w:color="auto" w:sz="4" w:space="0"/>
            </w:tcBorders>
            <w:vAlign w:val="center"/>
          </w:tcPr>
          <w:p w14:paraId="09CA2AC7">
            <w:pPr>
              <w:pStyle w:val="53"/>
              <w:spacing w:line="360" w:lineRule="auto"/>
              <w:jc w:val="center"/>
              <w:rPr>
                <w:rFonts w:cs="宋体"/>
                <w:sz w:val="21"/>
                <w:szCs w:val="21"/>
                <w:highlight w:val="none"/>
              </w:rPr>
            </w:pPr>
            <w:r>
              <w:rPr>
                <w:rFonts w:hint="eastAsia" w:cs="宋体"/>
                <w:sz w:val="21"/>
                <w:szCs w:val="21"/>
                <w:highlight w:val="none"/>
              </w:rPr>
              <w:t>职称</w:t>
            </w:r>
          </w:p>
        </w:tc>
        <w:tc>
          <w:tcPr>
            <w:tcW w:w="2214" w:type="dxa"/>
            <w:vAlign w:val="center"/>
          </w:tcPr>
          <w:p w14:paraId="125FD09A">
            <w:pPr>
              <w:pStyle w:val="53"/>
              <w:spacing w:line="360" w:lineRule="auto"/>
              <w:jc w:val="center"/>
              <w:rPr>
                <w:rFonts w:cs="宋体"/>
                <w:sz w:val="21"/>
                <w:szCs w:val="21"/>
                <w:highlight w:val="none"/>
              </w:rPr>
            </w:pPr>
            <w:r>
              <w:rPr>
                <w:rFonts w:hint="eastAsia" w:cs="宋体"/>
                <w:sz w:val="21"/>
                <w:szCs w:val="21"/>
                <w:highlight w:val="none"/>
              </w:rPr>
              <w:t>注册证书（岗位证书）名称及编号</w:t>
            </w:r>
          </w:p>
        </w:tc>
        <w:tc>
          <w:tcPr>
            <w:tcW w:w="1614" w:type="dxa"/>
            <w:vAlign w:val="center"/>
          </w:tcPr>
          <w:p w14:paraId="68442E33">
            <w:pPr>
              <w:pStyle w:val="53"/>
              <w:spacing w:line="360" w:lineRule="auto"/>
              <w:jc w:val="center"/>
              <w:rPr>
                <w:rFonts w:cs="宋体"/>
                <w:sz w:val="21"/>
                <w:szCs w:val="21"/>
                <w:highlight w:val="none"/>
              </w:rPr>
            </w:pPr>
            <w:r>
              <w:rPr>
                <w:rFonts w:hint="eastAsia" w:cs="宋体"/>
                <w:sz w:val="21"/>
                <w:szCs w:val="21"/>
                <w:highlight w:val="none"/>
              </w:rPr>
              <w:t>在团队中职务（岗位）</w:t>
            </w:r>
          </w:p>
        </w:tc>
        <w:tc>
          <w:tcPr>
            <w:tcW w:w="971" w:type="dxa"/>
            <w:vAlign w:val="center"/>
          </w:tcPr>
          <w:p w14:paraId="6349E180">
            <w:pPr>
              <w:pStyle w:val="53"/>
              <w:spacing w:line="360" w:lineRule="auto"/>
              <w:jc w:val="center"/>
              <w:rPr>
                <w:rFonts w:cs="宋体"/>
                <w:sz w:val="21"/>
                <w:szCs w:val="21"/>
                <w:highlight w:val="none"/>
              </w:rPr>
            </w:pPr>
            <w:r>
              <w:rPr>
                <w:rFonts w:hint="eastAsia" w:cs="宋体"/>
                <w:sz w:val="21"/>
                <w:szCs w:val="21"/>
                <w:highlight w:val="none"/>
              </w:rPr>
              <w:t>备注</w:t>
            </w:r>
          </w:p>
        </w:tc>
      </w:tr>
      <w:tr w14:paraId="6B8F4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1B927793">
            <w:pPr>
              <w:pStyle w:val="53"/>
              <w:spacing w:line="360" w:lineRule="auto"/>
              <w:jc w:val="center"/>
              <w:rPr>
                <w:rFonts w:cs="宋体"/>
                <w:sz w:val="21"/>
                <w:szCs w:val="21"/>
                <w:highlight w:val="none"/>
              </w:rPr>
            </w:pPr>
            <w:bookmarkStart w:id="425" w:name="_Toc100090784"/>
            <w:bookmarkStart w:id="426" w:name="_Toc99533292"/>
            <w:r>
              <w:rPr>
                <w:rFonts w:hint="eastAsia" w:cs="宋体"/>
                <w:sz w:val="21"/>
                <w:szCs w:val="21"/>
                <w:highlight w:val="none"/>
              </w:rPr>
              <w:t>1</w:t>
            </w:r>
            <w:bookmarkEnd w:id="425"/>
            <w:bookmarkEnd w:id="426"/>
          </w:p>
        </w:tc>
        <w:tc>
          <w:tcPr>
            <w:tcW w:w="1508" w:type="dxa"/>
            <w:vAlign w:val="center"/>
          </w:tcPr>
          <w:p w14:paraId="056FC603">
            <w:pPr>
              <w:pStyle w:val="53"/>
              <w:spacing w:line="360" w:lineRule="auto"/>
              <w:jc w:val="center"/>
              <w:rPr>
                <w:rFonts w:cs="宋体"/>
                <w:sz w:val="21"/>
                <w:szCs w:val="21"/>
                <w:highlight w:val="none"/>
              </w:rPr>
            </w:pPr>
          </w:p>
        </w:tc>
        <w:tc>
          <w:tcPr>
            <w:tcW w:w="1286" w:type="dxa"/>
            <w:tcBorders>
              <w:left w:val="single" w:color="auto" w:sz="4" w:space="0"/>
            </w:tcBorders>
            <w:vAlign w:val="center"/>
          </w:tcPr>
          <w:p w14:paraId="6E533CBC">
            <w:pPr>
              <w:pStyle w:val="53"/>
              <w:spacing w:line="360" w:lineRule="auto"/>
              <w:jc w:val="center"/>
              <w:rPr>
                <w:rFonts w:cs="宋体"/>
                <w:sz w:val="21"/>
                <w:szCs w:val="21"/>
                <w:highlight w:val="none"/>
              </w:rPr>
            </w:pPr>
          </w:p>
        </w:tc>
        <w:tc>
          <w:tcPr>
            <w:tcW w:w="957" w:type="dxa"/>
            <w:tcBorders>
              <w:left w:val="single" w:color="auto" w:sz="4" w:space="0"/>
            </w:tcBorders>
            <w:vAlign w:val="center"/>
          </w:tcPr>
          <w:p w14:paraId="783F4D9B">
            <w:pPr>
              <w:pStyle w:val="53"/>
              <w:spacing w:line="360" w:lineRule="auto"/>
              <w:jc w:val="center"/>
              <w:rPr>
                <w:rFonts w:cs="宋体"/>
                <w:sz w:val="21"/>
                <w:szCs w:val="21"/>
                <w:highlight w:val="none"/>
              </w:rPr>
            </w:pPr>
          </w:p>
        </w:tc>
        <w:tc>
          <w:tcPr>
            <w:tcW w:w="2214" w:type="dxa"/>
            <w:vAlign w:val="center"/>
          </w:tcPr>
          <w:p w14:paraId="12D83F74">
            <w:pPr>
              <w:pStyle w:val="53"/>
              <w:spacing w:line="360" w:lineRule="auto"/>
              <w:jc w:val="center"/>
              <w:rPr>
                <w:rFonts w:cs="宋体"/>
                <w:sz w:val="21"/>
                <w:szCs w:val="21"/>
                <w:highlight w:val="none"/>
              </w:rPr>
            </w:pPr>
          </w:p>
        </w:tc>
        <w:tc>
          <w:tcPr>
            <w:tcW w:w="1614" w:type="dxa"/>
            <w:vAlign w:val="center"/>
          </w:tcPr>
          <w:p w14:paraId="5242BAB0">
            <w:pPr>
              <w:pStyle w:val="53"/>
              <w:spacing w:line="360" w:lineRule="auto"/>
              <w:jc w:val="center"/>
              <w:rPr>
                <w:rFonts w:cs="宋体"/>
                <w:sz w:val="21"/>
                <w:szCs w:val="21"/>
                <w:highlight w:val="none"/>
              </w:rPr>
            </w:pPr>
          </w:p>
        </w:tc>
        <w:tc>
          <w:tcPr>
            <w:tcW w:w="971" w:type="dxa"/>
            <w:vAlign w:val="center"/>
          </w:tcPr>
          <w:p w14:paraId="0A5FCAFB">
            <w:pPr>
              <w:pStyle w:val="53"/>
              <w:spacing w:line="360" w:lineRule="auto"/>
              <w:jc w:val="center"/>
              <w:rPr>
                <w:rFonts w:cs="宋体"/>
                <w:sz w:val="21"/>
                <w:szCs w:val="21"/>
                <w:highlight w:val="none"/>
              </w:rPr>
            </w:pPr>
          </w:p>
        </w:tc>
      </w:tr>
      <w:tr w14:paraId="04770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14C61153">
            <w:pPr>
              <w:pStyle w:val="53"/>
              <w:spacing w:line="360" w:lineRule="auto"/>
              <w:jc w:val="center"/>
              <w:rPr>
                <w:rFonts w:cs="宋体"/>
                <w:sz w:val="21"/>
                <w:szCs w:val="21"/>
                <w:highlight w:val="none"/>
              </w:rPr>
            </w:pPr>
            <w:bookmarkStart w:id="427" w:name="_Toc99533293"/>
            <w:bookmarkStart w:id="428" w:name="_Toc100090785"/>
            <w:r>
              <w:rPr>
                <w:rFonts w:hint="eastAsia" w:cs="宋体"/>
                <w:sz w:val="21"/>
                <w:szCs w:val="21"/>
                <w:highlight w:val="none"/>
              </w:rPr>
              <w:t>2</w:t>
            </w:r>
            <w:bookmarkEnd w:id="427"/>
            <w:bookmarkEnd w:id="428"/>
          </w:p>
        </w:tc>
        <w:tc>
          <w:tcPr>
            <w:tcW w:w="1508" w:type="dxa"/>
            <w:vAlign w:val="center"/>
          </w:tcPr>
          <w:p w14:paraId="2BD1F8AB">
            <w:pPr>
              <w:pStyle w:val="53"/>
              <w:spacing w:line="360" w:lineRule="auto"/>
              <w:jc w:val="center"/>
              <w:rPr>
                <w:rFonts w:cs="宋体"/>
                <w:sz w:val="21"/>
                <w:szCs w:val="21"/>
                <w:highlight w:val="none"/>
              </w:rPr>
            </w:pPr>
          </w:p>
        </w:tc>
        <w:tc>
          <w:tcPr>
            <w:tcW w:w="1286" w:type="dxa"/>
            <w:tcBorders>
              <w:left w:val="single" w:color="auto" w:sz="4" w:space="0"/>
            </w:tcBorders>
            <w:vAlign w:val="center"/>
          </w:tcPr>
          <w:p w14:paraId="39FAE806">
            <w:pPr>
              <w:pStyle w:val="53"/>
              <w:spacing w:line="360" w:lineRule="auto"/>
              <w:jc w:val="center"/>
              <w:rPr>
                <w:rFonts w:cs="宋体"/>
                <w:sz w:val="21"/>
                <w:szCs w:val="21"/>
                <w:highlight w:val="none"/>
              </w:rPr>
            </w:pPr>
          </w:p>
        </w:tc>
        <w:tc>
          <w:tcPr>
            <w:tcW w:w="957" w:type="dxa"/>
            <w:tcBorders>
              <w:left w:val="single" w:color="auto" w:sz="4" w:space="0"/>
            </w:tcBorders>
            <w:vAlign w:val="center"/>
          </w:tcPr>
          <w:p w14:paraId="1C64C87D">
            <w:pPr>
              <w:pStyle w:val="53"/>
              <w:spacing w:line="360" w:lineRule="auto"/>
              <w:jc w:val="center"/>
              <w:rPr>
                <w:rFonts w:cs="宋体"/>
                <w:sz w:val="21"/>
                <w:szCs w:val="21"/>
                <w:highlight w:val="none"/>
              </w:rPr>
            </w:pPr>
          </w:p>
        </w:tc>
        <w:tc>
          <w:tcPr>
            <w:tcW w:w="2214" w:type="dxa"/>
            <w:vAlign w:val="center"/>
          </w:tcPr>
          <w:p w14:paraId="74FB766D">
            <w:pPr>
              <w:pStyle w:val="53"/>
              <w:spacing w:line="360" w:lineRule="auto"/>
              <w:jc w:val="center"/>
              <w:rPr>
                <w:rFonts w:cs="宋体"/>
                <w:sz w:val="21"/>
                <w:szCs w:val="21"/>
                <w:highlight w:val="none"/>
              </w:rPr>
            </w:pPr>
          </w:p>
        </w:tc>
        <w:tc>
          <w:tcPr>
            <w:tcW w:w="1614" w:type="dxa"/>
            <w:vAlign w:val="center"/>
          </w:tcPr>
          <w:p w14:paraId="2479E805">
            <w:pPr>
              <w:pStyle w:val="53"/>
              <w:spacing w:line="360" w:lineRule="auto"/>
              <w:jc w:val="center"/>
              <w:rPr>
                <w:rFonts w:cs="宋体"/>
                <w:sz w:val="21"/>
                <w:szCs w:val="21"/>
                <w:highlight w:val="none"/>
              </w:rPr>
            </w:pPr>
          </w:p>
        </w:tc>
        <w:tc>
          <w:tcPr>
            <w:tcW w:w="971" w:type="dxa"/>
            <w:vAlign w:val="center"/>
          </w:tcPr>
          <w:p w14:paraId="7CE4CBD9">
            <w:pPr>
              <w:pStyle w:val="53"/>
              <w:spacing w:line="360" w:lineRule="auto"/>
              <w:jc w:val="center"/>
              <w:rPr>
                <w:rFonts w:cs="宋体"/>
                <w:sz w:val="21"/>
                <w:szCs w:val="21"/>
                <w:highlight w:val="none"/>
              </w:rPr>
            </w:pPr>
          </w:p>
        </w:tc>
      </w:tr>
      <w:tr w14:paraId="19239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21EDA974">
            <w:pPr>
              <w:pStyle w:val="53"/>
              <w:spacing w:line="360" w:lineRule="auto"/>
              <w:jc w:val="center"/>
              <w:rPr>
                <w:rFonts w:cs="宋体"/>
                <w:sz w:val="21"/>
                <w:szCs w:val="21"/>
                <w:highlight w:val="none"/>
              </w:rPr>
            </w:pPr>
            <w:bookmarkStart w:id="429" w:name="_Toc100090786"/>
            <w:bookmarkStart w:id="430" w:name="_Toc99533294"/>
            <w:r>
              <w:rPr>
                <w:rFonts w:hint="eastAsia" w:cs="宋体"/>
                <w:sz w:val="21"/>
                <w:szCs w:val="21"/>
                <w:highlight w:val="none"/>
              </w:rPr>
              <w:t>3</w:t>
            </w:r>
            <w:bookmarkEnd w:id="429"/>
            <w:bookmarkEnd w:id="430"/>
          </w:p>
        </w:tc>
        <w:tc>
          <w:tcPr>
            <w:tcW w:w="1508" w:type="dxa"/>
            <w:vAlign w:val="center"/>
          </w:tcPr>
          <w:p w14:paraId="50E7134D">
            <w:pPr>
              <w:pStyle w:val="53"/>
              <w:spacing w:line="360" w:lineRule="auto"/>
              <w:jc w:val="center"/>
              <w:rPr>
                <w:rFonts w:cs="宋体"/>
                <w:sz w:val="21"/>
                <w:szCs w:val="21"/>
                <w:highlight w:val="none"/>
              </w:rPr>
            </w:pPr>
          </w:p>
        </w:tc>
        <w:tc>
          <w:tcPr>
            <w:tcW w:w="1286" w:type="dxa"/>
            <w:tcBorders>
              <w:left w:val="single" w:color="auto" w:sz="4" w:space="0"/>
            </w:tcBorders>
            <w:vAlign w:val="center"/>
          </w:tcPr>
          <w:p w14:paraId="026CBCB1">
            <w:pPr>
              <w:pStyle w:val="53"/>
              <w:spacing w:line="360" w:lineRule="auto"/>
              <w:jc w:val="center"/>
              <w:rPr>
                <w:rFonts w:cs="宋体"/>
                <w:sz w:val="21"/>
                <w:szCs w:val="21"/>
                <w:highlight w:val="none"/>
              </w:rPr>
            </w:pPr>
          </w:p>
        </w:tc>
        <w:tc>
          <w:tcPr>
            <w:tcW w:w="957" w:type="dxa"/>
            <w:tcBorders>
              <w:left w:val="single" w:color="auto" w:sz="4" w:space="0"/>
            </w:tcBorders>
            <w:vAlign w:val="center"/>
          </w:tcPr>
          <w:p w14:paraId="0EF546B8">
            <w:pPr>
              <w:pStyle w:val="53"/>
              <w:spacing w:line="360" w:lineRule="auto"/>
              <w:jc w:val="center"/>
              <w:rPr>
                <w:rFonts w:cs="宋体"/>
                <w:sz w:val="21"/>
                <w:szCs w:val="21"/>
                <w:highlight w:val="none"/>
              </w:rPr>
            </w:pPr>
          </w:p>
        </w:tc>
        <w:tc>
          <w:tcPr>
            <w:tcW w:w="2214" w:type="dxa"/>
            <w:vAlign w:val="center"/>
          </w:tcPr>
          <w:p w14:paraId="228372EC">
            <w:pPr>
              <w:pStyle w:val="53"/>
              <w:spacing w:line="360" w:lineRule="auto"/>
              <w:jc w:val="center"/>
              <w:rPr>
                <w:rFonts w:cs="宋体"/>
                <w:sz w:val="21"/>
                <w:szCs w:val="21"/>
                <w:highlight w:val="none"/>
              </w:rPr>
            </w:pPr>
          </w:p>
        </w:tc>
        <w:tc>
          <w:tcPr>
            <w:tcW w:w="1614" w:type="dxa"/>
            <w:vAlign w:val="center"/>
          </w:tcPr>
          <w:p w14:paraId="74AA2541">
            <w:pPr>
              <w:pStyle w:val="53"/>
              <w:spacing w:line="360" w:lineRule="auto"/>
              <w:jc w:val="center"/>
              <w:rPr>
                <w:rFonts w:cs="宋体"/>
                <w:sz w:val="21"/>
                <w:szCs w:val="21"/>
                <w:highlight w:val="none"/>
              </w:rPr>
            </w:pPr>
          </w:p>
        </w:tc>
        <w:tc>
          <w:tcPr>
            <w:tcW w:w="971" w:type="dxa"/>
            <w:vAlign w:val="center"/>
          </w:tcPr>
          <w:p w14:paraId="5BE889E0">
            <w:pPr>
              <w:pStyle w:val="53"/>
              <w:spacing w:line="360" w:lineRule="auto"/>
              <w:jc w:val="center"/>
              <w:rPr>
                <w:rFonts w:cs="宋体"/>
                <w:sz w:val="21"/>
                <w:szCs w:val="21"/>
                <w:highlight w:val="none"/>
              </w:rPr>
            </w:pPr>
          </w:p>
        </w:tc>
      </w:tr>
      <w:tr w14:paraId="0D257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1A3D5B29">
            <w:pPr>
              <w:pStyle w:val="53"/>
              <w:spacing w:line="360" w:lineRule="auto"/>
              <w:jc w:val="center"/>
              <w:rPr>
                <w:rFonts w:cs="宋体"/>
                <w:sz w:val="21"/>
                <w:szCs w:val="21"/>
                <w:highlight w:val="none"/>
              </w:rPr>
            </w:pPr>
            <w:bookmarkStart w:id="431" w:name="_Toc99533295"/>
            <w:bookmarkStart w:id="432" w:name="_Toc100090787"/>
            <w:r>
              <w:rPr>
                <w:rFonts w:hint="eastAsia" w:cs="宋体"/>
                <w:sz w:val="21"/>
                <w:szCs w:val="21"/>
                <w:highlight w:val="none"/>
              </w:rPr>
              <w:t>4</w:t>
            </w:r>
            <w:bookmarkEnd w:id="431"/>
            <w:bookmarkEnd w:id="432"/>
          </w:p>
        </w:tc>
        <w:tc>
          <w:tcPr>
            <w:tcW w:w="1508" w:type="dxa"/>
            <w:vAlign w:val="center"/>
          </w:tcPr>
          <w:p w14:paraId="46326FC4">
            <w:pPr>
              <w:pStyle w:val="53"/>
              <w:spacing w:line="360" w:lineRule="auto"/>
              <w:jc w:val="center"/>
              <w:rPr>
                <w:rFonts w:cs="宋体"/>
                <w:sz w:val="21"/>
                <w:szCs w:val="21"/>
                <w:highlight w:val="none"/>
              </w:rPr>
            </w:pPr>
          </w:p>
        </w:tc>
        <w:tc>
          <w:tcPr>
            <w:tcW w:w="1286" w:type="dxa"/>
            <w:tcBorders>
              <w:left w:val="single" w:color="auto" w:sz="4" w:space="0"/>
            </w:tcBorders>
            <w:vAlign w:val="center"/>
          </w:tcPr>
          <w:p w14:paraId="4AC6EF08">
            <w:pPr>
              <w:pStyle w:val="53"/>
              <w:spacing w:line="360" w:lineRule="auto"/>
              <w:jc w:val="center"/>
              <w:rPr>
                <w:rFonts w:cs="宋体"/>
                <w:sz w:val="21"/>
                <w:szCs w:val="21"/>
                <w:highlight w:val="none"/>
              </w:rPr>
            </w:pPr>
          </w:p>
        </w:tc>
        <w:tc>
          <w:tcPr>
            <w:tcW w:w="957" w:type="dxa"/>
            <w:tcBorders>
              <w:left w:val="single" w:color="auto" w:sz="4" w:space="0"/>
            </w:tcBorders>
            <w:vAlign w:val="center"/>
          </w:tcPr>
          <w:p w14:paraId="15875425">
            <w:pPr>
              <w:pStyle w:val="53"/>
              <w:spacing w:line="360" w:lineRule="auto"/>
              <w:jc w:val="center"/>
              <w:rPr>
                <w:rFonts w:cs="宋体"/>
                <w:sz w:val="21"/>
                <w:szCs w:val="21"/>
                <w:highlight w:val="none"/>
              </w:rPr>
            </w:pPr>
          </w:p>
        </w:tc>
        <w:tc>
          <w:tcPr>
            <w:tcW w:w="2214" w:type="dxa"/>
            <w:vAlign w:val="center"/>
          </w:tcPr>
          <w:p w14:paraId="47CB2905">
            <w:pPr>
              <w:pStyle w:val="53"/>
              <w:spacing w:line="360" w:lineRule="auto"/>
              <w:jc w:val="center"/>
              <w:rPr>
                <w:rFonts w:cs="宋体"/>
                <w:sz w:val="21"/>
                <w:szCs w:val="21"/>
                <w:highlight w:val="none"/>
              </w:rPr>
            </w:pPr>
          </w:p>
        </w:tc>
        <w:tc>
          <w:tcPr>
            <w:tcW w:w="1614" w:type="dxa"/>
            <w:vAlign w:val="center"/>
          </w:tcPr>
          <w:p w14:paraId="385E8A93">
            <w:pPr>
              <w:pStyle w:val="53"/>
              <w:spacing w:line="360" w:lineRule="auto"/>
              <w:jc w:val="center"/>
              <w:rPr>
                <w:rFonts w:cs="宋体"/>
                <w:sz w:val="21"/>
                <w:szCs w:val="21"/>
                <w:highlight w:val="none"/>
              </w:rPr>
            </w:pPr>
          </w:p>
        </w:tc>
        <w:tc>
          <w:tcPr>
            <w:tcW w:w="971" w:type="dxa"/>
            <w:vAlign w:val="center"/>
          </w:tcPr>
          <w:p w14:paraId="1D33B630">
            <w:pPr>
              <w:pStyle w:val="53"/>
              <w:spacing w:line="360" w:lineRule="auto"/>
              <w:jc w:val="center"/>
              <w:rPr>
                <w:rFonts w:cs="宋体"/>
                <w:sz w:val="21"/>
                <w:szCs w:val="21"/>
                <w:highlight w:val="none"/>
              </w:rPr>
            </w:pPr>
          </w:p>
        </w:tc>
      </w:tr>
      <w:tr w14:paraId="09694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65AD05E4">
            <w:pPr>
              <w:pStyle w:val="53"/>
              <w:spacing w:line="360" w:lineRule="auto"/>
              <w:jc w:val="center"/>
              <w:rPr>
                <w:rFonts w:cs="宋体"/>
                <w:sz w:val="21"/>
                <w:szCs w:val="21"/>
                <w:highlight w:val="none"/>
              </w:rPr>
            </w:pPr>
            <w:bookmarkStart w:id="433" w:name="_Toc100090788"/>
            <w:bookmarkStart w:id="434" w:name="_Toc99533296"/>
            <w:r>
              <w:rPr>
                <w:rFonts w:hint="eastAsia" w:cs="宋体"/>
                <w:sz w:val="21"/>
                <w:szCs w:val="21"/>
                <w:highlight w:val="none"/>
              </w:rPr>
              <w:t>5</w:t>
            </w:r>
            <w:bookmarkEnd w:id="433"/>
            <w:bookmarkEnd w:id="434"/>
          </w:p>
        </w:tc>
        <w:tc>
          <w:tcPr>
            <w:tcW w:w="1508" w:type="dxa"/>
            <w:vAlign w:val="center"/>
          </w:tcPr>
          <w:p w14:paraId="0F1D672F">
            <w:pPr>
              <w:pStyle w:val="53"/>
              <w:spacing w:line="360" w:lineRule="auto"/>
              <w:jc w:val="center"/>
              <w:rPr>
                <w:rFonts w:cs="宋体"/>
                <w:sz w:val="21"/>
                <w:szCs w:val="21"/>
                <w:highlight w:val="none"/>
              </w:rPr>
            </w:pPr>
          </w:p>
        </w:tc>
        <w:tc>
          <w:tcPr>
            <w:tcW w:w="1286" w:type="dxa"/>
            <w:tcBorders>
              <w:left w:val="single" w:color="auto" w:sz="4" w:space="0"/>
            </w:tcBorders>
            <w:vAlign w:val="center"/>
          </w:tcPr>
          <w:p w14:paraId="1E3AF055">
            <w:pPr>
              <w:pStyle w:val="53"/>
              <w:spacing w:line="360" w:lineRule="auto"/>
              <w:jc w:val="center"/>
              <w:rPr>
                <w:rFonts w:cs="宋体"/>
                <w:sz w:val="21"/>
                <w:szCs w:val="21"/>
                <w:highlight w:val="none"/>
              </w:rPr>
            </w:pPr>
          </w:p>
        </w:tc>
        <w:tc>
          <w:tcPr>
            <w:tcW w:w="957" w:type="dxa"/>
            <w:tcBorders>
              <w:left w:val="single" w:color="auto" w:sz="4" w:space="0"/>
            </w:tcBorders>
            <w:vAlign w:val="center"/>
          </w:tcPr>
          <w:p w14:paraId="42B49243">
            <w:pPr>
              <w:pStyle w:val="53"/>
              <w:spacing w:line="360" w:lineRule="auto"/>
              <w:jc w:val="center"/>
              <w:rPr>
                <w:rFonts w:cs="宋体"/>
                <w:sz w:val="21"/>
                <w:szCs w:val="21"/>
                <w:highlight w:val="none"/>
              </w:rPr>
            </w:pPr>
          </w:p>
        </w:tc>
        <w:tc>
          <w:tcPr>
            <w:tcW w:w="2214" w:type="dxa"/>
            <w:vAlign w:val="center"/>
          </w:tcPr>
          <w:p w14:paraId="411EE333">
            <w:pPr>
              <w:pStyle w:val="53"/>
              <w:spacing w:line="360" w:lineRule="auto"/>
              <w:jc w:val="center"/>
              <w:rPr>
                <w:rFonts w:cs="宋体"/>
                <w:sz w:val="21"/>
                <w:szCs w:val="21"/>
                <w:highlight w:val="none"/>
              </w:rPr>
            </w:pPr>
          </w:p>
        </w:tc>
        <w:tc>
          <w:tcPr>
            <w:tcW w:w="1614" w:type="dxa"/>
            <w:vAlign w:val="center"/>
          </w:tcPr>
          <w:p w14:paraId="7BDDEE65">
            <w:pPr>
              <w:pStyle w:val="53"/>
              <w:spacing w:line="360" w:lineRule="auto"/>
              <w:jc w:val="center"/>
              <w:rPr>
                <w:rFonts w:cs="宋体"/>
                <w:sz w:val="21"/>
                <w:szCs w:val="21"/>
                <w:highlight w:val="none"/>
              </w:rPr>
            </w:pPr>
          </w:p>
        </w:tc>
        <w:tc>
          <w:tcPr>
            <w:tcW w:w="971" w:type="dxa"/>
            <w:vAlign w:val="center"/>
          </w:tcPr>
          <w:p w14:paraId="1E8F6A81">
            <w:pPr>
              <w:pStyle w:val="53"/>
              <w:spacing w:line="360" w:lineRule="auto"/>
              <w:jc w:val="center"/>
              <w:rPr>
                <w:rFonts w:cs="宋体"/>
                <w:sz w:val="21"/>
                <w:szCs w:val="21"/>
                <w:highlight w:val="none"/>
              </w:rPr>
            </w:pPr>
          </w:p>
        </w:tc>
      </w:tr>
      <w:tr w14:paraId="1351E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05CDB10F">
            <w:pPr>
              <w:pStyle w:val="53"/>
              <w:spacing w:line="360" w:lineRule="auto"/>
              <w:jc w:val="center"/>
              <w:rPr>
                <w:rFonts w:cs="宋体"/>
                <w:sz w:val="21"/>
                <w:szCs w:val="21"/>
                <w:highlight w:val="none"/>
              </w:rPr>
            </w:pPr>
            <w:bookmarkStart w:id="435" w:name="_Toc99533297"/>
            <w:bookmarkStart w:id="436" w:name="_Toc100090789"/>
            <w:r>
              <w:rPr>
                <w:rFonts w:hint="eastAsia" w:cs="宋体"/>
                <w:sz w:val="21"/>
                <w:szCs w:val="21"/>
                <w:highlight w:val="none"/>
              </w:rPr>
              <w:t>6</w:t>
            </w:r>
            <w:bookmarkEnd w:id="435"/>
            <w:bookmarkEnd w:id="436"/>
          </w:p>
        </w:tc>
        <w:tc>
          <w:tcPr>
            <w:tcW w:w="1508" w:type="dxa"/>
            <w:vAlign w:val="center"/>
          </w:tcPr>
          <w:p w14:paraId="4D8034B6">
            <w:pPr>
              <w:pStyle w:val="53"/>
              <w:spacing w:line="360" w:lineRule="auto"/>
              <w:jc w:val="center"/>
              <w:rPr>
                <w:rFonts w:cs="宋体"/>
                <w:sz w:val="21"/>
                <w:szCs w:val="21"/>
                <w:highlight w:val="none"/>
              </w:rPr>
            </w:pPr>
          </w:p>
        </w:tc>
        <w:tc>
          <w:tcPr>
            <w:tcW w:w="1286" w:type="dxa"/>
            <w:tcBorders>
              <w:left w:val="single" w:color="auto" w:sz="4" w:space="0"/>
            </w:tcBorders>
            <w:vAlign w:val="center"/>
          </w:tcPr>
          <w:p w14:paraId="0EA1639E">
            <w:pPr>
              <w:pStyle w:val="53"/>
              <w:spacing w:line="360" w:lineRule="auto"/>
              <w:jc w:val="center"/>
              <w:rPr>
                <w:rFonts w:cs="宋体"/>
                <w:sz w:val="21"/>
                <w:szCs w:val="21"/>
                <w:highlight w:val="none"/>
              </w:rPr>
            </w:pPr>
          </w:p>
        </w:tc>
        <w:tc>
          <w:tcPr>
            <w:tcW w:w="957" w:type="dxa"/>
            <w:tcBorders>
              <w:left w:val="single" w:color="auto" w:sz="4" w:space="0"/>
            </w:tcBorders>
            <w:vAlign w:val="center"/>
          </w:tcPr>
          <w:p w14:paraId="77093DB6">
            <w:pPr>
              <w:pStyle w:val="53"/>
              <w:spacing w:line="360" w:lineRule="auto"/>
              <w:jc w:val="center"/>
              <w:rPr>
                <w:rFonts w:cs="宋体"/>
                <w:sz w:val="21"/>
                <w:szCs w:val="21"/>
                <w:highlight w:val="none"/>
              </w:rPr>
            </w:pPr>
          </w:p>
        </w:tc>
        <w:tc>
          <w:tcPr>
            <w:tcW w:w="2214" w:type="dxa"/>
            <w:vAlign w:val="center"/>
          </w:tcPr>
          <w:p w14:paraId="35B43B9F">
            <w:pPr>
              <w:pStyle w:val="53"/>
              <w:spacing w:line="360" w:lineRule="auto"/>
              <w:jc w:val="center"/>
              <w:rPr>
                <w:rFonts w:cs="宋体"/>
                <w:sz w:val="21"/>
                <w:szCs w:val="21"/>
                <w:highlight w:val="none"/>
              </w:rPr>
            </w:pPr>
          </w:p>
        </w:tc>
        <w:tc>
          <w:tcPr>
            <w:tcW w:w="1614" w:type="dxa"/>
            <w:vAlign w:val="center"/>
          </w:tcPr>
          <w:p w14:paraId="33DFEBED">
            <w:pPr>
              <w:pStyle w:val="53"/>
              <w:spacing w:line="360" w:lineRule="auto"/>
              <w:jc w:val="center"/>
              <w:rPr>
                <w:rFonts w:cs="宋体"/>
                <w:sz w:val="21"/>
                <w:szCs w:val="21"/>
                <w:highlight w:val="none"/>
              </w:rPr>
            </w:pPr>
          </w:p>
        </w:tc>
        <w:tc>
          <w:tcPr>
            <w:tcW w:w="971" w:type="dxa"/>
            <w:vAlign w:val="center"/>
          </w:tcPr>
          <w:p w14:paraId="4E475D4A">
            <w:pPr>
              <w:pStyle w:val="53"/>
              <w:spacing w:line="360" w:lineRule="auto"/>
              <w:jc w:val="center"/>
              <w:rPr>
                <w:rFonts w:cs="宋体"/>
                <w:sz w:val="21"/>
                <w:szCs w:val="21"/>
                <w:highlight w:val="none"/>
              </w:rPr>
            </w:pPr>
          </w:p>
        </w:tc>
      </w:tr>
      <w:tr w14:paraId="37177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13842F04">
            <w:pPr>
              <w:pStyle w:val="53"/>
              <w:spacing w:line="360" w:lineRule="auto"/>
              <w:jc w:val="center"/>
              <w:rPr>
                <w:rFonts w:cs="宋体"/>
                <w:sz w:val="21"/>
                <w:szCs w:val="21"/>
                <w:highlight w:val="none"/>
              </w:rPr>
            </w:pPr>
            <w:bookmarkStart w:id="437" w:name="_Toc99533298"/>
            <w:bookmarkStart w:id="438" w:name="_Toc100090790"/>
            <w:r>
              <w:rPr>
                <w:rFonts w:hint="eastAsia" w:cs="宋体"/>
                <w:sz w:val="21"/>
                <w:szCs w:val="21"/>
                <w:highlight w:val="none"/>
              </w:rPr>
              <w:t>7</w:t>
            </w:r>
            <w:bookmarkEnd w:id="437"/>
            <w:bookmarkEnd w:id="438"/>
          </w:p>
        </w:tc>
        <w:tc>
          <w:tcPr>
            <w:tcW w:w="1508" w:type="dxa"/>
            <w:vAlign w:val="center"/>
          </w:tcPr>
          <w:p w14:paraId="549EADEE">
            <w:pPr>
              <w:pStyle w:val="53"/>
              <w:spacing w:line="360" w:lineRule="auto"/>
              <w:jc w:val="center"/>
              <w:rPr>
                <w:rFonts w:cs="宋体"/>
                <w:sz w:val="21"/>
                <w:szCs w:val="21"/>
                <w:highlight w:val="none"/>
              </w:rPr>
            </w:pPr>
          </w:p>
        </w:tc>
        <w:tc>
          <w:tcPr>
            <w:tcW w:w="1286" w:type="dxa"/>
            <w:tcBorders>
              <w:left w:val="single" w:color="auto" w:sz="4" w:space="0"/>
            </w:tcBorders>
            <w:vAlign w:val="center"/>
          </w:tcPr>
          <w:p w14:paraId="65BBD42E">
            <w:pPr>
              <w:pStyle w:val="53"/>
              <w:spacing w:line="360" w:lineRule="auto"/>
              <w:jc w:val="center"/>
              <w:rPr>
                <w:rFonts w:cs="宋体"/>
                <w:sz w:val="21"/>
                <w:szCs w:val="21"/>
                <w:highlight w:val="none"/>
              </w:rPr>
            </w:pPr>
          </w:p>
        </w:tc>
        <w:tc>
          <w:tcPr>
            <w:tcW w:w="957" w:type="dxa"/>
            <w:tcBorders>
              <w:left w:val="single" w:color="auto" w:sz="4" w:space="0"/>
            </w:tcBorders>
            <w:vAlign w:val="center"/>
          </w:tcPr>
          <w:p w14:paraId="1C12229B">
            <w:pPr>
              <w:pStyle w:val="53"/>
              <w:spacing w:line="360" w:lineRule="auto"/>
              <w:jc w:val="center"/>
              <w:rPr>
                <w:rFonts w:cs="宋体"/>
                <w:sz w:val="21"/>
                <w:szCs w:val="21"/>
                <w:highlight w:val="none"/>
              </w:rPr>
            </w:pPr>
          </w:p>
        </w:tc>
        <w:tc>
          <w:tcPr>
            <w:tcW w:w="2214" w:type="dxa"/>
            <w:vAlign w:val="center"/>
          </w:tcPr>
          <w:p w14:paraId="226932CA">
            <w:pPr>
              <w:pStyle w:val="53"/>
              <w:spacing w:line="360" w:lineRule="auto"/>
              <w:jc w:val="center"/>
              <w:rPr>
                <w:rFonts w:cs="宋体"/>
                <w:sz w:val="21"/>
                <w:szCs w:val="21"/>
                <w:highlight w:val="none"/>
              </w:rPr>
            </w:pPr>
          </w:p>
        </w:tc>
        <w:tc>
          <w:tcPr>
            <w:tcW w:w="1614" w:type="dxa"/>
            <w:vAlign w:val="center"/>
          </w:tcPr>
          <w:p w14:paraId="5A8C5C1C">
            <w:pPr>
              <w:pStyle w:val="53"/>
              <w:spacing w:line="360" w:lineRule="auto"/>
              <w:jc w:val="center"/>
              <w:rPr>
                <w:rFonts w:cs="宋体"/>
                <w:sz w:val="21"/>
                <w:szCs w:val="21"/>
                <w:highlight w:val="none"/>
              </w:rPr>
            </w:pPr>
          </w:p>
        </w:tc>
        <w:tc>
          <w:tcPr>
            <w:tcW w:w="971" w:type="dxa"/>
            <w:vAlign w:val="center"/>
          </w:tcPr>
          <w:p w14:paraId="3C9972E0">
            <w:pPr>
              <w:pStyle w:val="53"/>
              <w:spacing w:line="360" w:lineRule="auto"/>
              <w:jc w:val="center"/>
              <w:rPr>
                <w:rFonts w:cs="宋体"/>
                <w:sz w:val="21"/>
                <w:szCs w:val="21"/>
                <w:highlight w:val="none"/>
              </w:rPr>
            </w:pPr>
          </w:p>
        </w:tc>
      </w:tr>
      <w:tr w14:paraId="42235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49F2F2FE">
            <w:pPr>
              <w:pStyle w:val="53"/>
              <w:spacing w:line="360" w:lineRule="auto"/>
              <w:jc w:val="center"/>
              <w:rPr>
                <w:rFonts w:cs="宋体"/>
                <w:sz w:val="21"/>
                <w:szCs w:val="21"/>
                <w:highlight w:val="none"/>
              </w:rPr>
            </w:pPr>
            <w:bookmarkStart w:id="439" w:name="_Toc99533299"/>
            <w:bookmarkStart w:id="440" w:name="_Toc100090791"/>
            <w:r>
              <w:rPr>
                <w:rFonts w:hint="eastAsia" w:cs="宋体"/>
                <w:sz w:val="21"/>
                <w:szCs w:val="21"/>
                <w:highlight w:val="none"/>
              </w:rPr>
              <w:t>8</w:t>
            </w:r>
            <w:bookmarkEnd w:id="439"/>
            <w:bookmarkEnd w:id="440"/>
          </w:p>
        </w:tc>
        <w:tc>
          <w:tcPr>
            <w:tcW w:w="1508" w:type="dxa"/>
            <w:vAlign w:val="center"/>
          </w:tcPr>
          <w:p w14:paraId="637616ED">
            <w:pPr>
              <w:pStyle w:val="53"/>
              <w:spacing w:line="360" w:lineRule="auto"/>
              <w:jc w:val="center"/>
              <w:rPr>
                <w:rFonts w:cs="宋体"/>
                <w:sz w:val="21"/>
                <w:szCs w:val="21"/>
                <w:highlight w:val="none"/>
              </w:rPr>
            </w:pPr>
          </w:p>
        </w:tc>
        <w:tc>
          <w:tcPr>
            <w:tcW w:w="1286" w:type="dxa"/>
            <w:tcBorders>
              <w:left w:val="single" w:color="auto" w:sz="4" w:space="0"/>
            </w:tcBorders>
            <w:vAlign w:val="center"/>
          </w:tcPr>
          <w:p w14:paraId="55271970">
            <w:pPr>
              <w:pStyle w:val="53"/>
              <w:spacing w:line="360" w:lineRule="auto"/>
              <w:jc w:val="center"/>
              <w:rPr>
                <w:rFonts w:cs="宋体"/>
                <w:sz w:val="21"/>
                <w:szCs w:val="21"/>
                <w:highlight w:val="none"/>
              </w:rPr>
            </w:pPr>
          </w:p>
        </w:tc>
        <w:tc>
          <w:tcPr>
            <w:tcW w:w="957" w:type="dxa"/>
            <w:tcBorders>
              <w:left w:val="single" w:color="auto" w:sz="4" w:space="0"/>
            </w:tcBorders>
            <w:vAlign w:val="center"/>
          </w:tcPr>
          <w:p w14:paraId="754CC5AE">
            <w:pPr>
              <w:pStyle w:val="53"/>
              <w:spacing w:line="360" w:lineRule="auto"/>
              <w:jc w:val="center"/>
              <w:rPr>
                <w:rFonts w:cs="宋体"/>
                <w:sz w:val="21"/>
                <w:szCs w:val="21"/>
                <w:highlight w:val="none"/>
              </w:rPr>
            </w:pPr>
          </w:p>
        </w:tc>
        <w:tc>
          <w:tcPr>
            <w:tcW w:w="2214" w:type="dxa"/>
            <w:vAlign w:val="center"/>
          </w:tcPr>
          <w:p w14:paraId="7F9DB9BA">
            <w:pPr>
              <w:pStyle w:val="53"/>
              <w:spacing w:line="360" w:lineRule="auto"/>
              <w:jc w:val="center"/>
              <w:rPr>
                <w:rFonts w:cs="宋体"/>
                <w:sz w:val="21"/>
                <w:szCs w:val="21"/>
                <w:highlight w:val="none"/>
              </w:rPr>
            </w:pPr>
          </w:p>
        </w:tc>
        <w:tc>
          <w:tcPr>
            <w:tcW w:w="1614" w:type="dxa"/>
            <w:vAlign w:val="center"/>
          </w:tcPr>
          <w:p w14:paraId="4E6DDC49">
            <w:pPr>
              <w:pStyle w:val="53"/>
              <w:spacing w:line="360" w:lineRule="auto"/>
              <w:jc w:val="center"/>
              <w:rPr>
                <w:rFonts w:cs="宋体"/>
                <w:sz w:val="21"/>
                <w:szCs w:val="21"/>
                <w:highlight w:val="none"/>
              </w:rPr>
            </w:pPr>
          </w:p>
        </w:tc>
        <w:tc>
          <w:tcPr>
            <w:tcW w:w="971" w:type="dxa"/>
            <w:vAlign w:val="center"/>
          </w:tcPr>
          <w:p w14:paraId="3F13D6FF">
            <w:pPr>
              <w:pStyle w:val="53"/>
              <w:spacing w:line="360" w:lineRule="auto"/>
              <w:jc w:val="center"/>
              <w:rPr>
                <w:rFonts w:cs="宋体"/>
                <w:sz w:val="21"/>
                <w:szCs w:val="21"/>
                <w:highlight w:val="none"/>
              </w:rPr>
            </w:pPr>
          </w:p>
        </w:tc>
      </w:tr>
      <w:tr w14:paraId="3BEAB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601ACB82">
            <w:pPr>
              <w:pStyle w:val="53"/>
              <w:spacing w:line="360" w:lineRule="auto"/>
              <w:jc w:val="center"/>
              <w:rPr>
                <w:rFonts w:cs="宋体"/>
                <w:sz w:val="21"/>
                <w:szCs w:val="21"/>
                <w:highlight w:val="none"/>
              </w:rPr>
            </w:pPr>
            <w:bookmarkStart w:id="441" w:name="_Toc100090792"/>
            <w:bookmarkStart w:id="442" w:name="_Toc99533300"/>
            <w:r>
              <w:rPr>
                <w:rFonts w:hint="eastAsia" w:cs="宋体"/>
                <w:sz w:val="21"/>
                <w:szCs w:val="21"/>
                <w:highlight w:val="none"/>
              </w:rPr>
              <w:t>9</w:t>
            </w:r>
            <w:bookmarkEnd w:id="441"/>
            <w:bookmarkEnd w:id="442"/>
          </w:p>
        </w:tc>
        <w:tc>
          <w:tcPr>
            <w:tcW w:w="1508" w:type="dxa"/>
            <w:vAlign w:val="center"/>
          </w:tcPr>
          <w:p w14:paraId="25F4191A">
            <w:pPr>
              <w:pStyle w:val="53"/>
              <w:spacing w:line="360" w:lineRule="auto"/>
              <w:jc w:val="center"/>
              <w:rPr>
                <w:rFonts w:cs="宋体"/>
                <w:sz w:val="21"/>
                <w:szCs w:val="21"/>
                <w:highlight w:val="none"/>
              </w:rPr>
            </w:pPr>
          </w:p>
        </w:tc>
        <w:tc>
          <w:tcPr>
            <w:tcW w:w="1286" w:type="dxa"/>
            <w:tcBorders>
              <w:left w:val="single" w:color="auto" w:sz="4" w:space="0"/>
            </w:tcBorders>
            <w:vAlign w:val="center"/>
          </w:tcPr>
          <w:p w14:paraId="79DDA924">
            <w:pPr>
              <w:pStyle w:val="53"/>
              <w:spacing w:line="360" w:lineRule="auto"/>
              <w:jc w:val="center"/>
              <w:rPr>
                <w:rFonts w:cs="宋体"/>
                <w:sz w:val="21"/>
                <w:szCs w:val="21"/>
                <w:highlight w:val="none"/>
              </w:rPr>
            </w:pPr>
          </w:p>
        </w:tc>
        <w:tc>
          <w:tcPr>
            <w:tcW w:w="957" w:type="dxa"/>
            <w:tcBorders>
              <w:left w:val="single" w:color="auto" w:sz="4" w:space="0"/>
            </w:tcBorders>
            <w:vAlign w:val="center"/>
          </w:tcPr>
          <w:p w14:paraId="46BE1289">
            <w:pPr>
              <w:pStyle w:val="53"/>
              <w:spacing w:line="360" w:lineRule="auto"/>
              <w:jc w:val="center"/>
              <w:rPr>
                <w:rFonts w:cs="宋体"/>
                <w:sz w:val="21"/>
                <w:szCs w:val="21"/>
                <w:highlight w:val="none"/>
              </w:rPr>
            </w:pPr>
          </w:p>
        </w:tc>
        <w:tc>
          <w:tcPr>
            <w:tcW w:w="2214" w:type="dxa"/>
            <w:vAlign w:val="center"/>
          </w:tcPr>
          <w:p w14:paraId="0E2AEF0E">
            <w:pPr>
              <w:pStyle w:val="53"/>
              <w:spacing w:line="360" w:lineRule="auto"/>
              <w:jc w:val="center"/>
              <w:rPr>
                <w:rFonts w:cs="宋体"/>
                <w:sz w:val="21"/>
                <w:szCs w:val="21"/>
                <w:highlight w:val="none"/>
              </w:rPr>
            </w:pPr>
          </w:p>
        </w:tc>
        <w:tc>
          <w:tcPr>
            <w:tcW w:w="1614" w:type="dxa"/>
            <w:vAlign w:val="center"/>
          </w:tcPr>
          <w:p w14:paraId="0372DD9E">
            <w:pPr>
              <w:pStyle w:val="53"/>
              <w:spacing w:line="360" w:lineRule="auto"/>
              <w:jc w:val="center"/>
              <w:rPr>
                <w:rFonts w:cs="宋体"/>
                <w:sz w:val="21"/>
                <w:szCs w:val="21"/>
                <w:highlight w:val="none"/>
              </w:rPr>
            </w:pPr>
          </w:p>
        </w:tc>
        <w:tc>
          <w:tcPr>
            <w:tcW w:w="971" w:type="dxa"/>
            <w:vAlign w:val="center"/>
          </w:tcPr>
          <w:p w14:paraId="63D9C952">
            <w:pPr>
              <w:pStyle w:val="53"/>
              <w:spacing w:line="360" w:lineRule="auto"/>
              <w:jc w:val="center"/>
              <w:rPr>
                <w:rFonts w:cs="宋体"/>
                <w:sz w:val="21"/>
                <w:szCs w:val="21"/>
                <w:highlight w:val="none"/>
              </w:rPr>
            </w:pPr>
          </w:p>
        </w:tc>
      </w:tr>
      <w:tr w14:paraId="0AAB1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2" w:hRule="atLeast"/>
          <w:jc w:val="center"/>
        </w:trPr>
        <w:tc>
          <w:tcPr>
            <w:tcW w:w="920" w:type="dxa"/>
            <w:vAlign w:val="center"/>
          </w:tcPr>
          <w:p w14:paraId="7C01176C">
            <w:pPr>
              <w:pStyle w:val="53"/>
              <w:spacing w:line="360" w:lineRule="auto"/>
              <w:jc w:val="center"/>
              <w:rPr>
                <w:rFonts w:cs="宋体"/>
                <w:sz w:val="21"/>
                <w:szCs w:val="21"/>
                <w:highlight w:val="none"/>
              </w:rPr>
            </w:pPr>
            <w:bookmarkStart w:id="443" w:name="_Toc100090793"/>
            <w:bookmarkStart w:id="444" w:name="_Toc99533301"/>
            <w:r>
              <w:rPr>
                <w:rFonts w:hint="eastAsia" w:cs="宋体"/>
                <w:sz w:val="21"/>
                <w:szCs w:val="21"/>
                <w:highlight w:val="none"/>
              </w:rPr>
              <w:t>10</w:t>
            </w:r>
            <w:bookmarkEnd w:id="443"/>
            <w:bookmarkEnd w:id="444"/>
          </w:p>
        </w:tc>
        <w:tc>
          <w:tcPr>
            <w:tcW w:w="1508" w:type="dxa"/>
            <w:vAlign w:val="center"/>
          </w:tcPr>
          <w:p w14:paraId="18DCB62B">
            <w:pPr>
              <w:pStyle w:val="53"/>
              <w:spacing w:line="360" w:lineRule="auto"/>
              <w:jc w:val="center"/>
              <w:rPr>
                <w:rFonts w:cs="宋体"/>
                <w:sz w:val="21"/>
                <w:szCs w:val="21"/>
                <w:highlight w:val="none"/>
              </w:rPr>
            </w:pPr>
          </w:p>
        </w:tc>
        <w:tc>
          <w:tcPr>
            <w:tcW w:w="1286" w:type="dxa"/>
            <w:tcBorders>
              <w:left w:val="single" w:color="auto" w:sz="4" w:space="0"/>
            </w:tcBorders>
            <w:vAlign w:val="center"/>
          </w:tcPr>
          <w:p w14:paraId="108D7BDA">
            <w:pPr>
              <w:pStyle w:val="53"/>
              <w:spacing w:line="360" w:lineRule="auto"/>
              <w:jc w:val="center"/>
              <w:rPr>
                <w:rFonts w:cs="宋体"/>
                <w:sz w:val="21"/>
                <w:szCs w:val="21"/>
                <w:highlight w:val="none"/>
              </w:rPr>
            </w:pPr>
          </w:p>
        </w:tc>
        <w:tc>
          <w:tcPr>
            <w:tcW w:w="957" w:type="dxa"/>
            <w:tcBorders>
              <w:left w:val="single" w:color="auto" w:sz="4" w:space="0"/>
            </w:tcBorders>
            <w:vAlign w:val="center"/>
          </w:tcPr>
          <w:p w14:paraId="0527522B">
            <w:pPr>
              <w:pStyle w:val="53"/>
              <w:spacing w:line="360" w:lineRule="auto"/>
              <w:jc w:val="center"/>
              <w:rPr>
                <w:rFonts w:cs="宋体"/>
                <w:sz w:val="21"/>
                <w:szCs w:val="21"/>
                <w:highlight w:val="none"/>
              </w:rPr>
            </w:pPr>
          </w:p>
        </w:tc>
        <w:tc>
          <w:tcPr>
            <w:tcW w:w="2214" w:type="dxa"/>
            <w:vAlign w:val="center"/>
          </w:tcPr>
          <w:p w14:paraId="3C19A8B8">
            <w:pPr>
              <w:pStyle w:val="53"/>
              <w:spacing w:line="360" w:lineRule="auto"/>
              <w:jc w:val="center"/>
              <w:rPr>
                <w:rFonts w:cs="宋体"/>
                <w:sz w:val="21"/>
                <w:szCs w:val="21"/>
                <w:highlight w:val="none"/>
              </w:rPr>
            </w:pPr>
          </w:p>
        </w:tc>
        <w:tc>
          <w:tcPr>
            <w:tcW w:w="1614" w:type="dxa"/>
            <w:vAlign w:val="center"/>
          </w:tcPr>
          <w:p w14:paraId="5D49D6B0">
            <w:pPr>
              <w:pStyle w:val="53"/>
              <w:spacing w:line="360" w:lineRule="auto"/>
              <w:jc w:val="center"/>
              <w:rPr>
                <w:rFonts w:cs="宋体"/>
                <w:sz w:val="21"/>
                <w:szCs w:val="21"/>
                <w:highlight w:val="none"/>
              </w:rPr>
            </w:pPr>
          </w:p>
        </w:tc>
        <w:tc>
          <w:tcPr>
            <w:tcW w:w="971" w:type="dxa"/>
            <w:vAlign w:val="center"/>
          </w:tcPr>
          <w:p w14:paraId="27A1426F">
            <w:pPr>
              <w:pStyle w:val="53"/>
              <w:spacing w:line="360" w:lineRule="auto"/>
              <w:jc w:val="center"/>
              <w:rPr>
                <w:rFonts w:cs="宋体"/>
                <w:sz w:val="21"/>
                <w:szCs w:val="21"/>
                <w:highlight w:val="none"/>
              </w:rPr>
            </w:pPr>
          </w:p>
        </w:tc>
      </w:tr>
    </w:tbl>
    <w:p w14:paraId="552C36DC">
      <w:pPr>
        <w:spacing w:line="360" w:lineRule="auto"/>
        <w:rPr>
          <w:highlight w:val="none"/>
        </w:rPr>
      </w:pPr>
    </w:p>
    <w:p w14:paraId="76F5F4C9">
      <w:pPr>
        <w:spacing w:line="360" w:lineRule="auto"/>
        <w:rPr>
          <w:highlight w:val="none"/>
        </w:rPr>
      </w:pPr>
      <w:r>
        <w:rPr>
          <w:rFonts w:hint="eastAsia"/>
          <w:highlight w:val="none"/>
        </w:rPr>
        <w:t>投标人名称（</w:t>
      </w:r>
      <w:r>
        <w:rPr>
          <w:rFonts w:hint="eastAsia" w:cs="宋体"/>
          <w:kern w:val="0"/>
          <w:highlight w:val="none"/>
        </w:rPr>
        <w:t>公章）</w:t>
      </w:r>
      <w:r>
        <w:rPr>
          <w:rFonts w:hint="eastAsia"/>
          <w:highlight w:val="none"/>
        </w:rPr>
        <w:t>：</w:t>
      </w:r>
      <w:r>
        <w:rPr>
          <w:highlight w:val="none"/>
        </w:rPr>
        <w:t xml:space="preserve"> </w:t>
      </w:r>
    </w:p>
    <w:p w14:paraId="74734731">
      <w:pPr>
        <w:spacing w:line="360" w:lineRule="auto"/>
        <w:rPr>
          <w:highlight w:val="none"/>
        </w:rPr>
      </w:pPr>
      <w:r>
        <w:rPr>
          <w:rFonts w:hint="eastAsia"/>
          <w:highlight w:val="none"/>
        </w:rPr>
        <w:t>日      期：</w:t>
      </w:r>
    </w:p>
    <w:p w14:paraId="3123C18C">
      <w:pPr>
        <w:spacing w:line="360" w:lineRule="auto"/>
        <w:rPr>
          <w:rFonts w:hint="eastAsia"/>
          <w:highlight w:val="none"/>
        </w:rPr>
      </w:pPr>
    </w:p>
    <w:p w14:paraId="156F84D7">
      <w:pPr>
        <w:spacing w:line="360" w:lineRule="auto"/>
        <w:rPr>
          <w:highlight w:val="none"/>
        </w:rPr>
      </w:pPr>
      <w:r>
        <w:rPr>
          <w:rFonts w:hint="eastAsia"/>
          <w:highlight w:val="none"/>
        </w:rPr>
        <w:t>注：按招标文件要求在本表后附相关人员证书。</w:t>
      </w:r>
    </w:p>
    <w:p w14:paraId="22BAD2DC">
      <w:pPr>
        <w:spacing w:line="360" w:lineRule="auto"/>
        <w:rPr>
          <w:highlight w:val="none"/>
        </w:rPr>
      </w:pPr>
    </w:p>
    <w:p w14:paraId="228F8D84">
      <w:pPr>
        <w:spacing w:line="360" w:lineRule="auto"/>
        <w:rPr>
          <w:highlight w:val="none"/>
        </w:rPr>
      </w:pPr>
      <w:r>
        <w:rPr>
          <w:rFonts w:hint="eastAsia"/>
          <w:highlight w:val="none"/>
        </w:rPr>
        <w:t xml:space="preserve">说明： </w:t>
      </w:r>
    </w:p>
    <w:p w14:paraId="197B275C">
      <w:pPr>
        <w:spacing w:line="360" w:lineRule="auto"/>
        <w:rPr>
          <w:highlight w:val="none"/>
        </w:rPr>
      </w:pPr>
      <w:r>
        <w:rPr>
          <w:rFonts w:hint="eastAsia"/>
          <w:highlight w:val="none"/>
        </w:rPr>
        <w:t xml:space="preserve">1.“在团队中职务（岗位）”栏应包括但不限于：项目负责人、项目联系人、项目服务人员或技术人员或售后服务人员等。 </w:t>
      </w:r>
    </w:p>
    <w:p w14:paraId="6BDCD603">
      <w:pPr>
        <w:spacing w:line="360" w:lineRule="auto"/>
        <w:rPr>
          <w:highlight w:val="none"/>
        </w:rPr>
      </w:pPr>
      <w:r>
        <w:rPr>
          <w:rFonts w:hint="eastAsia"/>
          <w:highlight w:val="none"/>
        </w:rPr>
        <w:t>2.如投标人中标，须按本表项目组成人员操作，不得随意更换。</w:t>
      </w:r>
    </w:p>
    <w:p w14:paraId="4F68C314">
      <w:pPr>
        <w:spacing w:line="360" w:lineRule="auto"/>
        <w:rPr>
          <w:highlight w:val="none"/>
        </w:rPr>
      </w:pPr>
    </w:p>
    <w:p w14:paraId="041DC683">
      <w:pPr>
        <w:spacing w:line="360" w:lineRule="auto"/>
        <w:rPr>
          <w:highlight w:val="none"/>
        </w:rPr>
      </w:pPr>
      <w:r>
        <w:rPr>
          <w:highlight w:val="none"/>
        </w:rPr>
        <w:br w:type="page"/>
      </w:r>
    </w:p>
    <w:p w14:paraId="5E794C87">
      <w:pPr>
        <w:pStyle w:val="5"/>
        <w:spacing w:line="360" w:lineRule="auto"/>
        <w:rPr>
          <w:highlight w:val="none"/>
        </w:rPr>
      </w:pPr>
      <w:bookmarkStart w:id="445" w:name="_Toc919"/>
      <w:bookmarkStart w:id="446" w:name="_Toc163492934"/>
      <w:r>
        <w:rPr>
          <w:rFonts w:hint="eastAsia"/>
          <w:highlight w:val="none"/>
        </w:rPr>
        <w:t>九、技术响应偏离表</w:t>
      </w:r>
      <w:bookmarkEnd w:id="445"/>
      <w:bookmarkEnd w:id="446"/>
    </w:p>
    <w:p w14:paraId="219622E8">
      <w:pPr>
        <w:spacing w:line="360" w:lineRule="auto"/>
        <w:rPr>
          <w:highlight w:val="none"/>
        </w:rPr>
      </w:pPr>
      <w:r>
        <w:rPr>
          <w:rFonts w:hint="eastAsia"/>
          <w:highlight w:val="none"/>
        </w:rPr>
        <w:t xml:space="preserve">项目名称：                                         </w:t>
      </w:r>
    </w:p>
    <w:p w14:paraId="3C8EA838">
      <w:pPr>
        <w:spacing w:line="360" w:lineRule="auto"/>
        <w:rPr>
          <w:highlight w:val="none"/>
        </w:rPr>
      </w:pPr>
      <w:r>
        <w:rPr>
          <w:rFonts w:hint="eastAsia"/>
          <w:highlight w:val="none"/>
        </w:rPr>
        <w:t>项目编号</w:t>
      </w:r>
      <w:r>
        <w:rPr>
          <w:rFonts w:hint="eastAsia"/>
          <w:bCs/>
          <w:szCs w:val="21"/>
          <w:highlight w:val="none"/>
        </w:rPr>
        <w:t>/</w:t>
      </w:r>
      <w:r>
        <w:rPr>
          <w:rFonts w:hint="eastAsia"/>
          <w:bCs/>
          <w:szCs w:val="21"/>
          <w:highlight w:val="none"/>
          <w:lang w:val="zh-CN"/>
        </w:rPr>
        <w:t>包号</w:t>
      </w:r>
      <w:r>
        <w:rPr>
          <w:rFonts w:hint="eastAsia"/>
          <w:highlight w:val="none"/>
        </w:rPr>
        <w:t xml:space="preserve">：         </w:t>
      </w:r>
    </w:p>
    <w:tbl>
      <w:tblPr>
        <w:tblStyle w:val="3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976"/>
        <w:gridCol w:w="1758"/>
        <w:gridCol w:w="2157"/>
        <w:gridCol w:w="1937"/>
      </w:tblGrid>
      <w:tr w14:paraId="113C9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701F2B7D">
            <w:pPr>
              <w:pStyle w:val="53"/>
              <w:spacing w:line="360" w:lineRule="auto"/>
              <w:jc w:val="center"/>
              <w:rPr>
                <w:rFonts w:cs="宋体"/>
                <w:sz w:val="21"/>
                <w:szCs w:val="21"/>
                <w:highlight w:val="none"/>
              </w:rPr>
            </w:pPr>
            <w:r>
              <w:rPr>
                <w:rFonts w:hint="eastAsia" w:cs="宋体"/>
                <w:sz w:val="21"/>
                <w:szCs w:val="21"/>
                <w:highlight w:val="none"/>
              </w:rPr>
              <w:t>序号</w:t>
            </w:r>
          </w:p>
        </w:tc>
        <w:tc>
          <w:tcPr>
            <w:tcW w:w="1159" w:type="pct"/>
            <w:vAlign w:val="center"/>
          </w:tcPr>
          <w:p w14:paraId="7394ED59">
            <w:pPr>
              <w:pStyle w:val="53"/>
              <w:spacing w:line="360" w:lineRule="auto"/>
              <w:jc w:val="center"/>
              <w:rPr>
                <w:rFonts w:cs="宋体"/>
                <w:sz w:val="21"/>
                <w:szCs w:val="21"/>
                <w:highlight w:val="none"/>
              </w:rPr>
            </w:pPr>
            <w:r>
              <w:rPr>
                <w:rFonts w:hint="eastAsia" w:cs="宋体"/>
                <w:sz w:val="21"/>
                <w:szCs w:val="21"/>
                <w:highlight w:val="none"/>
              </w:rPr>
              <w:t>招标文件技术</w:t>
            </w:r>
          </w:p>
          <w:p w14:paraId="5EC678AE">
            <w:pPr>
              <w:pStyle w:val="53"/>
              <w:spacing w:line="360" w:lineRule="auto"/>
              <w:jc w:val="center"/>
              <w:rPr>
                <w:rFonts w:cs="宋体"/>
                <w:sz w:val="21"/>
                <w:szCs w:val="21"/>
                <w:highlight w:val="none"/>
              </w:rPr>
            </w:pPr>
            <w:r>
              <w:rPr>
                <w:rFonts w:hint="eastAsia" w:cs="宋体"/>
                <w:sz w:val="21"/>
                <w:szCs w:val="21"/>
                <w:highlight w:val="none"/>
              </w:rPr>
              <w:t>要求条款</w:t>
            </w:r>
          </w:p>
        </w:tc>
        <w:tc>
          <w:tcPr>
            <w:tcW w:w="1031" w:type="pct"/>
            <w:vAlign w:val="center"/>
          </w:tcPr>
          <w:p w14:paraId="353ED6C1">
            <w:pPr>
              <w:pStyle w:val="53"/>
              <w:spacing w:line="360" w:lineRule="auto"/>
              <w:jc w:val="center"/>
              <w:rPr>
                <w:rFonts w:cs="宋体"/>
                <w:sz w:val="21"/>
                <w:szCs w:val="21"/>
                <w:highlight w:val="none"/>
              </w:rPr>
            </w:pPr>
            <w:r>
              <w:rPr>
                <w:rFonts w:hint="eastAsia" w:cs="宋体"/>
                <w:sz w:val="21"/>
                <w:szCs w:val="21"/>
                <w:highlight w:val="none"/>
              </w:rPr>
              <w:t>投标文件内容</w:t>
            </w:r>
          </w:p>
          <w:p w14:paraId="4506CE66">
            <w:pPr>
              <w:pStyle w:val="53"/>
              <w:spacing w:line="360" w:lineRule="auto"/>
              <w:jc w:val="center"/>
              <w:rPr>
                <w:rFonts w:cs="宋体"/>
                <w:sz w:val="21"/>
                <w:szCs w:val="21"/>
                <w:highlight w:val="none"/>
              </w:rPr>
            </w:pPr>
            <w:r>
              <w:rPr>
                <w:rFonts w:hint="eastAsia" w:cs="宋体"/>
                <w:sz w:val="21"/>
                <w:szCs w:val="21"/>
                <w:highlight w:val="none"/>
              </w:rPr>
              <w:t>对应简述</w:t>
            </w:r>
          </w:p>
        </w:tc>
        <w:tc>
          <w:tcPr>
            <w:tcW w:w="1265" w:type="pct"/>
            <w:vAlign w:val="center"/>
          </w:tcPr>
          <w:p w14:paraId="7DDF7C12">
            <w:pPr>
              <w:pStyle w:val="53"/>
              <w:spacing w:line="360" w:lineRule="auto"/>
              <w:jc w:val="center"/>
              <w:rPr>
                <w:rFonts w:cs="宋体"/>
                <w:sz w:val="21"/>
                <w:szCs w:val="21"/>
                <w:highlight w:val="none"/>
              </w:rPr>
            </w:pPr>
            <w:r>
              <w:rPr>
                <w:rFonts w:hint="eastAsia" w:cs="宋体"/>
                <w:sz w:val="21"/>
                <w:szCs w:val="21"/>
                <w:highlight w:val="none"/>
              </w:rPr>
              <w:t>响应情况</w:t>
            </w:r>
          </w:p>
        </w:tc>
        <w:tc>
          <w:tcPr>
            <w:tcW w:w="1136" w:type="pct"/>
            <w:vAlign w:val="center"/>
          </w:tcPr>
          <w:p w14:paraId="3DA35156">
            <w:pPr>
              <w:pStyle w:val="53"/>
              <w:spacing w:line="360" w:lineRule="auto"/>
              <w:jc w:val="center"/>
              <w:rPr>
                <w:rFonts w:cs="宋体"/>
                <w:sz w:val="21"/>
                <w:szCs w:val="21"/>
                <w:highlight w:val="none"/>
              </w:rPr>
            </w:pPr>
            <w:r>
              <w:rPr>
                <w:rFonts w:hint="eastAsia" w:cs="宋体"/>
                <w:sz w:val="21"/>
                <w:szCs w:val="21"/>
                <w:highlight w:val="none"/>
              </w:rPr>
              <w:t>证明资料及索引</w:t>
            </w:r>
          </w:p>
        </w:tc>
      </w:tr>
      <w:tr w14:paraId="7303C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55CDA9AE">
            <w:pPr>
              <w:pStyle w:val="53"/>
              <w:spacing w:line="360" w:lineRule="auto"/>
              <w:jc w:val="center"/>
              <w:rPr>
                <w:rFonts w:cs="宋体"/>
                <w:sz w:val="21"/>
                <w:szCs w:val="21"/>
                <w:highlight w:val="none"/>
              </w:rPr>
            </w:pPr>
            <w:r>
              <w:rPr>
                <w:rFonts w:hint="eastAsia" w:cs="宋体"/>
                <w:sz w:val="21"/>
                <w:szCs w:val="21"/>
                <w:highlight w:val="none"/>
              </w:rPr>
              <w:t>1</w:t>
            </w:r>
          </w:p>
        </w:tc>
        <w:tc>
          <w:tcPr>
            <w:tcW w:w="1159" w:type="pct"/>
            <w:vAlign w:val="center"/>
          </w:tcPr>
          <w:p w14:paraId="3ABE1A35">
            <w:pPr>
              <w:pStyle w:val="53"/>
              <w:spacing w:line="360" w:lineRule="auto"/>
              <w:jc w:val="center"/>
              <w:rPr>
                <w:rFonts w:cs="宋体"/>
                <w:sz w:val="21"/>
                <w:szCs w:val="21"/>
                <w:highlight w:val="none"/>
              </w:rPr>
            </w:pPr>
            <w:r>
              <w:rPr>
                <w:rFonts w:hint="eastAsia" w:cs="宋体"/>
                <w:sz w:val="21"/>
                <w:szCs w:val="21"/>
                <w:highlight w:val="none"/>
              </w:rPr>
              <w:t>********</w:t>
            </w:r>
          </w:p>
        </w:tc>
        <w:tc>
          <w:tcPr>
            <w:tcW w:w="1031" w:type="pct"/>
            <w:vAlign w:val="center"/>
          </w:tcPr>
          <w:p w14:paraId="494F5C1C">
            <w:pPr>
              <w:pStyle w:val="53"/>
              <w:spacing w:line="360" w:lineRule="auto"/>
              <w:jc w:val="center"/>
              <w:rPr>
                <w:rFonts w:cs="宋体"/>
                <w:sz w:val="21"/>
                <w:szCs w:val="21"/>
                <w:highlight w:val="none"/>
              </w:rPr>
            </w:pPr>
            <w:r>
              <w:rPr>
                <w:rFonts w:hint="eastAsia" w:cs="宋体"/>
                <w:sz w:val="21"/>
                <w:szCs w:val="21"/>
                <w:highlight w:val="none"/>
              </w:rPr>
              <w:t>******</w:t>
            </w:r>
          </w:p>
        </w:tc>
        <w:tc>
          <w:tcPr>
            <w:tcW w:w="1265" w:type="pct"/>
            <w:vAlign w:val="center"/>
          </w:tcPr>
          <w:p w14:paraId="2F8B0C08">
            <w:pPr>
              <w:pStyle w:val="53"/>
              <w:spacing w:line="360" w:lineRule="auto"/>
              <w:jc w:val="center"/>
              <w:rPr>
                <w:rFonts w:cs="宋体"/>
                <w:sz w:val="21"/>
                <w:szCs w:val="21"/>
                <w:highlight w:val="none"/>
              </w:rPr>
            </w:pPr>
            <w:r>
              <w:rPr>
                <w:rFonts w:hint="eastAsia" w:cs="宋体"/>
                <w:sz w:val="21"/>
                <w:szCs w:val="21"/>
                <w:highlight w:val="none"/>
              </w:rPr>
              <w:t>响应/正偏离/负偏离</w:t>
            </w:r>
          </w:p>
        </w:tc>
        <w:tc>
          <w:tcPr>
            <w:tcW w:w="1136" w:type="pct"/>
            <w:vAlign w:val="center"/>
          </w:tcPr>
          <w:p w14:paraId="2620EC34">
            <w:pPr>
              <w:pStyle w:val="53"/>
              <w:spacing w:line="360" w:lineRule="auto"/>
              <w:jc w:val="center"/>
              <w:rPr>
                <w:rFonts w:cs="宋体"/>
                <w:sz w:val="21"/>
                <w:szCs w:val="21"/>
                <w:highlight w:val="none"/>
              </w:rPr>
            </w:pPr>
          </w:p>
        </w:tc>
      </w:tr>
      <w:tr w14:paraId="5B5FD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26AADDB8">
            <w:pPr>
              <w:pStyle w:val="53"/>
              <w:spacing w:line="360" w:lineRule="auto"/>
              <w:jc w:val="center"/>
              <w:rPr>
                <w:rFonts w:cs="宋体"/>
                <w:sz w:val="21"/>
                <w:szCs w:val="21"/>
                <w:highlight w:val="none"/>
              </w:rPr>
            </w:pPr>
            <w:r>
              <w:rPr>
                <w:rFonts w:hint="eastAsia" w:cs="宋体"/>
                <w:sz w:val="21"/>
                <w:szCs w:val="21"/>
                <w:highlight w:val="none"/>
              </w:rPr>
              <w:t>2</w:t>
            </w:r>
          </w:p>
        </w:tc>
        <w:tc>
          <w:tcPr>
            <w:tcW w:w="1159" w:type="pct"/>
            <w:vAlign w:val="center"/>
          </w:tcPr>
          <w:p w14:paraId="3B0F6BA6">
            <w:pPr>
              <w:pStyle w:val="53"/>
              <w:spacing w:line="360" w:lineRule="auto"/>
              <w:jc w:val="center"/>
              <w:rPr>
                <w:rFonts w:cs="宋体"/>
                <w:sz w:val="21"/>
                <w:szCs w:val="21"/>
                <w:highlight w:val="none"/>
              </w:rPr>
            </w:pPr>
            <w:r>
              <w:rPr>
                <w:rFonts w:hint="eastAsia" w:cs="宋体"/>
                <w:sz w:val="21"/>
                <w:szCs w:val="21"/>
                <w:highlight w:val="none"/>
              </w:rPr>
              <w:t>********</w:t>
            </w:r>
          </w:p>
        </w:tc>
        <w:tc>
          <w:tcPr>
            <w:tcW w:w="1031" w:type="pct"/>
            <w:vAlign w:val="center"/>
          </w:tcPr>
          <w:p w14:paraId="2AD93311">
            <w:pPr>
              <w:pStyle w:val="53"/>
              <w:spacing w:line="360" w:lineRule="auto"/>
              <w:jc w:val="center"/>
              <w:rPr>
                <w:rFonts w:cs="宋体"/>
                <w:sz w:val="21"/>
                <w:szCs w:val="21"/>
                <w:highlight w:val="none"/>
              </w:rPr>
            </w:pPr>
            <w:r>
              <w:rPr>
                <w:rFonts w:hint="eastAsia" w:cs="宋体"/>
                <w:sz w:val="21"/>
                <w:szCs w:val="21"/>
                <w:highlight w:val="none"/>
              </w:rPr>
              <w:t>******</w:t>
            </w:r>
          </w:p>
        </w:tc>
        <w:tc>
          <w:tcPr>
            <w:tcW w:w="1265" w:type="pct"/>
            <w:vAlign w:val="center"/>
          </w:tcPr>
          <w:p w14:paraId="25C70F3C">
            <w:pPr>
              <w:pStyle w:val="53"/>
              <w:spacing w:line="360" w:lineRule="auto"/>
              <w:jc w:val="center"/>
              <w:rPr>
                <w:rFonts w:cs="宋体"/>
                <w:sz w:val="21"/>
                <w:szCs w:val="21"/>
                <w:highlight w:val="none"/>
              </w:rPr>
            </w:pPr>
            <w:r>
              <w:rPr>
                <w:rFonts w:hint="eastAsia" w:cs="宋体"/>
                <w:sz w:val="21"/>
                <w:szCs w:val="21"/>
                <w:highlight w:val="none"/>
              </w:rPr>
              <w:t>响应/正偏离/负偏离</w:t>
            </w:r>
          </w:p>
        </w:tc>
        <w:tc>
          <w:tcPr>
            <w:tcW w:w="1136" w:type="pct"/>
            <w:vAlign w:val="center"/>
          </w:tcPr>
          <w:p w14:paraId="0F6F0C4D">
            <w:pPr>
              <w:pStyle w:val="53"/>
              <w:spacing w:line="360" w:lineRule="auto"/>
              <w:jc w:val="center"/>
              <w:rPr>
                <w:rFonts w:cs="宋体"/>
                <w:sz w:val="21"/>
                <w:szCs w:val="21"/>
                <w:highlight w:val="none"/>
              </w:rPr>
            </w:pPr>
          </w:p>
        </w:tc>
      </w:tr>
      <w:tr w14:paraId="6D89F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shd w:val="clear" w:color="auto" w:fill="auto"/>
            <w:vAlign w:val="center"/>
          </w:tcPr>
          <w:p w14:paraId="7C89799A">
            <w:pPr>
              <w:pStyle w:val="53"/>
              <w:spacing w:line="360" w:lineRule="auto"/>
              <w:jc w:val="center"/>
              <w:rPr>
                <w:rFonts w:cs="宋体"/>
                <w:sz w:val="21"/>
                <w:szCs w:val="21"/>
                <w:highlight w:val="none"/>
              </w:rPr>
            </w:pPr>
            <w:r>
              <w:rPr>
                <w:rFonts w:hint="eastAsia" w:cs="宋体"/>
                <w:sz w:val="21"/>
                <w:szCs w:val="21"/>
                <w:highlight w:val="none"/>
              </w:rPr>
              <w:t>3</w:t>
            </w:r>
          </w:p>
        </w:tc>
        <w:tc>
          <w:tcPr>
            <w:tcW w:w="1159" w:type="pct"/>
            <w:shd w:val="clear" w:color="auto" w:fill="auto"/>
            <w:vAlign w:val="center"/>
          </w:tcPr>
          <w:p w14:paraId="6EAD8F92">
            <w:pPr>
              <w:pStyle w:val="53"/>
              <w:spacing w:line="360" w:lineRule="auto"/>
              <w:jc w:val="center"/>
              <w:rPr>
                <w:rFonts w:cs="宋体"/>
                <w:sz w:val="21"/>
                <w:szCs w:val="21"/>
                <w:highlight w:val="none"/>
              </w:rPr>
            </w:pPr>
            <w:r>
              <w:rPr>
                <w:rFonts w:hint="eastAsia" w:cs="宋体"/>
                <w:sz w:val="21"/>
                <w:szCs w:val="21"/>
                <w:highlight w:val="none"/>
              </w:rPr>
              <w:t>********</w:t>
            </w:r>
          </w:p>
        </w:tc>
        <w:tc>
          <w:tcPr>
            <w:tcW w:w="1031" w:type="pct"/>
            <w:shd w:val="clear" w:color="auto" w:fill="auto"/>
            <w:vAlign w:val="center"/>
          </w:tcPr>
          <w:p w14:paraId="0D63996E">
            <w:pPr>
              <w:pStyle w:val="53"/>
              <w:spacing w:line="360" w:lineRule="auto"/>
              <w:jc w:val="center"/>
              <w:rPr>
                <w:rFonts w:cs="宋体"/>
                <w:sz w:val="21"/>
                <w:szCs w:val="21"/>
                <w:highlight w:val="none"/>
              </w:rPr>
            </w:pPr>
            <w:r>
              <w:rPr>
                <w:rFonts w:hint="eastAsia" w:cs="宋体"/>
                <w:sz w:val="21"/>
                <w:szCs w:val="21"/>
                <w:highlight w:val="none"/>
              </w:rPr>
              <w:t>******</w:t>
            </w:r>
          </w:p>
        </w:tc>
        <w:tc>
          <w:tcPr>
            <w:tcW w:w="1265" w:type="pct"/>
            <w:shd w:val="clear" w:color="auto" w:fill="auto"/>
            <w:vAlign w:val="center"/>
          </w:tcPr>
          <w:p w14:paraId="64C2B1DD">
            <w:pPr>
              <w:pStyle w:val="53"/>
              <w:spacing w:line="360" w:lineRule="auto"/>
              <w:jc w:val="center"/>
              <w:rPr>
                <w:rFonts w:cs="宋体"/>
                <w:sz w:val="21"/>
                <w:szCs w:val="21"/>
                <w:highlight w:val="none"/>
              </w:rPr>
            </w:pPr>
            <w:r>
              <w:rPr>
                <w:rFonts w:hint="eastAsia" w:cs="宋体"/>
                <w:sz w:val="21"/>
                <w:szCs w:val="21"/>
                <w:highlight w:val="none"/>
              </w:rPr>
              <w:t>响应/正偏离/负偏离</w:t>
            </w:r>
          </w:p>
        </w:tc>
        <w:tc>
          <w:tcPr>
            <w:tcW w:w="1136" w:type="pct"/>
            <w:vAlign w:val="center"/>
          </w:tcPr>
          <w:p w14:paraId="68F7B2D7">
            <w:pPr>
              <w:pStyle w:val="53"/>
              <w:spacing w:line="360" w:lineRule="auto"/>
              <w:jc w:val="center"/>
              <w:rPr>
                <w:rFonts w:cs="宋体"/>
                <w:sz w:val="21"/>
                <w:szCs w:val="21"/>
                <w:highlight w:val="none"/>
              </w:rPr>
            </w:pPr>
          </w:p>
        </w:tc>
      </w:tr>
      <w:tr w14:paraId="70D52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6D3305B8">
            <w:pPr>
              <w:pStyle w:val="53"/>
              <w:spacing w:line="360" w:lineRule="auto"/>
              <w:jc w:val="center"/>
              <w:rPr>
                <w:rFonts w:cs="宋体"/>
                <w:sz w:val="21"/>
                <w:szCs w:val="21"/>
                <w:highlight w:val="none"/>
              </w:rPr>
            </w:pPr>
          </w:p>
        </w:tc>
        <w:tc>
          <w:tcPr>
            <w:tcW w:w="1159" w:type="pct"/>
            <w:vAlign w:val="center"/>
          </w:tcPr>
          <w:p w14:paraId="03E467BC">
            <w:pPr>
              <w:pStyle w:val="53"/>
              <w:spacing w:line="360" w:lineRule="auto"/>
              <w:jc w:val="center"/>
              <w:rPr>
                <w:rFonts w:cs="宋体"/>
                <w:sz w:val="21"/>
                <w:szCs w:val="21"/>
                <w:highlight w:val="none"/>
              </w:rPr>
            </w:pPr>
          </w:p>
        </w:tc>
        <w:tc>
          <w:tcPr>
            <w:tcW w:w="1031" w:type="pct"/>
            <w:vAlign w:val="center"/>
          </w:tcPr>
          <w:p w14:paraId="2A3EF3E2">
            <w:pPr>
              <w:pStyle w:val="53"/>
              <w:spacing w:line="360" w:lineRule="auto"/>
              <w:jc w:val="center"/>
              <w:rPr>
                <w:rFonts w:cs="宋体"/>
                <w:sz w:val="21"/>
                <w:szCs w:val="21"/>
                <w:highlight w:val="none"/>
              </w:rPr>
            </w:pPr>
          </w:p>
        </w:tc>
        <w:tc>
          <w:tcPr>
            <w:tcW w:w="1265" w:type="pct"/>
            <w:vAlign w:val="center"/>
          </w:tcPr>
          <w:p w14:paraId="41191AB1">
            <w:pPr>
              <w:pStyle w:val="53"/>
              <w:spacing w:line="360" w:lineRule="auto"/>
              <w:jc w:val="center"/>
              <w:rPr>
                <w:rFonts w:cs="宋体"/>
                <w:sz w:val="21"/>
                <w:szCs w:val="21"/>
                <w:highlight w:val="none"/>
              </w:rPr>
            </w:pPr>
          </w:p>
        </w:tc>
        <w:tc>
          <w:tcPr>
            <w:tcW w:w="1136" w:type="pct"/>
            <w:vAlign w:val="center"/>
          </w:tcPr>
          <w:p w14:paraId="1DD1194A">
            <w:pPr>
              <w:pStyle w:val="53"/>
              <w:spacing w:line="360" w:lineRule="auto"/>
              <w:jc w:val="center"/>
              <w:rPr>
                <w:rFonts w:cs="宋体"/>
                <w:sz w:val="21"/>
                <w:szCs w:val="21"/>
                <w:highlight w:val="none"/>
              </w:rPr>
            </w:pPr>
          </w:p>
        </w:tc>
      </w:tr>
      <w:tr w14:paraId="2246B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69691BED">
            <w:pPr>
              <w:pStyle w:val="53"/>
              <w:spacing w:line="360" w:lineRule="auto"/>
              <w:jc w:val="center"/>
              <w:rPr>
                <w:rFonts w:cs="宋体"/>
                <w:sz w:val="21"/>
                <w:szCs w:val="21"/>
                <w:highlight w:val="none"/>
              </w:rPr>
            </w:pPr>
          </w:p>
        </w:tc>
        <w:tc>
          <w:tcPr>
            <w:tcW w:w="1159" w:type="pct"/>
            <w:vAlign w:val="center"/>
          </w:tcPr>
          <w:p w14:paraId="24CFEE73">
            <w:pPr>
              <w:pStyle w:val="53"/>
              <w:spacing w:line="360" w:lineRule="auto"/>
              <w:jc w:val="center"/>
              <w:rPr>
                <w:rFonts w:cs="宋体"/>
                <w:sz w:val="21"/>
                <w:szCs w:val="21"/>
                <w:highlight w:val="none"/>
              </w:rPr>
            </w:pPr>
          </w:p>
        </w:tc>
        <w:tc>
          <w:tcPr>
            <w:tcW w:w="1031" w:type="pct"/>
            <w:vAlign w:val="center"/>
          </w:tcPr>
          <w:p w14:paraId="32325EDD">
            <w:pPr>
              <w:pStyle w:val="53"/>
              <w:spacing w:line="360" w:lineRule="auto"/>
              <w:jc w:val="center"/>
              <w:rPr>
                <w:rFonts w:cs="宋体"/>
                <w:sz w:val="21"/>
                <w:szCs w:val="21"/>
                <w:highlight w:val="none"/>
              </w:rPr>
            </w:pPr>
          </w:p>
        </w:tc>
        <w:tc>
          <w:tcPr>
            <w:tcW w:w="1265" w:type="pct"/>
            <w:vAlign w:val="center"/>
          </w:tcPr>
          <w:p w14:paraId="3C6D4615">
            <w:pPr>
              <w:pStyle w:val="53"/>
              <w:spacing w:line="360" w:lineRule="auto"/>
              <w:jc w:val="center"/>
              <w:rPr>
                <w:rFonts w:cs="宋体"/>
                <w:sz w:val="21"/>
                <w:szCs w:val="21"/>
                <w:highlight w:val="none"/>
              </w:rPr>
            </w:pPr>
          </w:p>
        </w:tc>
        <w:tc>
          <w:tcPr>
            <w:tcW w:w="1136" w:type="pct"/>
            <w:vAlign w:val="center"/>
          </w:tcPr>
          <w:p w14:paraId="06CEBBF5">
            <w:pPr>
              <w:pStyle w:val="53"/>
              <w:spacing w:line="360" w:lineRule="auto"/>
              <w:jc w:val="center"/>
              <w:rPr>
                <w:rFonts w:cs="宋体"/>
                <w:sz w:val="21"/>
                <w:szCs w:val="21"/>
                <w:highlight w:val="none"/>
              </w:rPr>
            </w:pPr>
          </w:p>
        </w:tc>
      </w:tr>
      <w:tr w14:paraId="567FE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5CDAA6D4">
            <w:pPr>
              <w:pStyle w:val="53"/>
              <w:spacing w:line="360" w:lineRule="auto"/>
              <w:jc w:val="center"/>
              <w:rPr>
                <w:rFonts w:cs="宋体"/>
                <w:sz w:val="21"/>
                <w:szCs w:val="21"/>
                <w:highlight w:val="none"/>
              </w:rPr>
            </w:pPr>
          </w:p>
        </w:tc>
        <w:tc>
          <w:tcPr>
            <w:tcW w:w="1159" w:type="pct"/>
            <w:vAlign w:val="center"/>
          </w:tcPr>
          <w:p w14:paraId="2F066130">
            <w:pPr>
              <w:pStyle w:val="53"/>
              <w:spacing w:line="360" w:lineRule="auto"/>
              <w:jc w:val="center"/>
              <w:rPr>
                <w:rFonts w:cs="宋体"/>
                <w:sz w:val="21"/>
                <w:szCs w:val="21"/>
                <w:highlight w:val="none"/>
              </w:rPr>
            </w:pPr>
          </w:p>
        </w:tc>
        <w:tc>
          <w:tcPr>
            <w:tcW w:w="1031" w:type="pct"/>
            <w:vAlign w:val="center"/>
          </w:tcPr>
          <w:p w14:paraId="3A600848">
            <w:pPr>
              <w:pStyle w:val="53"/>
              <w:spacing w:line="360" w:lineRule="auto"/>
              <w:jc w:val="center"/>
              <w:rPr>
                <w:rFonts w:cs="宋体"/>
                <w:sz w:val="21"/>
                <w:szCs w:val="21"/>
                <w:highlight w:val="none"/>
              </w:rPr>
            </w:pPr>
          </w:p>
        </w:tc>
        <w:tc>
          <w:tcPr>
            <w:tcW w:w="1265" w:type="pct"/>
            <w:vAlign w:val="center"/>
          </w:tcPr>
          <w:p w14:paraId="53384A57">
            <w:pPr>
              <w:pStyle w:val="53"/>
              <w:spacing w:line="360" w:lineRule="auto"/>
              <w:jc w:val="center"/>
              <w:rPr>
                <w:rFonts w:cs="宋体"/>
                <w:sz w:val="21"/>
                <w:szCs w:val="21"/>
                <w:highlight w:val="none"/>
              </w:rPr>
            </w:pPr>
          </w:p>
        </w:tc>
        <w:tc>
          <w:tcPr>
            <w:tcW w:w="1136" w:type="pct"/>
            <w:vAlign w:val="center"/>
          </w:tcPr>
          <w:p w14:paraId="17B70B63">
            <w:pPr>
              <w:pStyle w:val="53"/>
              <w:spacing w:line="360" w:lineRule="auto"/>
              <w:jc w:val="center"/>
              <w:rPr>
                <w:rFonts w:cs="宋体"/>
                <w:sz w:val="21"/>
                <w:szCs w:val="21"/>
                <w:highlight w:val="none"/>
              </w:rPr>
            </w:pPr>
          </w:p>
        </w:tc>
      </w:tr>
      <w:tr w14:paraId="6583F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2753C7E3">
            <w:pPr>
              <w:pStyle w:val="53"/>
              <w:spacing w:line="360" w:lineRule="auto"/>
              <w:jc w:val="center"/>
              <w:rPr>
                <w:rFonts w:cs="宋体"/>
                <w:sz w:val="21"/>
                <w:szCs w:val="21"/>
                <w:highlight w:val="none"/>
              </w:rPr>
            </w:pPr>
          </w:p>
        </w:tc>
        <w:tc>
          <w:tcPr>
            <w:tcW w:w="1159" w:type="pct"/>
            <w:vAlign w:val="center"/>
          </w:tcPr>
          <w:p w14:paraId="56ED6D3E">
            <w:pPr>
              <w:pStyle w:val="53"/>
              <w:spacing w:line="360" w:lineRule="auto"/>
              <w:jc w:val="center"/>
              <w:rPr>
                <w:rFonts w:cs="宋体"/>
                <w:sz w:val="21"/>
                <w:szCs w:val="21"/>
                <w:highlight w:val="none"/>
              </w:rPr>
            </w:pPr>
          </w:p>
        </w:tc>
        <w:tc>
          <w:tcPr>
            <w:tcW w:w="1031" w:type="pct"/>
            <w:vAlign w:val="center"/>
          </w:tcPr>
          <w:p w14:paraId="6A154B1D">
            <w:pPr>
              <w:pStyle w:val="53"/>
              <w:spacing w:line="360" w:lineRule="auto"/>
              <w:jc w:val="center"/>
              <w:rPr>
                <w:rFonts w:cs="宋体"/>
                <w:sz w:val="21"/>
                <w:szCs w:val="21"/>
                <w:highlight w:val="none"/>
              </w:rPr>
            </w:pPr>
          </w:p>
        </w:tc>
        <w:tc>
          <w:tcPr>
            <w:tcW w:w="1265" w:type="pct"/>
            <w:vAlign w:val="center"/>
          </w:tcPr>
          <w:p w14:paraId="48DF298A">
            <w:pPr>
              <w:pStyle w:val="53"/>
              <w:spacing w:line="360" w:lineRule="auto"/>
              <w:jc w:val="center"/>
              <w:rPr>
                <w:rFonts w:cs="宋体"/>
                <w:sz w:val="21"/>
                <w:szCs w:val="21"/>
                <w:highlight w:val="none"/>
              </w:rPr>
            </w:pPr>
          </w:p>
        </w:tc>
        <w:tc>
          <w:tcPr>
            <w:tcW w:w="1136" w:type="pct"/>
            <w:vAlign w:val="center"/>
          </w:tcPr>
          <w:p w14:paraId="0D763465">
            <w:pPr>
              <w:pStyle w:val="53"/>
              <w:spacing w:line="360" w:lineRule="auto"/>
              <w:jc w:val="center"/>
              <w:rPr>
                <w:rFonts w:cs="宋体"/>
                <w:sz w:val="21"/>
                <w:szCs w:val="21"/>
                <w:highlight w:val="none"/>
              </w:rPr>
            </w:pPr>
          </w:p>
        </w:tc>
      </w:tr>
      <w:tr w14:paraId="3BDCD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5" w:type="pct"/>
            <w:vAlign w:val="center"/>
          </w:tcPr>
          <w:p w14:paraId="42504400">
            <w:pPr>
              <w:pStyle w:val="53"/>
              <w:spacing w:line="360" w:lineRule="auto"/>
              <w:jc w:val="center"/>
              <w:rPr>
                <w:rFonts w:cs="宋体"/>
                <w:sz w:val="21"/>
                <w:szCs w:val="21"/>
                <w:highlight w:val="none"/>
              </w:rPr>
            </w:pPr>
            <w:r>
              <w:rPr>
                <w:rFonts w:hint="eastAsia" w:cs="宋体"/>
                <w:sz w:val="21"/>
                <w:szCs w:val="21"/>
                <w:highlight w:val="none"/>
              </w:rPr>
              <w:t>……</w:t>
            </w:r>
          </w:p>
        </w:tc>
        <w:tc>
          <w:tcPr>
            <w:tcW w:w="1159" w:type="pct"/>
            <w:vAlign w:val="center"/>
          </w:tcPr>
          <w:p w14:paraId="35FE84A3">
            <w:pPr>
              <w:pStyle w:val="53"/>
              <w:spacing w:line="360" w:lineRule="auto"/>
              <w:jc w:val="center"/>
              <w:rPr>
                <w:rFonts w:cs="宋体"/>
                <w:sz w:val="21"/>
                <w:szCs w:val="21"/>
                <w:highlight w:val="none"/>
              </w:rPr>
            </w:pPr>
            <w:r>
              <w:rPr>
                <w:rFonts w:hint="eastAsia" w:cs="宋体"/>
                <w:sz w:val="21"/>
                <w:szCs w:val="21"/>
                <w:highlight w:val="none"/>
              </w:rPr>
              <w:t>…………</w:t>
            </w:r>
          </w:p>
        </w:tc>
        <w:tc>
          <w:tcPr>
            <w:tcW w:w="1031" w:type="pct"/>
            <w:vAlign w:val="center"/>
          </w:tcPr>
          <w:p w14:paraId="7A4FDDDB">
            <w:pPr>
              <w:pStyle w:val="53"/>
              <w:spacing w:line="360" w:lineRule="auto"/>
              <w:jc w:val="center"/>
              <w:rPr>
                <w:rFonts w:cs="宋体"/>
                <w:sz w:val="21"/>
                <w:szCs w:val="21"/>
                <w:highlight w:val="none"/>
              </w:rPr>
            </w:pPr>
            <w:r>
              <w:rPr>
                <w:rFonts w:hint="eastAsia" w:cs="宋体"/>
                <w:sz w:val="21"/>
                <w:szCs w:val="21"/>
                <w:highlight w:val="none"/>
              </w:rPr>
              <w:t>………………</w:t>
            </w:r>
          </w:p>
        </w:tc>
        <w:tc>
          <w:tcPr>
            <w:tcW w:w="1265" w:type="pct"/>
            <w:vAlign w:val="center"/>
          </w:tcPr>
          <w:p w14:paraId="338F799D">
            <w:pPr>
              <w:pStyle w:val="53"/>
              <w:spacing w:line="360" w:lineRule="auto"/>
              <w:jc w:val="center"/>
              <w:rPr>
                <w:rFonts w:cs="宋体"/>
                <w:sz w:val="21"/>
                <w:szCs w:val="21"/>
                <w:highlight w:val="none"/>
              </w:rPr>
            </w:pPr>
            <w:r>
              <w:rPr>
                <w:rFonts w:hint="eastAsia" w:cs="宋体"/>
                <w:sz w:val="21"/>
                <w:szCs w:val="21"/>
                <w:highlight w:val="none"/>
              </w:rPr>
              <w:t>…………</w:t>
            </w:r>
          </w:p>
        </w:tc>
        <w:tc>
          <w:tcPr>
            <w:tcW w:w="1136" w:type="pct"/>
            <w:vAlign w:val="center"/>
          </w:tcPr>
          <w:p w14:paraId="6A36F80A">
            <w:pPr>
              <w:pStyle w:val="53"/>
              <w:spacing w:line="360" w:lineRule="auto"/>
              <w:jc w:val="center"/>
              <w:rPr>
                <w:rFonts w:cs="宋体"/>
                <w:sz w:val="21"/>
                <w:szCs w:val="21"/>
                <w:highlight w:val="none"/>
              </w:rPr>
            </w:pPr>
          </w:p>
        </w:tc>
      </w:tr>
    </w:tbl>
    <w:p w14:paraId="408CD210">
      <w:pPr>
        <w:spacing w:line="360" w:lineRule="auto"/>
        <w:rPr>
          <w:highlight w:val="none"/>
        </w:rPr>
      </w:pPr>
    </w:p>
    <w:p w14:paraId="1143CD6F">
      <w:pPr>
        <w:spacing w:line="360" w:lineRule="auto"/>
        <w:rPr>
          <w:highlight w:val="none"/>
        </w:rPr>
      </w:pPr>
      <w:r>
        <w:rPr>
          <w:rFonts w:hint="eastAsia"/>
          <w:highlight w:val="none"/>
        </w:rPr>
        <w:t>投标人名称（</w:t>
      </w:r>
      <w:r>
        <w:rPr>
          <w:rFonts w:hint="eastAsia" w:cs="宋体"/>
          <w:kern w:val="0"/>
          <w:highlight w:val="none"/>
        </w:rPr>
        <w:t>公章）</w:t>
      </w:r>
      <w:r>
        <w:rPr>
          <w:rFonts w:hint="eastAsia"/>
          <w:highlight w:val="none"/>
        </w:rPr>
        <w:t>：</w:t>
      </w:r>
    </w:p>
    <w:p w14:paraId="1276D834">
      <w:pPr>
        <w:spacing w:line="360" w:lineRule="auto"/>
        <w:rPr>
          <w:highlight w:val="none"/>
        </w:rPr>
      </w:pPr>
      <w:r>
        <w:rPr>
          <w:rFonts w:hint="eastAsia"/>
          <w:highlight w:val="none"/>
        </w:rPr>
        <w:t>日      期：</w:t>
      </w:r>
    </w:p>
    <w:p w14:paraId="4DBA6662">
      <w:pPr>
        <w:spacing w:line="360" w:lineRule="auto"/>
        <w:rPr>
          <w:szCs w:val="24"/>
          <w:highlight w:val="none"/>
        </w:rPr>
      </w:pPr>
      <w:r>
        <w:rPr>
          <w:rFonts w:hint="eastAsia"/>
          <w:highlight w:val="none"/>
        </w:rPr>
        <w:t>注：投标人应按照招标文件“第三章 采购需求”中的技术要求填写：</w:t>
      </w:r>
    </w:p>
    <w:p w14:paraId="6AE67A61">
      <w:pPr>
        <w:spacing w:line="360" w:lineRule="auto"/>
        <w:rPr>
          <w:highlight w:val="none"/>
        </w:rPr>
      </w:pPr>
      <w:r>
        <w:rPr>
          <w:rFonts w:hint="eastAsia"/>
          <w:highlight w:val="none"/>
        </w:rPr>
        <w:t xml:space="preserve">1.“招标文件技术要求条款”栏应详细列明招标文件中的要求。 </w:t>
      </w:r>
    </w:p>
    <w:p w14:paraId="024DA9AE">
      <w:pPr>
        <w:spacing w:line="360" w:lineRule="auto"/>
        <w:rPr>
          <w:highlight w:val="none"/>
        </w:rPr>
      </w:pPr>
      <w:r>
        <w:rPr>
          <w:rFonts w:hint="eastAsia"/>
          <w:highlight w:val="none"/>
        </w:rPr>
        <w:t>2.“投标文件内容对应简述”栏填写投标人对招标文件提出的技术要求作出的明确响应，并列明具体响应数值或内容，只注明符合、满足等无具体内容表述的，将视为未实质性满足招标文件要求</w:t>
      </w:r>
      <w:r>
        <w:rPr>
          <w:highlight w:val="none"/>
        </w:rPr>
        <w:t>，</w:t>
      </w:r>
      <w:r>
        <w:rPr>
          <w:rFonts w:hint="eastAsia"/>
          <w:b/>
          <w:bCs/>
          <w:highlight w:val="none"/>
        </w:rPr>
        <w:t>投标</w:t>
      </w:r>
      <w:r>
        <w:rPr>
          <w:b/>
          <w:bCs/>
          <w:highlight w:val="none"/>
        </w:rPr>
        <w:t>无效</w:t>
      </w:r>
      <w:r>
        <w:rPr>
          <w:rFonts w:hint="eastAsia"/>
          <w:highlight w:val="none"/>
        </w:rPr>
        <w:t xml:space="preserve">。 </w:t>
      </w:r>
    </w:p>
    <w:p w14:paraId="585CF632">
      <w:pPr>
        <w:spacing w:line="360" w:lineRule="auto"/>
        <w:rPr>
          <w:highlight w:val="none"/>
        </w:rPr>
      </w:pPr>
      <w:r>
        <w:rPr>
          <w:rFonts w:hint="eastAsia"/>
          <w:highlight w:val="none"/>
        </w:rPr>
        <w:t xml:space="preserve">3.“响应情况”栏应据实填写“响应”、“正偏离”或“负偏离”。 </w:t>
      </w:r>
    </w:p>
    <w:p w14:paraId="411A600F">
      <w:pPr>
        <w:spacing w:line="360" w:lineRule="auto"/>
        <w:rPr>
          <w:highlight w:val="none"/>
        </w:rPr>
      </w:pPr>
      <w:r>
        <w:rPr>
          <w:rFonts w:hint="eastAsia"/>
          <w:highlight w:val="none"/>
        </w:rPr>
        <w:t>4.“证明资料及索引”栏可填写证明资料的具体内容及索引。</w:t>
      </w:r>
    </w:p>
    <w:p w14:paraId="7765DD92">
      <w:pPr>
        <w:spacing w:line="360" w:lineRule="auto"/>
        <w:rPr>
          <w:highlight w:val="none"/>
        </w:rPr>
      </w:pPr>
      <w:r>
        <w:rPr>
          <w:rFonts w:hint="eastAsia"/>
          <w:highlight w:val="none"/>
        </w:rPr>
        <w:t>5.对招标文件中的所有技术要求，除本表所列明的所有偏离外，均视作供应商</w:t>
      </w:r>
      <w:r>
        <w:rPr>
          <w:highlight w:val="none"/>
        </w:rPr>
        <w:t>已对之理解和响应。此表中若无任何文字说明，内容为空白的，</w:t>
      </w:r>
      <w:r>
        <w:rPr>
          <w:b/>
          <w:bCs/>
          <w:highlight w:val="none"/>
        </w:rPr>
        <w:t>投标无效</w:t>
      </w:r>
      <w:r>
        <w:rPr>
          <w:highlight w:val="none"/>
        </w:rPr>
        <w:t>。</w:t>
      </w:r>
    </w:p>
    <w:p w14:paraId="575DDC28">
      <w:pPr>
        <w:spacing w:line="360" w:lineRule="auto"/>
        <w:rPr>
          <w:rFonts w:hint="eastAsia"/>
          <w:highlight w:val="none"/>
        </w:rPr>
      </w:pPr>
      <w:r>
        <w:rPr>
          <w:rFonts w:hint="eastAsia"/>
          <w:highlight w:val="none"/>
        </w:rPr>
        <w:t>6</w:t>
      </w:r>
      <w:r>
        <w:rPr>
          <w:highlight w:val="none"/>
        </w:rPr>
        <w:t>.技术要求中明确提供相关材料的，必须按要求提供，否则视为负偏离。证明材料在本表后附。</w:t>
      </w:r>
    </w:p>
    <w:p w14:paraId="28BBDAFD">
      <w:pPr>
        <w:spacing w:line="360" w:lineRule="auto"/>
        <w:rPr>
          <w:rFonts w:asciiTheme="majorHAnsi" w:hAnsiTheme="majorHAnsi" w:cstheme="majorBidi"/>
          <w:b/>
          <w:bCs/>
          <w:sz w:val="32"/>
          <w:szCs w:val="32"/>
          <w:highlight w:val="none"/>
        </w:rPr>
      </w:pPr>
      <w:bookmarkStart w:id="447" w:name="_Toc163492935"/>
      <w:r>
        <w:rPr>
          <w:highlight w:val="none"/>
        </w:rPr>
        <w:br w:type="page"/>
      </w:r>
    </w:p>
    <w:p w14:paraId="1BDD79A7">
      <w:pPr>
        <w:pStyle w:val="5"/>
        <w:spacing w:line="360" w:lineRule="auto"/>
        <w:rPr>
          <w:highlight w:val="none"/>
        </w:rPr>
      </w:pPr>
      <w:bookmarkStart w:id="448" w:name="_Toc28608"/>
      <w:r>
        <w:rPr>
          <w:rFonts w:hint="eastAsia"/>
          <w:highlight w:val="none"/>
        </w:rPr>
        <w:t>十、技术方案</w:t>
      </w:r>
      <w:bookmarkEnd w:id="447"/>
      <w:bookmarkEnd w:id="448"/>
    </w:p>
    <w:p w14:paraId="440353B9">
      <w:pPr>
        <w:pStyle w:val="41"/>
        <w:spacing w:line="360" w:lineRule="auto"/>
        <w:rPr>
          <w:highlight w:val="none"/>
        </w:rPr>
      </w:pPr>
      <w:r>
        <w:rPr>
          <w:rFonts w:hint="eastAsia"/>
          <w:highlight w:val="none"/>
        </w:rPr>
        <w:t>投标人应按照招标文件的评审要求，提供详细的</w:t>
      </w:r>
      <w:r>
        <w:rPr>
          <w:rFonts w:hint="eastAsia"/>
          <w:highlight w:val="none"/>
          <w:lang w:val="en-US"/>
        </w:rPr>
        <w:t>供货及相关</w:t>
      </w:r>
      <w:r>
        <w:rPr>
          <w:rFonts w:hint="eastAsia"/>
          <w:highlight w:val="none"/>
        </w:rPr>
        <w:t>服务方案，包括文字描述或图表显示，具体内容详见商务技术评审标准。格式自拟。</w:t>
      </w:r>
    </w:p>
    <w:p w14:paraId="366C851D">
      <w:pPr>
        <w:pStyle w:val="41"/>
        <w:spacing w:line="360" w:lineRule="auto"/>
        <w:rPr>
          <w:highlight w:val="none"/>
        </w:rPr>
      </w:pPr>
      <w:r>
        <w:rPr>
          <w:highlight w:val="none"/>
        </w:rPr>
        <w:br w:type="page"/>
      </w:r>
    </w:p>
    <w:p w14:paraId="764A0BEC">
      <w:pPr>
        <w:pStyle w:val="5"/>
        <w:spacing w:line="360" w:lineRule="auto"/>
        <w:rPr>
          <w:highlight w:val="none"/>
        </w:rPr>
      </w:pPr>
      <w:bookmarkStart w:id="449" w:name="_Toc163492936"/>
      <w:bookmarkStart w:id="450" w:name="_Toc27293"/>
      <w:r>
        <w:rPr>
          <w:rFonts w:hint="eastAsia"/>
          <w:highlight w:val="none"/>
        </w:rPr>
        <w:t>十一、其他文件</w:t>
      </w:r>
      <w:bookmarkEnd w:id="449"/>
      <w:bookmarkEnd w:id="450"/>
    </w:p>
    <w:p w14:paraId="65D9ABCC">
      <w:pPr>
        <w:pStyle w:val="41"/>
        <w:spacing w:line="360" w:lineRule="auto"/>
        <w:rPr>
          <w:highlight w:val="none"/>
        </w:rPr>
      </w:pPr>
      <w:r>
        <w:rPr>
          <w:rFonts w:hint="eastAsia"/>
          <w:highlight w:val="none"/>
        </w:rPr>
        <w:t>（</w:t>
      </w:r>
      <w:r>
        <w:rPr>
          <w:rFonts w:hint="eastAsia"/>
          <w:highlight w:val="none"/>
          <w:lang w:val="en-US"/>
        </w:rPr>
        <w:t>一）</w:t>
      </w:r>
      <w:r>
        <w:rPr>
          <w:rFonts w:hint="eastAsia"/>
          <w:highlight w:val="none"/>
        </w:rPr>
        <w:t>招标文件要求提供的其它商务、技术资料和证明材料；</w:t>
      </w:r>
    </w:p>
    <w:p w14:paraId="53871654">
      <w:pPr>
        <w:pStyle w:val="41"/>
        <w:spacing w:line="360" w:lineRule="auto"/>
        <w:rPr>
          <w:highlight w:val="none"/>
        </w:rPr>
      </w:pPr>
      <w:r>
        <w:rPr>
          <w:rFonts w:hint="eastAsia"/>
          <w:highlight w:val="none"/>
        </w:rPr>
        <w:t>1.1供应商信息采集表</w:t>
      </w:r>
    </w:p>
    <w:tbl>
      <w:tblPr>
        <w:tblStyle w:val="34"/>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2BC5E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58CF679D">
            <w:pPr>
              <w:spacing w:line="360" w:lineRule="auto"/>
              <w:rPr>
                <w:highlight w:val="none"/>
              </w:rPr>
            </w:pPr>
            <w:r>
              <w:rPr>
                <w:rFonts w:hint="eastAsia"/>
                <w:highlight w:val="none"/>
                <w:lang w:bidi="ar"/>
              </w:rPr>
              <w:t>供应商名称</w:t>
            </w:r>
          </w:p>
        </w:tc>
        <w:tc>
          <w:tcPr>
            <w:tcW w:w="2841" w:type="dxa"/>
            <w:vAlign w:val="center"/>
          </w:tcPr>
          <w:p w14:paraId="7AB8535F">
            <w:pPr>
              <w:spacing w:line="360" w:lineRule="auto"/>
              <w:rPr>
                <w:highlight w:val="none"/>
              </w:rPr>
            </w:pPr>
            <w:r>
              <w:rPr>
                <w:rFonts w:hint="eastAsia"/>
                <w:highlight w:val="none"/>
                <w:lang w:bidi="ar"/>
              </w:rPr>
              <w:t>供应商实际控制人性别</w:t>
            </w:r>
          </w:p>
        </w:tc>
        <w:tc>
          <w:tcPr>
            <w:tcW w:w="2743" w:type="dxa"/>
            <w:vAlign w:val="center"/>
          </w:tcPr>
          <w:p w14:paraId="00531578">
            <w:pPr>
              <w:spacing w:line="360" w:lineRule="auto"/>
              <w:rPr>
                <w:highlight w:val="none"/>
              </w:rPr>
            </w:pPr>
            <w:r>
              <w:rPr>
                <w:rFonts w:hint="eastAsia"/>
                <w:highlight w:val="none"/>
                <w:lang w:bidi="ar"/>
              </w:rPr>
              <w:t>外商投资类型</w:t>
            </w:r>
          </w:p>
        </w:tc>
      </w:tr>
      <w:tr w14:paraId="137BE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7831E788">
            <w:pPr>
              <w:pStyle w:val="41"/>
              <w:spacing w:line="360" w:lineRule="auto"/>
              <w:rPr>
                <w:highlight w:val="none"/>
              </w:rPr>
            </w:pPr>
          </w:p>
        </w:tc>
        <w:tc>
          <w:tcPr>
            <w:tcW w:w="2841" w:type="dxa"/>
          </w:tcPr>
          <w:p w14:paraId="3CDCC3DA">
            <w:pPr>
              <w:pStyle w:val="41"/>
              <w:spacing w:line="360" w:lineRule="auto"/>
              <w:rPr>
                <w:highlight w:val="none"/>
              </w:rPr>
            </w:pPr>
          </w:p>
        </w:tc>
        <w:tc>
          <w:tcPr>
            <w:tcW w:w="2743" w:type="dxa"/>
          </w:tcPr>
          <w:p w14:paraId="0ED7A3D1">
            <w:pPr>
              <w:pStyle w:val="41"/>
              <w:spacing w:line="360" w:lineRule="auto"/>
              <w:rPr>
                <w:highlight w:val="none"/>
              </w:rPr>
            </w:pPr>
          </w:p>
        </w:tc>
      </w:tr>
      <w:tr w14:paraId="06791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DFC2A94">
            <w:pPr>
              <w:pStyle w:val="41"/>
              <w:spacing w:line="360" w:lineRule="auto"/>
              <w:rPr>
                <w:highlight w:val="none"/>
              </w:rPr>
            </w:pPr>
          </w:p>
        </w:tc>
        <w:tc>
          <w:tcPr>
            <w:tcW w:w="2841" w:type="dxa"/>
          </w:tcPr>
          <w:p w14:paraId="7819AC7B">
            <w:pPr>
              <w:pStyle w:val="41"/>
              <w:spacing w:line="360" w:lineRule="auto"/>
              <w:rPr>
                <w:highlight w:val="none"/>
              </w:rPr>
            </w:pPr>
          </w:p>
        </w:tc>
        <w:tc>
          <w:tcPr>
            <w:tcW w:w="2743" w:type="dxa"/>
          </w:tcPr>
          <w:p w14:paraId="3D869455">
            <w:pPr>
              <w:pStyle w:val="41"/>
              <w:spacing w:line="360" w:lineRule="auto"/>
              <w:rPr>
                <w:highlight w:val="none"/>
              </w:rPr>
            </w:pPr>
          </w:p>
        </w:tc>
      </w:tr>
      <w:tr w14:paraId="0A98E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6D2E5276">
            <w:pPr>
              <w:pStyle w:val="41"/>
              <w:spacing w:line="360" w:lineRule="auto"/>
              <w:rPr>
                <w:highlight w:val="none"/>
              </w:rPr>
            </w:pPr>
          </w:p>
        </w:tc>
        <w:tc>
          <w:tcPr>
            <w:tcW w:w="2841" w:type="dxa"/>
          </w:tcPr>
          <w:p w14:paraId="5EC77958">
            <w:pPr>
              <w:pStyle w:val="41"/>
              <w:spacing w:line="360" w:lineRule="auto"/>
              <w:rPr>
                <w:highlight w:val="none"/>
              </w:rPr>
            </w:pPr>
          </w:p>
        </w:tc>
        <w:tc>
          <w:tcPr>
            <w:tcW w:w="2743" w:type="dxa"/>
          </w:tcPr>
          <w:p w14:paraId="7BA6579D">
            <w:pPr>
              <w:pStyle w:val="41"/>
              <w:spacing w:line="360" w:lineRule="auto"/>
              <w:rPr>
                <w:highlight w:val="none"/>
              </w:rPr>
            </w:pPr>
          </w:p>
        </w:tc>
      </w:tr>
      <w:tr w14:paraId="76397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76D7C937">
            <w:pPr>
              <w:pStyle w:val="41"/>
              <w:spacing w:line="360" w:lineRule="auto"/>
              <w:rPr>
                <w:highlight w:val="none"/>
              </w:rPr>
            </w:pPr>
          </w:p>
        </w:tc>
        <w:tc>
          <w:tcPr>
            <w:tcW w:w="2841" w:type="dxa"/>
          </w:tcPr>
          <w:p w14:paraId="4D35EF3F">
            <w:pPr>
              <w:pStyle w:val="41"/>
              <w:spacing w:line="360" w:lineRule="auto"/>
              <w:rPr>
                <w:highlight w:val="none"/>
              </w:rPr>
            </w:pPr>
          </w:p>
        </w:tc>
        <w:tc>
          <w:tcPr>
            <w:tcW w:w="2743" w:type="dxa"/>
          </w:tcPr>
          <w:p w14:paraId="44AFD266">
            <w:pPr>
              <w:pStyle w:val="41"/>
              <w:spacing w:line="360" w:lineRule="auto"/>
              <w:rPr>
                <w:highlight w:val="none"/>
              </w:rPr>
            </w:pPr>
          </w:p>
        </w:tc>
      </w:tr>
    </w:tbl>
    <w:p w14:paraId="0EE6BE8B">
      <w:pPr>
        <w:spacing w:line="360" w:lineRule="auto"/>
        <w:rPr>
          <w:highlight w:val="none"/>
        </w:rPr>
      </w:pPr>
      <w:r>
        <w:rPr>
          <w:rFonts w:hint="eastAsia"/>
          <w:highlight w:val="none"/>
          <w:lang w:bidi="ar"/>
        </w:rPr>
        <w:t xml:space="preserve">注：1.供应商如为联合体，则应填写联合体各成员信息。 </w:t>
      </w:r>
    </w:p>
    <w:p w14:paraId="0DA3DB30">
      <w:pPr>
        <w:spacing w:line="360" w:lineRule="auto"/>
        <w:rPr>
          <w:highlight w:val="none"/>
          <w:lang w:bidi="ar"/>
        </w:rPr>
      </w:pPr>
      <w:r>
        <w:rPr>
          <w:rFonts w:hint="eastAsia"/>
          <w:highlight w:val="none"/>
          <w:lang w:bidi="ar"/>
        </w:rPr>
        <w:t>2.“供应商实际控制人性别”按供应商实际控制人性别划分请填写“男”或“女”，指拥有供应商 51%以上绝对所有权的性别；绝对所有权拥有者可以是一个人，也可以是多人合计计算。</w:t>
      </w:r>
    </w:p>
    <w:p w14:paraId="6D14B894">
      <w:pPr>
        <w:pStyle w:val="41"/>
        <w:spacing w:line="360" w:lineRule="auto"/>
        <w:rPr>
          <w:highlight w:val="none"/>
        </w:rPr>
      </w:pPr>
      <w:r>
        <w:rPr>
          <w:rFonts w:hint="eastAsia"/>
          <w:highlight w:val="none"/>
          <w:lang w:bidi="ar"/>
        </w:rPr>
        <w:t>3.“外商投资类型”请填写“外商单独投资”、“外商部分投资”或“内资”。</w:t>
      </w:r>
    </w:p>
    <w:p w14:paraId="001584E3">
      <w:pPr>
        <w:pStyle w:val="41"/>
        <w:spacing w:line="360" w:lineRule="auto"/>
        <w:rPr>
          <w:highlight w:val="none"/>
        </w:rPr>
      </w:pPr>
    </w:p>
    <w:p w14:paraId="23B8800B">
      <w:pPr>
        <w:pStyle w:val="41"/>
        <w:spacing w:line="360" w:lineRule="auto"/>
        <w:rPr>
          <w:highlight w:val="none"/>
        </w:rPr>
      </w:pPr>
      <w:r>
        <w:rPr>
          <w:rFonts w:hint="eastAsia"/>
          <w:highlight w:val="none"/>
        </w:rPr>
        <w:t>1.2其它商务、技术资料和证明材料</w:t>
      </w:r>
    </w:p>
    <w:p w14:paraId="5A4AB9C2">
      <w:pPr>
        <w:pStyle w:val="41"/>
        <w:spacing w:line="360" w:lineRule="auto"/>
        <w:rPr>
          <w:highlight w:val="none"/>
        </w:rPr>
      </w:pPr>
    </w:p>
    <w:p w14:paraId="2EF44696">
      <w:pPr>
        <w:pStyle w:val="41"/>
        <w:spacing w:line="360" w:lineRule="auto"/>
        <w:rPr>
          <w:highlight w:val="none"/>
        </w:rPr>
      </w:pPr>
      <w:r>
        <w:rPr>
          <w:rFonts w:hint="eastAsia"/>
          <w:highlight w:val="none"/>
        </w:rPr>
        <w:t>（</w:t>
      </w:r>
      <w:r>
        <w:rPr>
          <w:rFonts w:hint="eastAsia"/>
          <w:highlight w:val="none"/>
          <w:lang w:val="en-US"/>
        </w:rPr>
        <w:t>二）</w:t>
      </w:r>
      <w:r>
        <w:rPr>
          <w:rFonts w:hint="eastAsia"/>
          <w:highlight w:val="none"/>
        </w:rPr>
        <w:t>投标人认为需要提供的其它商务、技术资料和说明。</w:t>
      </w:r>
    </w:p>
    <w:p w14:paraId="00395713">
      <w:pPr>
        <w:spacing w:line="360" w:lineRule="auto"/>
        <w:rPr>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44B3A75B-3C84-43F3-8F80-037E39F84E03}"/>
  </w:font>
  <w:font w:name="Arial">
    <w:panose1 w:val="020B0604020202020204"/>
    <w:charset w:val="01"/>
    <w:family w:val="swiss"/>
    <w:pitch w:val="default"/>
    <w:sig w:usb0="E0002AFF" w:usb1="C0007843" w:usb2="00000009" w:usb3="00000000" w:csb0="400001FF" w:csb1="FFFF0000"/>
    <w:embedRegular r:id="rId2" w:fontKey="{83655DE5-07E8-4624-866A-5B911C47D40D}"/>
  </w:font>
  <w:font w:name="黑体">
    <w:panose1 w:val="02010609060101010101"/>
    <w:charset w:val="86"/>
    <w:family w:val="auto"/>
    <w:pitch w:val="default"/>
    <w:sig w:usb0="800002BF" w:usb1="38CF7CFA" w:usb2="00000016" w:usb3="00000000" w:csb0="00040001" w:csb1="00000000"/>
    <w:embedRegular r:id="rId3" w:fontKey="{93333402-634E-46B1-A7EE-C1653C3EFC9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4" w:fontKey="{DBAA3666-8BC0-4C3A-8DA1-1AAAADE3A176}"/>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5" w:fontKey="{ABE93ABD-05A7-4156-BC4F-8E4B79521437}"/>
  </w:font>
  <w:font w:name="Cambria">
    <w:panose1 w:val="02040503050406030204"/>
    <w:charset w:val="00"/>
    <w:family w:val="roman"/>
    <w:pitch w:val="default"/>
    <w:sig w:usb0="E00002FF" w:usb1="400004FF" w:usb2="00000000"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embedRegular r:id="rId6" w:fontKey="{038DF535-24D6-4B1C-84DC-FFEA402F9EEC}"/>
  </w:font>
  <w:font w:name="华文楷体">
    <w:panose1 w:val="02010600040101010101"/>
    <w:charset w:val="86"/>
    <w:family w:val="auto"/>
    <w:pitch w:val="default"/>
    <w:sig w:usb0="00000287" w:usb1="080F0000" w:usb2="00000000" w:usb3="00000000" w:csb0="0004009F" w:csb1="DFD70000"/>
  </w:font>
  <w:font w:name="Helvetica">
    <w:altName w:val="Arial"/>
    <w:panose1 w:val="020B0604020202020204"/>
    <w:charset w:val="00"/>
    <w:family w:val="swiss"/>
    <w:pitch w:val="default"/>
    <w:sig w:usb0="00000000" w:usb1="00000000" w:usb2="00000009" w:usb3="00000000" w:csb0="000001FF" w:csb1="00000000"/>
  </w:font>
  <w:font w:name="Segoe UI Symbol">
    <w:panose1 w:val="020B0502040204020203"/>
    <w:charset w:val="00"/>
    <w:family w:val="swiss"/>
    <w:pitch w:val="default"/>
    <w:sig w:usb0="8000006F" w:usb1="1200FBEF" w:usb2="0064C000" w:usb3="00000002" w:csb0="00000001" w:csb1="40000000"/>
    <w:embedRegular r:id="rId7" w:fontKey="{6A983AF3-2858-4564-932E-3BDDB8C6D205}"/>
  </w:font>
  <w:font w:name="FZShuSong-Z01">
    <w:altName w:val="Segoe Print"/>
    <w:panose1 w:val="00000000000000000000"/>
    <w:charset w:val="00"/>
    <w:family w:val="auto"/>
    <w:pitch w:val="default"/>
    <w:sig w:usb0="00000000" w:usb1="00000000" w:usb2="00000000" w:usb3="00000000" w:csb0="00000000" w:csb1="00000000"/>
    <w:embedRegular r:id="rId8" w:fontKey="{EDC64C62-6F65-4C0B-A0D1-EA911313EBF5}"/>
  </w:font>
  <w:font w:name="Segoe Print">
    <w:panose1 w:val="02000600000000000000"/>
    <w:charset w:val="00"/>
    <w:family w:val="auto"/>
    <w:pitch w:val="default"/>
    <w:sig w:usb0="0000028F" w:usb1="00000000" w:usb2="00000000" w:usb3="00000000" w:csb0="2000009F" w:csb1="47010000"/>
  </w:font>
  <w:font w:name="方正仿宋_GB2312">
    <w:panose1 w:val="02000000000000000000"/>
    <w:charset w:val="7A"/>
    <w:family w:val="auto"/>
    <w:pitch w:val="default"/>
    <w:sig w:usb0="A00002BF" w:usb1="184F6CFA" w:usb2="00000012" w:usb3="00000000" w:csb0="00040001" w:csb1="00000000"/>
    <w:embedRegular r:id="rId9" w:fontKey="{79D7C8AB-3093-4956-8396-972D9C0F7CE4}"/>
  </w:font>
  <w:font w:name="DejaVuSans">
    <w:altName w:val="Segoe Print"/>
    <w:panose1 w:val="00000000000000000000"/>
    <w:charset w:val="00"/>
    <w:family w:val="auto"/>
    <w:pitch w:val="default"/>
    <w:sig w:usb0="00000000" w:usb1="00000000" w:usb2="00000000" w:usb3="00000000" w:csb0="00000000" w:csb1="00000000"/>
    <w:embedRegular r:id="rId10" w:fontKey="{E4769A7D-09D0-4A2F-A0FC-673E66869F70}"/>
  </w:font>
  <w:font w:name="等线">
    <w:altName w:val="Arial Unicode MS"/>
    <w:panose1 w:val="00000000000000000000"/>
    <w:charset w:val="00"/>
    <w:family w:val="auto"/>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embedRegular r:id="rId11" w:fontKey="{E5ADC24D-2B0F-418B-B7F2-71B60EB3D5EA}"/>
  </w:font>
  <w:font w:name="WPSEMBED13">
    <w:panose1 w:val="02010600030101010101"/>
    <w:charset w:val="86"/>
    <w:family w:val="auto"/>
    <w:pitch w:val="default"/>
    <w:sig w:usb0="A00002BF" w:usb1="38CF7CFA" w:usb2="00000016" w:usb3="00000000" w:csb0="0004000F" w:csb1="00000000"/>
  </w:font>
  <w:font w:name="WPSEMBED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1E0C2">
    <w:pPr>
      <w:pStyle w:val="2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0CB5A5">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90CB5A5">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F0FD4">
    <w:pPr>
      <w:pStyle w:val="22"/>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FBD69C">
                          <w:pPr>
                            <w:pStyle w:val="22"/>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CFBD69C">
                    <w:pPr>
                      <w:pStyle w:val="22"/>
                    </w:pPr>
                    <w:r>
                      <w:fldChar w:fldCharType="begin"/>
                    </w:r>
                    <w:r>
                      <w:instrText xml:space="preserve"> PAGE  \* MERGEFORMAT </w:instrText>
                    </w:r>
                    <w:r>
                      <w:fldChar w:fldCharType="separate"/>
                    </w:r>
                    <w:r>
                      <w:t>5</w:t>
                    </w:r>
                    <w:r>
                      <w:fldChar w:fldCharType="end"/>
                    </w:r>
                  </w:p>
                </w:txbxContent>
              </v:textbox>
            </v:shape>
          </w:pict>
        </mc:Fallback>
      </mc:AlternateContent>
    </w: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E5EA2">
    <w:pPr>
      <w:pStyle w:val="2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5EA036">
                          <w:pPr>
                            <w:pStyle w:val="22"/>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35EA036">
                    <w:pPr>
                      <w:pStyle w:val="22"/>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C021B">
    <w:pPr>
      <w:rPr>
        <w:rFonts w:ascii="Arial" w:hAnsi="Arial" w:eastAsia="Arial" w:cs="Arial"/>
        <w:szCs w:val="18"/>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AD7FA1">
                          <w:pPr>
                            <w:pStyle w:val="22"/>
                          </w:pPr>
                          <w:r>
                            <w:fldChar w:fldCharType="begin"/>
                          </w:r>
                          <w:r>
                            <w:instrText xml:space="preserve"> PAGE  \* MERGEFORMAT </w:instrText>
                          </w:r>
                          <w:r>
                            <w:fldChar w:fldCharType="separate"/>
                          </w:r>
                          <w:r>
                            <w:t>92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2AD7FA1">
                    <w:pPr>
                      <w:pStyle w:val="22"/>
                    </w:pPr>
                    <w:r>
                      <w:fldChar w:fldCharType="begin"/>
                    </w:r>
                    <w:r>
                      <w:instrText xml:space="preserve"> PAGE  \* MERGEFORMAT </w:instrText>
                    </w:r>
                    <w:r>
                      <w:fldChar w:fldCharType="separate"/>
                    </w:r>
                    <w:r>
                      <w:t>92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A19C6">
    <w:pPr>
      <w:pStyle w:val="2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15504C">
                          <w:pPr>
                            <w:pStyle w:val="22"/>
                          </w:pPr>
                          <w:r>
                            <w:fldChar w:fldCharType="begin"/>
                          </w:r>
                          <w:r>
                            <w:instrText xml:space="preserve"> PAGE  \* MERGEFORMAT </w:instrText>
                          </w:r>
                          <w:r>
                            <w:fldChar w:fldCharType="separate"/>
                          </w:r>
                          <w:r>
                            <w:t>95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0115504C">
                    <w:pPr>
                      <w:pStyle w:val="22"/>
                    </w:pPr>
                    <w:r>
                      <w:fldChar w:fldCharType="begin"/>
                    </w:r>
                    <w:r>
                      <w:instrText xml:space="preserve"> PAGE  \* MERGEFORMAT </w:instrText>
                    </w:r>
                    <w:r>
                      <w:fldChar w:fldCharType="separate"/>
                    </w:r>
                    <w:r>
                      <w:t>95</w:t>
                    </w:r>
                    <w:r>
                      <w:fldChar w:fldCharType="end"/>
                    </w:r>
                  </w:p>
                </w:txbxContent>
              </v:textbox>
            </v:shape>
          </w:pict>
        </mc:Fallback>
      </mc:AlternateContent>
    </w:r>
  </w:p>
  <w:p w14:paraId="72B302D2">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1E773">
    <w:pPr>
      <w:pStyle w:val="2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7887E">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930F8">
    <w:pPr>
      <w:pStyle w:val="2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070575"/>
    <w:multiLevelType w:val="singleLevel"/>
    <w:tmpl w:val="9C070575"/>
    <w:lvl w:ilvl="0" w:tentative="0">
      <w:start w:val="1"/>
      <w:numFmt w:val="decimal"/>
      <w:pStyle w:val="8"/>
      <w:lvlText w:val="%1."/>
      <w:lvlJc w:val="left"/>
      <w:pPr>
        <w:tabs>
          <w:tab w:val="left" w:pos="780"/>
        </w:tabs>
        <w:ind w:left="780" w:hanging="360"/>
      </w:pPr>
    </w:lvl>
  </w:abstractNum>
  <w:abstractNum w:abstractNumId="1">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47B6378"/>
    <w:multiLevelType w:val="multilevel"/>
    <w:tmpl w:val="447B6378"/>
    <w:lvl w:ilvl="0" w:tentative="0">
      <w:start w:val="1"/>
      <w:numFmt w:val="decimal"/>
      <w:pStyle w:val="43"/>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DAA628F"/>
    <w:multiLevelType w:val="singleLevel"/>
    <w:tmpl w:val="4DAA628F"/>
    <w:lvl w:ilvl="0" w:tentative="0">
      <w:start w:val="6"/>
      <w:numFmt w:val="chineseCounting"/>
      <w:suff w:val="nothing"/>
      <w:lvlText w:val="%1、"/>
      <w:lvlJc w:val="left"/>
      <w:rPr>
        <w:rFonts w:hint="eastAsia"/>
      </w:rPr>
    </w:lvl>
  </w:abstractNum>
  <w:abstractNum w:abstractNumId="4">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172A27"/>
    <w:rsid w:val="0000366A"/>
    <w:rsid w:val="00006F7F"/>
    <w:rsid w:val="00007003"/>
    <w:rsid w:val="000075B7"/>
    <w:rsid w:val="000237EA"/>
    <w:rsid w:val="00027CD2"/>
    <w:rsid w:val="00031E0C"/>
    <w:rsid w:val="00040832"/>
    <w:rsid w:val="00040D23"/>
    <w:rsid w:val="000439DA"/>
    <w:rsid w:val="00050E96"/>
    <w:rsid w:val="00063604"/>
    <w:rsid w:val="0006370A"/>
    <w:rsid w:val="00066832"/>
    <w:rsid w:val="00067934"/>
    <w:rsid w:val="000720BF"/>
    <w:rsid w:val="00080B92"/>
    <w:rsid w:val="0008641D"/>
    <w:rsid w:val="000A139B"/>
    <w:rsid w:val="000B39A0"/>
    <w:rsid w:val="000B7553"/>
    <w:rsid w:val="000C3E03"/>
    <w:rsid w:val="000C488D"/>
    <w:rsid w:val="000C5162"/>
    <w:rsid w:val="000C52EC"/>
    <w:rsid w:val="000D0230"/>
    <w:rsid w:val="000D0AD3"/>
    <w:rsid w:val="000E45BD"/>
    <w:rsid w:val="000E4E33"/>
    <w:rsid w:val="000E67CF"/>
    <w:rsid w:val="000F20FD"/>
    <w:rsid w:val="000F39B0"/>
    <w:rsid w:val="001008D8"/>
    <w:rsid w:val="001022A4"/>
    <w:rsid w:val="00115EF7"/>
    <w:rsid w:val="00130CD4"/>
    <w:rsid w:val="0013642D"/>
    <w:rsid w:val="00146410"/>
    <w:rsid w:val="00150D67"/>
    <w:rsid w:val="00150EAD"/>
    <w:rsid w:val="00156600"/>
    <w:rsid w:val="00160E9C"/>
    <w:rsid w:val="00171DA0"/>
    <w:rsid w:val="00172190"/>
    <w:rsid w:val="00172A27"/>
    <w:rsid w:val="00173480"/>
    <w:rsid w:val="00181988"/>
    <w:rsid w:val="00182557"/>
    <w:rsid w:val="0018304A"/>
    <w:rsid w:val="001904E9"/>
    <w:rsid w:val="001A77DE"/>
    <w:rsid w:val="001B36EC"/>
    <w:rsid w:val="001D7B23"/>
    <w:rsid w:val="001E2F56"/>
    <w:rsid w:val="001F41C3"/>
    <w:rsid w:val="001F5E77"/>
    <w:rsid w:val="00204A2D"/>
    <w:rsid w:val="002062E6"/>
    <w:rsid w:val="00207131"/>
    <w:rsid w:val="0022214D"/>
    <w:rsid w:val="00223585"/>
    <w:rsid w:val="002257E4"/>
    <w:rsid w:val="002317DB"/>
    <w:rsid w:val="00232245"/>
    <w:rsid w:val="0023265E"/>
    <w:rsid w:val="00235B5A"/>
    <w:rsid w:val="00251060"/>
    <w:rsid w:val="002514A3"/>
    <w:rsid w:val="00256B32"/>
    <w:rsid w:val="00256D01"/>
    <w:rsid w:val="002706F2"/>
    <w:rsid w:val="00271135"/>
    <w:rsid w:val="00285E30"/>
    <w:rsid w:val="00292BAB"/>
    <w:rsid w:val="002A1AEC"/>
    <w:rsid w:val="002A1BCB"/>
    <w:rsid w:val="002A5262"/>
    <w:rsid w:val="002A6484"/>
    <w:rsid w:val="002A79C6"/>
    <w:rsid w:val="002C06B9"/>
    <w:rsid w:val="002C0FDD"/>
    <w:rsid w:val="002C5E37"/>
    <w:rsid w:val="002D11F7"/>
    <w:rsid w:val="002D48C5"/>
    <w:rsid w:val="002E0B52"/>
    <w:rsid w:val="002E1CF4"/>
    <w:rsid w:val="002E5FED"/>
    <w:rsid w:val="002F0DA9"/>
    <w:rsid w:val="003113C1"/>
    <w:rsid w:val="00312C3A"/>
    <w:rsid w:val="0031353D"/>
    <w:rsid w:val="0032037A"/>
    <w:rsid w:val="0032200D"/>
    <w:rsid w:val="00333B37"/>
    <w:rsid w:val="0034487B"/>
    <w:rsid w:val="00347CC6"/>
    <w:rsid w:val="00347D88"/>
    <w:rsid w:val="00350BCD"/>
    <w:rsid w:val="0035643C"/>
    <w:rsid w:val="00366226"/>
    <w:rsid w:val="003746B0"/>
    <w:rsid w:val="00374A6B"/>
    <w:rsid w:val="00383E1C"/>
    <w:rsid w:val="00390D4A"/>
    <w:rsid w:val="0039222E"/>
    <w:rsid w:val="0039288A"/>
    <w:rsid w:val="00393395"/>
    <w:rsid w:val="0039372E"/>
    <w:rsid w:val="00394AF5"/>
    <w:rsid w:val="003A19A4"/>
    <w:rsid w:val="003A1A1B"/>
    <w:rsid w:val="003A4485"/>
    <w:rsid w:val="003A4878"/>
    <w:rsid w:val="003B4310"/>
    <w:rsid w:val="003B60A6"/>
    <w:rsid w:val="003C5883"/>
    <w:rsid w:val="003C7C49"/>
    <w:rsid w:val="003D3327"/>
    <w:rsid w:val="003D6656"/>
    <w:rsid w:val="003E057C"/>
    <w:rsid w:val="003E2B14"/>
    <w:rsid w:val="003E314B"/>
    <w:rsid w:val="003F5655"/>
    <w:rsid w:val="003F5BC6"/>
    <w:rsid w:val="004021C6"/>
    <w:rsid w:val="004054FD"/>
    <w:rsid w:val="00406BEF"/>
    <w:rsid w:val="004071D7"/>
    <w:rsid w:val="00410595"/>
    <w:rsid w:val="00420F7C"/>
    <w:rsid w:val="0043307A"/>
    <w:rsid w:val="00433514"/>
    <w:rsid w:val="00446BB3"/>
    <w:rsid w:val="00450503"/>
    <w:rsid w:val="0045353D"/>
    <w:rsid w:val="004771C7"/>
    <w:rsid w:val="00481283"/>
    <w:rsid w:val="00481C3A"/>
    <w:rsid w:val="004851CA"/>
    <w:rsid w:val="0048656E"/>
    <w:rsid w:val="00493221"/>
    <w:rsid w:val="004A302C"/>
    <w:rsid w:val="004B539D"/>
    <w:rsid w:val="004C1FA1"/>
    <w:rsid w:val="004C3DCC"/>
    <w:rsid w:val="004D1658"/>
    <w:rsid w:val="004E0BF9"/>
    <w:rsid w:val="004E0CF9"/>
    <w:rsid w:val="004F3FDD"/>
    <w:rsid w:val="004F46AB"/>
    <w:rsid w:val="00501A4A"/>
    <w:rsid w:val="005032B9"/>
    <w:rsid w:val="005100F2"/>
    <w:rsid w:val="00510300"/>
    <w:rsid w:val="00511D7B"/>
    <w:rsid w:val="00513AD5"/>
    <w:rsid w:val="00523D37"/>
    <w:rsid w:val="00524831"/>
    <w:rsid w:val="0052616B"/>
    <w:rsid w:val="00532F25"/>
    <w:rsid w:val="00541D90"/>
    <w:rsid w:val="00542258"/>
    <w:rsid w:val="0054547C"/>
    <w:rsid w:val="0054602F"/>
    <w:rsid w:val="0054632A"/>
    <w:rsid w:val="00551EDC"/>
    <w:rsid w:val="005544D1"/>
    <w:rsid w:val="00554509"/>
    <w:rsid w:val="00561523"/>
    <w:rsid w:val="00561527"/>
    <w:rsid w:val="005714C6"/>
    <w:rsid w:val="00594E7A"/>
    <w:rsid w:val="005A146E"/>
    <w:rsid w:val="005A7208"/>
    <w:rsid w:val="005A7987"/>
    <w:rsid w:val="005B5936"/>
    <w:rsid w:val="005C0D20"/>
    <w:rsid w:val="005D050C"/>
    <w:rsid w:val="005F7A46"/>
    <w:rsid w:val="00611383"/>
    <w:rsid w:val="00620B1C"/>
    <w:rsid w:val="00626E33"/>
    <w:rsid w:val="006407ED"/>
    <w:rsid w:val="0064251F"/>
    <w:rsid w:val="00643F74"/>
    <w:rsid w:val="006503AE"/>
    <w:rsid w:val="00651EE4"/>
    <w:rsid w:val="00654524"/>
    <w:rsid w:val="00654BCF"/>
    <w:rsid w:val="0066052B"/>
    <w:rsid w:val="006630EF"/>
    <w:rsid w:val="0066446E"/>
    <w:rsid w:val="0066601A"/>
    <w:rsid w:val="006662AB"/>
    <w:rsid w:val="00674212"/>
    <w:rsid w:val="0067621A"/>
    <w:rsid w:val="006815D1"/>
    <w:rsid w:val="00687DD5"/>
    <w:rsid w:val="006923C3"/>
    <w:rsid w:val="006937E9"/>
    <w:rsid w:val="00693EF9"/>
    <w:rsid w:val="006947A5"/>
    <w:rsid w:val="006A161A"/>
    <w:rsid w:val="006A1A11"/>
    <w:rsid w:val="006A2C75"/>
    <w:rsid w:val="006A4105"/>
    <w:rsid w:val="006B0C84"/>
    <w:rsid w:val="006B543B"/>
    <w:rsid w:val="006B7E54"/>
    <w:rsid w:val="006C0BD1"/>
    <w:rsid w:val="006C30C8"/>
    <w:rsid w:val="006C5139"/>
    <w:rsid w:val="006C69FC"/>
    <w:rsid w:val="006D069F"/>
    <w:rsid w:val="006D2C95"/>
    <w:rsid w:val="006D5F8F"/>
    <w:rsid w:val="006D6CEA"/>
    <w:rsid w:val="006E3B5C"/>
    <w:rsid w:val="006E3EB8"/>
    <w:rsid w:val="006F7368"/>
    <w:rsid w:val="00707B1D"/>
    <w:rsid w:val="00710909"/>
    <w:rsid w:val="00716369"/>
    <w:rsid w:val="00723649"/>
    <w:rsid w:val="007265C3"/>
    <w:rsid w:val="00735F23"/>
    <w:rsid w:val="00740CEF"/>
    <w:rsid w:val="00742261"/>
    <w:rsid w:val="00752C5E"/>
    <w:rsid w:val="007531F9"/>
    <w:rsid w:val="00754832"/>
    <w:rsid w:val="00764378"/>
    <w:rsid w:val="0076591F"/>
    <w:rsid w:val="00766F0F"/>
    <w:rsid w:val="00773B9A"/>
    <w:rsid w:val="0077582F"/>
    <w:rsid w:val="007862C9"/>
    <w:rsid w:val="0079007B"/>
    <w:rsid w:val="007A0F22"/>
    <w:rsid w:val="007B5C1A"/>
    <w:rsid w:val="007C03A0"/>
    <w:rsid w:val="007C2BEF"/>
    <w:rsid w:val="007D3D77"/>
    <w:rsid w:val="007E157B"/>
    <w:rsid w:val="007E2EF7"/>
    <w:rsid w:val="007E4818"/>
    <w:rsid w:val="007E6A7E"/>
    <w:rsid w:val="007F33F3"/>
    <w:rsid w:val="007F6124"/>
    <w:rsid w:val="00801BDF"/>
    <w:rsid w:val="00802B86"/>
    <w:rsid w:val="0082514B"/>
    <w:rsid w:val="00830599"/>
    <w:rsid w:val="008334B0"/>
    <w:rsid w:val="0083496F"/>
    <w:rsid w:val="0083530F"/>
    <w:rsid w:val="00836468"/>
    <w:rsid w:val="00843492"/>
    <w:rsid w:val="00845F16"/>
    <w:rsid w:val="00852AF3"/>
    <w:rsid w:val="00856D2D"/>
    <w:rsid w:val="00856F2E"/>
    <w:rsid w:val="00871560"/>
    <w:rsid w:val="00872D54"/>
    <w:rsid w:val="00872F2D"/>
    <w:rsid w:val="0087585D"/>
    <w:rsid w:val="00880E22"/>
    <w:rsid w:val="00882B6F"/>
    <w:rsid w:val="008834AE"/>
    <w:rsid w:val="00885F4D"/>
    <w:rsid w:val="008962E2"/>
    <w:rsid w:val="008A74EF"/>
    <w:rsid w:val="008B0539"/>
    <w:rsid w:val="008B1C98"/>
    <w:rsid w:val="008B5ADF"/>
    <w:rsid w:val="008D0B3B"/>
    <w:rsid w:val="008D1450"/>
    <w:rsid w:val="008D2E66"/>
    <w:rsid w:val="008D56A5"/>
    <w:rsid w:val="008E1546"/>
    <w:rsid w:val="008E189F"/>
    <w:rsid w:val="008E24ED"/>
    <w:rsid w:val="008E40FE"/>
    <w:rsid w:val="008E57AC"/>
    <w:rsid w:val="008E6D3B"/>
    <w:rsid w:val="00906396"/>
    <w:rsid w:val="0090770A"/>
    <w:rsid w:val="00916E4D"/>
    <w:rsid w:val="00917A63"/>
    <w:rsid w:val="00920750"/>
    <w:rsid w:val="0092398C"/>
    <w:rsid w:val="00923C36"/>
    <w:rsid w:val="00924B8E"/>
    <w:rsid w:val="00930024"/>
    <w:rsid w:val="009344DE"/>
    <w:rsid w:val="009357E5"/>
    <w:rsid w:val="00936087"/>
    <w:rsid w:val="00942816"/>
    <w:rsid w:val="00945D17"/>
    <w:rsid w:val="00951FEE"/>
    <w:rsid w:val="00965FBF"/>
    <w:rsid w:val="00973941"/>
    <w:rsid w:val="0097751F"/>
    <w:rsid w:val="00980255"/>
    <w:rsid w:val="009804FA"/>
    <w:rsid w:val="00985B78"/>
    <w:rsid w:val="0098649F"/>
    <w:rsid w:val="00993AFA"/>
    <w:rsid w:val="0099686E"/>
    <w:rsid w:val="00996DF2"/>
    <w:rsid w:val="009A41B0"/>
    <w:rsid w:val="009A4756"/>
    <w:rsid w:val="009A4C46"/>
    <w:rsid w:val="009A4DBF"/>
    <w:rsid w:val="009B3513"/>
    <w:rsid w:val="009B39EA"/>
    <w:rsid w:val="009C3E4C"/>
    <w:rsid w:val="009D3FC3"/>
    <w:rsid w:val="009D433D"/>
    <w:rsid w:val="009D4484"/>
    <w:rsid w:val="009D5889"/>
    <w:rsid w:val="009D7755"/>
    <w:rsid w:val="009F1D20"/>
    <w:rsid w:val="00A00548"/>
    <w:rsid w:val="00A00713"/>
    <w:rsid w:val="00A00731"/>
    <w:rsid w:val="00A11A5C"/>
    <w:rsid w:val="00A22235"/>
    <w:rsid w:val="00A22F7B"/>
    <w:rsid w:val="00A23801"/>
    <w:rsid w:val="00A2554C"/>
    <w:rsid w:val="00A3295D"/>
    <w:rsid w:val="00A33652"/>
    <w:rsid w:val="00A3798C"/>
    <w:rsid w:val="00A42866"/>
    <w:rsid w:val="00A461C1"/>
    <w:rsid w:val="00A46B5C"/>
    <w:rsid w:val="00A50D6E"/>
    <w:rsid w:val="00A51DD8"/>
    <w:rsid w:val="00A647EA"/>
    <w:rsid w:val="00A736C6"/>
    <w:rsid w:val="00A82472"/>
    <w:rsid w:val="00A83F1F"/>
    <w:rsid w:val="00A8416F"/>
    <w:rsid w:val="00A84F1A"/>
    <w:rsid w:val="00AA0223"/>
    <w:rsid w:val="00AB28B8"/>
    <w:rsid w:val="00AB3B77"/>
    <w:rsid w:val="00AC57B7"/>
    <w:rsid w:val="00AC73C5"/>
    <w:rsid w:val="00AC755C"/>
    <w:rsid w:val="00AD0E13"/>
    <w:rsid w:val="00AD5ABF"/>
    <w:rsid w:val="00AF45C5"/>
    <w:rsid w:val="00AF5667"/>
    <w:rsid w:val="00B05DD5"/>
    <w:rsid w:val="00B12477"/>
    <w:rsid w:val="00B13343"/>
    <w:rsid w:val="00B1354B"/>
    <w:rsid w:val="00B220B2"/>
    <w:rsid w:val="00B23942"/>
    <w:rsid w:val="00B32474"/>
    <w:rsid w:val="00B4327E"/>
    <w:rsid w:val="00B467A4"/>
    <w:rsid w:val="00B5286D"/>
    <w:rsid w:val="00B545BC"/>
    <w:rsid w:val="00B61032"/>
    <w:rsid w:val="00B61D2E"/>
    <w:rsid w:val="00B71854"/>
    <w:rsid w:val="00B71DA4"/>
    <w:rsid w:val="00B7235B"/>
    <w:rsid w:val="00B76348"/>
    <w:rsid w:val="00B81261"/>
    <w:rsid w:val="00B82556"/>
    <w:rsid w:val="00B87655"/>
    <w:rsid w:val="00B87801"/>
    <w:rsid w:val="00B92871"/>
    <w:rsid w:val="00B928DA"/>
    <w:rsid w:val="00BA5AC3"/>
    <w:rsid w:val="00BA630D"/>
    <w:rsid w:val="00BB06B4"/>
    <w:rsid w:val="00BB2551"/>
    <w:rsid w:val="00BB4892"/>
    <w:rsid w:val="00BB5E9B"/>
    <w:rsid w:val="00BB7BC2"/>
    <w:rsid w:val="00BC1A44"/>
    <w:rsid w:val="00BC5C37"/>
    <w:rsid w:val="00BC757B"/>
    <w:rsid w:val="00BC7ED2"/>
    <w:rsid w:val="00BD0190"/>
    <w:rsid w:val="00BE212E"/>
    <w:rsid w:val="00BE4AAB"/>
    <w:rsid w:val="00BE5086"/>
    <w:rsid w:val="00BF4971"/>
    <w:rsid w:val="00C07F40"/>
    <w:rsid w:val="00C12E85"/>
    <w:rsid w:val="00C16A79"/>
    <w:rsid w:val="00C20278"/>
    <w:rsid w:val="00C22791"/>
    <w:rsid w:val="00C236DC"/>
    <w:rsid w:val="00C31B7F"/>
    <w:rsid w:val="00C32F79"/>
    <w:rsid w:val="00C33FD2"/>
    <w:rsid w:val="00C35271"/>
    <w:rsid w:val="00C4036A"/>
    <w:rsid w:val="00C50E28"/>
    <w:rsid w:val="00C62934"/>
    <w:rsid w:val="00C64428"/>
    <w:rsid w:val="00C74D6F"/>
    <w:rsid w:val="00C842DE"/>
    <w:rsid w:val="00C902FB"/>
    <w:rsid w:val="00C965AE"/>
    <w:rsid w:val="00CA0AED"/>
    <w:rsid w:val="00CA1EC2"/>
    <w:rsid w:val="00CA66E6"/>
    <w:rsid w:val="00CC29DE"/>
    <w:rsid w:val="00CC3B64"/>
    <w:rsid w:val="00CD37C6"/>
    <w:rsid w:val="00CD3BA4"/>
    <w:rsid w:val="00CD41AA"/>
    <w:rsid w:val="00CD4C32"/>
    <w:rsid w:val="00CD6943"/>
    <w:rsid w:val="00CE4846"/>
    <w:rsid w:val="00CE6C2F"/>
    <w:rsid w:val="00CE73CC"/>
    <w:rsid w:val="00CE7E9C"/>
    <w:rsid w:val="00CF2EF3"/>
    <w:rsid w:val="00CF3298"/>
    <w:rsid w:val="00D02F3B"/>
    <w:rsid w:val="00D0657B"/>
    <w:rsid w:val="00D10DBE"/>
    <w:rsid w:val="00D129CB"/>
    <w:rsid w:val="00D16A04"/>
    <w:rsid w:val="00D27C17"/>
    <w:rsid w:val="00D41B89"/>
    <w:rsid w:val="00D47F27"/>
    <w:rsid w:val="00D5541F"/>
    <w:rsid w:val="00D557C2"/>
    <w:rsid w:val="00D57923"/>
    <w:rsid w:val="00D66387"/>
    <w:rsid w:val="00D741B6"/>
    <w:rsid w:val="00D74BD0"/>
    <w:rsid w:val="00D74FED"/>
    <w:rsid w:val="00D75A81"/>
    <w:rsid w:val="00D7761F"/>
    <w:rsid w:val="00D86806"/>
    <w:rsid w:val="00D86C35"/>
    <w:rsid w:val="00D91C2E"/>
    <w:rsid w:val="00DB04FB"/>
    <w:rsid w:val="00DB6DFF"/>
    <w:rsid w:val="00DC003F"/>
    <w:rsid w:val="00DE72B3"/>
    <w:rsid w:val="00DF4668"/>
    <w:rsid w:val="00E00172"/>
    <w:rsid w:val="00E0533A"/>
    <w:rsid w:val="00E0701A"/>
    <w:rsid w:val="00E131D1"/>
    <w:rsid w:val="00E17AA0"/>
    <w:rsid w:val="00E2655B"/>
    <w:rsid w:val="00E311AB"/>
    <w:rsid w:val="00E358BF"/>
    <w:rsid w:val="00E36EC8"/>
    <w:rsid w:val="00E51146"/>
    <w:rsid w:val="00E512A9"/>
    <w:rsid w:val="00E54AF9"/>
    <w:rsid w:val="00E5624E"/>
    <w:rsid w:val="00E601D4"/>
    <w:rsid w:val="00E6307C"/>
    <w:rsid w:val="00E64C88"/>
    <w:rsid w:val="00E7179D"/>
    <w:rsid w:val="00E74832"/>
    <w:rsid w:val="00E81B04"/>
    <w:rsid w:val="00E820C5"/>
    <w:rsid w:val="00E87550"/>
    <w:rsid w:val="00E9288B"/>
    <w:rsid w:val="00E9413F"/>
    <w:rsid w:val="00E973D2"/>
    <w:rsid w:val="00EA0745"/>
    <w:rsid w:val="00EC7C64"/>
    <w:rsid w:val="00ED00D6"/>
    <w:rsid w:val="00EE26DC"/>
    <w:rsid w:val="00EE3FF1"/>
    <w:rsid w:val="00EE5816"/>
    <w:rsid w:val="00F03292"/>
    <w:rsid w:val="00F0565C"/>
    <w:rsid w:val="00F1201F"/>
    <w:rsid w:val="00F121AE"/>
    <w:rsid w:val="00F15852"/>
    <w:rsid w:val="00F23F4B"/>
    <w:rsid w:val="00F462F0"/>
    <w:rsid w:val="00F46C50"/>
    <w:rsid w:val="00F56CD7"/>
    <w:rsid w:val="00F60B61"/>
    <w:rsid w:val="00F66E89"/>
    <w:rsid w:val="00F67822"/>
    <w:rsid w:val="00F70621"/>
    <w:rsid w:val="00F74182"/>
    <w:rsid w:val="00F7607A"/>
    <w:rsid w:val="00F8517B"/>
    <w:rsid w:val="00F90250"/>
    <w:rsid w:val="00F91395"/>
    <w:rsid w:val="00F961D7"/>
    <w:rsid w:val="00F977A6"/>
    <w:rsid w:val="00F97A2B"/>
    <w:rsid w:val="00FA0CA3"/>
    <w:rsid w:val="00FA3BC5"/>
    <w:rsid w:val="00FA40FE"/>
    <w:rsid w:val="00FB08DC"/>
    <w:rsid w:val="00FB0D30"/>
    <w:rsid w:val="00FB1AE0"/>
    <w:rsid w:val="00FB34C2"/>
    <w:rsid w:val="00FB42F5"/>
    <w:rsid w:val="00FD76E1"/>
    <w:rsid w:val="00FE0970"/>
    <w:rsid w:val="00FF3F3A"/>
    <w:rsid w:val="00FF400F"/>
    <w:rsid w:val="01002534"/>
    <w:rsid w:val="01064C9A"/>
    <w:rsid w:val="01303AC5"/>
    <w:rsid w:val="013E61E2"/>
    <w:rsid w:val="014F4893"/>
    <w:rsid w:val="01554610"/>
    <w:rsid w:val="01781929"/>
    <w:rsid w:val="017C564F"/>
    <w:rsid w:val="01877B89"/>
    <w:rsid w:val="018E4267"/>
    <w:rsid w:val="019E3125"/>
    <w:rsid w:val="01BA39DE"/>
    <w:rsid w:val="01CA216C"/>
    <w:rsid w:val="01D0068D"/>
    <w:rsid w:val="01D775B9"/>
    <w:rsid w:val="01DD3C4D"/>
    <w:rsid w:val="02026E30"/>
    <w:rsid w:val="02132174"/>
    <w:rsid w:val="02186A33"/>
    <w:rsid w:val="022278B2"/>
    <w:rsid w:val="02255DF1"/>
    <w:rsid w:val="023130F5"/>
    <w:rsid w:val="024737BC"/>
    <w:rsid w:val="024C2B81"/>
    <w:rsid w:val="026D3223"/>
    <w:rsid w:val="028604AE"/>
    <w:rsid w:val="028B75EF"/>
    <w:rsid w:val="028D5673"/>
    <w:rsid w:val="02922C89"/>
    <w:rsid w:val="029D33DC"/>
    <w:rsid w:val="02AD1871"/>
    <w:rsid w:val="02AD3196"/>
    <w:rsid w:val="02C44E0D"/>
    <w:rsid w:val="02C47896"/>
    <w:rsid w:val="02C9326F"/>
    <w:rsid w:val="02DA63DE"/>
    <w:rsid w:val="02DF39F5"/>
    <w:rsid w:val="02EF5EA2"/>
    <w:rsid w:val="03200295"/>
    <w:rsid w:val="03551524"/>
    <w:rsid w:val="0361440A"/>
    <w:rsid w:val="036D7252"/>
    <w:rsid w:val="03747EC0"/>
    <w:rsid w:val="03922815"/>
    <w:rsid w:val="03990047"/>
    <w:rsid w:val="03AF1619"/>
    <w:rsid w:val="03B7227C"/>
    <w:rsid w:val="03C07382"/>
    <w:rsid w:val="03C350C4"/>
    <w:rsid w:val="03E07A24"/>
    <w:rsid w:val="03E2554B"/>
    <w:rsid w:val="03E30F7F"/>
    <w:rsid w:val="03EA08A3"/>
    <w:rsid w:val="03F62DA4"/>
    <w:rsid w:val="04001E75"/>
    <w:rsid w:val="040E4592"/>
    <w:rsid w:val="04293179"/>
    <w:rsid w:val="042E7DB2"/>
    <w:rsid w:val="043833BC"/>
    <w:rsid w:val="04446205"/>
    <w:rsid w:val="044E2BE0"/>
    <w:rsid w:val="04506958"/>
    <w:rsid w:val="045126D0"/>
    <w:rsid w:val="045D72C7"/>
    <w:rsid w:val="045F303F"/>
    <w:rsid w:val="04820ADC"/>
    <w:rsid w:val="04893C18"/>
    <w:rsid w:val="04951C17"/>
    <w:rsid w:val="049F343C"/>
    <w:rsid w:val="04B14F1D"/>
    <w:rsid w:val="04F01EE9"/>
    <w:rsid w:val="04F574FF"/>
    <w:rsid w:val="05025778"/>
    <w:rsid w:val="050C3DD7"/>
    <w:rsid w:val="052851DF"/>
    <w:rsid w:val="052E656D"/>
    <w:rsid w:val="053A4F12"/>
    <w:rsid w:val="053F247C"/>
    <w:rsid w:val="05595CE0"/>
    <w:rsid w:val="057C377D"/>
    <w:rsid w:val="057E74F5"/>
    <w:rsid w:val="05810D93"/>
    <w:rsid w:val="05812B41"/>
    <w:rsid w:val="05B362B9"/>
    <w:rsid w:val="05C2565F"/>
    <w:rsid w:val="05C72C4A"/>
    <w:rsid w:val="05CB2336"/>
    <w:rsid w:val="05D15877"/>
    <w:rsid w:val="05D215EF"/>
    <w:rsid w:val="05D2339D"/>
    <w:rsid w:val="05D37841"/>
    <w:rsid w:val="05D943F6"/>
    <w:rsid w:val="05E530D0"/>
    <w:rsid w:val="05EA4B8A"/>
    <w:rsid w:val="05F9301F"/>
    <w:rsid w:val="05FD48BE"/>
    <w:rsid w:val="05FF2AF4"/>
    <w:rsid w:val="06093262"/>
    <w:rsid w:val="060C1B32"/>
    <w:rsid w:val="06231E4A"/>
    <w:rsid w:val="06253E14"/>
    <w:rsid w:val="0633208D"/>
    <w:rsid w:val="063A16EC"/>
    <w:rsid w:val="063B53E6"/>
    <w:rsid w:val="065B7836"/>
    <w:rsid w:val="06616EC2"/>
    <w:rsid w:val="06856661"/>
    <w:rsid w:val="068576CE"/>
    <w:rsid w:val="069114AA"/>
    <w:rsid w:val="0698763E"/>
    <w:rsid w:val="06A66D03"/>
    <w:rsid w:val="06AB5329"/>
    <w:rsid w:val="06AE7966"/>
    <w:rsid w:val="06AF6DD1"/>
    <w:rsid w:val="06B07B82"/>
    <w:rsid w:val="06B64A6C"/>
    <w:rsid w:val="06DD649D"/>
    <w:rsid w:val="06E8731C"/>
    <w:rsid w:val="06F04422"/>
    <w:rsid w:val="07047ECE"/>
    <w:rsid w:val="071C5217"/>
    <w:rsid w:val="071D4AEC"/>
    <w:rsid w:val="07210A39"/>
    <w:rsid w:val="072242D3"/>
    <w:rsid w:val="072440CC"/>
    <w:rsid w:val="0737795B"/>
    <w:rsid w:val="073F4A62"/>
    <w:rsid w:val="07442078"/>
    <w:rsid w:val="07585B24"/>
    <w:rsid w:val="078A2181"/>
    <w:rsid w:val="07941252"/>
    <w:rsid w:val="07B54D24"/>
    <w:rsid w:val="07EA70C4"/>
    <w:rsid w:val="081E0B1B"/>
    <w:rsid w:val="08337C77"/>
    <w:rsid w:val="08534C69"/>
    <w:rsid w:val="085C6BC2"/>
    <w:rsid w:val="085D7896"/>
    <w:rsid w:val="08687FE8"/>
    <w:rsid w:val="08935065"/>
    <w:rsid w:val="08997D8A"/>
    <w:rsid w:val="089A2898"/>
    <w:rsid w:val="08AD2074"/>
    <w:rsid w:val="08AE02E0"/>
    <w:rsid w:val="08D306C7"/>
    <w:rsid w:val="08D538D0"/>
    <w:rsid w:val="08D77648"/>
    <w:rsid w:val="08E04023"/>
    <w:rsid w:val="08E9737B"/>
    <w:rsid w:val="08F2265D"/>
    <w:rsid w:val="09077801"/>
    <w:rsid w:val="091C32AD"/>
    <w:rsid w:val="09212671"/>
    <w:rsid w:val="0926010A"/>
    <w:rsid w:val="093D1475"/>
    <w:rsid w:val="093F343F"/>
    <w:rsid w:val="09412D13"/>
    <w:rsid w:val="095604D5"/>
    <w:rsid w:val="095B3C9B"/>
    <w:rsid w:val="095E1B17"/>
    <w:rsid w:val="09664528"/>
    <w:rsid w:val="09684744"/>
    <w:rsid w:val="09704318"/>
    <w:rsid w:val="09AC1C5B"/>
    <w:rsid w:val="09B039F5"/>
    <w:rsid w:val="09B06BE6"/>
    <w:rsid w:val="09BD105E"/>
    <w:rsid w:val="09CE174C"/>
    <w:rsid w:val="09EA6F07"/>
    <w:rsid w:val="09EA700B"/>
    <w:rsid w:val="09EB2C7F"/>
    <w:rsid w:val="09FE29B2"/>
    <w:rsid w:val="0A140428"/>
    <w:rsid w:val="0A1C108A"/>
    <w:rsid w:val="0A2148F3"/>
    <w:rsid w:val="0A2C5771"/>
    <w:rsid w:val="0A391C3C"/>
    <w:rsid w:val="0A3D172D"/>
    <w:rsid w:val="0A3E680D"/>
    <w:rsid w:val="0A5860CD"/>
    <w:rsid w:val="0A6749FB"/>
    <w:rsid w:val="0A740EC6"/>
    <w:rsid w:val="0A7964DD"/>
    <w:rsid w:val="0A825391"/>
    <w:rsid w:val="0A9D29C6"/>
    <w:rsid w:val="0A9F4195"/>
    <w:rsid w:val="0AA55BE7"/>
    <w:rsid w:val="0AAB338B"/>
    <w:rsid w:val="0ACC485F"/>
    <w:rsid w:val="0AD6392F"/>
    <w:rsid w:val="0AD83203"/>
    <w:rsid w:val="0ADC33A6"/>
    <w:rsid w:val="0AEF054D"/>
    <w:rsid w:val="0AF049F1"/>
    <w:rsid w:val="0AF45D7D"/>
    <w:rsid w:val="0B05734A"/>
    <w:rsid w:val="0B08583F"/>
    <w:rsid w:val="0B095AB3"/>
    <w:rsid w:val="0B0E131B"/>
    <w:rsid w:val="0B115FB9"/>
    <w:rsid w:val="0B1A381C"/>
    <w:rsid w:val="0B265A74"/>
    <w:rsid w:val="0B352404"/>
    <w:rsid w:val="0B376893"/>
    <w:rsid w:val="0B381EF4"/>
    <w:rsid w:val="0B386398"/>
    <w:rsid w:val="0B3A0D5F"/>
    <w:rsid w:val="0B3A3EBE"/>
    <w:rsid w:val="0B460AB5"/>
    <w:rsid w:val="0B536D2E"/>
    <w:rsid w:val="0B5C2086"/>
    <w:rsid w:val="0B674587"/>
    <w:rsid w:val="0B6A776A"/>
    <w:rsid w:val="0B6E5916"/>
    <w:rsid w:val="0B8B64C8"/>
    <w:rsid w:val="0BB24C22"/>
    <w:rsid w:val="0BD87233"/>
    <w:rsid w:val="0BF0642E"/>
    <w:rsid w:val="0BF202F5"/>
    <w:rsid w:val="0BFE313E"/>
    <w:rsid w:val="0BFF4765"/>
    <w:rsid w:val="0C02649C"/>
    <w:rsid w:val="0C0B25B3"/>
    <w:rsid w:val="0C104C1F"/>
    <w:rsid w:val="0C1E6205"/>
    <w:rsid w:val="0C1F5CE6"/>
    <w:rsid w:val="0C236700"/>
    <w:rsid w:val="0C28640C"/>
    <w:rsid w:val="0C3C5A14"/>
    <w:rsid w:val="0C497634"/>
    <w:rsid w:val="0C5A4DAC"/>
    <w:rsid w:val="0C5E47B4"/>
    <w:rsid w:val="0C891FF1"/>
    <w:rsid w:val="0C8A677F"/>
    <w:rsid w:val="0CBF4A67"/>
    <w:rsid w:val="0CC04897"/>
    <w:rsid w:val="0CD12600"/>
    <w:rsid w:val="0CD520F0"/>
    <w:rsid w:val="0CD67C16"/>
    <w:rsid w:val="0CD81BE1"/>
    <w:rsid w:val="0CE445F2"/>
    <w:rsid w:val="0CEB1914"/>
    <w:rsid w:val="0CFB142B"/>
    <w:rsid w:val="0D026644"/>
    <w:rsid w:val="0D0C53E6"/>
    <w:rsid w:val="0D2210AE"/>
    <w:rsid w:val="0D3E58A5"/>
    <w:rsid w:val="0D466B4A"/>
    <w:rsid w:val="0D5154EF"/>
    <w:rsid w:val="0D611BD6"/>
    <w:rsid w:val="0D710C5A"/>
    <w:rsid w:val="0D865A79"/>
    <w:rsid w:val="0D95205B"/>
    <w:rsid w:val="0D957AD2"/>
    <w:rsid w:val="0D9D0734"/>
    <w:rsid w:val="0DA90E87"/>
    <w:rsid w:val="0DB74AC1"/>
    <w:rsid w:val="0DEF71E2"/>
    <w:rsid w:val="0E0D58BA"/>
    <w:rsid w:val="0E0F1632"/>
    <w:rsid w:val="0E19425F"/>
    <w:rsid w:val="0E1F739B"/>
    <w:rsid w:val="0E237412"/>
    <w:rsid w:val="0E2449B2"/>
    <w:rsid w:val="0E342E47"/>
    <w:rsid w:val="0E460DCC"/>
    <w:rsid w:val="0E653000"/>
    <w:rsid w:val="0E677081"/>
    <w:rsid w:val="0E6D45AA"/>
    <w:rsid w:val="0E72396F"/>
    <w:rsid w:val="0E796AAB"/>
    <w:rsid w:val="0E7B2A67"/>
    <w:rsid w:val="0E7C0027"/>
    <w:rsid w:val="0E7E0566"/>
    <w:rsid w:val="0E7F6315"/>
    <w:rsid w:val="0E833E43"/>
    <w:rsid w:val="0E8D07A9"/>
    <w:rsid w:val="0EB36461"/>
    <w:rsid w:val="0EB45D35"/>
    <w:rsid w:val="0EBD108E"/>
    <w:rsid w:val="0EBD75FE"/>
    <w:rsid w:val="0ECA5559"/>
    <w:rsid w:val="0ED87C76"/>
    <w:rsid w:val="0EF600FC"/>
    <w:rsid w:val="0F1B5913"/>
    <w:rsid w:val="0F4C0664"/>
    <w:rsid w:val="0F5337A0"/>
    <w:rsid w:val="0F711E78"/>
    <w:rsid w:val="0F7E3A23"/>
    <w:rsid w:val="0F847DFE"/>
    <w:rsid w:val="0F917E25"/>
    <w:rsid w:val="0F96368D"/>
    <w:rsid w:val="0F9D4A1B"/>
    <w:rsid w:val="0FA062BA"/>
    <w:rsid w:val="0FA638D0"/>
    <w:rsid w:val="0FB35FED"/>
    <w:rsid w:val="0FD33C3D"/>
    <w:rsid w:val="0FE8213B"/>
    <w:rsid w:val="0FF52AA9"/>
    <w:rsid w:val="0FF860F6"/>
    <w:rsid w:val="0FF94348"/>
    <w:rsid w:val="0FFF1232"/>
    <w:rsid w:val="10047D52"/>
    <w:rsid w:val="10086339"/>
    <w:rsid w:val="10150A56"/>
    <w:rsid w:val="10240C99"/>
    <w:rsid w:val="102723E9"/>
    <w:rsid w:val="102B566C"/>
    <w:rsid w:val="1033679C"/>
    <w:rsid w:val="104841C5"/>
    <w:rsid w:val="107439CE"/>
    <w:rsid w:val="10861954"/>
    <w:rsid w:val="1090632E"/>
    <w:rsid w:val="10A92DD3"/>
    <w:rsid w:val="10AE228C"/>
    <w:rsid w:val="10BD54A5"/>
    <w:rsid w:val="10C55FD8"/>
    <w:rsid w:val="10F845FF"/>
    <w:rsid w:val="1103023A"/>
    <w:rsid w:val="11036B00"/>
    <w:rsid w:val="11082369"/>
    <w:rsid w:val="11357D2A"/>
    <w:rsid w:val="113849FC"/>
    <w:rsid w:val="113A4C18"/>
    <w:rsid w:val="113C31C6"/>
    <w:rsid w:val="11421E5E"/>
    <w:rsid w:val="11422FE1"/>
    <w:rsid w:val="116E48C1"/>
    <w:rsid w:val="117D68B3"/>
    <w:rsid w:val="11845E93"/>
    <w:rsid w:val="11867E5D"/>
    <w:rsid w:val="11877731"/>
    <w:rsid w:val="11967974"/>
    <w:rsid w:val="11A2456B"/>
    <w:rsid w:val="11AE09E6"/>
    <w:rsid w:val="11AE5258"/>
    <w:rsid w:val="11DF30C9"/>
    <w:rsid w:val="11FA6155"/>
    <w:rsid w:val="1206084C"/>
    <w:rsid w:val="12130FC5"/>
    <w:rsid w:val="121C60CC"/>
    <w:rsid w:val="1222745A"/>
    <w:rsid w:val="12341A6A"/>
    <w:rsid w:val="12371157"/>
    <w:rsid w:val="12424EB0"/>
    <w:rsid w:val="127001C5"/>
    <w:rsid w:val="1276132D"/>
    <w:rsid w:val="127759F8"/>
    <w:rsid w:val="127A0C92"/>
    <w:rsid w:val="127F48AC"/>
    <w:rsid w:val="128819B3"/>
    <w:rsid w:val="128F2D41"/>
    <w:rsid w:val="12942106"/>
    <w:rsid w:val="129E4D32"/>
    <w:rsid w:val="12A548F1"/>
    <w:rsid w:val="12B91B6C"/>
    <w:rsid w:val="12BA7692"/>
    <w:rsid w:val="12EF558E"/>
    <w:rsid w:val="12F9640D"/>
    <w:rsid w:val="13021765"/>
    <w:rsid w:val="13037AFF"/>
    <w:rsid w:val="132A4818"/>
    <w:rsid w:val="13456351"/>
    <w:rsid w:val="134C0C32"/>
    <w:rsid w:val="13541895"/>
    <w:rsid w:val="135D4BEE"/>
    <w:rsid w:val="1378324E"/>
    <w:rsid w:val="137B79E1"/>
    <w:rsid w:val="13833F28"/>
    <w:rsid w:val="13D64F42"/>
    <w:rsid w:val="13DB5B12"/>
    <w:rsid w:val="13E7095B"/>
    <w:rsid w:val="13E83E5F"/>
    <w:rsid w:val="14065285"/>
    <w:rsid w:val="144731A8"/>
    <w:rsid w:val="14717C9A"/>
    <w:rsid w:val="147F2942"/>
    <w:rsid w:val="14991C55"/>
    <w:rsid w:val="14AF7789"/>
    <w:rsid w:val="14D50D33"/>
    <w:rsid w:val="14DA401C"/>
    <w:rsid w:val="14EA0703"/>
    <w:rsid w:val="14EF1875"/>
    <w:rsid w:val="151E65FF"/>
    <w:rsid w:val="1537321C"/>
    <w:rsid w:val="154020D1"/>
    <w:rsid w:val="157B7F4A"/>
    <w:rsid w:val="1585042C"/>
    <w:rsid w:val="15A840F3"/>
    <w:rsid w:val="15AE1730"/>
    <w:rsid w:val="15B11221"/>
    <w:rsid w:val="15E37F2A"/>
    <w:rsid w:val="15FB249C"/>
    <w:rsid w:val="15FF3D3A"/>
    <w:rsid w:val="161A0B74"/>
    <w:rsid w:val="16383AE2"/>
    <w:rsid w:val="16565924"/>
    <w:rsid w:val="16571DC8"/>
    <w:rsid w:val="16646293"/>
    <w:rsid w:val="16685D83"/>
    <w:rsid w:val="167C182F"/>
    <w:rsid w:val="167C538B"/>
    <w:rsid w:val="167D1103"/>
    <w:rsid w:val="167D2FDD"/>
    <w:rsid w:val="16A13FCD"/>
    <w:rsid w:val="16AE5760"/>
    <w:rsid w:val="16AE750E"/>
    <w:rsid w:val="16AF2A39"/>
    <w:rsid w:val="16B40FC8"/>
    <w:rsid w:val="16BC1C2B"/>
    <w:rsid w:val="16BD0A63"/>
    <w:rsid w:val="16C46D32"/>
    <w:rsid w:val="16C659CE"/>
    <w:rsid w:val="16E3540A"/>
    <w:rsid w:val="16E442B3"/>
    <w:rsid w:val="1711641B"/>
    <w:rsid w:val="1719707D"/>
    <w:rsid w:val="171B6978"/>
    <w:rsid w:val="17215F32"/>
    <w:rsid w:val="172872C1"/>
    <w:rsid w:val="17457E73"/>
    <w:rsid w:val="174F6F43"/>
    <w:rsid w:val="175814CF"/>
    <w:rsid w:val="176821F4"/>
    <w:rsid w:val="177C5D3F"/>
    <w:rsid w:val="177E1C86"/>
    <w:rsid w:val="17944956"/>
    <w:rsid w:val="179B7A92"/>
    <w:rsid w:val="17AC68A6"/>
    <w:rsid w:val="17AD77C6"/>
    <w:rsid w:val="17B62B1E"/>
    <w:rsid w:val="17CB7119"/>
    <w:rsid w:val="17DB67AF"/>
    <w:rsid w:val="18041ADC"/>
    <w:rsid w:val="180C5774"/>
    <w:rsid w:val="18495740"/>
    <w:rsid w:val="185A794E"/>
    <w:rsid w:val="18891474"/>
    <w:rsid w:val="188E6B63"/>
    <w:rsid w:val="188F0B1E"/>
    <w:rsid w:val="18975ADC"/>
    <w:rsid w:val="18C272A1"/>
    <w:rsid w:val="18D314AE"/>
    <w:rsid w:val="18DA283C"/>
    <w:rsid w:val="18F90F15"/>
    <w:rsid w:val="192D6E10"/>
    <w:rsid w:val="19373862"/>
    <w:rsid w:val="193D1CBA"/>
    <w:rsid w:val="19520625"/>
    <w:rsid w:val="19526877"/>
    <w:rsid w:val="196547FC"/>
    <w:rsid w:val="19856C4C"/>
    <w:rsid w:val="199665EC"/>
    <w:rsid w:val="199C7AF2"/>
    <w:rsid w:val="19CC03D7"/>
    <w:rsid w:val="19D2300F"/>
    <w:rsid w:val="19E80F89"/>
    <w:rsid w:val="19EC5173"/>
    <w:rsid w:val="19F872A0"/>
    <w:rsid w:val="1A352420"/>
    <w:rsid w:val="1A377809"/>
    <w:rsid w:val="1A45145E"/>
    <w:rsid w:val="1A452ACF"/>
    <w:rsid w:val="1A512FD2"/>
    <w:rsid w:val="1A5D54D3"/>
    <w:rsid w:val="1ABD41C4"/>
    <w:rsid w:val="1ADA2FC8"/>
    <w:rsid w:val="1AE259D8"/>
    <w:rsid w:val="1AE35507"/>
    <w:rsid w:val="1AEB2ADF"/>
    <w:rsid w:val="1AF04599"/>
    <w:rsid w:val="1AFC1190"/>
    <w:rsid w:val="1B2129A5"/>
    <w:rsid w:val="1B3B1964"/>
    <w:rsid w:val="1B3E3557"/>
    <w:rsid w:val="1B5E7755"/>
    <w:rsid w:val="1B636B19"/>
    <w:rsid w:val="1B6805D3"/>
    <w:rsid w:val="1B7E1468"/>
    <w:rsid w:val="1B825739"/>
    <w:rsid w:val="1B83540D"/>
    <w:rsid w:val="1BA62EAA"/>
    <w:rsid w:val="1BC17CE4"/>
    <w:rsid w:val="1BC82E20"/>
    <w:rsid w:val="1BCC0B62"/>
    <w:rsid w:val="1BDC6FB8"/>
    <w:rsid w:val="1BDD4B1E"/>
    <w:rsid w:val="1BE35EAC"/>
    <w:rsid w:val="1BE718C7"/>
    <w:rsid w:val="1BF43C15"/>
    <w:rsid w:val="1C146065"/>
    <w:rsid w:val="1C1B73F4"/>
    <w:rsid w:val="1C2F10F1"/>
    <w:rsid w:val="1C3B1844"/>
    <w:rsid w:val="1C406E5A"/>
    <w:rsid w:val="1C495921"/>
    <w:rsid w:val="1C542906"/>
    <w:rsid w:val="1C744D56"/>
    <w:rsid w:val="1C761991"/>
    <w:rsid w:val="1C7A6810"/>
    <w:rsid w:val="1C7B7E93"/>
    <w:rsid w:val="1C7D1E5D"/>
    <w:rsid w:val="1C8036FB"/>
    <w:rsid w:val="1C91765D"/>
    <w:rsid w:val="1C9C6787"/>
    <w:rsid w:val="1C9D289F"/>
    <w:rsid w:val="1CB963B0"/>
    <w:rsid w:val="1CCF408F"/>
    <w:rsid w:val="1CD770EC"/>
    <w:rsid w:val="1CE43C8A"/>
    <w:rsid w:val="1CFC09BB"/>
    <w:rsid w:val="1D183933"/>
    <w:rsid w:val="1D210A3A"/>
    <w:rsid w:val="1D3764AF"/>
    <w:rsid w:val="1D4F5570"/>
    <w:rsid w:val="1D5E1C8E"/>
    <w:rsid w:val="1D61177E"/>
    <w:rsid w:val="1D7E7C3A"/>
    <w:rsid w:val="1D8B208F"/>
    <w:rsid w:val="1D8D4321"/>
    <w:rsid w:val="1D963E2E"/>
    <w:rsid w:val="1D9B6CF3"/>
    <w:rsid w:val="1D9C27B6"/>
    <w:rsid w:val="1DA35CDF"/>
    <w:rsid w:val="1DAA4ED3"/>
    <w:rsid w:val="1DC615E1"/>
    <w:rsid w:val="1DC835AB"/>
    <w:rsid w:val="1DE55F0B"/>
    <w:rsid w:val="1DFD14A7"/>
    <w:rsid w:val="1E037E3E"/>
    <w:rsid w:val="1E242D4E"/>
    <w:rsid w:val="1E2F7187"/>
    <w:rsid w:val="1E340C41"/>
    <w:rsid w:val="1E401394"/>
    <w:rsid w:val="1E403BB4"/>
    <w:rsid w:val="1E435EE1"/>
    <w:rsid w:val="1E4A2212"/>
    <w:rsid w:val="1E6908EA"/>
    <w:rsid w:val="1E6934D0"/>
    <w:rsid w:val="1E766B63"/>
    <w:rsid w:val="1E786D7F"/>
    <w:rsid w:val="1E8A6AB3"/>
    <w:rsid w:val="1E8F7C25"/>
    <w:rsid w:val="1E9B2A6E"/>
    <w:rsid w:val="1EAF02C7"/>
    <w:rsid w:val="1EBA1146"/>
    <w:rsid w:val="1EC73863"/>
    <w:rsid w:val="1ED46823"/>
    <w:rsid w:val="1EDB24C3"/>
    <w:rsid w:val="1EDF295B"/>
    <w:rsid w:val="1EF94D63"/>
    <w:rsid w:val="1F046865"/>
    <w:rsid w:val="1F1D16D5"/>
    <w:rsid w:val="1F204D21"/>
    <w:rsid w:val="1F2760B0"/>
    <w:rsid w:val="1F460C2C"/>
    <w:rsid w:val="1F525822"/>
    <w:rsid w:val="1F58270D"/>
    <w:rsid w:val="1F5F1CED"/>
    <w:rsid w:val="1F692180"/>
    <w:rsid w:val="1F707A57"/>
    <w:rsid w:val="1F7237CF"/>
    <w:rsid w:val="1F770DE5"/>
    <w:rsid w:val="1F833C2E"/>
    <w:rsid w:val="1F890B18"/>
    <w:rsid w:val="1F8D0609"/>
    <w:rsid w:val="1FAC6AE3"/>
    <w:rsid w:val="1FB82BC8"/>
    <w:rsid w:val="1FCA53B9"/>
    <w:rsid w:val="1FD47FE6"/>
    <w:rsid w:val="1FE31481"/>
    <w:rsid w:val="1FE917AE"/>
    <w:rsid w:val="1FF16DE9"/>
    <w:rsid w:val="1FF468DA"/>
    <w:rsid w:val="200F54C2"/>
    <w:rsid w:val="201B5C14"/>
    <w:rsid w:val="20254CE5"/>
    <w:rsid w:val="2039253E"/>
    <w:rsid w:val="203B0BFB"/>
    <w:rsid w:val="204A02A8"/>
    <w:rsid w:val="2059498F"/>
    <w:rsid w:val="20690166"/>
    <w:rsid w:val="20803CC9"/>
    <w:rsid w:val="209239FD"/>
    <w:rsid w:val="20CC482F"/>
    <w:rsid w:val="20E45483"/>
    <w:rsid w:val="20E97AC1"/>
    <w:rsid w:val="20EA2A65"/>
    <w:rsid w:val="20EF2BFD"/>
    <w:rsid w:val="20FD7526"/>
    <w:rsid w:val="210112AE"/>
    <w:rsid w:val="21354AB4"/>
    <w:rsid w:val="214E2A84"/>
    <w:rsid w:val="21556257"/>
    <w:rsid w:val="215F4227"/>
    <w:rsid w:val="217F6677"/>
    <w:rsid w:val="21817CF9"/>
    <w:rsid w:val="21884BA0"/>
    <w:rsid w:val="219519F6"/>
    <w:rsid w:val="2197576F"/>
    <w:rsid w:val="219B1B95"/>
    <w:rsid w:val="21BA145D"/>
    <w:rsid w:val="21BF6A73"/>
    <w:rsid w:val="21C30312"/>
    <w:rsid w:val="21DE15EF"/>
    <w:rsid w:val="21ED1832"/>
    <w:rsid w:val="21ED5205"/>
    <w:rsid w:val="21F26E49"/>
    <w:rsid w:val="21F7445F"/>
    <w:rsid w:val="220151E4"/>
    <w:rsid w:val="22032E04"/>
    <w:rsid w:val="2217240B"/>
    <w:rsid w:val="22196184"/>
    <w:rsid w:val="222039B6"/>
    <w:rsid w:val="222B5EB7"/>
    <w:rsid w:val="2237485C"/>
    <w:rsid w:val="223E3E3C"/>
    <w:rsid w:val="224B716E"/>
    <w:rsid w:val="227635D6"/>
    <w:rsid w:val="22794E74"/>
    <w:rsid w:val="22816667"/>
    <w:rsid w:val="22853819"/>
    <w:rsid w:val="228D26CE"/>
    <w:rsid w:val="22BB723B"/>
    <w:rsid w:val="22C87E24"/>
    <w:rsid w:val="22C95DFC"/>
    <w:rsid w:val="22E709E9"/>
    <w:rsid w:val="22EC5F17"/>
    <w:rsid w:val="22EE06E2"/>
    <w:rsid w:val="22F015DA"/>
    <w:rsid w:val="22F8223D"/>
    <w:rsid w:val="22F82BC2"/>
    <w:rsid w:val="22F84FC6"/>
    <w:rsid w:val="22FD3CF7"/>
    <w:rsid w:val="230230BC"/>
    <w:rsid w:val="230A01C2"/>
    <w:rsid w:val="23243032"/>
    <w:rsid w:val="235A0EEE"/>
    <w:rsid w:val="235C6C70"/>
    <w:rsid w:val="23614286"/>
    <w:rsid w:val="23712585"/>
    <w:rsid w:val="2389558B"/>
    <w:rsid w:val="23C93BD9"/>
    <w:rsid w:val="242B03F0"/>
    <w:rsid w:val="243472A5"/>
    <w:rsid w:val="2440076D"/>
    <w:rsid w:val="249E6E14"/>
    <w:rsid w:val="24A563F4"/>
    <w:rsid w:val="24B228BF"/>
    <w:rsid w:val="24C22B02"/>
    <w:rsid w:val="24D171E9"/>
    <w:rsid w:val="24EF141E"/>
    <w:rsid w:val="25034EC9"/>
    <w:rsid w:val="250C0222"/>
    <w:rsid w:val="25461985"/>
    <w:rsid w:val="25586D6C"/>
    <w:rsid w:val="256516E0"/>
    <w:rsid w:val="256B319A"/>
    <w:rsid w:val="25781413"/>
    <w:rsid w:val="257858B7"/>
    <w:rsid w:val="258B383C"/>
    <w:rsid w:val="259455FA"/>
    <w:rsid w:val="259F4BF2"/>
    <w:rsid w:val="25A246E2"/>
    <w:rsid w:val="25AA57FC"/>
    <w:rsid w:val="25AD5EB4"/>
    <w:rsid w:val="25B662E5"/>
    <w:rsid w:val="25BF5294"/>
    <w:rsid w:val="25C2759F"/>
    <w:rsid w:val="25C63DCF"/>
    <w:rsid w:val="25C74149"/>
    <w:rsid w:val="25DE267C"/>
    <w:rsid w:val="25E46AA9"/>
    <w:rsid w:val="25E66CC5"/>
    <w:rsid w:val="25FA62CC"/>
    <w:rsid w:val="26143832"/>
    <w:rsid w:val="26207C3D"/>
    <w:rsid w:val="262275D1"/>
    <w:rsid w:val="26325A66"/>
    <w:rsid w:val="263712CE"/>
    <w:rsid w:val="26456C5F"/>
    <w:rsid w:val="264D6D44"/>
    <w:rsid w:val="26635DE5"/>
    <w:rsid w:val="26977FBF"/>
    <w:rsid w:val="26AF355A"/>
    <w:rsid w:val="26B50445"/>
    <w:rsid w:val="26B54405"/>
    <w:rsid w:val="26B835BD"/>
    <w:rsid w:val="26BC17D3"/>
    <w:rsid w:val="26DC11F6"/>
    <w:rsid w:val="26E256DE"/>
    <w:rsid w:val="26EC191F"/>
    <w:rsid w:val="26F251F5"/>
    <w:rsid w:val="270C62B7"/>
    <w:rsid w:val="270F0F22"/>
    <w:rsid w:val="274730B4"/>
    <w:rsid w:val="27473793"/>
    <w:rsid w:val="27677991"/>
    <w:rsid w:val="27802801"/>
    <w:rsid w:val="27802D01"/>
    <w:rsid w:val="27867CA0"/>
    <w:rsid w:val="278A123C"/>
    <w:rsid w:val="27963D10"/>
    <w:rsid w:val="279F537D"/>
    <w:rsid w:val="27DF5779"/>
    <w:rsid w:val="280451E0"/>
    <w:rsid w:val="280E7BD2"/>
    <w:rsid w:val="28177609"/>
    <w:rsid w:val="28186EDD"/>
    <w:rsid w:val="281C077C"/>
    <w:rsid w:val="28247630"/>
    <w:rsid w:val="282615FA"/>
    <w:rsid w:val="282910EA"/>
    <w:rsid w:val="28396E4B"/>
    <w:rsid w:val="283E4B96"/>
    <w:rsid w:val="28414686"/>
    <w:rsid w:val="28447CD2"/>
    <w:rsid w:val="284B2E0F"/>
    <w:rsid w:val="284D09C3"/>
    <w:rsid w:val="284D6B87"/>
    <w:rsid w:val="2850076C"/>
    <w:rsid w:val="28550131"/>
    <w:rsid w:val="285A5748"/>
    <w:rsid w:val="28642123"/>
    <w:rsid w:val="28757E8C"/>
    <w:rsid w:val="287E4F92"/>
    <w:rsid w:val="28B07116"/>
    <w:rsid w:val="28B9421C"/>
    <w:rsid w:val="28CB21A2"/>
    <w:rsid w:val="28CC2935"/>
    <w:rsid w:val="28E62B38"/>
    <w:rsid w:val="28E868B0"/>
    <w:rsid w:val="28F25980"/>
    <w:rsid w:val="28F96D0F"/>
    <w:rsid w:val="290673F2"/>
    <w:rsid w:val="290B7A2E"/>
    <w:rsid w:val="291A1AA7"/>
    <w:rsid w:val="2925342D"/>
    <w:rsid w:val="2944442E"/>
    <w:rsid w:val="29493E9D"/>
    <w:rsid w:val="29606D8E"/>
    <w:rsid w:val="29622B06"/>
    <w:rsid w:val="2964062C"/>
    <w:rsid w:val="29787C34"/>
    <w:rsid w:val="298131E9"/>
    <w:rsid w:val="298760C9"/>
    <w:rsid w:val="29927525"/>
    <w:rsid w:val="29927747"/>
    <w:rsid w:val="29AE7AF9"/>
    <w:rsid w:val="29C54E43"/>
    <w:rsid w:val="29C9048F"/>
    <w:rsid w:val="29CB06AB"/>
    <w:rsid w:val="29CB07EB"/>
    <w:rsid w:val="29DE4538"/>
    <w:rsid w:val="29FA689B"/>
    <w:rsid w:val="2A007C29"/>
    <w:rsid w:val="2A0108B7"/>
    <w:rsid w:val="2A04596B"/>
    <w:rsid w:val="2A133E00"/>
    <w:rsid w:val="2A1536D4"/>
    <w:rsid w:val="2A1A0CEB"/>
    <w:rsid w:val="2A202079"/>
    <w:rsid w:val="2A2E4796"/>
    <w:rsid w:val="2A3E6D57"/>
    <w:rsid w:val="2A4D6EDB"/>
    <w:rsid w:val="2A500BB0"/>
    <w:rsid w:val="2A506E02"/>
    <w:rsid w:val="2A5C57A7"/>
    <w:rsid w:val="2A6B3832"/>
    <w:rsid w:val="2A88659C"/>
    <w:rsid w:val="2A906CB5"/>
    <w:rsid w:val="2A954815"/>
    <w:rsid w:val="2A987073"/>
    <w:rsid w:val="2ABE1FBE"/>
    <w:rsid w:val="2AD0584D"/>
    <w:rsid w:val="2AEE4B12"/>
    <w:rsid w:val="2AFE685E"/>
    <w:rsid w:val="2B057BED"/>
    <w:rsid w:val="2B060A50"/>
    <w:rsid w:val="2B0A5203"/>
    <w:rsid w:val="2B116592"/>
    <w:rsid w:val="2B1841B1"/>
    <w:rsid w:val="2B193698"/>
    <w:rsid w:val="2B1C4F36"/>
    <w:rsid w:val="2B2160A9"/>
    <w:rsid w:val="2B400C25"/>
    <w:rsid w:val="2B4714A0"/>
    <w:rsid w:val="2B471FB3"/>
    <w:rsid w:val="2B606BD1"/>
    <w:rsid w:val="2B612949"/>
    <w:rsid w:val="2B68125F"/>
    <w:rsid w:val="2B6C5576"/>
    <w:rsid w:val="2B717030"/>
    <w:rsid w:val="2B74267D"/>
    <w:rsid w:val="2B762899"/>
    <w:rsid w:val="2B7663F5"/>
    <w:rsid w:val="2B7E52A9"/>
    <w:rsid w:val="2B9A434A"/>
    <w:rsid w:val="2BA50A88"/>
    <w:rsid w:val="2BAA2542"/>
    <w:rsid w:val="2BB60EE7"/>
    <w:rsid w:val="2BCA4992"/>
    <w:rsid w:val="2BE035C8"/>
    <w:rsid w:val="2BF24188"/>
    <w:rsid w:val="2BF65788"/>
    <w:rsid w:val="2BFD08C4"/>
    <w:rsid w:val="2C235EB7"/>
    <w:rsid w:val="2C2B5431"/>
    <w:rsid w:val="2C610E53"/>
    <w:rsid w:val="2C6646BB"/>
    <w:rsid w:val="2C876684"/>
    <w:rsid w:val="2C9C1E8B"/>
    <w:rsid w:val="2C9F3729"/>
    <w:rsid w:val="2CAF267A"/>
    <w:rsid w:val="2CB02E2C"/>
    <w:rsid w:val="2CBE197F"/>
    <w:rsid w:val="2CCB6C14"/>
    <w:rsid w:val="2CE51A84"/>
    <w:rsid w:val="2CE90E48"/>
    <w:rsid w:val="2CED0939"/>
    <w:rsid w:val="2CF27CFD"/>
    <w:rsid w:val="2CF577ED"/>
    <w:rsid w:val="2CFA3055"/>
    <w:rsid w:val="2D012636"/>
    <w:rsid w:val="2D016C6B"/>
    <w:rsid w:val="2D0D2D89"/>
    <w:rsid w:val="2D150BA1"/>
    <w:rsid w:val="2D2B1461"/>
    <w:rsid w:val="2D2D1B91"/>
    <w:rsid w:val="2D5B7F98"/>
    <w:rsid w:val="2D6A6CF3"/>
    <w:rsid w:val="2D746964"/>
    <w:rsid w:val="2D8D7A26"/>
    <w:rsid w:val="2DB9081B"/>
    <w:rsid w:val="2DCE2518"/>
    <w:rsid w:val="2DD218DC"/>
    <w:rsid w:val="2DD75759"/>
    <w:rsid w:val="2DDB69E3"/>
    <w:rsid w:val="2DE61229"/>
    <w:rsid w:val="2DE735DA"/>
    <w:rsid w:val="2DEF7457"/>
    <w:rsid w:val="2DFD104F"/>
    <w:rsid w:val="2E093AD9"/>
    <w:rsid w:val="2E0A0E72"/>
    <w:rsid w:val="2E112405"/>
    <w:rsid w:val="2E426A62"/>
    <w:rsid w:val="2E4637EF"/>
    <w:rsid w:val="2E4E18AB"/>
    <w:rsid w:val="2E6B420B"/>
    <w:rsid w:val="2E6C48D9"/>
    <w:rsid w:val="2E7035CF"/>
    <w:rsid w:val="2E7D3F3E"/>
    <w:rsid w:val="2E864BA1"/>
    <w:rsid w:val="2E89643F"/>
    <w:rsid w:val="2E8F4F19"/>
    <w:rsid w:val="2E9279E9"/>
    <w:rsid w:val="2EA63495"/>
    <w:rsid w:val="2EB57234"/>
    <w:rsid w:val="2EC8340B"/>
    <w:rsid w:val="2ED303B5"/>
    <w:rsid w:val="2EF35FAE"/>
    <w:rsid w:val="2EF91817"/>
    <w:rsid w:val="2EFA6A37"/>
    <w:rsid w:val="2F167CA6"/>
    <w:rsid w:val="2F25260C"/>
    <w:rsid w:val="2F452CAE"/>
    <w:rsid w:val="2F4A3E20"/>
    <w:rsid w:val="2F5D70AC"/>
    <w:rsid w:val="2F6824F8"/>
    <w:rsid w:val="2F8A246F"/>
    <w:rsid w:val="2F8B61E7"/>
    <w:rsid w:val="2F904855"/>
    <w:rsid w:val="2F947791"/>
    <w:rsid w:val="2FA33530"/>
    <w:rsid w:val="2FA36C75"/>
    <w:rsid w:val="2FB83480"/>
    <w:rsid w:val="2FBE036A"/>
    <w:rsid w:val="2FFA41B9"/>
    <w:rsid w:val="301D6DE7"/>
    <w:rsid w:val="302428C3"/>
    <w:rsid w:val="30297EDA"/>
    <w:rsid w:val="303074BA"/>
    <w:rsid w:val="304E08DD"/>
    <w:rsid w:val="30601421"/>
    <w:rsid w:val="3062519A"/>
    <w:rsid w:val="306929CC"/>
    <w:rsid w:val="30696528"/>
    <w:rsid w:val="306B405E"/>
    <w:rsid w:val="30832D34"/>
    <w:rsid w:val="308C4B30"/>
    <w:rsid w:val="309612E7"/>
    <w:rsid w:val="30C714A1"/>
    <w:rsid w:val="30D53BBD"/>
    <w:rsid w:val="30EB33E1"/>
    <w:rsid w:val="30EE230F"/>
    <w:rsid w:val="30F5600E"/>
    <w:rsid w:val="30FC114A"/>
    <w:rsid w:val="31012C04"/>
    <w:rsid w:val="310E0E7D"/>
    <w:rsid w:val="31104BF6"/>
    <w:rsid w:val="314A68DF"/>
    <w:rsid w:val="317A6D88"/>
    <w:rsid w:val="317F1D7B"/>
    <w:rsid w:val="318B0720"/>
    <w:rsid w:val="319E66A5"/>
    <w:rsid w:val="31A737AC"/>
    <w:rsid w:val="31A87524"/>
    <w:rsid w:val="31B00187"/>
    <w:rsid w:val="31D200FD"/>
    <w:rsid w:val="31DB3455"/>
    <w:rsid w:val="31DE4CF4"/>
    <w:rsid w:val="31E55E87"/>
    <w:rsid w:val="31E56082"/>
    <w:rsid w:val="31E64732"/>
    <w:rsid w:val="31F84559"/>
    <w:rsid w:val="3207249C"/>
    <w:rsid w:val="320F4D4B"/>
    <w:rsid w:val="32140715"/>
    <w:rsid w:val="3223427F"/>
    <w:rsid w:val="3236068C"/>
    <w:rsid w:val="324059AE"/>
    <w:rsid w:val="326351F9"/>
    <w:rsid w:val="32766A06"/>
    <w:rsid w:val="327D078A"/>
    <w:rsid w:val="32933D30"/>
    <w:rsid w:val="32A7158A"/>
    <w:rsid w:val="32B31CDC"/>
    <w:rsid w:val="32C75788"/>
    <w:rsid w:val="32E165BD"/>
    <w:rsid w:val="32FA3DAF"/>
    <w:rsid w:val="330469DC"/>
    <w:rsid w:val="33244988"/>
    <w:rsid w:val="33274478"/>
    <w:rsid w:val="332B3F69"/>
    <w:rsid w:val="333C43C8"/>
    <w:rsid w:val="334A3443"/>
    <w:rsid w:val="334F40FB"/>
    <w:rsid w:val="3353526D"/>
    <w:rsid w:val="33641229"/>
    <w:rsid w:val="338673F1"/>
    <w:rsid w:val="338B4ADF"/>
    <w:rsid w:val="339964E5"/>
    <w:rsid w:val="339D48A3"/>
    <w:rsid w:val="33AC3A1C"/>
    <w:rsid w:val="33C74846"/>
    <w:rsid w:val="33CF6FEA"/>
    <w:rsid w:val="33F64577"/>
    <w:rsid w:val="34056568"/>
    <w:rsid w:val="34296B28"/>
    <w:rsid w:val="343E7CCC"/>
    <w:rsid w:val="34525525"/>
    <w:rsid w:val="34561605"/>
    <w:rsid w:val="346040E6"/>
    <w:rsid w:val="34715CB6"/>
    <w:rsid w:val="34A0589E"/>
    <w:rsid w:val="34A67F96"/>
    <w:rsid w:val="34A9783B"/>
    <w:rsid w:val="34B0508B"/>
    <w:rsid w:val="34BC61DB"/>
    <w:rsid w:val="34CE1050"/>
    <w:rsid w:val="34DF440A"/>
    <w:rsid w:val="350A581B"/>
    <w:rsid w:val="352E7D40"/>
    <w:rsid w:val="35426A60"/>
    <w:rsid w:val="35586B6B"/>
    <w:rsid w:val="355E7319"/>
    <w:rsid w:val="35690D78"/>
    <w:rsid w:val="358D36CE"/>
    <w:rsid w:val="3598340C"/>
    <w:rsid w:val="35A10512"/>
    <w:rsid w:val="35CE6E2D"/>
    <w:rsid w:val="35DB7EC8"/>
    <w:rsid w:val="35EE2046"/>
    <w:rsid w:val="35F41640"/>
    <w:rsid w:val="361A6E50"/>
    <w:rsid w:val="362A0508"/>
    <w:rsid w:val="363967AA"/>
    <w:rsid w:val="36415851"/>
    <w:rsid w:val="36460158"/>
    <w:rsid w:val="36603F29"/>
    <w:rsid w:val="36745C27"/>
    <w:rsid w:val="36851BE2"/>
    <w:rsid w:val="368A0116"/>
    <w:rsid w:val="368E4F3A"/>
    <w:rsid w:val="369116D0"/>
    <w:rsid w:val="36941E25"/>
    <w:rsid w:val="36965B9D"/>
    <w:rsid w:val="369F7E9A"/>
    <w:rsid w:val="36A4650C"/>
    <w:rsid w:val="36C648FF"/>
    <w:rsid w:val="36CC15BF"/>
    <w:rsid w:val="36EF34FF"/>
    <w:rsid w:val="370C4F32"/>
    <w:rsid w:val="370E607B"/>
    <w:rsid w:val="372907BF"/>
    <w:rsid w:val="37294C63"/>
    <w:rsid w:val="37353608"/>
    <w:rsid w:val="37392C59"/>
    <w:rsid w:val="374D6BA3"/>
    <w:rsid w:val="37500442"/>
    <w:rsid w:val="375515B4"/>
    <w:rsid w:val="375A6BCB"/>
    <w:rsid w:val="377A726D"/>
    <w:rsid w:val="377E4FAF"/>
    <w:rsid w:val="37971BCD"/>
    <w:rsid w:val="37A75B88"/>
    <w:rsid w:val="37BA3B0D"/>
    <w:rsid w:val="37D921E5"/>
    <w:rsid w:val="37DF5322"/>
    <w:rsid w:val="37F51788"/>
    <w:rsid w:val="37F92887"/>
    <w:rsid w:val="37FC2378"/>
    <w:rsid w:val="380C2A2C"/>
    <w:rsid w:val="384B3FA8"/>
    <w:rsid w:val="3854528C"/>
    <w:rsid w:val="38547ABE"/>
    <w:rsid w:val="38565141"/>
    <w:rsid w:val="388D6641"/>
    <w:rsid w:val="38B41380"/>
    <w:rsid w:val="38B95B73"/>
    <w:rsid w:val="38C22C79"/>
    <w:rsid w:val="38C77A8E"/>
    <w:rsid w:val="38CF183A"/>
    <w:rsid w:val="38E30E42"/>
    <w:rsid w:val="38E57239"/>
    <w:rsid w:val="38EF5A38"/>
    <w:rsid w:val="38F31085"/>
    <w:rsid w:val="39036257"/>
    <w:rsid w:val="390F1199"/>
    <w:rsid w:val="39367F12"/>
    <w:rsid w:val="393D0552"/>
    <w:rsid w:val="394538AA"/>
    <w:rsid w:val="394D5E49"/>
    <w:rsid w:val="39553AED"/>
    <w:rsid w:val="397B285E"/>
    <w:rsid w:val="398F2E12"/>
    <w:rsid w:val="399531A9"/>
    <w:rsid w:val="39993E51"/>
    <w:rsid w:val="39A10631"/>
    <w:rsid w:val="39AD02F7"/>
    <w:rsid w:val="39B5458C"/>
    <w:rsid w:val="39B60304"/>
    <w:rsid w:val="39DA2245"/>
    <w:rsid w:val="39DA3FF3"/>
    <w:rsid w:val="39DF3CFF"/>
    <w:rsid w:val="39E81075"/>
    <w:rsid w:val="39EB5714"/>
    <w:rsid w:val="39F71049"/>
    <w:rsid w:val="39F7415E"/>
    <w:rsid w:val="39F96B6F"/>
    <w:rsid w:val="39FE77BF"/>
    <w:rsid w:val="3A013C75"/>
    <w:rsid w:val="3A0472C2"/>
    <w:rsid w:val="3A073743"/>
    <w:rsid w:val="3A12378C"/>
    <w:rsid w:val="3A2B6F44"/>
    <w:rsid w:val="3A361B71"/>
    <w:rsid w:val="3A456E52"/>
    <w:rsid w:val="3A5A5133"/>
    <w:rsid w:val="3A631110"/>
    <w:rsid w:val="3A830B2E"/>
    <w:rsid w:val="3ABA2F86"/>
    <w:rsid w:val="3AC70A1B"/>
    <w:rsid w:val="3AEA64B7"/>
    <w:rsid w:val="3AF92B9E"/>
    <w:rsid w:val="3AFA0DF0"/>
    <w:rsid w:val="3B097226"/>
    <w:rsid w:val="3B111C96"/>
    <w:rsid w:val="3B194FEF"/>
    <w:rsid w:val="3B236ECD"/>
    <w:rsid w:val="3B497682"/>
    <w:rsid w:val="3B5F6EA5"/>
    <w:rsid w:val="3B6E70E8"/>
    <w:rsid w:val="3B765F9D"/>
    <w:rsid w:val="3B7F30A4"/>
    <w:rsid w:val="3B8561E0"/>
    <w:rsid w:val="3B8B1A48"/>
    <w:rsid w:val="3BB07701"/>
    <w:rsid w:val="3BB2349B"/>
    <w:rsid w:val="3BB54D17"/>
    <w:rsid w:val="3BBF7944"/>
    <w:rsid w:val="3BC61B14"/>
    <w:rsid w:val="3BC82C9D"/>
    <w:rsid w:val="3BC9431F"/>
    <w:rsid w:val="3BE92C13"/>
    <w:rsid w:val="3BF375EE"/>
    <w:rsid w:val="3C0D4B53"/>
    <w:rsid w:val="3C0E2679"/>
    <w:rsid w:val="3C2105FF"/>
    <w:rsid w:val="3C2D2B00"/>
    <w:rsid w:val="3C327091"/>
    <w:rsid w:val="3C372D23"/>
    <w:rsid w:val="3C447E49"/>
    <w:rsid w:val="3C494757"/>
    <w:rsid w:val="3C4B11D8"/>
    <w:rsid w:val="3C4B380F"/>
    <w:rsid w:val="3C4F6F1A"/>
    <w:rsid w:val="3C5A766D"/>
    <w:rsid w:val="3C720E5A"/>
    <w:rsid w:val="3C897325"/>
    <w:rsid w:val="3C8B3CCA"/>
    <w:rsid w:val="3CA408E8"/>
    <w:rsid w:val="3CA52FDE"/>
    <w:rsid w:val="3CB94393"/>
    <w:rsid w:val="3CC14C1F"/>
    <w:rsid w:val="3CD0758C"/>
    <w:rsid w:val="3CE358B4"/>
    <w:rsid w:val="3CE55188"/>
    <w:rsid w:val="3CF56BC9"/>
    <w:rsid w:val="3D0A4BEF"/>
    <w:rsid w:val="3D0E2E48"/>
    <w:rsid w:val="3D1D0DC6"/>
    <w:rsid w:val="3D1F37E4"/>
    <w:rsid w:val="3D211F38"/>
    <w:rsid w:val="3D235CB1"/>
    <w:rsid w:val="3D346110"/>
    <w:rsid w:val="3D37175C"/>
    <w:rsid w:val="3D491BBB"/>
    <w:rsid w:val="3D4F2F4A"/>
    <w:rsid w:val="3D762284"/>
    <w:rsid w:val="3D826E7B"/>
    <w:rsid w:val="3D864BBD"/>
    <w:rsid w:val="3DDB0CD9"/>
    <w:rsid w:val="3DDD67A7"/>
    <w:rsid w:val="3DE23DBE"/>
    <w:rsid w:val="3DE90CA8"/>
    <w:rsid w:val="3E157CEF"/>
    <w:rsid w:val="3E667746"/>
    <w:rsid w:val="3E815385"/>
    <w:rsid w:val="3E885B96"/>
    <w:rsid w:val="3E952BDE"/>
    <w:rsid w:val="3EAF2B8C"/>
    <w:rsid w:val="3EB43064"/>
    <w:rsid w:val="3EB92D70"/>
    <w:rsid w:val="3EBC22FE"/>
    <w:rsid w:val="3ECA4E6E"/>
    <w:rsid w:val="3ECD4126"/>
    <w:rsid w:val="3EF1250A"/>
    <w:rsid w:val="3EF773F5"/>
    <w:rsid w:val="3F033FEC"/>
    <w:rsid w:val="3F163D1F"/>
    <w:rsid w:val="3F334B39"/>
    <w:rsid w:val="3F40206E"/>
    <w:rsid w:val="3F406FEE"/>
    <w:rsid w:val="3F450160"/>
    <w:rsid w:val="3F473ED8"/>
    <w:rsid w:val="3F4C14EF"/>
    <w:rsid w:val="3F4D019D"/>
    <w:rsid w:val="3F5860E5"/>
    <w:rsid w:val="3F591E5E"/>
    <w:rsid w:val="3F760C61"/>
    <w:rsid w:val="3F8213B4"/>
    <w:rsid w:val="3F827606"/>
    <w:rsid w:val="3F870779"/>
    <w:rsid w:val="3F890995"/>
    <w:rsid w:val="3F8A2017"/>
    <w:rsid w:val="3F917849"/>
    <w:rsid w:val="3F9B0612"/>
    <w:rsid w:val="3F9D1D4A"/>
    <w:rsid w:val="3FA241A2"/>
    <w:rsid w:val="3FAA4467"/>
    <w:rsid w:val="3FAC01DF"/>
    <w:rsid w:val="3FD85478"/>
    <w:rsid w:val="3FE536F1"/>
    <w:rsid w:val="3FE77469"/>
    <w:rsid w:val="40215D3E"/>
    <w:rsid w:val="403A57EB"/>
    <w:rsid w:val="404843AC"/>
    <w:rsid w:val="404B3E9C"/>
    <w:rsid w:val="4061546E"/>
    <w:rsid w:val="40664832"/>
    <w:rsid w:val="4079067E"/>
    <w:rsid w:val="4093139F"/>
    <w:rsid w:val="409343AF"/>
    <w:rsid w:val="409E3FCC"/>
    <w:rsid w:val="40C73F2B"/>
    <w:rsid w:val="40D75730"/>
    <w:rsid w:val="40E63BC5"/>
    <w:rsid w:val="40EB4D37"/>
    <w:rsid w:val="40EC14AB"/>
    <w:rsid w:val="40FA4F7A"/>
    <w:rsid w:val="410D2F00"/>
    <w:rsid w:val="410D73A4"/>
    <w:rsid w:val="413C37E5"/>
    <w:rsid w:val="415648A7"/>
    <w:rsid w:val="415A71E1"/>
    <w:rsid w:val="41630D72"/>
    <w:rsid w:val="41720259"/>
    <w:rsid w:val="418807D8"/>
    <w:rsid w:val="418F600A"/>
    <w:rsid w:val="419B675D"/>
    <w:rsid w:val="41AA69A0"/>
    <w:rsid w:val="41B15F81"/>
    <w:rsid w:val="41C2051C"/>
    <w:rsid w:val="41C31810"/>
    <w:rsid w:val="41C55588"/>
    <w:rsid w:val="41DC7318"/>
    <w:rsid w:val="41DD7C7C"/>
    <w:rsid w:val="41E225DE"/>
    <w:rsid w:val="41F8595E"/>
    <w:rsid w:val="42100EF9"/>
    <w:rsid w:val="4214206C"/>
    <w:rsid w:val="42454372"/>
    <w:rsid w:val="426179A2"/>
    <w:rsid w:val="427174BE"/>
    <w:rsid w:val="42786A9F"/>
    <w:rsid w:val="428B67D2"/>
    <w:rsid w:val="428E0070"/>
    <w:rsid w:val="4294310E"/>
    <w:rsid w:val="42943344"/>
    <w:rsid w:val="42975177"/>
    <w:rsid w:val="429A07C3"/>
    <w:rsid w:val="42C615B8"/>
    <w:rsid w:val="42D77C69"/>
    <w:rsid w:val="42DC0DDB"/>
    <w:rsid w:val="42DE0FF8"/>
    <w:rsid w:val="42E56A55"/>
    <w:rsid w:val="42FC322C"/>
    <w:rsid w:val="43193DDE"/>
    <w:rsid w:val="431C38CE"/>
    <w:rsid w:val="43372938"/>
    <w:rsid w:val="43480555"/>
    <w:rsid w:val="43484F88"/>
    <w:rsid w:val="434A1275"/>
    <w:rsid w:val="435C1F1C"/>
    <w:rsid w:val="437D1278"/>
    <w:rsid w:val="4387343D"/>
    <w:rsid w:val="43972F54"/>
    <w:rsid w:val="439E42E3"/>
    <w:rsid w:val="43A124B3"/>
    <w:rsid w:val="43B65AD0"/>
    <w:rsid w:val="43BB4E95"/>
    <w:rsid w:val="43C55D14"/>
    <w:rsid w:val="43D85A47"/>
    <w:rsid w:val="43E837B0"/>
    <w:rsid w:val="43E97C54"/>
    <w:rsid w:val="43F11473"/>
    <w:rsid w:val="43F839F3"/>
    <w:rsid w:val="44022AC4"/>
    <w:rsid w:val="44024872"/>
    <w:rsid w:val="44044A8E"/>
    <w:rsid w:val="44184095"/>
    <w:rsid w:val="44236B1E"/>
    <w:rsid w:val="444158E6"/>
    <w:rsid w:val="44564BBE"/>
    <w:rsid w:val="44592422"/>
    <w:rsid w:val="44641089"/>
    <w:rsid w:val="446948F1"/>
    <w:rsid w:val="446F3961"/>
    <w:rsid w:val="44AE6D29"/>
    <w:rsid w:val="44B95F17"/>
    <w:rsid w:val="44C11AA6"/>
    <w:rsid w:val="44C75831"/>
    <w:rsid w:val="44CD7477"/>
    <w:rsid w:val="44D04970"/>
    <w:rsid w:val="44D426B2"/>
    <w:rsid w:val="44DF4BB3"/>
    <w:rsid w:val="44E346A3"/>
    <w:rsid w:val="44E522E7"/>
    <w:rsid w:val="44F3240C"/>
    <w:rsid w:val="450048CC"/>
    <w:rsid w:val="451A208F"/>
    <w:rsid w:val="452457E1"/>
    <w:rsid w:val="45350C77"/>
    <w:rsid w:val="453A628D"/>
    <w:rsid w:val="45415D40"/>
    <w:rsid w:val="45435142"/>
    <w:rsid w:val="45451DF1"/>
    <w:rsid w:val="454A4722"/>
    <w:rsid w:val="454B2248"/>
    <w:rsid w:val="45513D03"/>
    <w:rsid w:val="4554734F"/>
    <w:rsid w:val="45570447"/>
    <w:rsid w:val="45723C79"/>
    <w:rsid w:val="45866729"/>
    <w:rsid w:val="45967968"/>
    <w:rsid w:val="459B31D0"/>
    <w:rsid w:val="45B46417"/>
    <w:rsid w:val="45B86522"/>
    <w:rsid w:val="45DB537A"/>
    <w:rsid w:val="45DE4E6B"/>
    <w:rsid w:val="45F43872"/>
    <w:rsid w:val="46113492"/>
    <w:rsid w:val="461B3AA5"/>
    <w:rsid w:val="462C5BD6"/>
    <w:rsid w:val="462E5DF2"/>
    <w:rsid w:val="464C0026"/>
    <w:rsid w:val="46655038"/>
    <w:rsid w:val="466C06C8"/>
    <w:rsid w:val="46843C64"/>
    <w:rsid w:val="46850285"/>
    <w:rsid w:val="468B6B36"/>
    <w:rsid w:val="46955E71"/>
    <w:rsid w:val="469F45FA"/>
    <w:rsid w:val="46A240EA"/>
    <w:rsid w:val="46A460B4"/>
    <w:rsid w:val="46AF05B5"/>
    <w:rsid w:val="46C94CDE"/>
    <w:rsid w:val="46D30747"/>
    <w:rsid w:val="46E14C12"/>
    <w:rsid w:val="4706474A"/>
    <w:rsid w:val="470703F1"/>
    <w:rsid w:val="470D3C59"/>
    <w:rsid w:val="471B28B4"/>
    <w:rsid w:val="473B0E1B"/>
    <w:rsid w:val="473F27FF"/>
    <w:rsid w:val="47437FBA"/>
    <w:rsid w:val="475E1C43"/>
    <w:rsid w:val="476017C6"/>
    <w:rsid w:val="47745A86"/>
    <w:rsid w:val="47811F51"/>
    <w:rsid w:val="47841A42"/>
    <w:rsid w:val="47863A0C"/>
    <w:rsid w:val="478E2D76"/>
    <w:rsid w:val="47916CB1"/>
    <w:rsid w:val="47A65E5C"/>
    <w:rsid w:val="47CA1B4A"/>
    <w:rsid w:val="47E67FE2"/>
    <w:rsid w:val="47F0014A"/>
    <w:rsid w:val="47F60B91"/>
    <w:rsid w:val="47FC5A7C"/>
    <w:rsid w:val="481903DC"/>
    <w:rsid w:val="486F26F2"/>
    <w:rsid w:val="48740AF8"/>
    <w:rsid w:val="487B247F"/>
    <w:rsid w:val="488E0DCA"/>
    <w:rsid w:val="4893008C"/>
    <w:rsid w:val="48934632"/>
    <w:rsid w:val="48B56357"/>
    <w:rsid w:val="48B955C2"/>
    <w:rsid w:val="48B9571B"/>
    <w:rsid w:val="48BA396D"/>
    <w:rsid w:val="48BB76E5"/>
    <w:rsid w:val="48C657AA"/>
    <w:rsid w:val="48F30C2D"/>
    <w:rsid w:val="490177EE"/>
    <w:rsid w:val="490D6193"/>
    <w:rsid w:val="491F7C74"/>
    <w:rsid w:val="492B090F"/>
    <w:rsid w:val="492D6240"/>
    <w:rsid w:val="49382AE4"/>
    <w:rsid w:val="49417BEA"/>
    <w:rsid w:val="49477995"/>
    <w:rsid w:val="494852C1"/>
    <w:rsid w:val="494E0559"/>
    <w:rsid w:val="4968786D"/>
    <w:rsid w:val="496A7A12"/>
    <w:rsid w:val="496F0BFB"/>
    <w:rsid w:val="49721D1E"/>
    <w:rsid w:val="49843F7B"/>
    <w:rsid w:val="498E0956"/>
    <w:rsid w:val="49911DC2"/>
    <w:rsid w:val="499659CF"/>
    <w:rsid w:val="499A718B"/>
    <w:rsid w:val="49B52386"/>
    <w:rsid w:val="49C202E7"/>
    <w:rsid w:val="49EC3FFA"/>
    <w:rsid w:val="49F72751"/>
    <w:rsid w:val="4A1E3C56"/>
    <w:rsid w:val="4A1E617D"/>
    <w:rsid w:val="4A2D016F"/>
    <w:rsid w:val="4A4200BE"/>
    <w:rsid w:val="4A421E6C"/>
    <w:rsid w:val="4A704B0B"/>
    <w:rsid w:val="4A730023"/>
    <w:rsid w:val="4A744C91"/>
    <w:rsid w:val="4A8064B1"/>
    <w:rsid w:val="4A876DA6"/>
    <w:rsid w:val="4A8833F8"/>
    <w:rsid w:val="4A8A619F"/>
    <w:rsid w:val="4AA2290B"/>
    <w:rsid w:val="4AC05487"/>
    <w:rsid w:val="4AD46AF0"/>
    <w:rsid w:val="4ADF61DE"/>
    <w:rsid w:val="4ADF76BB"/>
    <w:rsid w:val="4B0071C8"/>
    <w:rsid w:val="4B125FF6"/>
    <w:rsid w:val="4B1B110F"/>
    <w:rsid w:val="4B3F45FD"/>
    <w:rsid w:val="4B4614E8"/>
    <w:rsid w:val="4B6C4CC7"/>
    <w:rsid w:val="4B7D0C82"/>
    <w:rsid w:val="4B8244EA"/>
    <w:rsid w:val="4B8B339F"/>
    <w:rsid w:val="4B8F7333"/>
    <w:rsid w:val="4B92472D"/>
    <w:rsid w:val="4BA17066"/>
    <w:rsid w:val="4BA34B0F"/>
    <w:rsid w:val="4BB24DCF"/>
    <w:rsid w:val="4BDA7172"/>
    <w:rsid w:val="4BE10F00"/>
    <w:rsid w:val="4C0575F5"/>
    <w:rsid w:val="4C2B503E"/>
    <w:rsid w:val="4C312198"/>
    <w:rsid w:val="4C3253A4"/>
    <w:rsid w:val="4C3677AE"/>
    <w:rsid w:val="4C40062D"/>
    <w:rsid w:val="4C481290"/>
    <w:rsid w:val="4C651E42"/>
    <w:rsid w:val="4C735D9E"/>
    <w:rsid w:val="4C765DFD"/>
    <w:rsid w:val="4C787DC7"/>
    <w:rsid w:val="4C8229F4"/>
    <w:rsid w:val="4C8C3872"/>
    <w:rsid w:val="4C987D10"/>
    <w:rsid w:val="4CA94424"/>
    <w:rsid w:val="4CAA3CF8"/>
    <w:rsid w:val="4CD62D3F"/>
    <w:rsid w:val="4CE0771A"/>
    <w:rsid w:val="4D057181"/>
    <w:rsid w:val="4D331F40"/>
    <w:rsid w:val="4D3B0DF4"/>
    <w:rsid w:val="4D534390"/>
    <w:rsid w:val="4D64659D"/>
    <w:rsid w:val="4D7F6F33"/>
    <w:rsid w:val="4D9549A9"/>
    <w:rsid w:val="4D9D16E6"/>
    <w:rsid w:val="4DA76875"/>
    <w:rsid w:val="4DB017E2"/>
    <w:rsid w:val="4DB82445"/>
    <w:rsid w:val="4DB8479A"/>
    <w:rsid w:val="4DC25072"/>
    <w:rsid w:val="4DC96400"/>
    <w:rsid w:val="4DD76D6F"/>
    <w:rsid w:val="4DDC4D2C"/>
    <w:rsid w:val="4DEB281B"/>
    <w:rsid w:val="4E0D453F"/>
    <w:rsid w:val="4E10402F"/>
    <w:rsid w:val="4E121B55"/>
    <w:rsid w:val="4E1E176D"/>
    <w:rsid w:val="4E2B2C17"/>
    <w:rsid w:val="4E2D698F"/>
    <w:rsid w:val="4E505C68"/>
    <w:rsid w:val="4E573A0C"/>
    <w:rsid w:val="4E5C1022"/>
    <w:rsid w:val="4E613302"/>
    <w:rsid w:val="4E760336"/>
    <w:rsid w:val="4EAC01FC"/>
    <w:rsid w:val="4EB250E6"/>
    <w:rsid w:val="4EB33338"/>
    <w:rsid w:val="4EB946C7"/>
    <w:rsid w:val="4EBE1CDD"/>
    <w:rsid w:val="4EC05A55"/>
    <w:rsid w:val="4EC1342D"/>
    <w:rsid w:val="4ECA0682"/>
    <w:rsid w:val="4ECD0674"/>
    <w:rsid w:val="4ED60DD5"/>
    <w:rsid w:val="4EE74D90"/>
    <w:rsid w:val="4EEF633A"/>
    <w:rsid w:val="4F134939"/>
    <w:rsid w:val="4F1D6A04"/>
    <w:rsid w:val="4F2935FA"/>
    <w:rsid w:val="4F2A7373"/>
    <w:rsid w:val="4F437111"/>
    <w:rsid w:val="4F495A4B"/>
    <w:rsid w:val="4F587A3C"/>
    <w:rsid w:val="4F7A3E56"/>
    <w:rsid w:val="4F8C3B89"/>
    <w:rsid w:val="4F9547EC"/>
    <w:rsid w:val="4FCC21D8"/>
    <w:rsid w:val="4FE6773D"/>
    <w:rsid w:val="4FEB6B02"/>
    <w:rsid w:val="4FEE65F2"/>
    <w:rsid w:val="4FF27E90"/>
    <w:rsid w:val="50106568"/>
    <w:rsid w:val="501222E0"/>
    <w:rsid w:val="501F0559"/>
    <w:rsid w:val="5023629C"/>
    <w:rsid w:val="503A5393"/>
    <w:rsid w:val="5043249A"/>
    <w:rsid w:val="504D50C7"/>
    <w:rsid w:val="505521CD"/>
    <w:rsid w:val="5060304C"/>
    <w:rsid w:val="506A211C"/>
    <w:rsid w:val="507C3BFE"/>
    <w:rsid w:val="50827466"/>
    <w:rsid w:val="50A2376D"/>
    <w:rsid w:val="50A75606"/>
    <w:rsid w:val="50AC49D2"/>
    <w:rsid w:val="50BF25BD"/>
    <w:rsid w:val="50CC248F"/>
    <w:rsid w:val="50D21A70"/>
    <w:rsid w:val="50D457E8"/>
    <w:rsid w:val="50F6750C"/>
    <w:rsid w:val="50FB4B23"/>
    <w:rsid w:val="51160A34"/>
    <w:rsid w:val="51163F32"/>
    <w:rsid w:val="51183927"/>
    <w:rsid w:val="51226553"/>
    <w:rsid w:val="51453FF0"/>
    <w:rsid w:val="516C77CE"/>
    <w:rsid w:val="5170282E"/>
    <w:rsid w:val="519A433C"/>
    <w:rsid w:val="519B0C10"/>
    <w:rsid w:val="51AE366B"/>
    <w:rsid w:val="51D71830"/>
    <w:rsid w:val="51DF0427"/>
    <w:rsid w:val="51E23F34"/>
    <w:rsid w:val="51F83758"/>
    <w:rsid w:val="52074740"/>
    <w:rsid w:val="520B3E30"/>
    <w:rsid w:val="520E5B76"/>
    <w:rsid w:val="5246001F"/>
    <w:rsid w:val="528C10A0"/>
    <w:rsid w:val="52972F71"/>
    <w:rsid w:val="52B0193D"/>
    <w:rsid w:val="52BC29D7"/>
    <w:rsid w:val="52C8312A"/>
    <w:rsid w:val="52DD4E28"/>
    <w:rsid w:val="52FB52AE"/>
    <w:rsid w:val="52FB705C"/>
    <w:rsid w:val="52FC4B82"/>
    <w:rsid w:val="532E2213"/>
    <w:rsid w:val="533026AA"/>
    <w:rsid w:val="533E2F7F"/>
    <w:rsid w:val="534D3630"/>
    <w:rsid w:val="535C60FE"/>
    <w:rsid w:val="53807561"/>
    <w:rsid w:val="538708F0"/>
    <w:rsid w:val="538E7D0E"/>
    <w:rsid w:val="53A56FC8"/>
    <w:rsid w:val="53B4545D"/>
    <w:rsid w:val="53B8319F"/>
    <w:rsid w:val="53C03E02"/>
    <w:rsid w:val="53C658BC"/>
    <w:rsid w:val="53DF24DA"/>
    <w:rsid w:val="53F65A75"/>
    <w:rsid w:val="53FB308C"/>
    <w:rsid w:val="5402441A"/>
    <w:rsid w:val="542F214A"/>
    <w:rsid w:val="54302D35"/>
    <w:rsid w:val="54316AAD"/>
    <w:rsid w:val="543A3BB4"/>
    <w:rsid w:val="54640C31"/>
    <w:rsid w:val="547F3CBD"/>
    <w:rsid w:val="54994D7E"/>
    <w:rsid w:val="549E786E"/>
    <w:rsid w:val="54AB6860"/>
    <w:rsid w:val="54BB2F47"/>
    <w:rsid w:val="54BE216E"/>
    <w:rsid w:val="54BF40B9"/>
    <w:rsid w:val="54D15BFA"/>
    <w:rsid w:val="550F3292"/>
    <w:rsid w:val="5512615B"/>
    <w:rsid w:val="551B6940"/>
    <w:rsid w:val="552A3C28"/>
    <w:rsid w:val="55563AD1"/>
    <w:rsid w:val="555F460E"/>
    <w:rsid w:val="556B5B8F"/>
    <w:rsid w:val="558722C8"/>
    <w:rsid w:val="558F536E"/>
    <w:rsid w:val="55950837"/>
    <w:rsid w:val="55A366CC"/>
    <w:rsid w:val="55C027DF"/>
    <w:rsid w:val="55C2628A"/>
    <w:rsid w:val="55CE2806"/>
    <w:rsid w:val="55D10DCB"/>
    <w:rsid w:val="55D50038"/>
    <w:rsid w:val="55D63DB0"/>
    <w:rsid w:val="55DB3175"/>
    <w:rsid w:val="55E52BD4"/>
    <w:rsid w:val="55E55DA1"/>
    <w:rsid w:val="55EE4C56"/>
    <w:rsid w:val="55F61D5C"/>
    <w:rsid w:val="56002BDB"/>
    <w:rsid w:val="560426CB"/>
    <w:rsid w:val="561C5C67"/>
    <w:rsid w:val="56222B52"/>
    <w:rsid w:val="562A1B91"/>
    <w:rsid w:val="562B5B9A"/>
    <w:rsid w:val="56331D5B"/>
    <w:rsid w:val="56356D29"/>
    <w:rsid w:val="5637484F"/>
    <w:rsid w:val="5640122A"/>
    <w:rsid w:val="56570A4D"/>
    <w:rsid w:val="5661367A"/>
    <w:rsid w:val="56813D1C"/>
    <w:rsid w:val="56902358"/>
    <w:rsid w:val="56904BDD"/>
    <w:rsid w:val="56AB6FEB"/>
    <w:rsid w:val="56AB7BA5"/>
    <w:rsid w:val="56AF3861"/>
    <w:rsid w:val="56B85264"/>
    <w:rsid w:val="56C46C9A"/>
    <w:rsid w:val="56CA56C3"/>
    <w:rsid w:val="56CF0F2B"/>
    <w:rsid w:val="56DC53F6"/>
    <w:rsid w:val="56F40992"/>
    <w:rsid w:val="5714693E"/>
    <w:rsid w:val="57462870"/>
    <w:rsid w:val="575C2093"/>
    <w:rsid w:val="57664784"/>
    <w:rsid w:val="5781726E"/>
    <w:rsid w:val="578D049F"/>
    <w:rsid w:val="57BE4AFC"/>
    <w:rsid w:val="57C06AC6"/>
    <w:rsid w:val="57CE11E3"/>
    <w:rsid w:val="57CF2865"/>
    <w:rsid w:val="57E07028"/>
    <w:rsid w:val="57EC78BB"/>
    <w:rsid w:val="57F549C2"/>
    <w:rsid w:val="58010F61"/>
    <w:rsid w:val="58033583"/>
    <w:rsid w:val="58163A93"/>
    <w:rsid w:val="581A7F84"/>
    <w:rsid w:val="58403763"/>
    <w:rsid w:val="58434227"/>
    <w:rsid w:val="584C2108"/>
    <w:rsid w:val="58550FBC"/>
    <w:rsid w:val="585D2567"/>
    <w:rsid w:val="58690F0C"/>
    <w:rsid w:val="586C6306"/>
    <w:rsid w:val="58737694"/>
    <w:rsid w:val="587924FF"/>
    <w:rsid w:val="587F072F"/>
    <w:rsid w:val="58946569"/>
    <w:rsid w:val="58BA1767"/>
    <w:rsid w:val="58DC49CD"/>
    <w:rsid w:val="58DD31FA"/>
    <w:rsid w:val="58F24A5D"/>
    <w:rsid w:val="58FD113A"/>
    <w:rsid w:val="59030A18"/>
    <w:rsid w:val="591A469F"/>
    <w:rsid w:val="59200D11"/>
    <w:rsid w:val="59215342"/>
    <w:rsid w:val="59264A99"/>
    <w:rsid w:val="592941F7"/>
    <w:rsid w:val="592A3C50"/>
    <w:rsid w:val="593B46DD"/>
    <w:rsid w:val="594026BD"/>
    <w:rsid w:val="594159E5"/>
    <w:rsid w:val="59460076"/>
    <w:rsid w:val="595042A3"/>
    <w:rsid w:val="59515D8A"/>
    <w:rsid w:val="595C45CC"/>
    <w:rsid w:val="595C637A"/>
    <w:rsid w:val="5960477C"/>
    <w:rsid w:val="59682F71"/>
    <w:rsid w:val="596B66F6"/>
    <w:rsid w:val="596D2336"/>
    <w:rsid w:val="596F6178"/>
    <w:rsid w:val="59A5674B"/>
    <w:rsid w:val="59BD150F"/>
    <w:rsid w:val="59C53F20"/>
    <w:rsid w:val="59ED3476"/>
    <w:rsid w:val="5A151F73"/>
    <w:rsid w:val="5A492DA3"/>
    <w:rsid w:val="5A53777D"/>
    <w:rsid w:val="5A582FE6"/>
    <w:rsid w:val="5A601E9A"/>
    <w:rsid w:val="5A842D91"/>
    <w:rsid w:val="5AA77AC9"/>
    <w:rsid w:val="5AA91A93"/>
    <w:rsid w:val="5AAA425F"/>
    <w:rsid w:val="5ABD109B"/>
    <w:rsid w:val="5ABE4B07"/>
    <w:rsid w:val="5AC266B1"/>
    <w:rsid w:val="5ACB37B8"/>
    <w:rsid w:val="5ACB7C5C"/>
    <w:rsid w:val="5ACF3AB2"/>
    <w:rsid w:val="5AD77DB4"/>
    <w:rsid w:val="5AE44879"/>
    <w:rsid w:val="5AFA409D"/>
    <w:rsid w:val="5AFA5E4B"/>
    <w:rsid w:val="5B1769FD"/>
    <w:rsid w:val="5B2D6220"/>
    <w:rsid w:val="5B321A89"/>
    <w:rsid w:val="5B386973"/>
    <w:rsid w:val="5B4A6DD2"/>
    <w:rsid w:val="5B4E6197"/>
    <w:rsid w:val="5B535DF4"/>
    <w:rsid w:val="5B657EA9"/>
    <w:rsid w:val="5B751975"/>
    <w:rsid w:val="5B8147BE"/>
    <w:rsid w:val="5B920779"/>
    <w:rsid w:val="5B9401EF"/>
    <w:rsid w:val="5BA555B3"/>
    <w:rsid w:val="5BA9396F"/>
    <w:rsid w:val="5BB47AC3"/>
    <w:rsid w:val="5BB74B2C"/>
    <w:rsid w:val="5BD41E6E"/>
    <w:rsid w:val="5BEA2363"/>
    <w:rsid w:val="5BEA5EBF"/>
    <w:rsid w:val="5BEF1728"/>
    <w:rsid w:val="5BF64864"/>
    <w:rsid w:val="5BFD3E45"/>
    <w:rsid w:val="5C2869E8"/>
    <w:rsid w:val="5C2C64D8"/>
    <w:rsid w:val="5C381321"/>
    <w:rsid w:val="5C3A6E47"/>
    <w:rsid w:val="5C3B1922"/>
    <w:rsid w:val="5C5069F0"/>
    <w:rsid w:val="5C537F09"/>
    <w:rsid w:val="5C5477DD"/>
    <w:rsid w:val="5C5879DE"/>
    <w:rsid w:val="5C5E2B95"/>
    <w:rsid w:val="5C7A1E91"/>
    <w:rsid w:val="5C8C6F77"/>
    <w:rsid w:val="5CA12E64"/>
    <w:rsid w:val="5CA40764"/>
    <w:rsid w:val="5CAB5170"/>
    <w:rsid w:val="5CBD5382"/>
    <w:rsid w:val="5CC142AF"/>
    <w:rsid w:val="5CCA5724"/>
    <w:rsid w:val="5CE62B2B"/>
    <w:rsid w:val="5CE70651"/>
    <w:rsid w:val="5CEE5E83"/>
    <w:rsid w:val="5D290C69"/>
    <w:rsid w:val="5D292A17"/>
    <w:rsid w:val="5D6972B8"/>
    <w:rsid w:val="5D706822"/>
    <w:rsid w:val="5D7F6ADB"/>
    <w:rsid w:val="5D8B3C74"/>
    <w:rsid w:val="5DAD53F7"/>
    <w:rsid w:val="5DB42C29"/>
    <w:rsid w:val="5DB669A1"/>
    <w:rsid w:val="5DBD1FCA"/>
    <w:rsid w:val="5DC0337C"/>
    <w:rsid w:val="5DE201AE"/>
    <w:rsid w:val="5DF66510"/>
    <w:rsid w:val="5E084D23"/>
    <w:rsid w:val="5E092890"/>
    <w:rsid w:val="5E172FC3"/>
    <w:rsid w:val="5E192A8C"/>
    <w:rsid w:val="5E1C432A"/>
    <w:rsid w:val="5E257683"/>
    <w:rsid w:val="5E282CCF"/>
    <w:rsid w:val="5E3A2E3F"/>
    <w:rsid w:val="5E454779"/>
    <w:rsid w:val="5E510478"/>
    <w:rsid w:val="5E524438"/>
    <w:rsid w:val="5E714676"/>
    <w:rsid w:val="5E816085"/>
    <w:rsid w:val="5E8343A9"/>
    <w:rsid w:val="5E8425FB"/>
    <w:rsid w:val="5E8C6F99"/>
    <w:rsid w:val="5EAA0273"/>
    <w:rsid w:val="5ECF75EF"/>
    <w:rsid w:val="5ED54C05"/>
    <w:rsid w:val="5EF2352E"/>
    <w:rsid w:val="5EF57055"/>
    <w:rsid w:val="5EF763C6"/>
    <w:rsid w:val="5EFD0600"/>
    <w:rsid w:val="5F08322C"/>
    <w:rsid w:val="5F4E6765"/>
    <w:rsid w:val="5F5D7160"/>
    <w:rsid w:val="5F714A4F"/>
    <w:rsid w:val="5F7408C2"/>
    <w:rsid w:val="5F887EC9"/>
    <w:rsid w:val="5F893C41"/>
    <w:rsid w:val="5F8B79B9"/>
    <w:rsid w:val="5F97010C"/>
    <w:rsid w:val="5FB23198"/>
    <w:rsid w:val="5FB46F10"/>
    <w:rsid w:val="5FB90FB7"/>
    <w:rsid w:val="5FC30058"/>
    <w:rsid w:val="5FDE21DF"/>
    <w:rsid w:val="5FEA5F2B"/>
    <w:rsid w:val="5FF27A39"/>
    <w:rsid w:val="5FFB0081"/>
    <w:rsid w:val="5FFE1F39"/>
    <w:rsid w:val="60060FEE"/>
    <w:rsid w:val="600A2554"/>
    <w:rsid w:val="600F42A0"/>
    <w:rsid w:val="60462E90"/>
    <w:rsid w:val="604F2688"/>
    <w:rsid w:val="60571E01"/>
    <w:rsid w:val="606F72DB"/>
    <w:rsid w:val="60786190"/>
    <w:rsid w:val="608368E3"/>
    <w:rsid w:val="60A07495"/>
    <w:rsid w:val="60A30D33"/>
    <w:rsid w:val="60A96349"/>
    <w:rsid w:val="60AE00AB"/>
    <w:rsid w:val="60B31391"/>
    <w:rsid w:val="60C2740B"/>
    <w:rsid w:val="60C82547"/>
    <w:rsid w:val="60D60EA4"/>
    <w:rsid w:val="60EB4BB4"/>
    <w:rsid w:val="60F34B93"/>
    <w:rsid w:val="612945BF"/>
    <w:rsid w:val="61530A39"/>
    <w:rsid w:val="61660DF9"/>
    <w:rsid w:val="6183303E"/>
    <w:rsid w:val="61923281"/>
    <w:rsid w:val="619F1863"/>
    <w:rsid w:val="61AC3CD1"/>
    <w:rsid w:val="61CB22EF"/>
    <w:rsid w:val="61D00691"/>
    <w:rsid w:val="61DF3FED"/>
    <w:rsid w:val="61F47A98"/>
    <w:rsid w:val="61FE695C"/>
    <w:rsid w:val="621912AD"/>
    <w:rsid w:val="62326812"/>
    <w:rsid w:val="62571DD5"/>
    <w:rsid w:val="625B7377"/>
    <w:rsid w:val="626562A0"/>
    <w:rsid w:val="6278019C"/>
    <w:rsid w:val="6283706E"/>
    <w:rsid w:val="628C1A7E"/>
    <w:rsid w:val="629B7F14"/>
    <w:rsid w:val="62A96AD4"/>
    <w:rsid w:val="62AE40EB"/>
    <w:rsid w:val="62B2525D"/>
    <w:rsid w:val="62C0797A"/>
    <w:rsid w:val="62E95123"/>
    <w:rsid w:val="62FB09B2"/>
    <w:rsid w:val="62FE04A2"/>
    <w:rsid w:val="63001694"/>
    <w:rsid w:val="630D184F"/>
    <w:rsid w:val="63185A08"/>
    <w:rsid w:val="631D29EB"/>
    <w:rsid w:val="633C6169"/>
    <w:rsid w:val="635322D4"/>
    <w:rsid w:val="636556F7"/>
    <w:rsid w:val="637A3FCD"/>
    <w:rsid w:val="63822EAD"/>
    <w:rsid w:val="638C7755"/>
    <w:rsid w:val="639B1A12"/>
    <w:rsid w:val="63B70D7D"/>
    <w:rsid w:val="63BC45E5"/>
    <w:rsid w:val="63D23E09"/>
    <w:rsid w:val="63F773CC"/>
    <w:rsid w:val="64055F8C"/>
    <w:rsid w:val="64300F47"/>
    <w:rsid w:val="64483336"/>
    <w:rsid w:val="644F0FB6"/>
    <w:rsid w:val="64562D15"/>
    <w:rsid w:val="646C600B"/>
    <w:rsid w:val="646F3406"/>
    <w:rsid w:val="647C2CAA"/>
    <w:rsid w:val="64942E6C"/>
    <w:rsid w:val="64AE53F9"/>
    <w:rsid w:val="64BC589C"/>
    <w:rsid w:val="64D63485"/>
    <w:rsid w:val="64E35BA2"/>
    <w:rsid w:val="64EC2CA8"/>
    <w:rsid w:val="65085608"/>
    <w:rsid w:val="65091AAC"/>
    <w:rsid w:val="650F7082"/>
    <w:rsid w:val="65110961"/>
    <w:rsid w:val="6518767F"/>
    <w:rsid w:val="65362175"/>
    <w:rsid w:val="65385EEE"/>
    <w:rsid w:val="656767D3"/>
    <w:rsid w:val="65712B94"/>
    <w:rsid w:val="657A02B4"/>
    <w:rsid w:val="65801643"/>
    <w:rsid w:val="658E30F0"/>
    <w:rsid w:val="65956E9C"/>
    <w:rsid w:val="659858FD"/>
    <w:rsid w:val="6598698C"/>
    <w:rsid w:val="65A13CC9"/>
    <w:rsid w:val="65AA25C1"/>
    <w:rsid w:val="65C0250E"/>
    <w:rsid w:val="65E120E1"/>
    <w:rsid w:val="65F91B21"/>
    <w:rsid w:val="660364FC"/>
    <w:rsid w:val="660D737A"/>
    <w:rsid w:val="661C580F"/>
    <w:rsid w:val="661E2CB4"/>
    <w:rsid w:val="661E3335"/>
    <w:rsid w:val="662621EA"/>
    <w:rsid w:val="662C6800"/>
    <w:rsid w:val="6632293D"/>
    <w:rsid w:val="664E603D"/>
    <w:rsid w:val="666F1DE3"/>
    <w:rsid w:val="667B2536"/>
    <w:rsid w:val="667D1E28"/>
    <w:rsid w:val="66A870A3"/>
    <w:rsid w:val="66AD327E"/>
    <w:rsid w:val="66AD46B9"/>
    <w:rsid w:val="66B141AA"/>
    <w:rsid w:val="66CD4D5B"/>
    <w:rsid w:val="66D32372"/>
    <w:rsid w:val="66DD6797"/>
    <w:rsid w:val="66ED4AB6"/>
    <w:rsid w:val="66F66060"/>
    <w:rsid w:val="66F67E0E"/>
    <w:rsid w:val="670818F0"/>
    <w:rsid w:val="671D183F"/>
    <w:rsid w:val="671E2A94"/>
    <w:rsid w:val="671F55B7"/>
    <w:rsid w:val="67293782"/>
    <w:rsid w:val="673516B2"/>
    <w:rsid w:val="675114E9"/>
    <w:rsid w:val="675863D3"/>
    <w:rsid w:val="6759039D"/>
    <w:rsid w:val="679703E1"/>
    <w:rsid w:val="67984F00"/>
    <w:rsid w:val="67A965FC"/>
    <w:rsid w:val="68220B45"/>
    <w:rsid w:val="68336E40"/>
    <w:rsid w:val="683926A8"/>
    <w:rsid w:val="68537CAF"/>
    <w:rsid w:val="685E210F"/>
    <w:rsid w:val="685F3791"/>
    <w:rsid w:val="68725BBA"/>
    <w:rsid w:val="68776D2D"/>
    <w:rsid w:val="687A4A6F"/>
    <w:rsid w:val="68B079A5"/>
    <w:rsid w:val="68BB30BE"/>
    <w:rsid w:val="68D45F2D"/>
    <w:rsid w:val="68DF62EE"/>
    <w:rsid w:val="68EA5751"/>
    <w:rsid w:val="68F570FB"/>
    <w:rsid w:val="69456E2B"/>
    <w:rsid w:val="69531548"/>
    <w:rsid w:val="696F3EA8"/>
    <w:rsid w:val="69731BEA"/>
    <w:rsid w:val="69790883"/>
    <w:rsid w:val="697A2F79"/>
    <w:rsid w:val="698B7CF9"/>
    <w:rsid w:val="698C6808"/>
    <w:rsid w:val="699266B6"/>
    <w:rsid w:val="69A47FF6"/>
    <w:rsid w:val="6A102F95"/>
    <w:rsid w:val="6A242EE4"/>
    <w:rsid w:val="6A2922A9"/>
    <w:rsid w:val="6A4415E9"/>
    <w:rsid w:val="6A5D1F52"/>
    <w:rsid w:val="6A7C062B"/>
    <w:rsid w:val="6A8D0A8A"/>
    <w:rsid w:val="6A9736B6"/>
    <w:rsid w:val="6A981856"/>
    <w:rsid w:val="6AAB0F10"/>
    <w:rsid w:val="6AC02C0D"/>
    <w:rsid w:val="6ACC55B0"/>
    <w:rsid w:val="6ACD70D8"/>
    <w:rsid w:val="6AE12B83"/>
    <w:rsid w:val="6AEA7C8A"/>
    <w:rsid w:val="6AF12F2B"/>
    <w:rsid w:val="6B054AC4"/>
    <w:rsid w:val="6B1E7934"/>
    <w:rsid w:val="6B225676"/>
    <w:rsid w:val="6B364A70"/>
    <w:rsid w:val="6B422808"/>
    <w:rsid w:val="6B476E8A"/>
    <w:rsid w:val="6B4B5217"/>
    <w:rsid w:val="6B680BAF"/>
    <w:rsid w:val="6B6A0DCB"/>
    <w:rsid w:val="6B6F1F3D"/>
    <w:rsid w:val="6B8A1717"/>
    <w:rsid w:val="6B8C6F93"/>
    <w:rsid w:val="6B99345E"/>
    <w:rsid w:val="6BAD273F"/>
    <w:rsid w:val="6BBB1626"/>
    <w:rsid w:val="6BC56001"/>
    <w:rsid w:val="6BC97C07"/>
    <w:rsid w:val="6BCA186A"/>
    <w:rsid w:val="6BCC7390"/>
    <w:rsid w:val="6BCE3108"/>
    <w:rsid w:val="6BD36970"/>
    <w:rsid w:val="6BD526E8"/>
    <w:rsid w:val="6C0B435C"/>
    <w:rsid w:val="6C17069E"/>
    <w:rsid w:val="6C2225DD"/>
    <w:rsid w:val="6C301153"/>
    <w:rsid w:val="6C5D6FB1"/>
    <w:rsid w:val="6C6B0957"/>
    <w:rsid w:val="6C832144"/>
    <w:rsid w:val="6C845EBC"/>
    <w:rsid w:val="6C8500F6"/>
    <w:rsid w:val="6C89702F"/>
    <w:rsid w:val="6C9C4FB4"/>
    <w:rsid w:val="6C9D0D2C"/>
    <w:rsid w:val="6CC265FC"/>
    <w:rsid w:val="6CD504C6"/>
    <w:rsid w:val="6CD52274"/>
    <w:rsid w:val="6CF92406"/>
    <w:rsid w:val="6CFC3CA5"/>
    <w:rsid w:val="6CFC5A53"/>
    <w:rsid w:val="6CFE5C6F"/>
    <w:rsid w:val="6D050DAB"/>
    <w:rsid w:val="6D147240"/>
    <w:rsid w:val="6D196605"/>
    <w:rsid w:val="6D21370B"/>
    <w:rsid w:val="6D3B18E0"/>
    <w:rsid w:val="6D413DAD"/>
    <w:rsid w:val="6D57537F"/>
    <w:rsid w:val="6D5B6C1D"/>
    <w:rsid w:val="6D6D4BA2"/>
    <w:rsid w:val="6D77332B"/>
    <w:rsid w:val="6D870514"/>
    <w:rsid w:val="6D8B5ABC"/>
    <w:rsid w:val="6D940381"/>
    <w:rsid w:val="6D9C3AFC"/>
    <w:rsid w:val="6DA22A9E"/>
    <w:rsid w:val="6DAC1227"/>
    <w:rsid w:val="6DBB76BC"/>
    <w:rsid w:val="6DC23F1C"/>
    <w:rsid w:val="6DD15131"/>
    <w:rsid w:val="6DD469CF"/>
    <w:rsid w:val="6DF66946"/>
    <w:rsid w:val="6E14209A"/>
    <w:rsid w:val="6E22773B"/>
    <w:rsid w:val="6E443B55"/>
    <w:rsid w:val="6E4E6782"/>
    <w:rsid w:val="6E5B2C4D"/>
    <w:rsid w:val="6E6164B5"/>
    <w:rsid w:val="6E9F4B86"/>
    <w:rsid w:val="6EA168B2"/>
    <w:rsid w:val="6EB02F99"/>
    <w:rsid w:val="6EB72460"/>
    <w:rsid w:val="6EB74327"/>
    <w:rsid w:val="6EB8556A"/>
    <w:rsid w:val="6EBC36EB"/>
    <w:rsid w:val="6ED547AD"/>
    <w:rsid w:val="6EE56679"/>
    <w:rsid w:val="6EEE586F"/>
    <w:rsid w:val="6EF72976"/>
    <w:rsid w:val="6F064E06"/>
    <w:rsid w:val="6F094457"/>
    <w:rsid w:val="6F176B74"/>
    <w:rsid w:val="6F35349E"/>
    <w:rsid w:val="6F360C58"/>
    <w:rsid w:val="6F370FC4"/>
    <w:rsid w:val="6F614293"/>
    <w:rsid w:val="6F636421"/>
    <w:rsid w:val="6F6B5112"/>
    <w:rsid w:val="6F6E6EC3"/>
    <w:rsid w:val="6F7264A0"/>
    <w:rsid w:val="6F765F90"/>
    <w:rsid w:val="6F9401C4"/>
    <w:rsid w:val="6FB915A7"/>
    <w:rsid w:val="6FC14D32"/>
    <w:rsid w:val="6FCD1928"/>
    <w:rsid w:val="6FD902CD"/>
    <w:rsid w:val="6FDD39BA"/>
    <w:rsid w:val="6FDE58E3"/>
    <w:rsid w:val="6FE61F3E"/>
    <w:rsid w:val="70161521"/>
    <w:rsid w:val="701914D7"/>
    <w:rsid w:val="701C6FC8"/>
    <w:rsid w:val="702F613F"/>
    <w:rsid w:val="703244E4"/>
    <w:rsid w:val="703A623C"/>
    <w:rsid w:val="705636CC"/>
    <w:rsid w:val="70692EF8"/>
    <w:rsid w:val="70720586"/>
    <w:rsid w:val="70875F7B"/>
    <w:rsid w:val="70897150"/>
    <w:rsid w:val="70A64653"/>
    <w:rsid w:val="70C8281B"/>
    <w:rsid w:val="70FE4044"/>
    <w:rsid w:val="71094BE2"/>
    <w:rsid w:val="71401537"/>
    <w:rsid w:val="71656047"/>
    <w:rsid w:val="7179038C"/>
    <w:rsid w:val="718F158B"/>
    <w:rsid w:val="71A242CB"/>
    <w:rsid w:val="71C8684B"/>
    <w:rsid w:val="71CF732E"/>
    <w:rsid w:val="71DC40A5"/>
    <w:rsid w:val="71DD22F7"/>
    <w:rsid w:val="71E116BB"/>
    <w:rsid w:val="71F4319C"/>
    <w:rsid w:val="71FC75D1"/>
    <w:rsid w:val="71FE04BF"/>
    <w:rsid w:val="720D49AF"/>
    <w:rsid w:val="720F7FD6"/>
    <w:rsid w:val="72121874"/>
    <w:rsid w:val="72181F15"/>
    <w:rsid w:val="721F290F"/>
    <w:rsid w:val="722021E3"/>
    <w:rsid w:val="7229553C"/>
    <w:rsid w:val="72323CC5"/>
    <w:rsid w:val="726F7FB0"/>
    <w:rsid w:val="72A46970"/>
    <w:rsid w:val="72AD3E9C"/>
    <w:rsid w:val="72B50B7E"/>
    <w:rsid w:val="72BB0EC2"/>
    <w:rsid w:val="72C62D8B"/>
    <w:rsid w:val="72EE22E1"/>
    <w:rsid w:val="72FD2525"/>
    <w:rsid w:val="73223877"/>
    <w:rsid w:val="732D2E0A"/>
    <w:rsid w:val="732E0930"/>
    <w:rsid w:val="73335F46"/>
    <w:rsid w:val="73373C88"/>
    <w:rsid w:val="735C7C30"/>
    <w:rsid w:val="73661E78"/>
    <w:rsid w:val="73697BBA"/>
    <w:rsid w:val="736C6E5A"/>
    <w:rsid w:val="73775E2C"/>
    <w:rsid w:val="73A155A6"/>
    <w:rsid w:val="73A86934"/>
    <w:rsid w:val="73B250BD"/>
    <w:rsid w:val="73B40E35"/>
    <w:rsid w:val="73B61051"/>
    <w:rsid w:val="73B70925"/>
    <w:rsid w:val="73BB6668"/>
    <w:rsid w:val="73C365CB"/>
    <w:rsid w:val="73D414D7"/>
    <w:rsid w:val="73EA4857"/>
    <w:rsid w:val="73F6144E"/>
    <w:rsid w:val="742023C5"/>
    <w:rsid w:val="743D52CE"/>
    <w:rsid w:val="7443670B"/>
    <w:rsid w:val="74534AF2"/>
    <w:rsid w:val="745B7503"/>
    <w:rsid w:val="74626AE3"/>
    <w:rsid w:val="748D1686"/>
    <w:rsid w:val="74933140"/>
    <w:rsid w:val="74AE3AD6"/>
    <w:rsid w:val="74B80A8E"/>
    <w:rsid w:val="74C334BC"/>
    <w:rsid w:val="74DF00D5"/>
    <w:rsid w:val="751122B7"/>
    <w:rsid w:val="75157FF9"/>
    <w:rsid w:val="751759A6"/>
    <w:rsid w:val="75305578"/>
    <w:rsid w:val="75387844"/>
    <w:rsid w:val="75422471"/>
    <w:rsid w:val="75431C52"/>
    <w:rsid w:val="75601BF7"/>
    <w:rsid w:val="75644ADD"/>
    <w:rsid w:val="75674604"/>
    <w:rsid w:val="756920F3"/>
    <w:rsid w:val="756B5E6B"/>
    <w:rsid w:val="756C4E37"/>
    <w:rsid w:val="756D0E75"/>
    <w:rsid w:val="75755831"/>
    <w:rsid w:val="75866801"/>
    <w:rsid w:val="758807CB"/>
    <w:rsid w:val="75937E8D"/>
    <w:rsid w:val="75CB06B8"/>
    <w:rsid w:val="75D51537"/>
    <w:rsid w:val="75DF5F11"/>
    <w:rsid w:val="75E35A02"/>
    <w:rsid w:val="75E654F2"/>
    <w:rsid w:val="762027B2"/>
    <w:rsid w:val="762108D3"/>
    <w:rsid w:val="76312C11"/>
    <w:rsid w:val="763224E5"/>
    <w:rsid w:val="76361FD5"/>
    <w:rsid w:val="764364A0"/>
    <w:rsid w:val="76461C54"/>
    <w:rsid w:val="76505878"/>
    <w:rsid w:val="765406AD"/>
    <w:rsid w:val="765C4824"/>
    <w:rsid w:val="765F5F5C"/>
    <w:rsid w:val="766B0856"/>
    <w:rsid w:val="76790114"/>
    <w:rsid w:val="76794AF8"/>
    <w:rsid w:val="76850C08"/>
    <w:rsid w:val="76BB24DB"/>
    <w:rsid w:val="76C84BF7"/>
    <w:rsid w:val="76D67314"/>
    <w:rsid w:val="76DF266D"/>
    <w:rsid w:val="770B3462"/>
    <w:rsid w:val="7711659E"/>
    <w:rsid w:val="771B11CB"/>
    <w:rsid w:val="7722255A"/>
    <w:rsid w:val="77274014"/>
    <w:rsid w:val="772E2227"/>
    <w:rsid w:val="77302EC9"/>
    <w:rsid w:val="7731279D"/>
    <w:rsid w:val="77533CC6"/>
    <w:rsid w:val="775748F9"/>
    <w:rsid w:val="775D4510"/>
    <w:rsid w:val="7760252B"/>
    <w:rsid w:val="776058DA"/>
    <w:rsid w:val="77626DFA"/>
    <w:rsid w:val="777032C5"/>
    <w:rsid w:val="777803CC"/>
    <w:rsid w:val="777D1E86"/>
    <w:rsid w:val="77905715"/>
    <w:rsid w:val="779276DF"/>
    <w:rsid w:val="77B606F8"/>
    <w:rsid w:val="77F40160"/>
    <w:rsid w:val="781D568D"/>
    <w:rsid w:val="78342545"/>
    <w:rsid w:val="78362F6D"/>
    <w:rsid w:val="78412EB3"/>
    <w:rsid w:val="78627545"/>
    <w:rsid w:val="78632E2A"/>
    <w:rsid w:val="78654665"/>
    <w:rsid w:val="78654DF4"/>
    <w:rsid w:val="787B0173"/>
    <w:rsid w:val="787C0B87"/>
    <w:rsid w:val="789C661D"/>
    <w:rsid w:val="78BB0EB8"/>
    <w:rsid w:val="78E0447A"/>
    <w:rsid w:val="78EF46BD"/>
    <w:rsid w:val="78F63C9E"/>
    <w:rsid w:val="790740FD"/>
    <w:rsid w:val="791660EE"/>
    <w:rsid w:val="791D122B"/>
    <w:rsid w:val="791F31F5"/>
    <w:rsid w:val="793F5645"/>
    <w:rsid w:val="794E7636"/>
    <w:rsid w:val="797F1EE5"/>
    <w:rsid w:val="79892D64"/>
    <w:rsid w:val="798B2638"/>
    <w:rsid w:val="798E037A"/>
    <w:rsid w:val="79960FDD"/>
    <w:rsid w:val="79997202"/>
    <w:rsid w:val="799E680F"/>
    <w:rsid w:val="79B0209F"/>
    <w:rsid w:val="79BA4CCB"/>
    <w:rsid w:val="79C1605A"/>
    <w:rsid w:val="79C45B4A"/>
    <w:rsid w:val="79E7658E"/>
    <w:rsid w:val="7A1B3962"/>
    <w:rsid w:val="7A2111EE"/>
    <w:rsid w:val="7A2A00A3"/>
    <w:rsid w:val="7A2F56B9"/>
    <w:rsid w:val="7A623463"/>
    <w:rsid w:val="7A6D48C0"/>
    <w:rsid w:val="7A6D7F90"/>
    <w:rsid w:val="7A765096"/>
    <w:rsid w:val="7A861051"/>
    <w:rsid w:val="7A90198F"/>
    <w:rsid w:val="7A974046"/>
    <w:rsid w:val="7A9A4854"/>
    <w:rsid w:val="7AB931D5"/>
    <w:rsid w:val="7ABA14EE"/>
    <w:rsid w:val="7AC53928"/>
    <w:rsid w:val="7AC878BC"/>
    <w:rsid w:val="7ACA7190"/>
    <w:rsid w:val="7B007056"/>
    <w:rsid w:val="7B02692A"/>
    <w:rsid w:val="7B0F72C3"/>
    <w:rsid w:val="7B114DBF"/>
    <w:rsid w:val="7B2368A0"/>
    <w:rsid w:val="7B274CA7"/>
    <w:rsid w:val="7B4E7DC1"/>
    <w:rsid w:val="7B5B428C"/>
    <w:rsid w:val="7B887EC5"/>
    <w:rsid w:val="7B913F55"/>
    <w:rsid w:val="7B914152"/>
    <w:rsid w:val="7B930C24"/>
    <w:rsid w:val="7BB17EFC"/>
    <w:rsid w:val="7BB5399C"/>
    <w:rsid w:val="7BC60184"/>
    <w:rsid w:val="7BD5403F"/>
    <w:rsid w:val="7BDD2EF3"/>
    <w:rsid w:val="7BE73A8B"/>
    <w:rsid w:val="7BF471EA"/>
    <w:rsid w:val="7C011556"/>
    <w:rsid w:val="7C18217D"/>
    <w:rsid w:val="7C346F6A"/>
    <w:rsid w:val="7C3C40BE"/>
    <w:rsid w:val="7C4C3220"/>
    <w:rsid w:val="7C4F37CE"/>
    <w:rsid w:val="7C507B69"/>
    <w:rsid w:val="7C596A1E"/>
    <w:rsid w:val="7C5E2286"/>
    <w:rsid w:val="7C701FB9"/>
    <w:rsid w:val="7C817D22"/>
    <w:rsid w:val="7C857813"/>
    <w:rsid w:val="7C964B73"/>
    <w:rsid w:val="7C99506C"/>
    <w:rsid w:val="7CD24A22"/>
    <w:rsid w:val="7CD95DB0"/>
    <w:rsid w:val="7CEA1D6C"/>
    <w:rsid w:val="7CF61768"/>
    <w:rsid w:val="7CF84488"/>
    <w:rsid w:val="7D0C7F34"/>
    <w:rsid w:val="7D0E5A5A"/>
    <w:rsid w:val="7D264462"/>
    <w:rsid w:val="7D2C5EE0"/>
    <w:rsid w:val="7D360B0D"/>
    <w:rsid w:val="7D3A5278"/>
    <w:rsid w:val="7D406A1E"/>
    <w:rsid w:val="7D5A0C9F"/>
    <w:rsid w:val="7D637428"/>
    <w:rsid w:val="7D6F2271"/>
    <w:rsid w:val="7D741635"/>
    <w:rsid w:val="7D823D52"/>
    <w:rsid w:val="7D851A94"/>
    <w:rsid w:val="7D965A4F"/>
    <w:rsid w:val="7DA95783"/>
    <w:rsid w:val="7DB3326F"/>
    <w:rsid w:val="7DCB56F9"/>
    <w:rsid w:val="7DF34C50"/>
    <w:rsid w:val="7E092A30"/>
    <w:rsid w:val="7E0D00F2"/>
    <w:rsid w:val="7E1846B6"/>
    <w:rsid w:val="7E1A21DD"/>
    <w:rsid w:val="7E3037AE"/>
    <w:rsid w:val="7E3A287F"/>
    <w:rsid w:val="7E413A9D"/>
    <w:rsid w:val="7E486D4A"/>
    <w:rsid w:val="7E5F22E5"/>
    <w:rsid w:val="7E6B4A0B"/>
    <w:rsid w:val="7E714CEC"/>
    <w:rsid w:val="7E786F03"/>
    <w:rsid w:val="7E7C7B82"/>
    <w:rsid w:val="7E8B4E88"/>
    <w:rsid w:val="7E960CC1"/>
    <w:rsid w:val="7EA36676"/>
    <w:rsid w:val="7EB702F4"/>
    <w:rsid w:val="7ECD724F"/>
    <w:rsid w:val="7ED405DD"/>
    <w:rsid w:val="7ED625A7"/>
    <w:rsid w:val="7EED715E"/>
    <w:rsid w:val="7EF225A5"/>
    <w:rsid w:val="7EFD7F37"/>
    <w:rsid w:val="7F0A2251"/>
    <w:rsid w:val="7F0D3AEF"/>
    <w:rsid w:val="7F17671C"/>
    <w:rsid w:val="7F2271E4"/>
    <w:rsid w:val="7F2D7CEE"/>
    <w:rsid w:val="7F313C82"/>
    <w:rsid w:val="7F4A61E1"/>
    <w:rsid w:val="7F544D8E"/>
    <w:rsid w:val="7F596D35"/>
    <w:rsid w:val="7F5C68C8"/>
    <w:rsid w:val="7F645E05"/>
    <w:rsid w:val="7F743B6E"/>
    <w:rsid w:val="7F8C710A"/>
    <w:rsid w:val="7F962F62"/>
    <w:rsid w:val="7F967F89"/>
    <w:rsid w:val="7F9935D5"/>
    <w:rsid w:val="7FA51F7A"/>
    <w:rsid w:val="7FB328E9"/>
    <w:rsid w:val="7FC468A4"/>
    <w:rsid w:val="7FD30895"/>
    <w:rsid w:val="7FDD1714"/>
    <w:rsid w:val="7FDD5BB8"/>
    <w:rsid w:val="7FE2776D"/>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theme="minorBidi"/>
      <w:kern w:val="2"/>
      <w:sz w:val="24"/>
      <w:szCs w:val="22"/>
      <w:lang w:val="en-US" w:eastAsia="zh-CN" w:bidi="ar-SA"/>
    </w:rPr>
  </w:style>
  <w:style w:type="paragraph" w:styleId="3">
    <w:name w:val="heading 1"/>
    <w:basedOn w:val="1"/>
    <w:next w:val="1"/>
    <w:link w:val="42"/>
    <w:qFormat/>
    <w:uiPriority w:val="9"/>
    <w:pPr>
      <w:keepNext/>
      <w:keepLines/>
      <w:spacing w:before="340" w:after="330" w:line="578" w:lineRule="auto"/>
      <w:jc w:val="center"/>
      <w:outlineLvl w:val="0"/>
    </w:pPr>
    <w:rPr>
      <w:rFonts w:eastAsia="黑体"/>
      <w:b/>
      <w:bCs/>
      <w:kern w:val="44"/>
      <w:sz w:val="44"/>
      <w:szCs w:val="44"/>
    </w:rPr>
  </w:style>
  <w:style w:type="paragraph" w:styleId="4">
    <w:name w:val="heading 2"/>
    <w:basedOn w:val="1"/>
    <w:next w:val="1"/>
    <w:link w:val="46"/>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5">
    <w:name w:val="heading 3"/>
    <w:basedOn w:val="1"/>
    <w:next w:val="1"/>
    <w:link w:val="49"/>
    <w:autoRedefine/>
    <w:unhideWhenUsed/>
    <w:qFormat/>
    <w:uiPriority w:val="9"/>
    <w:pPr>
      <w:keepNext/>
      <w:keepLines/>
      <w:spacing w:before="260" w:after="260" w:line="416" w:lineRule="auto"/>
      <w:outlineLvl w:val="2"/>
    </w:pPr>
    <w:rPr>
      <w:b/>
      <w:bCs/>
      <w:sz w:val="30"/>
      <w:szCs w:val="32"/>
    </w:rPr>
  </w:style>
  <w:style w:type="paragraph" w:styleId="6">
    <w:name w:val="heading 4"/>
    <w:basedOn w:val="1"/>
    <w:next w:val="1"/>
    <w:link w:val="50"/>
    <w:autoRedefine/>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7">
    <w:name w:val="heading 5"/>
    <w:basedOn w:val="8"/>
    <w:next w:val="9"/>
    <w:autoRedefine/>
    <w:qFormat/>
    <w:uiPriority w:val="1"/>
    <w:pPr>
      <w:tabs>
        <w:tab w:val="left" w:pos="780"/>
      </w:tabs>
      <w:ind w:left="638" w:firstLine="561"/>
      <w:outlineLvl w:val="4"/>
    </w:pPr>
    <w:rPr>
      <w:rFonts w:ascii="仿宋" w:hAnsi="仿宋" w:eastAsia="仿宋" w:cs="仿宋"/>
      <w:b/>
      <w:bCs/>
      <w:kern w:val="0"/>
      <w:sz w:val="28"/>
      <w:szCs w:val="28"/>
      <w:lang w:val="zh-CN" w:bidi="zh-CN"/>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Cambria" w:hAnsi="Cambria"/>
      <w:sz w:val="24"/>
    </w:rPr>
  </w:style>
  <w:style w:type="paragraph" w:styleId="8">
    <w:name w:val="List Number 2"/>
    <w:basedOn w:val="1"/>
    <w:autoRedefine/>
    <w:semiHidden/>
    <w:unhideWhenUsed/>
    <w:qFormat/>
    <w:uiPriority w:val="99"/>
    <w:pPr>
      <w:numPr>
        <w:ilvl w:val="0"/>
        <w:numId w:val="1"/>
      </w:numPr>
    </w:pPr>
  </w:style>
  <w:style w:type="paragraph" w:styleId="9">
    <w:name w:val="Normal (Web)"/>
    <w:basedOn w:val="1"/>
    <w:autoRedefine/>
    <w:qFormat/>
    <w:uiPriority w:val="99"/>
    <w:pPr>
      <w:spacing w:before="100" w:beforeAutospacing="1" w:after="100" w:afterAutospacing="1"/>
    </w:pPr>
    <w:rPr>
      <w:rFonts w:cs="宋体"/>
      <w:color w:val="000000"/>
      <w:kern w:val="0"/>
      <w:szCs w:val="24"/>
    </w:rPr>
  </w:style>
  <w:style w:type="paragraph" w:styleId="10">
    <w:name w:val="toc 7"/>
    <w:basedOn w:val="1"/>
    <w:next w:val="1"/>
    <w:autoRedefine/>
    <w:unhideWhenUsed/>
    <w:qFormat/>
    <w:uiPriority w:val="39"/>
    <w:pPr>
      <w:ind w:left="1440"/>
    </w:pPr>
    <w:rPr>
      <w:rFonts w:asciiTheme="minorHAnsi" w:eastAsiaTheme="minorHAnsi"/>
      <w:sz w:val="18"/>
      <w:szCs w:val="18"/>
    </w:rPr>
  </w:style>
  <w:style w:type="paragraph" w:styleId="11">
    <w:name w:val="Normal Indent"/>
    <w:basedOn w:val="1"/>
    <w:next w:val="1"/>
    <w:autoRedefine/>
    <w:unhideWhenUsed/>
    <w:qFormat/>
    <w:uiPriority w:val="0"/>
    <w:pPr>
      <w:ind w:firstLine="420" w:firstLineChars="200"/>
    </w:pPr>
    <w:rPr>
      <w:rFonts w:ascii="Calibri" w:hAnsi="Calibri"/>
    </w:rPr>
  </w:style>
  <w:style w:type="paragraph" w:styleId="12">
    <w:name w:val="List Bullet"/>
    <w:basedOn w:val="1"/>
    <w:autoRedefine/>
    <w:unhideWhenUsed/>
    <w:qFormat/>
    <w:uiPriority w:val="99"/>
    <w:pPr>
      <w:tabs>
        <w:tab w:val="left" w:pos="360"/>
        <w:tab w:val="left" w:pos="1134"/>
      </w:tabs>
      <w:ind w:left="1134" w:hanging="1134"/>
      <w:contextualSpacing/>
      <w:jc w:val="both"/>
    </w:pPr>
    <w:rPr>
      <w:rFonts w:ascii="Times New Roman" w:hAnsi="Times New Roman" w:cs="Times New Roman"/>
      <w:kern w:val="0"/>
      <w:sz w:val="20"/>
      <w:szCs w:val="20"/>
    </w:rPr>
  </w:style>
  <w:style w:type="paragraph" w:styleId="13">
    <w:name w:val="annotation text"/>
    <w:basedOn w:val="1"/>
    <w:link w:val="47"/>
    <w:autoRedefine/>
    <w:qFormat/>
    <w:uiPriority w:val="0"/>
    <w:rPr>
      <w:rFonts w:eastAsiaTheme="minorEastAsia"/>
      <w:sz w:val="21"/>
      <w:szCs w:val="24"/>
    </w:rPr>
  </w:style>
  <w:style w:type="paragraph" w:styleId="14">
    <w:name w:val="Body Text"/>
    <w:basedOn w:val="1"/>
    <w:next w:val="15"/>
    <w:link w:val="51"/>
    <w:autoRedefine/>
    <w:qFormat/>
    <w:uiPriority w:val="99"/>
    <w:pPr>
      <w:spacing w:after="120"/>
      <w:jc w:val="both"/>
    </w:pPr>
    <w:rPr>
      <w:rFonts w:eastAsiaTheme="minorEastAsia"/>
      <w:sz w:val="21"/>
      <w:szCs w:val="24"/>
    </w:rPr>
  </w:style>
  <w:style w:type="paragraph" w:styleId="15">
    <w:name w:val="Body Text First Indent"/>
    <w:basedOn w:val="14"/>
    <w:next w:val="1"/>
    <w:qFormat/>
    <w:uiPriority w:val="99"/>
    <w:pPr>
      <w:spacing w:after="120"/>
      <w:ind w:firstLine="420" w:firstLineChars="100"/>
    </w:pPr>
  </w:style>
  <w:style w:type="paragraph" w:styleId="16">
    <w:name w:val="Body Text Indent"/>
    <w:basedOn w:val="1"/>
    <w:autoRedefine/>
    <w:unhideWhenUsed/>
    <w:qFormat/>
    <w:uiPriority w:val="0"/>
    <w:pPr>
      <w:ind w:firstLine="630"/>
    </w:pPr>
    <w:rPr>
      <w:rFonts w:eastAsia="仿宋_GB2312"/>
      <w:kern w:val="0"/>
      <w:sz w:val="32"/>
      <w:szCs w:val="20"/>
    </w:rPr>
  </w:style>
  <w:style w:type="paragraph" w:styleId="17">
    <w:name w:val="toc 5"/>
    <w:basedOn w:val="1"/>
    <w:next w:val="1"/>
    <w:autoRedefine/>
    <w:unhideWhenUsed/>
    <w:qFormat/>
    <w:uiPriority w:val="39"/>
    <w:pPr>
      <w:ind w:left="960"/>
    </w:pPr>
    <w:rPr>
      <w:rFonts w:asciiTheme="minorHAnsi" w:eastAsiaTheme="minorHAnsi"/>
      <w:sz w:val="18"/>
      <w:szCs w:val="18"/>
    </w:rPr>
  </w:style>
  <w:style w:type="paragraph" w:styleId="18">
    <w:name w:val="toc 3"/>
    <w:basedOn w:val="1"/>
    <w:next w:val="1"/>
    <w:autoRedefine/>
    <w:unhideWhenUsed/>
    <w:qFormat/>
    <w:uiPriority w:val="39"/>
    <w:pPr>
      <w:ind w:left="480"/>
    </w:pPr>
    <w:rPr>
      <w:rFonts w:asciiTheme="minorHAnsi" w:eastAsiaTheme="minorHAnsi"/>
      <w:i/>
      <w:iCs/>
      <w:sz w:val="20"/>
      <w:szCs w:val="20"/>
    </w:rPr>
  </w:style>
  <w:style w:type="paragraph" w:styleId="19">
    <w:name w:val="Plain Text"/>
    <w:basedOn w:val="1"/>
    <w:autoRedefine/>
    <w:unhideWhenUsed/>
    <w:qFormat/>
    <w:uiPriority w:val="0"/>
    <w:rPr>
      <w:rFonts w:hAnsi="Courier New"/>
      <w:kern w:val="0"/>
      <w:sz w:val="20"/>
      <w:szCs w:val="20"/>
    </w:rPr>
  </w:style>
  <w:style w:type="paragraph" w:styleId="20">
    <w:name w:val="toc 8"/>
    <w:basedOn w:val="1"/>
    <w:next w:val="1"/>
    <w:autoRedefine/>
    <w:unhideWhenUsed/>
    <w:qFormat/>
    <w:uiPriority w:val="39"/>
    <w:pPr>
      <w:ind w:left="1680"/>
    </w:pPr>
    <w:rPr>
      <w:rFonts w:asciiTheme="minorHAnsi" w:eastAsiaTheme="minorHAnsi"/>
      <w:sz w:val="18"/>
      <w:szCs w:val="18"/>
    </w:rPr>
  </w:style>
  <w:style w:type="paragraph" w:styleId="21">
    <w:name w:val="Balloon Text"/>
    <w:basedOn w:val="1"/>
    <w:link w:val="84"/>
    <w:semiHidden/>
    <w:unhideWhenUsed/>
    <w:qFormat/>
    <w:uiPriority w:val="99"/>
    <w:rPr>
      <w:sz w:val="18"/>
      <w:szCs w:val="18"/>
    </w:rPr>
  </w:style>
  <w:style w:type="paragraph" w:styleId="22">
    <w:name w:val="footer"/>
    <w:basedOn w:val="1"/>
    <w:link w:val="45"/>
    <w:autoRedefine/>
    <w:unhideWhenUsed/>
    <w:qFormat/>
    <w:uiPriority w:val="99"/>
    <w:pPr>
      <w:tabs>
        <w:tab w:val="center" w:pos="4153"/>
        <w:tab w:val="right" w:pos="8306"/>
      </w:tabs>
      <w:snapToGrid w:val="0"/>
    </w:pPr>
    <w:rPr>
      <w:sz w:val="18"/>
      <w:szCs w:val="18"/>
    </w:rPr>
  </w:style>
  <w:style w:type="paragraph" w:styleId="23">
    <w:name w:val="header"/>
    <w:basedOn w:val="1"/>
    <w:link w:val="4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25">
    <w:name w:val="toc 4"/>
    <w:basedOn w:val="1"/>
    <w:next w:val="1"/>
    <w:autoRedefine/>
    <w:unhideWhenUsed/>
    <w:qFormat/>
    <w:uiPriority w:val="39"/>
    <w:pPr>
      <w:ind w:left="720"/>
    </w:pPr>
    <w:rPr>
      <w:rFonts w:asciiTheme="minorHAnsi" w:eastAsiaTheme="minorHAnsi"/>
      <w:sz w:val="18"/>
      <w:szCs w:val="18"/>
    </w:rPr>
  </w:style>
  <w:style w:type="paragraph" w:styleId="26">
    <w:name w:val="footnote text"/>
    <w:basedOn w:val="1"/>
    <w:qFormat/>
    <w:uiPriority w:val="0"/>
    <w:rPr>
      <w:kern w:val="0"/>
      <w:sz w:val="20"/>
      <w:szCs w:val="20"/>
      <w:lang w:val="de-DE"/>
    </w:rPr>
  </w:style>
  <w:style w:type="paragraph" w:styleId="27">
    <w:name w:val="toc 6"/>
    <w:basedOn w:val="1"/>
    <w:next w:val="1"/>
    <w:autoRedefine/>
    <w:unhideWhenUsed/>
    <w:qFormat/>
    <w:uiPriority w:val="39"/>
    <w:pPr>
      <w:ind w:left="1200"/>
    </w:pPr>
    <w:rPr>
      <w:rFonts w:asciiTheme="minorHAnsi" w:eastAsiaTheme="minorHAnsi"/>
      <w:sz w:val="18"/>
      <w:szCs w:val="18"/>
    </w:rPr>
  </w:style>
  <w:style w:type="paragraph" w:styleId="28">
    <w:name w:val="toc 2"/>
    <w:basedOn w:val="1"/>
    <w:next w:val="1"/>
    <w:autoRedefine/>
    <w:unhideWhenUsed/>
    <w:qFormat/>
    <w:uiPriority w:val="39"/>
    <w:pPr>
      <w:ind w:left="240"/>
    </w:pPr>
    <w:rPr>
      <w:rFonts w:asciiTheme="minorHAnsi" w:eastAsiaTheme="minorHAnsi"/>
      <w:smallCaps/>
      <w:sz w:val="20"/>
      <w:szCs w:val="20"/>
    </w:rPr>
  </w:style>
  <w:style w:type="paragraph" w:styleId="29">
    <w:name w:val="toc 9"/>
    <w:basedOn w:val="1"/>
    <w:next w:val="1"/>
    <w:autoRedefine/>
    <w:unhideWhenUsed/>
    <w:qFormat/>
    <w:uiPriority w:val="39"/>
    <w:pPr>
      <w:ind w:left="1920"/>
    </w:pPr>
    <w:rPr>
      <w:rFonts w:asciiTheme="minorHAnsi" w:eastAsiaTheme="minorHAnsi"/>
      <w:sz w:val="18"/>
      <w:szCs w:val="18"/>
    </w:rPr>
  </w:style>
  <w:style w:type="paragraph" w:styleId="30">
    <w:name w:val="HTML Preformatted"/>
    <w:basedOn w:val="1"/>
    <w:qFormat/>
    <w:uiPriority w:val="0"/>
    <w:rPr>
      <w:rFonts w:ascii="Courier New" w:hAnsi="Courier New" w:eastAsia="宋体" w:cs="Courier New"/>
      <w:sz w:val="20"/>
      <w:szCs w:val="20"/>
    </w:rPr>
  </w:style>
  <w:style w:type="paragraph" w:styleId="31">
    <w:name w:val="annotation subject"/>
    <w:basedOn w:val="13"/>
    <w:next w:val="13"/>
    <w:link w:val="55"/>
    <w:autoRedefine/>
    <w:semiHidden/>
    <w:unhideWhenUsed/>
    <w:qFormat/>
    <w:uiPriority w:val="99"/>
    <w:pPr>
      <w:spacing w:line="360" w:lineRule="auto"/>
    </w:pPr>
    <w:rPr>
      <w:rFonts w:eastAsia="宋体"/>
      <w:b/>
      <w:bCs/>
      <w:sz w:val="24"/>
      <w:szCs w:val="22"/>
    </w:rPr>
  </w:style>
  <w:style w:type="paragraph" w:styleId="32">
    <w:name w:val="Body Text First Indent 2"/>
    <w:basedOn w:val="16"/>
    <w:next w:val="1"/>
    <w:autoRedefine/>
    <w:qFormat/>
    <w:uiPriority w:val="0"/>
    <w:pPr>
      <w:spacing w:after="120"/>
      <w:ind w:left="420" w:leftChars="200" w:firstLine="420" w:firstLineChars="200"/>
    </w:pPr>
    <w:rPr>
      <w:rFonts w:ascii="Times New Roman" w:eastAsia="宋体"/>
      <w:sz w:val="21"/>
      <w:szCs w:val="24"/>
    </w:rPr>
  </w:style>
  <w:style w:type="table" w:styleId="34">
    <w:name w:val="Table Grid"/>
    <w:basedOn w:val="3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autoRedefine/>
    <w:qFormat/>
    <w:uiPriority w:val="0"/>
    <w:rPr>
      <w:b/>
      <w:bCs/>
    </w:rPr>
  </w:style>
  <w:style w:type="character" w:styleId="37">
    <w:name w:val="Emphasis"/>
    <w:basedOn w:val="35"/>
    <w:qFormat/>
    <w:uiPriority w:val="20"/>
    <w:rPr>
      <w:i/>
    </w:rPr>
  </w:style>
  <w:style w:type="character" w:styleId="38">
    <w:name w:val="Hyperlink"/>
    <w:basedOn w:val="35"/>
    <w:autoRedefine/>
    <w:unhideWhenUsed/>
    <w:qFormat/>
    <w:uiPriority w:val="99"/>
    <w:rPr>
      <w:color w:val="0563C1" w:themeColor="hyperlink"/>
      <w:u w:val="single"/>
      <w14:textFill>
        <w14:solidFill>
          <w14:schemeClr w14:val="hlink"/>
        </w14:solidFill>
      </w14:textFill>
    </w:rPr>
  </w:style>
  <w:style w:type="character" w:styleId="39">
    <w:name w:val="annotation reference"/>
    <w:basedOn w:val="35"/>
    <w:autoRedefine/>
    <w:qFormat/>
    <w:uiPriority w:val="0"/>
    <w:rPr>
      <w:sz w:val="21"/>
      <w:szCs w:val="21"/>
    </w:rPr>
  </w:style>
  <w:style w:type="paragraph" w:customStyle="1" w:styleId="40">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1">
    <w:name w:val="正文缩进2"/>
    <w:basedOn w:val="1"/>
    <w:autoRedefine/>
    <w:qFormat/>
    <w:uiPriority w:val="0"/>
    <w:pPr>
      <w:wordWrap w:val="0"/>
      <w:ind w:firstLine="480"/>
    </w:pPr>
    <w:rPr>
      <w:iCs/>
      <w:shd w:val="clear" w:color="auto" w:fill="CCE8CF" w:themeFill="background1"/>
      <w:lang w:val="zh-CN"/>
    </w:rPr>
  </w:style>
  <w:style w:type="character" w:customStyle="1" w:styleId="42">
    <w:name w:val="标题 1 Char"/>
    <w:basedOn w:val="35"/>
    <w:link w:val="3"/>
    <w:autoRedefine/>
    <w:qFormat/>
    <w:uiPriority w:val="9"/>
    <w:rPr>
      <w:rFonts w:eastAsia="黑体"/>
      <w:b/>
      <w:bCs/>
      <w:kern w:val="44"/>
      <w:sz w:val="44"/>
      <w:szCs w:val="44"/>
    </w:rPr>
  </w:style>
  <w:style w:type="paragraph" w:styleId="43">
    <w:name w:val="List Paragraph"/>
    <w:basedOn w:val="1"/>
    <w:qFormat/>
    <w:uiPriority w:val="34"/>
    <w:pPr>
      <w:numPr>
        <w:ilvl w:val="0"/>
        <w:numId w:val="2"/>
      </w:numPr>
    </w:pPr>
  </w:style>
  <w:style w:type="character" w:customStyle="1" w:styleId="44">
    <w:name w:val="页眉 Char"/>
    <w:basedOn w:val="35"/>
    <w:link w:val="23"/>
    <w:autoRedefine/>
    <w:qFormat/>
    <w:uiPriority w:val="99"/>
    <w:rPr>
      <w:rFonts w:eastAsia="宋体"/>
      <w:sz w:val="18"/>
      <w:szCs w:val="18"/>
    </w:rPr>
  </w:style>
  <w:style w:type="character" w:customStyle="1" w:styleId="45">
    <w:name w:val="页脚 Char"/>
    <w:basedOn w:val="35"/>
    <w:link w:val="22"/>
    <w:autoRedefine/>
    <w:qFormat/>
    <w:uiPriority w:val="99"/>
    <w:rPr>
      <w:rFonts w:eastAsia="宋体"/>
      <w:sz w:val="18"/>
      <w:szCs w:val="18"/>
    </w:rPr>
  </w:style>
  <w:style w:type="character" w:customStyle="1" w:styleId="46">
    <w:name w:val="标题 2 Char"/>
    <w:basedOn w:val="35"/>
    <w:link w:val="4"/>
    <w:autoRedefine/>
    <w:qFormat/>
    <w:uiPriority w:val="0"/>
    <w:rPr>
      <w:rFonts w:eastAsia="宋体" w:asciiTheme="majorHAnsi" w:hAnsiTheme="majorHAnsi" w:cstheme="majorBidi"/>
      <w:b/>
      <w:bCs/>
      <w:sz w:val="32"/>
      <w:szCs w:val="32"/>
    </w:rPr>
  </w:style>
  <w:style w:type="character" w:customStyle="1" w:styleId="47">
    <w:name w:val="批注文字 Char"/>
    <w:basedOn w:val="35"/>
    <w:link w:val="13"/>
    <w:autoRedefine/>
    <w:qFormat/>
    <w:uiPriority w:val="0"/>
    <w:rPr>
      <w:szCs w:val="24"/>
    </w:rPr>
  </w:style>
  <w:style w:type="paragraph" w:customStyle="1" w:styleId="48">
    <w:name w:val="Char1 Char Char Char"/>
    <w:basedOn w:val="1"/>
    <w:autoRedefine/>
    <w:qFormat/>
    <w:uiPriority w:val="0"/>
    <w:pPr>
      <w:adjustRightInd w:val="0"/>
      <w:jc w:val="both"/>
    </w:pPr>
    <w:rPr>
      <w:rFonts w:ascii="Times New Roman" w:hAnsi="Times New Roman" w:cs="Times New Roman"/>
      <w:kern w:val="0"/>
      <w:szCs w:val="20"/>
    </w:rPr>
  </w:style>
  <w:style w:type="character" w:customStyle="1" w:styleId="49">
    <w:name w:val="标题 3 Char"/>
    <w:basedOn w:val="35"/>
    <w:link w:val="5"/>
    <w:autoRedefine/>
    <w:qFormat/>
    <w:uiPriority w:val="9"/>
    <w:rPr>
      <w:rFonts w:eastAsia="宋体"/>
      <w:b/>
      <w:bCs/>
      <w:sz w:val="30"/>
      <w:szCs w:val="32"/>
    </w:rPr>
  </w:style>
  <w:style w:type="character" w:customStyle="1" w:styleId="50">
    <w:name w:val="标题 4 Char"/>
    <w:basedOn w:val="35"/>
    <w:link w:val="6"/>
    <w:autoRedefine/>
    <w:qFormat/>
    <w:uiPriority w:val="9"/>
    <w:rPr>
      <w:rFonts w:eastAsia="宋体" w:asciiTheme="majorHAnsi" w:hAnsiTheme="majorHAnsi" w:cstheme="majorBidi"/>
      <w:b/>
      <w:bCs/>
      <w:sz w:val="28"/>
      <w:szCs w:val="28"/>
    </w:rPr>
  </w:style>
  <w:style w:type="character" w:customStyle="1" w:styleId="51">
    <w:name w:val="正文文本 Char"/>
    <w:basedOn w:val="35"/>
    <w:link w:val="14"/>
    <w:autoRedefine/>
    <w:qFormat/>
    <w:uiPriority w:val="99"/>
    <w:rPr>
      <w:szCs w:val="24"/>
    </w:rPr>
  </w:style>
  <w:style w:type="paragraph" w:customStyle="1" w:styleId="52">
    <w:name w:val="样式"/>
    <w:basedOn w:val="1"/>
    <w:autoRedefine/>
    <w:qFormat/>
    <w:uiPriority w:val="0"/>
    <w:pPr>
      <w:autoSpaceDE w:val="0"/>
      <w:autoSpaceDN w:val="0"/>
      <w:snapToGrid w:val="0"/>
      <w:spacing w:before="120" w:after="120"/>
      <w:jc w:val="both"/>
    </w:pPr>
    <w:rPr>
      <w:rFonts w:hAnsi="Times New Roman" w:cs="Times New Roman"/>
      <w:kern w:val="0"/>
      <w:szCs w:val="20"/>
    </w:rPr>
  </w:style>
  <w:style w:type="paragraph" w:styleId="53">
    <w:name w:val="No Spacing"/>
    <w:qFormat/>
    <w:uiPriority w:val="1"/>
    <w:pPr>
      <w:widowControl w:val="0"/>
    </w:pPr>
    <w:rPr>
      <w:rFonts w:ascii="宋体" w:hAnsi="宋体" w:eastAsia="宋体" w:cstheme="minorBidi"/>
      <w:kern w:val="2"/>
      <w:sz w:val="24"/>
      <w:szCs w:val="22"/>
      <w:lang w:val="en-US" w:eastAsia="zh-CN" w:bidi="ar-SA"/>
    </w:rPr>
  </w:style>
  <w:style w:type="character" w:customStyle="1" w:styleId="54">
    <w:name w:val="未处理的提及1"/>
    <w:basedOn w:val="35"/>
    <w:autoRedefine/>
    <w:semiHidden/>
    <w:unhideWhenUsed/>
    <w:qFormat/>
    <w:uiPriority w:val="99"/>
    <w:rPr>
      <w:color w:val="605E5C"/>
      <w:shd w:val="clear" w:color="auto" w:fill="E1DFDD"/>
    </w:rPr>
  </w:style>
  <w:style w:type="character" w:customStyle="1" w:styleId="55">
    <w:name w:val="批注主题 Char"/>
    <w:basedOn w:val="47"/>
    <w:link w:val="31"/>
    <w:autoRedefine/>
    <w:semiHidden/>
    <w:qFormat/>
    <w:uiPriority w:val="99"/>
    <w:rPr>
      <w:rFonts w:ascii="宋体" w:hAnsi="宋体" w:cstheme="minorBidi"/>
      <w:b/>
      <w:bCs/>
      <w:kern w:val="2"/>
      <w:sz w:val="24"/>
      <w:szCs w:val="22"/>
    </w:rPr>
  </w:style>
  <w:style w:type="character" w:customStyle="1" w:styleId="56">
    <w:name w:val="未处理的提及2"/>
    <w:basedOn w:val="35"/>
    <w:autoRedefine/>
    <w:semiHidden/>
    <w:unhideWhenUsed/>
    <w:qFormat/>
    <w:uiPriority w:val="99"/>
    <w:rPr>
      <w:color w:val="605E5C"/>
      <w:shd w:val="clear" w:color="auto" w:fill="E1DFDD"/>
    </w:rPr>
  </w:style>
  <w:style w:type="paragraph" w:customStyle="1" w:styleId="57">
    <w:name w:val="正文_2"/>
    <w:autoRedefine/>
    <w:qFormat/>
    <w:uiPriority w:val="0"/>
    <w:pPr>
      <w:widowControl w:val="0"/>
      <w:jc w:val="both"/>
    </w:pPr>
    <w:rPr>
      <w:rFonts w:ascii="Calibri" w:hAnsi="Calibri" w:eastAsia="宋体" w:cs="Times New Roman"/>
      <w:lang w:val="en-US" w:eastAsia="zh-CN" w:bidi="ar-SA"/>
    </w:rPr>
  </w:style>
  <w:style w:type="paragraph" w:customStyle="1" w:styleId="58">
    <w:name w:val="正文1"/>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59">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正文_2_0_0"/>
    <w:autoRedefine/>
    <w:qFormat/>
    <w:uiPriority w:val="99"/>
    <w:pPr>
      <w:widowControl w:val="0"/>
      <w:jc w:val="both"/>
    </w:pPr>
    <w:rPr>
      <w:rFonts w:ascii="Calibri" w:hAnsi="Calibri" w:eastAsia="宋体" w:cs="Times New Roman"/>
      <w:lang w:val="en-US" w:eastAsia="zh-CN" w:bidi="ar-SA"/>
    </w:rPr>
  </w:style>
  <w:style w:type="paragraph" w:customStyle="1" w:styleId="61">
    <w:name w:val="正文_1_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62">
    <w:name w:val="Normal Indent1"/>
    <w:basedOn w:val="1"/>
    <w:autoRedefine/>
    <w:qFormat/>
    <w:uiPriority w:val="0"/>
    <w:pPr>
      <w:ind w:firstLine="420" w:firstLineChars="200"/>
    </w:pPr>
  </w:style>
  <w:style w:type="paragraph" w:customStyle="1" w:styleId="63">
    <w:name w:val="LO-Normal"/>
    <w:autoRedefine/>
    <w:qFormat/>
    <w:uiPriority w:val="0"/>
    <w:pPr>
      <w:suppressAutoHyphens/>
    </w:pPr>
    <w:rPr>
      <w:rFonts w:ascii="Times New Roman" w:hAnsi="Times New Roman" w:eastAsia="宋体" w:cs="Times New Roman"/>
      <w:sz w:val="24"/>
      <w:szCs w:val="24"/>
      <w:lang w:val="en-US" w:eastAsia="zh-CN" w:bidi="ar-SA"/>
    </w:rPr>
  </w:style>
  <w:style w:type="paragraph" w:customStyle="1" w:styleId="64">
    <w:name w:val="Normal_22"/>
    <w:autoRedefine/>
    <w:qFormat/>
    <w:uiPriority w:val="0"/>
    <w:rPr>
      <w:rFonts w:ascii="Times New Roman" w:hAnsi="Times New Roman" w:eastAsia="Times New Roman" w:cs="Times New Roman"/>
      <w:sz w:val="24"/>
      <w:szCs w:val="24"/>
      <w:lang w:val="en-US" w:eastAsia="zh-CN" w:bidi="ar-SA"/>
    </w:rPr>
  </w:style>
  <w:style w:type="paragraph" w:customStyle="1" w:styleId="65">
    <w:name w:val="正文_6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66">
    <w:name w:val="正文_0_0_0 Char"/>
    <w:link w:val="67"/>
    <w:autoRedefine/>
    <w:qFormat/>
    <w:locked/>
    <w:uiPriority w:val="0"/>
    <w:rPr>
      <w:rFonts w:ascii="Calibri" w:hAnsi="Calibri" w:cs="Calibri"/>
      <w:kern w:val="2"/>
      <w:sz w:val="28"/>
      <w:szCs w:val="22"/>
      <w:lang w:val="en-US" w:eastAsia="zh-CN" w:bidi="ar-SA"/>
    </w:rPr>
  </w:style>
  <w:style w:type="paragraph" w:customStyle="1" w:styleId="67">
    <w:name w:val="正文_0_0_0_0_0"/>
    <w:link w:val="66"/>
    <w:autoRedefine/>
    <w:qFormat/>
    <w:uiPriority w:val="0"/>
    <w:pPr>
      <w:spacing w:before="120" w:after="120" w:line="360" w:lineRule="auto"/>
      <w:ind w:left="1072" w:hanging="1072"/>
      <w:jc w:val="both"/>
    </w:pPr>
    <w:rPr>
      <w:rFonts w:ascii="Calibri" w:hAnsi="Calibri" w:eastAsia="宋体" w:cs="Calibri"/>
      <w:kern w:val="2"/>
      <w:sz w:val="28"/>
      <w:szCs w:val="22"/>
      <w:lang w:val="en-US" w:eastAsia="zh-CN" w:bidi="ar-SA"/>
    </w:rPr>
  </w:style>
  <w:style w:type="paragraph" w:customStyle="1" w:styleId="68">
    <w:name w:val="正文文本_0_1"/>
    <w:basedOn w:val="69"/>
    <w:autoRedefine/>
    <w:qFormat/>
    <w:uiPriority w:val="99"/>
    <w:pPr>
      <w:spacing w:after="120"/>
    </w:pPr>
    <w:rPr>
      <w:kern w:val="0"/>
      <w:sz w:val="24"/>
      <w:szCs w:val="20"/>
    </w:rPr>
  </w:style>
  <w:style w:type="paragraph" w:customStyle="1" w:styleId="69">
    <w:name w:val="正文_6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
    <w:name w:val="Table Paragraph_1"/>
    <w:basedOn w:val="69"/>
    <w:autoRedefine/>
    <w:qFormat/>
    <w:uiPriority w:val="0"/>
    <w:pPr>
      <w:jc w:val="left"/>
    </w:pPr>
    <w:rPr>
      <w:kern w:val="0"/>
      <w:sz w:val="22"/>
      <w:lang w:eastAsia="en-US"/>
    </w:rPr>
  </w:style>
  <w:style w:type="paragraph" w:customStyle="1" w:styleId="71">
    <w:name w:val="正文_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2">
    <w:name w:val="正文11"/>
    <w:autoRedefine/>
    <w:qFormat/>
    <w:uiPriority w:val="0"/>
    <w:pPr>
      <w:widowControl w:val="0"/>
      <w:jc w:val="both"/>
    </w:pPr>
    <w:rPr>
      <w:rFonts w:ascii="Calibri" w:hAnsi="Calibri" w:eastAsia="宋体" w:cs="Times New Roman"/>
      <w:lang w:val="en-US" w:eastAsia="zh-CN" w:bidi="ar-SA"/>
    </w:rPr>
  </w:style>
  <w:style w:type="paragraph" w:customStyle="1" w:styleId="73">
    <w:name w:val="列出段落1"/>
    <w:basedOn w:val="1"/>
    <w:autoRedefine/>
    <w:qFormat/>
    <w:uiPriority w:val="0"/>
    <w:pPr>
      <w:ind w:firstLine="420" w:firstLineChars="200"/>
    </w:pPr>
    <w:rPr>
      <w:szCs w:val="21"/>
    </w:rPr>
  </w:style>
  <w:style w:type="paragraph" w:customStyle="1" w:styleId="74">
    <w:name w:val="xl31"/>
    <w:basedOn w:val="1"/>
    <w:autoRedefine/>
    <w:qFormat/>
    <w:uiPriority w:val="0"/>
    <w:pPr>
      <w:spacing w:before="100" w:beforeAutospacing="1" w:after="100" w:afterAutospacing="1"/>
      <w:jc w:val="center"/>
    </w:pPr>
    <w:rPr>
      <w:b/>
      <w:bCs/>
      <w:kern w:val="0"/>
      <w:sz w:val="28"/>
      <w:szCs w:val="28"/>
    </w:rPr>
  </w:style>
  <w:style w:type="paragraph" w:customStyle="1" w:styleId="75">
    <w:name w:val="正文2"/>
    <w:basedOn w:val="1"/>
    <w:qFormat/>
    <w:uiPriority w:val="0"/>
    <w:pPr>
      <w:spacing w:before="156" w:line="360" w:lineRule="auto"/>
      <w:ind w:firstLine="510" w:firstLineChars="200"/>
    </w:pPr>
    <w:rPr>
      <w:szCs w:val="20"/>
    </w:rPr>
  </w:style>
  <w:style w:type="paragraph" w:customStyle="1" w:styleId="76">
    <w:name w:val="Char Char Char Char Char Char Char1 Char"/>
    <w:basedOn w:val="1"/>
    <w:autoRedefine/>
    <w:qFormat/>
    <w:uiPriority w:val="0"/>
    <w:rPr>
      <w:rFonts w:ascii="Arial" w:hAnsi="Arial" w:cs="Arial"/>
    </w:rPr>
  </w:style>
  <w:style w:type="paragraph" w:customStyle="1" w:styleId="77">
    <w:name w:val="正文缩进2格"/>
    <w:basedOn w:val="1"/>
    <w:qFormat/>
    <w:uiPriority w:val="0"/>
    <w:pPr>
      <w:spacing w:line="600" w:lineRule="exact"/>
      <w:ind w:firstLine="639" w:firstLineChars="206"/>
    </w:pPr>
    <w:rPr>
      <w:rFonts w:ascii="仿宋_GB2312" w:eastAsia="仿宋_GB2312"/>
      <w:kern w:val="0"/>
      <w:sz w:val="31"/>
      <w:szCs w:val="20"/>
    </w:rPr>
  </w:style>
  <w:style w:type="paragraph" w:customStyle="1" w:styleId="78">
    <w:name w:val="Default Text"/>
    <w:basedOn w:val="1"/>
    <w:qFormat/>
    <w:uiPriority w:val="0"/>
    <w:pPr>
      <w:autoSpaceDE w:val="0"/>
      <w:autoSpaceDN w:val="0"/>
      <w:adjustRightInd w:val="0"/>
    </w:pPr>
    <w:rPr>
      <w:rFonts w:ascii="Helvetica" w:hAnsi="Helvetica"/>
      <w:kern w:val="0"/>
      <w:sz w:val="22"/>
    </w:rPr>
  </w:style>
  <w:style w:type="character" w:customStyle="1" w:styleId="79">
    <w:name w:val="font41"/>
    <w:qFormat/>
    <w:uiPriority w:val="0"/>
    <w:rPr>
      <w:rFonts w:ascii="宋体" w:hAnsi="宋体" w:eastAsia="宋体" w:cs="宋体"/>
      <w:color w:val="000000"/>
      <w:sz w:val="24"/>
      <w:szCs w:val="24"/>
      <w:u w:val="none"/>
    </w:rPr>
  </w:style>
  <w:style w:type="paragraph" w:customStyle="1" w:styleId="80">
    <w:name w:val="正文缩进1"/>
    <w:basedOn w:val="1"/>
    <w:qFormat/>
    <w:uiPriority w:val="0"/>
    <w:pPr>
      <w:ind w:firstLine="420"/>
    </w:pPr>
    <w:rPr>
      <w:rFonts w:ascii="Times New Roman" w:hAnsi="Times New Roman"/>
      <w:szCs w:val="20"/>
    </w:rPr>
  </w:style>
  <w:style w:type="paragraph" w:customStyle="1" w:styleId="81">
    <w:name w:val="表格文字"/>
    <w:basedOn w:val="1"/>
    <w:qFormat/>
    <w:uiPriority w:val="0"/>
    <w:pPr>
      <w:spacing w:before="25" w:after="25"/>
    </w:pPr>
    <w:rPr>
      <w:rFonts w:cs="宋体"/>
      <w:bCs/>
      <w:color w:val="EE0000"/>
      <w:spacing w:val="10"/>
      <w:szCs w:val="21"/>
      <w:shd w:val="clear" w:color="auto" w:fill="FFFFFF"/>
    </w:rPr>
  </w:style>
  <w:style w:type="paragraph" w:customStyle="1" w:styleId="82">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3">
    <w:name w:val="正文_0_0_0"/>
    <w:autoRedefine/>
    <w:qFormat/>
    <w:uiPriority w:val="0"/>
    <w:pPr>
      <w:widowControl w:val="0"/>
      <w:jc w:val="both"/>
    </w:pPr>
    <w:rPr>
      <w:rFonts w:ascii="Calibri" w:hAnsi="Calibri" w:eastAsia="宋体" w:cs="Times New Roman"/>
      <w:kern w:val="2"/>
      <w:sz w:val="28"/>
      <w:szCs w:val="22"/>
      <w:lang w:val="en-US" w:eastAsia="zh-CN" w:bidi="ar-SA"/>
    </w:rPr>
  </w:style>
  <w:style w:type="character" w:customStyle="1" w:styleId="84">
    <w:name w:val="批注框文本 Char"/>
    <w:basedOn w:val="35"/>
    <w:link w:val="21"/>
    <w:semiHidden/>
    <w:qFormat/>
    <w:uiPriority w:val="99"/>
    <w:rPr>
      <w:rFonts w:ascii="宋体" w:hAnsi="宋体" w:cstheme="minorBidi"/>
      <w:kern w:val="2"/>
      <w:sz w:val="18"/>
      <w:szCs w:val="18"/>
    </w:rPr>
  </w:style>
  <w:style w:type="paragraph" w:customStyle="1" w:styleId="85">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character" w:customStyle="1" w:styleId="86">
    <w:name w:val="NormalCharacter"/>
    <w:qFormat/>
    <w:uiPriority w:val="0"/>
    <w:rPr>
      <w:rFonts w:ascii="Times New Roman" w:hAnsi="Times New Roman" w:eastAsia="Times New Roman" w:cs="Times New Roman"/>
      <w:sz w:val="24"/>
      <w:szCs w:val="24"/>
      <w:lang w:val="en-US" w:eastAsia="zh-CN" w:bidi="ar-SA"/>
    </w:rPr>
  </w:style>
  <w:style w:type="paragraph" w:customStyle="1" w:styleId="87">
    <w:name w:val="正文 文本"/>
    <w:qFormat/>
    <w:uiPriority w:val="1"/>
    <w:pPr>
      <w:spacing w:line="560" w:lineRule="exact"/>
      <w:ind w:left="0" w:right="0" w:firstLine="640"/>
      <w:jc w:val="both"/>
    </w:pPr>
    <w:rPr>
      <w:rFonts w:ascii="宋体" w:eastAsia="宋体" w:hAnsiTheme="minorHAnsi" w:cstheme="minorBidi"/>
      <w:sz w:val="32"/>
      <w:szCs w:val="22"/>
    </w:rPr>
  </w:style>
  <w:style w:type="paragraph" w:customStyle="1" w:styleId="88">
    <w:name w:val="正文一级标题"/>
    <w:qFormat/>
    <w:uiPriority w:val="1"/>
    <w:pPr>
      <w:spacing w:line="560" w:lineRule="exact"/>
      <w:ind w:left="0" w:right="0" w:firstLine="720"/>
      <w:jc w:val="both"/>
    </w:pPr>
    <w:rPr>
      <w:rFonts w:ascii="黑体" w:eastAsia="黑体" w:hAnsiTheme="minorHAnsi" w:cstheme="minorBidi"/>
      <w:b/>
      <w:sz w:val="36"/>
      <w:szCs w:val="22"/>
    </w:rPr>
  </w:style>
  <w:style w:type="paragraph" w:customStyle="1" w:styleId="89">
    <w:name w:val="Table Text"/>
    <w:basedOn w:val="1"/>
    <w:semiHidden/>
    <w:qFormat/>
    <w:uiPriority w:val="0"/>
    <w:rPr>
      <w:rFonts w:ascii="仿宋" w:hAnsi="仿宋" w:eastAsia="仿宋" w:cs="仿宋"/>
      <w:sz w:val="24"/>
      <w:szCs w:val="24"/>
      <w:lang w:val="en-US" w:eastAsia="en-US" w:bidi="ar-SA"/>
    </w:rPr>
  </w:style>
  <w:style w:type="table" w:customStyle="1" w:styleId="9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b8903bc5-cf57-44f2-9e06-aef795a067cb</errorID>
      <errorWord>“/</errorWord>
      <group>L1_Punc</group>
      <groupName>标点问题</groupName>
      <ability>L2_Punc</ability>
      <abilityName>标点符号检查</abilityName>
      <candidateList>
        <item>“</item>
      </candidateList>
      <explain/>
      <paraID>7FBD95E1</paraID>
      <start>119</start>
      <end>121</end>
      <status>ignored</status>
      <modifiedWord/>
      <trackRevisions>false</trackRevisions>
    </reviewItem>
    <reviewItem>
      <errorID>0bb1d292-88bb-4c86-a587-191fdffe6483</errorID>
      <errorWord>(</errorWord>
      <group>L1_Format</group>
      <groupName>格式问题</groupName>
      <ability>L2_HalfPunc</ability>
      <abilityName>全半角检查</abilityName>
      <candidateList>
        <item>（</item>
      </candidateList>
      <explain>文本全半角错误。</explain>
      <paraID>2852FE91</paraID>
      <start>1</start>
      <end>2</end>
      <status>ignored</status>
      <modifiedWord/>
      <trackRevisions>false</trackRevisions>
    </reviewItem>
    <reviewItem>
      <errorID>470ae112-20e7-441a-aa3f-7a572c30eabf</errorID>
      <errorWord>)</errorWord>
      <group>L1_Format</group>
      <groupName>格式问题</groupName>
      <ability>L2_HalfPunc</ability>
      <abilityName>全半角检查</abilityName>
      <candidateList>
        <item>）</item>
      </candidateList>
      <explain>文本全半角错误。</explain>
      <paraID>2852FE91</paraID>
      <start>6</start>
      <end>7</end>
      <status>ignored</status>
      <modifiedWord/>
      <trackRevisions>false</trackRevisions>
    </reviewItem>
    <reviewItem>
      <errorID>86bb1e2c-353a-4d6f-a7b5-baa72b2d2084</errorID>
      <errorWord>,</errorWord>
      <group>L1_Format</group>
      <groupName>格式问题</groupName>
      <ability>L2_HalfPunc</ability>
      <abilityName>全半角检查</abilityName>
      <candidateList>
        <item>，</item>
      </candidateList>
      <explain>文本全半角错误。</explain>
      <paraID>1C35AF5F</paraID>
      <start>36</start>
      <end>37</end>
      <status>modified</status>
      <modifiedWord>，</modifiedWord>
      <trackRevisions>false</trackRevisions>
    </reviewItem>
    <reviewItem>
      <errorID>c4084648-8799-4f0e-bfa2-4a5e0192bfbb</errorID>
      <errorWord>,</errorWord>
      <group>L1_Format</group>
      <groupName>格式问题</groupName>
      <ability>L2_HalfPunc</ability>
      <abilityName>全半角检查</abilityName>
      <candidateList>
        <item>，</item>
      </candidateList>
      <explain>文本全半角错误。</explain>
      <paraID>55BA9FF5</paraID>
      <start>48</start>
      <end>49</end>
      <status>modified</status>
      <modifiedWord>，</modifiedWord>
      <trackRevisions>false</trackRevisions>
    </reviewItem>
    <reviewItem>
      <errorID>d685372b-7c99-467d-ae93-1e9655045d11</errorID>
      <errorWord>-</errorWord>
      <group>L1_Format</group>
      <groupName>格式问题</groupName>
      <ability>L2_HalfPunc</ability>
      <abilityName>全半角检查</abilityName>
      <candidateList>
        <item>－</item>
      </candidateList>
      <explain>文本全半角错误。</explain>
      <paraID>276D3E17</paraID>
      <start>46</start>
      <end>47</end>
      <status>modified</status>
      <modifiedWord>－</modifiedWord>
      <trackRevisions>false</trackRevisions>
    </reviewItem>
    <reviewItem>
      <errorID>f22107fd-471f-4172-80b2-b3ec701f0fd6</errorID>
      <errorWord>-</errorWord>
      <group>L1_Format</group>
      <groupName>格式问题</groupName>
      <ability>L2_HalfPunc</ability>
      <abilityName>全半角检查</abilityName>
      <candidateList>
        <item>－</item>
      </candidateList>
      <explain>文本全半角错误。</explain>
      <paraID>276D3E17</paraID>
      <start>51</start>
      <end>52</end>
      <status>modified</status>
      <modifiedWord>－</modifiedWord>
      <trackRevisions>false</trackRevisions>
    </reviewItem>
    <reviewItem>
      <errorID>8869cb43-26a1-433c-937a-de7e95326a6c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30FA302A</paraID>
      <start>0</start>
      <end>2</end>
      <status>modified</status>
      <modifiedWord>1.</modifiedWord>
      <trackRevisions>false</trackRevisions>
    </reviewItem>
    <reviewItem>
      <errorID>caa2d25d-f424-4873-93fe-0b848eefa9a7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40387C18</paraID>
      <start>0</start>
      <end>2</end>
      <status>modified</status>
      <modifiedWord>2.</modifiedWord>
      <trackRevisions>false</trackRevisions>
    </reviewItem>
    <reviewItem>
      <errorID>b5700499-367d-498d-87b5-63478aad2314</errorID>
      <errorWord>-</errorWord>
      <group>L1_Format</group>
      <groupName>格式问题</groupName>
      <ability>L2_HalfPunc</ability>
      <abilityName>全半角检查</abilityName>
      <candidateList>
        <item>－</item>
      </candidateList>
      <explain>文本全半角错误。</explain>
      <paraID>40387C18</paraID>
      <start>121</start>
      <end>122</end>
      <status>modified</status>
      <modifiedWord>－</modifiedWord>
      <trackRevisions>false</trackRevisions>
    </reviewItem>
    <reviewItem>
      <errorID>14acfcc6-e294-486a-8c44-77b8d8a835c6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34AAF104</paraID>
      <start>0</start>
      <end>2</end>
      <status>modified</status>
      <modifiedWord>3.</modifiedWord>
      <trackRevisions>false</trackRevisions>
    </reviewItem>
    <reviewItem>
      <errorID>e3fdd21d-16f0-402c-b69a-bac4ea9ffe53</errorID>
      <errorWord>、…</errorWord>
      <group>L1_Punc</group>
      <groupName>标点问题</groupName>
      <ability>L2_Punc</ability>
      <abilityName>标点符号检查</abilityName>
      <candidateList>
        <item>、</item>
      </candidateList>
      <explain/>
      <paraID>2658125B</paraID>
      <start>1</start>
      <end>2</end>
      <status>modified</status>
      <modifiedWord>、</modifiedWord>
      <trackRevisions>false</trackRevisions>
    </reviewItem>
    <reviewItem>
      <errorID>ebc9f4c6-13cc-4d07-904a-f046c073e203</errorID>
      <errorWord>:</errorWord>
      <group>L1_Format</group>
      <groupName>格式问题</groupName>
      <ability>L2_HalfPunc</ability>
      <abilityName>全半角检查</abilityName>
      <candidateList>
        <item>：</item>
      </candidateList>
      <explain>文本全半角错误。</explain>
      <paraID>16CF3F9F</paraID>
      <start>2</start>
      <end>3</end>
      <status>modified</status>
      <modifiedWord>：</modifiedWord>
      <trackRevisions>false</trackRevisions>
    </reviewItem>
    <reviewItem>
      <errorID>a5c57f97-0947-458b-8307-3daabbc01fc8</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111A1565</paraID>
      <start>118</start>
      <end>120</end>
      <status>modified</status>
      <modifiedWord>账号</modifiedWord>
      <trackRevisions>false</trackRevisions>
    </reviewItem>
    <reviewItem>
      <errorID>86ea014d-28eb-49a1-8a10-1abe245e6397</errorID>
      <errorWord>将</errorWord>
      <group>L1_Word</group>
      <groupName>字词问题</groupName>
      <ability>L2_Typo</ability>
      <abilityName>字词错误</abilityName>
      <candidateList>
        <item>将在</item>
      </candidateList>
      <explain/>
      <paraID>18ECC266</paraID>
      <start>8</start>
      <end>9</end>
      <status>ignored</status>
      <modifiedWord/>
      <trackRevisions>false</trackRevisions>
    </reviewItem>
    <reviewItem>
      <errorID>5309f2f2-175f-4bb2-84aa-6669cc6e0ddb</errorID>
      <errorWord>,</errorWord>
      <group>L1_Format</group>
      <groupName>格式问题</groupName>
      <ability>L2_HalfPunc</ability>
      <abilityName>全半角检查</abilityName>
      <candidateList>
        <item>，</item>
      </candidateList>
      <explain>文本全半角错误。</explain>
      <paraID>78B9FFCD</paraID>
      <start>91</start>
      <end>92</end>
      <status>modified</status>
      <modifiedWord>，</modifiedWord>
      <trackRevisions>false</trackRevisions>
    </reviewItem>
    <reviewItem>
      <errorID>9ce4bfbc-0112-40dc-9a87-50a803d2ed4c</errorID>
      <errorWord>做</errorWord>
      <group>L1_Word</group>
      <groupName>字词问题</groupName>
      <ability>L2_Typo</ability>
      <abilityName>字词错误</abilityName>
      <candidateList>
        <item>作</item>
      </candidateList>
      <explain>存在发音相同字词的误用。</explain>
      <paraID>1182B9BB</paraID>
      <start>65</start>
      <end>66</end>
      <status>modified</status>
      <modifiedWord>作</modifiedWord>
      <trackRevisions>false</trackRevisions>
    </reviewItem>
    <reviewItem>
      <errorID>4f272d0b-22b2-4ede-8216-1dba4b77b49a</errorID>
      <errorWord>,</errorWord>
      <group>L1_Format</group>
      <groupName>格式问题</groupName>
      <ability>L2_HalfPunc</ability>
      <abilityName>全半角检查</abilityName>
      <candidateList>
        <item>，</item>
      </candidateList>
      <explain>文本全半角错误。</explain>
      <paraID> B6A028F</paraID>
      <start>35</start>
      <end>36</end>
      <status>modified</status>
      <modifiedWord>，</modifiedWord>
      <trackRevisions>false</trackRevisions>
    </reviewItem>
    <reviewItem>
      <errorID>78d46f5d-7f39-4f38-86b2-d61a85682369</errorID>
      <errorWord>”</errorWord>
      <group>L1_Punc</group>
      <groupName>标点问题</groupName>
      <ability>L2_Punc</ability>
      <abilityName>标点符号检查</abilityName>
      <candidateList>
        <item>“</item>
      </candidateList>
      <explain>注意检查双引号的方向是否正确。</explain>
      <paraID>4D80B003</paraID>
      <start>59</start>
      <end>60</end>
      <status>modified</status>
      <modifiedWord>“</modifiedWord>
      <trackRevisions>false</trackRevisions>
    </reviewItem>
    <reviewItem>
      <errorID>6112a56b-2188-42fe-b1ec-ec2ea41c0f61</errorID>
      <errorWord>.</errorWord>
      <group>L1_Format</group>
      <groupName>格式问题</groupName>
      <ability>L2_HalfPunc</ability>
      <abilityName>全半角检查</abilityName>
      <candidateList>
        <item>。</item>
      </candidateList>
      <explain>文本全半角错误。</explain>
      <paraID>4D80B003</paraID>
      <start>83</start>
      <end>84</end>
      <status>ignored</status>
      <modifiedWord/>
      <trackRevisions>false</trackRevisions>
    </reviewItem>
    <reviewItem>
      <errorID>67680d6f-2be4-47fd-b581-d8be155eaf30</errorID>
      <errorWord>,</errorWord>
      <group>L1_Format</group>
      <groupName>格式问题</groupName>
      <ability>L2_HalfPunc</ability>
      <abilityName>全半角检查</abilityName>
      <candidateList>
        <item>，</item>
      </candidateList>
      <explain>文本全半角错误。</explain>
      <paraID>348027D2</paraID>
      <start>10</start>
      <end>11</end>
      <status>modified</status>
      <modifiedWord>，</modifiedWord>
      <trackRevisions>false</trackRevisions>
    </reviewItem>
    <reviewItem>
      <errorID>9a232160-b801-4263-9900-132d24dca638</errorID>
      <errorWord>(</errorWord>
      <group>L1_Format</group>
      <groupName>格式问题</groupName>
      <ability>L2_HalfPunc</ability>
      <abilityName>全半角检查</abilityName>
      <candidateList>
        <item>（</item>
      </candidateList>
      <explain>文本全半角错误。</explain>
      <paraID>53C4680A</paraID>
      <start>40</start>
      <end>41</end>
      <status>modified</status>
      <modifiedWord>（</modifiedWord>
      <trackRevisions>false</trackRevisions>
    </reviewItem>
    <reviewItem>
      <errorID>963d6136-6549-4f12-b5bd-6d42daf20dd3</errorID>
      <errorWord>&lt;</errorWord>
      <group>L1_Format</group>
      <groupName>格式问题</groupName>
      <ability>L2_HalfPunc</ability>
      <abilityName>全半角检查</abilityName>
      <candidateList>
        <item>〈</item>
      </candidateList>
      <explain>文本全半角错误。</explain>
      <paraID>13C08773</paraID>
      <start>162</start>
      <end>163</end>
      <status>ignored</status>
      <modifiedWord/>
      <trackRevisions>false</trackRevisions>
    </reviewItem>
    <reviewItem>
      <errorID>29b874a3-26eb-46aa-b204-51179818988c</errorID>
      <errorWord>&gt;</errorWord>
      <group>L1_Format</group>
      <groupName>格式问题</groupName>
      <ability>L2_HalfPunc</ability>
      <abilityName>全半角检查</abilityName>
      <candidateList>
        <item>〉</item>
      </candidateList>
      <explain>文本全半角错误。</explain>
      <paraID>13C08773</paraID>
      <start>180</start>
      <end>181</end>
      <status>ignored</status>
      <modifiedWord/>
      <trackRevisions>false</trackRevisions>
    </reviewItem>
    <reviewItem>
      <errorID>5457b18b-1da2-4124-b2dd-50e165d8281c</errorID>
      <errorWord>(</errorWord>
      <group>L1_Format</group>
      <groupName>格式问题</groupName>
      <ability>L2_HalfPunc</ability>
      <abilityName>全半角检查</abilityName>
      <candidateList>
        <item>（</item>
      </candidateList>
      <explain>文本全半角错误。</explain>
      <paraID>13C08773</paraID>
      <start>282</start>
      <end>283</end>
      <status>ignored</status>
      <modifiedWord/>
      <trackRevisions>false</trackRevisions>
    </reviewItem>
    <reviewItem>
      <errorID>793b832d-a9f5-4cbf-9718-d165b1ebe0af</errorID>
      <errorWord>)</errorWord>
      <group>L1_Format</group>
      <groupName>格式问题</groupName>
      <ability>L2_HalfPunc</ability>
      <abilityName>全半角检查</abilityName>
      <candidateList>
        <item>）</item>
      </candidateList>
      <explain>文本全半角错误。</explain>
      <paraID>13C08773</paraID>
      <start>285</start>
      <end>286</end>
      <status>modified</status>
      <modifiedWord>）</modifiedWord>
      <trackRevisions>false</trackRevisions>
    </reviewItem>
    <reviewItem>
      <errorID>dc9603b6-fbd7-4509-9394-a526cea4292a</errorID>
      <errorWord>(</errorWord>
      <group>L1_Format</group>
      <groupName>格式问题</groupName>
      <ability>L2_HalfPunc</ability>
      <abilityName>全半角检查</abilityName>
      <candidateList>
        <item>（</item>
      </candidateList>
      <explain>文本全半角错误。</explain>
      <paraID>575DAF11</paraID>
      <start>86</start>
      <end>87</end>
      <status>modified</status>
      <modifiedWord>（</modifiedWord>
      <trackRevisions>false</trackRevisions>
    </reviewItem>
    <reviewItem>
      <errorID>73c7827c-a796-4786-88ee-8c62a7dfa4e4</errorID>
      <errorWord>)</errorWord>
      <group>L1_Format</group>
      <groupName>格式问题</groupName>
      <ability>L2_HalfPunc</ability>
      <abilityName>全半角检查</abilityName>
      <candidateList>
        <item>）</item>
      </candidateList>
      <explain>文本全半角错误。</explain>
      <paraID>575DAF11</paraID>
      <start>89</start>
      <end>90</end>
      <status>modified</status>
      <modifiedWord>）</modifiedWord>
      <trackRevisions>false</trackRevisions>
    </reviewItem>
    <reviewItem>
      <errorID>5a290310-ffbd-4321-97a7-f908311aeb65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3DA94789</paraID>
      <start>48</start>
      <end>50</end>
      <status>modified</status>
      <modifiedWord>》《</modifiedWord>
      <trackRevisions>false</trackRevisions>
    </reviewItem>
    <reviewItem>
      <errorID>b8f9b3af-5a05-45cc-ac77-5a3bde9417f0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953B8AD</paraID>
      <start>41</start>
      <end>43</end>
      <status>modified</status>
      <modifiedWord>》《</modifiedWord>
      <trackRevisions>false</trackRevisions>
    </reviewItem>
    <reviewItem>
      <errorID>bc822e6a-a057-466e-b93a-de9609727345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953B8AD</paraID>
      <start>59</start>
      <end>61</end>
      <status>modified</status>
      <modifiedWord>》《</modifiedWord>
      <trackRevisions>false</trackRevisions>
    </reviewItem>
    <reviewItem>
      <errorID>b69ed2d7-f04a-4413-bba3-babd596d80cf</errorID>
      <errorWord>（</errorWord>
      <group>L1_Punc</group>
      <groupName>标点问题</groupName>
      <ability>L2_Punc</ability>
      <abilityName>标点符号检查</abilityName>
      <candidateList/>
      <explain>同一形式括号套用。</explain>
      <paraID>4CD07220</paraID>
      <start>34</start>
      <end>35</end>
      <status>ignored</status>
      <modifiedWord/>
      <trackRevisions>false</trackRevisions>
    </reviewItem>
    <reviewItem>
      <errorID>2ee9cac1-86ee-4378-b59f-735935c3bcb1</errorID>
      <errorWord>）</errorWord>
      <group>L1_Punc</group>
      <groupName>标点问题</groupName>
      <ability>L2_Punc</ability>
      <abilityName>标点符号检查</abilityName>
      <candidateList/>
      <explain>同一形式括号套用。</explain>
      <paraID>4CD07220</paraID>
      <start>37</start>
      <end>38</end>
      <status>ignored</status>
      <modifiedWord/>
      <trackRevisions>false</trackRevisions>
    </reviewItem>
    <reviewItem>
      <errorID>0950dd76-cf2b-43dd-9726-b27c5909cebb</errorID>
      <errorWord>（</errorWord>
      <group>L1_Punc</group>
      <groupName>标点问题</groupName>
      <ability>L2_Punc</ability>
      <abilityName>标点符号检查</abilityName>
      <candidateList/>
      <explain>同一形式括号套用。</explain>
      <paraID>4CD07220</paraID>
      <start>53</start>
      <end>54</end>
      <status>ignored</status>
      <modifiedWord/>
      <trackRevisions>false</trackRevisions>
    </reviewItem>
    <reviewItem>
      <errorID>ed1d05fe-6376-4587-8544-66665876c60b</errorID>
      <errorWord>）</errorWord>
      <group>L1_Punc</group>
      <groupName>标点问题</groupName>
      <ability>L2_Punc</ability>
      <abilityName>标点符号检查</abilityName>
      <candidateList/>
      <explain>同一形式括号套用。</explain>
      <paraID>4CD07220</paraID>
      <start>56</start>
      <end>57</end>
      <status>ignored</status>
      <modifiedWord/>
      <trackRevisions>false</trackRevisions>
    </reviewItem>
    <reviewItem>
      <errorID>ffd10972-f00e-4e11-a65c-befb0a6fa5d9</errorID>
      <errorWord>（</errorWord>
      <group>L1_Punc</group>
      <groupName>标点问题</groupName>
      <ability>L2_Punc</ability>
      <abilityName>标点符号检查</abilityName>
      <candidateList/>
      <explain>同一形式括号套用。</explain>
      <paraID>4CD07220</paraID>
      <start>62</start>
      <end>63</end>
      <status>ignored</status>
      <modifiedWord/>
      <trackRevisions>false</trackRevisions>
    </reviewItem>
    <reviewItem>
      <errorID>3379b1d8-b7ee-4ac9-ab64-4c2b6a70edff</errorID>
      <errorWord>）</errorWord>
      <group>L1_Punc</group>
      <groupName>标点问题</groupName>
      <ability>L2_Punc</ability>
      <abilityName>标点符号检查</abilityName>
      <candidateList/>
      <explain>同一形式括号套用。</explain>
      <paraID>4CD07220</paraID>
      <start>77</start>
      <end>78</end>
      <status>ignored</status>
      <modifiedWord/>
      <trackRevisions>false</trackRevisions>
    </reviewItem>
    <reviewItem>
      <errorID>91f88d66-fdd6-443a-99cd-f910a203113a</errorID>
      <errorWord>）；</errorWord>
      <group>L1_Format</group>
      <groupName>格式问题</groupName>
      <ability>L2_HalfPunc</ability>
      <abilityName>全半角检查</abilityName>
      <candidateList>
        <item>);</item>
      </candidateList>
      <explain>文本全半角错误。</explain>
      <paraID>4D80C076</paraID>
      <start>39</start>
      <end>41</end>
      <status>modified</status>
      <modifiedWord>);</modifiedWord>
      <trackRevisions>false</trackRevisions>
    </reviewItem>
    <reviewItem>
      <errorID>6885661f-0646-4659-9ea4-2fe9785321ad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363BBCEC</paraID>
      <start>0</start>
      <end>2</end>
      <status>modified</status>
      <modifiedWord>1.</modifiedWord>
      <trackRevisions>false</trackRevisions>
    </reviewItem>
    <reviewItem>
      <errorID>5b24d709-62f1-4a19-a019-8c9e24234910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48EEE38E</paraID>
      <start>0</start>
      <end>2</end>
      <status>modified</status>
      <modifiedWord>2.</modifiedWord>
      <trackRevisions>false</trackRevisions>
    </reviewItem>
    <reviewItem>
      <errorID>eb7c0d4b-3b8a-4dd9-8354-1c4454daa895</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542AC51F</paraID>
      <start>31</start>
      <end>32</end>
      <status>modified</status>
      <modifiedWord>且</modifiedWord>
      <trackRevisions>false</trackRevisions>
    </reviewItem>
    <reviewItem>
      <errorID>13e9b9b9-259c-4f0a-b974-f42f7ce7c9ea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32C90847</paraID>
      <start>0</start>
      <end>2</end>
      <status>modified</status>
      <modifiedWord>1.</modifiedWord>
      <trackRevisions>false</trackRevisions>
    </reviewItem>
    <reviewItem>
      <errorID>f3030b80-c0a5-4502-a71f-c82648577b98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7297771</paraID>
      <start>0</start>
      <end>2</end>
      <status>modified</status>
      <modifiedWord>2.</modifiedWord>
      <trackRevisions>false</trackRevisions>
    </reviewItem>
    <reviewItem>
      <errorID>8e78bf74-a134-4d64-be0a-e8fd3abccc78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3D553F99</paraID>
      <start>0</start>
      <end>2</end>
      <status>modified</status>
      <modifiedWord>3.</modifiedWord>
      <trackRevisions>false</trackRevisions>
    </reviewItem>
    <reviewItem>
      <errorID>7048b893-b102-4579-a614-37811206ea94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30B35282</paraID>
      <start>0</start>
      <end>2</end>
      <status>modified</status>
      <modifiedWord>4.</modifiedWord>
      <trackRevisions>false</trackRevisions>
    </reviewItem>
    <reviewItem>
      <errorID>688da216-2e4f-4e38-a643-7eaad821ae5f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672B5E7E</paraID>
      <start>0</start>
      <end>2</end>
      <status>modified</status>
      <modifiedWord>5.</modifiedWord>
      <trackRevisions>false</trackRevisions>
    </reviewItem>
    <reviewItem>
      <errorID>acd6dea0-53d5-4f48-b299-cbd5227d569f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5E18183F</paraID>
      <start>0</start>
      <end>2</end>
      <status>modified</status>
      <modifiedWord>6.</modifiedWord>
      <trackRevisions>false</trackRevisions>
    </reviewItem>
    <reviewItem>
      <errorID>44cbb66d-c9a8-43a2-9c9f-5dc75f400479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61148C33</paraID>
      <start>0</start>
      <end>2</end>
      <status>modified</status>
      <modifiedWord>7.</modifiedWord>
      <trackRevisions>false</trackRevisions>
    </reviewItem>
    <reviewItem>
      <errorID>b4560977-a15f-41dc-b72b-d58f078684c7</errorID>
      <errorWord>(</errorWord>
      <group>L1_Format</group>
      <groupName>格式问题</groupName>
      <ability>L2_HalfPunc</ability>
      <abilityName>全半角检查</abilityName>
      <candidateList>
        <item>（</item>
      </candidateList>
      <explain>文本全半角错误。</explain>
      <paraID>21B53EAD</paraID>
      <start>11</start>
      <end>12</end>
      <status>ignored</status>
      <modifiedWord/>
      <trackRevisions>false</trackRevisions>
    </reviewItem>
    <reviewItem>
      <errorID>62817bb8-1705-48ec-8e8e-59d23c3aeb20</errorID>
      <errorWord>)</errorWord>
      <group>L1_Format</group>
      <groupName>格式问题</groupName>
      <ability>L2_HalfPunc</ability>
      <abilityName>全半角检查</abilityName>
      <candidateList>
        <item>）</item>
      </candidateList>
      <explain>文本全半角错误。</explain>
      <paraID>21B53EAD</paraID>
      <start>17</start>
      <end>18</end>
      <status>ignored</status>
      <modifiedWord/>
      <trackRevisions>false</trackRevisions>
    </reviewItem>
    <reviewItem>
      <errorID>bcdb442a-cc60-4a8e-9e53-4987481dbae2</errorID>
      <errorWord>详</errorWord>
      <group>L1_Word</group>
      <groupName>字词问题</groupName>
      <ability>L2_Typo</ability>
      <abilityName>字词错误</abilityName>
      <candidateList>
        <item>详见</item>
      </candidateList>
      <explain/>
      <paraID> D55CFD2</paraID>
      <start>97</start>
      <end>99</end>
      <status>modified</status>
      <modifiedWord>详见</modifiedWord>
      <trackRevisions>false</trackRevisions>
    </reviewItem>
    <reviewItem>
      <errorID>f9ac1d19-0631-4364-b6a1-ddc3bf9cc663</errorID>
      <errorWord>(</errorWord>
      <group>L1_Format</group>
      <groupName>格式问题</groupName>
      <ability>L2_HalfPunc</ability>
      <abilityName>全半角检查</abilityName>
      <candidateList>
        <item>（</item>
      </candidateList>
      <explain>文本全半角错误。</explain>
      <paraID>2D86B7AD</paraID>
      <start>7</start>
      <end>8</end>
      <status>modified</status>
      <modifiedWord>（</modifiedWord>
      <trackRevisions>false</trackRevisions>
    </reviewItem>
    <reviewItem>
      <errorID>d84935f2-e371-4fb5-8ad2-562e55c1c6dc</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3874ED83</paraID>
      <start>64</start>
      <end>71</end>
      <status>ignored</status>
      <modifiedWord/>
      <trackRevisions>false</trackRevisions>
    </reviewItem>
    <reviewItem>
      <errorID>a4593dd9-1810-49d1-b3ae-b3d403787b51</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3874ED83</paraID>
      <start>192</start>
      <end>197</end>
      <status>ignored</status>
      <modifiedWord/>
      <trackRevisions>false</trackRevisions>
    </reviewItem>
    <reviewItem>
      <errorID>a2dd3bc6-9218-480d-838f-c648dc505be1</errorID>
      <errorWord>,</errorWord>
      <group>L1_Format</group>
      <groupName>格式问题</groupName>
      <ability>L2_HalfPunc</ability>
      <abilityName>全半角检查</abilityName>
      <candidateList>
        <item>，</item>
      </candidateList>
      <explain>文本全半角错误。</explain>
      <paraID>149A35CB</paraID>
      <start>8</start>
      <end>9</end>
      <status>modified</status>
      <modifiedWord>，</modifiedWord>
      <trackRevisions>false</trackRevisions>
    </reviewItem>
    <reviewItem>
      <errorID>cb97673a-cac2-4654-941a-884f21247290</errorID>
      <errorWord>,</errorWord>
      <group>L1_Format</group>
      <groupName>格式问题</groupName>
      <ability>L2_HalfPunc</ability>
      <abilityName>全半角检查</abilityName>
      <candidateList>
        <item>，</item>
      </candidateList>
      <explain>文本全半角错误。</explain>
      <paraID>19EFB935</paraID>
      <start>35</start>
      <end>36</end>
      <status>modified</status>
      <modifiedWord>，</modifiedWord>
      <trackRevisions>false</trackRevisions>
    </reviewItem>
    <reviewItem>
      <errorID>624ed4c7-2b8f-41e3-9848-07334e23e4d1</errorID>
      <errorWord>,</errorWord>
      <group>L1_Format</group>
      <groupName>格式问题</groupName>
      <ability>L2_HalfPunc</ability>
      <abilityName>全半角检查</abilityName>
      <candidateList>
        <item>，</item>
      </candidateList>
      <explain>文本全半角错误。</explain>
      <paraID>69951688</paraID>
      <start>4</start>
      <end>5</end>
      <status>modified</status>
      <modifiedWord>，</modifiedWord>
      <trackRevisions>false</trackRevisions>
    </reviewItem>
    <reviewItem>
      <errorID>bcab7383-d462-49ca-b7e3-a8a5f4ca1c2e</errorID>
      <errorWord>,</errorWord>
      <group>L1_Format</group>
      <groupName>格式问题</groupName>
      <ability>L2_HalfPunc</ability>
      <abilityName>全半角检查</abilityName>
      <candidateList>
        <item>，</item>
      </candidateList>
      <explain>文本全半角错误。</explain>
      <paraID>1AFF6E69</paraID>
      <start>31</start>
      <end>32</end>
      <status>modified</status>
      <modifiedWord>，</modifiedWord>
      <trackRevisions>false</trackRevisions>
    </reviewItem>
    <reviewItem>
      <errorID>6675ace8-8f1d-4bfa-a6b2-0c163f6cfd48</errorID>
      <errorWord>-</errorWord>
      <group>L1_Format</group>
      <groupName>格式问题</groupName>
      <ability>L2_HalfPunc</ability>
      <abilityName>全半角检查</abilityName>
      <candidateList>
        <item>－</item>
      </candidateList>
      <explain>文本全半角错误。</explain>
      <paraID>3DB6FBF5</paraID>
      <start>6</start>
      <end>7</end>
      <status>modified</status>
      <modifiedWord>－</modifiedWord>
      <trackRevisions>false</trackRevisions>
    </reviewItem>
    <reviewItem>
      <errorID>d88188a7-868d-46ce-9e75-d17532b80b54</errorID>
      <errorWord>)</errorWord>
      <group>L1_Format</group>
      <groupName>格式问题</groupName>
      <ability>L2_HalfPunc</ability>
      <abilityName>全半角检查</abilityName>
      <candidateList>
        <item>）</item>
      </candidateList>
      <explain>文本全半角错误。</explain>
      <paraID>62C0AA09</paraID>
      <start>18</start>
      <end>19</end>
      <status>modified</status>
      <modifiedWord>）</modifiedWord>
      <trackRevisions>false</trackRevisions>
    </reviewItem>
    <reviewItem>
      <errorID>2a3d8962-7c9c-47ca-a9d3-2f31ed175f35</errorID>
      <errorWord>(</errorWord>
      <group>L1_Format</group>
      <groupName>格式问题</groupName>
      <ability>L2_HalfPunc</ability>
      <abilityName>全半角检查</abilityName>
      <candidateList>
        <item>（</item>
      </candidateList>
      <explain>文本全半角错误。</explain>
      <paraID>7469BF24</paraID>
      <start>11</start>
      <end>12</end>
      <status>modified</status>
      <modifiedWord>（</modifiedWord>
      <trackRevisions>false</trackRevisions>
    </reviewItem>
    <reviewItem>
      <errorID>7e637174-db63-43db-aa2f-74fbe9898c7c</errorID>
      <errorWord>)</errorWord>
      <group>L1_Format</group>
      <groupName>格式问题</groupName>
      <ability>L2_HalfPunc</ability>
      <abilityName>全半角检查</abilityName>
      <candidateList>
        <item>）</item>
      </candidateList>
      <explain>文本全半角错误。</explain>
      <paraID>7469BF24</paraID>
      <start>18</start>
      <end>19</end>
      <status>modified</status>
      <modifiedWord>）</modifiedWord>
      <trackRevisions>false</trackRevisions>
    </reviewItem>
    <reviewItem>
      <errorID>ec081857-59a6-434d-9b43-b7d083d6e174</errorID>
      <errorWord>详</errorWord>
      <group>L1_Word</group>
      <groupName>字词问题</groupName>
      <ability>L2_Typo</ability>
      <abilityName>字词错误</abilityName>
      <candidateList>
        <item>详见</item>
      </candidateList>
      <explain/>
      <paraID> 3A2BC3F</paraID>
      <start>96</start>
      <end>98</end>
      <status>modified</status>
      <modifiedWord>详见</modifiedWord>
      <trackRevisions>false</trackRevisions>
    </reviewItem>
    <reviewItem>
      <errorID>c9913725-ac00-414c-8e08-8e643397d018</errorID>
      <errorWord>&lt;</errorWord>
      <group>L1_Format</group>
      <groupName>格式问题</groupName>
      <ability>L2_HalfPunc</ability>
      <abilityName>全半角检查</abilityName>
      <candidateList>
        <item>〈</item>
      </candidateList>
      <explain>文本全半角错误。</explain>
      <paraID>750C8712</paraID>
      <start>50</start>
      <end>51</end>
      <status>ignored</status>
      <modifiedWord/>
      <trackRevisions>false</trackRevisions>
    </reviewItem>
    <reviewItem>
      <errorID>d9941773-02e9-45ac-8953-be543da9072a</errorID>
      <errorWord>&lt;</errorWord>
      <group>L1_Format</group>
      <groupName>格式问题</groupName>
      <ability>L2_HalfPunc</ability>
      <abilityName>全半角检查</abilityName>
      <candidateList>
        <item>〈</item>
      </candidateList>
      <explain>文本全半角错误。</explain>
      <paraID> 69BC087</paraID>
      <start>50</start>
      <end>51</end>
      <status>ignored</status>
      <modifiedWord/>
      <trackRevisions>false</trackRevisions>
    </reviewItem>
    <reviewItem>
      <errorID>e6d3a693-3c7c-4dd8-aa5c-8c548833e6bf</errorID>
      <errorWord>&lt;</errorWord>
      <group>L1_Format</group>
      <groupName>格式问题</groupName>
      <ability>L2_HalfPunc</ability>
      <abilityName>全半角检查</abilityName>
      <candidateList>
        <item>〈</item>
      </candidateList>
      <explain>文本全半角错误。</explain>
      <paraID>3D6AE374</paraID>
      <start>35</start>
      <end>36</end>
      <status>ignored</status>
      <modifiedWord/>
      <trackRevisions>false</trackRevisions>
    </reviewItem>
    <reviewItem>
      <errorID>74b46237-a1e4-488c-9d84-db235bda8182</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26DE1DF8</paraID>
      <start>64</start>
      <end>71</end>
      <status>ignored</status>
      <modifiedWord/>
      <trackRevisions>false</trackRevisions>
    </reviewItem>
    <reviewItem>
      <errorID>4ac1cca0-85b5-414c-bf51-6538264fc64a</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26DE1DF8</paraID>
      <start>192</start>
      <end>197</end>
      <status>ignored</status>
      <modifiedWord/>
      <trackRevisions>false</trackRevisions>
    </reviewItem>
    <reviewItem>
      <errorID>466a2d3a-32d6-4a18-adf3-90bbb5dd8930</errorID>
      <errorWord>,</errorWord>
      <group>L1_Format</group>
      <groupName>格式问题</groupName>
      <ability>L2_HalfPunc</ability>
      <abilityName>全半角检查</abilityName>
      <candidateList>
        <item>，</item>
      </candidateList>
      <explain>文本全半角错误。</explain>
      <paraID>1CD1EF40</paraID>
      <start>8</start>
      <end>9</end>
      <status>modified</status>
      <modifiedWord>，</modifiedWord>
      <trackRevisions>false</trackRevisions>
    </reviewItem>
    <reviewItem>
      <errorID>854e8478-5ea1-42a9-a148-46cacdcfa1cb</errorID>
      <errorWord>,</errorWord>
      <group>L1_Format</group>
      <groupName>格式问题</groupName>
      <ability>L2_HalfPunc</ability>
      <abilityName>全半角检查</abilityName>
      <candidateList>
        <item>，</item>
      </candidateList>
      <explain>文本全半角错误。</explain>
      <paraID>54485614</paraID>
      <start>35</start>
      <end>36</end>
      <status>modified</status>
      <modifiedWord>，</modifiedWord>
      <trackRevisions>false</trackRevisions>
    </reviewItem>
    <reviewItem>
      <errorID>5ace6cb6-78ad-4a5e-ac6f-ed44d9a645f8</errorID>
      <errorWord>,</errorWord>
      <group>L1_Format</group>
      <groupName>格式问题</groupName>
      <ability>L2_HalfPunc</ability>
      <abilityName>全半角检查</abilityName>
      <candidateList>
        <item>，</item>
      </candidateList>
      <explain>文本全半角错误。</explain>
      <paraID>10BF99A8</paraID>
      <start>4</start>
      <end>5</end>
      <status>modified</status>
      <modifiedWord>，</modifiedWord>
      <trackRevisions>false</trackRevisions>
    </reviewItem>
    <reviewItem>
      <errorID>1943db7a-56af-4398-8a50-9fb90b73fe46</errorID>
      <errorWord>,</errorWord>
      <group>L1_Format</group>
      <groupName>格式问题</groupName>
      <ability>L2_HalfPunc</ability>
      <abilityName>全半角检查</abilityName>
      <candidateList>
        <item>，</item>
      </candidateList>
      <explain>文本全半角错误。</explain>
      <paraID>3C76FE40</paraID>
      <start>31</start>
      <end>32</end>
      <status>modified</status>
      <modifiedWord>，</modifiedWord>
      <trackRevisions>false</trackRevisions>
    </reviewItem>
    <reviewItem>
      <errorID>fa28aaed-47e9-408b-822a-f2d4023123f0</errorID>
      <errorWord>-</errorWord>
      <group>L1_Format</group>
      <groupName>格式问题</groupName>
      <ability>L2_HalfPunc</ability>
      <abilityName>全半角检查</abilityName>
      <candidateList>
        <item>－</item>
      </candidateList>
      <explain>文本全半角错误。</explain>
      <paraID>24596567</paraID>
      <start>6</start>
      <end>7</end>
      <status>ignored</status>
      <modifiedWord/>
      <trackRevisions>false</trackRevisions>
    </reviewItem>
    <reviewItem>
      <errorID>977931b8-c0be-470c-8dd6-50f3cb1ed1ba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73AFFB38</paraID>
      <start>13</start>
      <end>16</end>
      <status>ignored</status>
      <modifiedWord/>
      <trackRevisions>false</trackRevisions>
    </reviewItem>
    <reviewItem>
      <errorID>dcb27c19-792b-4d8b-93eb-b0b3d70c9aa4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469A8CCD</paraID>
      <start>42</start>
      <end>45</end>
      <status>ignored</status>
      <modifiedWord/>
      <trackRevisions>false</trackRevisions>
    </reviewItem>
    <reviewItem>
      <errorID>f19e5fe3-20a6-4411-8adc-d947c8fe8da1</errorID>
      <errorWord>下</errorWord>
      <group>L1_Word</group>
      <groupName>字词问题</groupName>
      <ability>L2_Typo</ability>
      <abilityName>字词错误</abilityName>
      <candidateList>
        <item>下简</item>
      </candidateList>
      <explain/>
      <paraID>1B278EF8</paraID>
      <start>8</start>
      <end>9</end>
      <status>ignored</status>
      <modifiedWord/>
      <trackRevisions>false</trackRevisions>
    </reviewItem>
    <reviewItem>
      <errorID>2b0a0c39-ad51-4f7e-bfab-9833f44bea30</errorID>
      <errorWord>下</errorWord>
      <group>L1_Word</group>
      <groupName>字词问题</groupName>
      <ability>L2_Typo</ability>
      <abilityName>字词错误</abilityName>
      <candidateList>
        <item>下简</item>
      </candidateList>
      <explain/>
      <paraID>4A104EEB</paraID>
      <start>8</start>
      <end>9</end>
      <status>ignored</status>
      <modifiedWord/>
      <trackRevisions>false</trackRevisions>
    </reviewItem>
    <reviewItem>
      <errorID>cf35d790-74ea-48d1-b906-1d5769aa89f7</errorID>
      <errorWord>涉及到</errorWord>
      <group>L1_Grammar</group>
      <groupName>语法问题</groupName>
      <ability>L2_Grammar</ability>
      <abilityName>语法错误</abilityName>
      <candidateList>
        <item>涉及</item>
      </candidateList>
      <explain>〈动〉牵涉到；关联到：案子～好几个人｜这个问题～面很广。</explain>
      <paraID>648BE1CE</paraID>
      <start>40</start>
      <end>43</end>
      <status>ignored</status>
      <modifiedWord/>
      <trackRevisions>false</trackRevisions>
    </reviewItem>
    <reviewItem>
      <errorID>c1d2d08c-3b5a-4036-8100-c41a6ba02ac1</errorID>
      <errorWord>应</errorWord>
      <group>L1_Word</group>
      <groupName>字词问题</groupName>
      <ability>L2_Typo</ability>
      <abilityName>字词错误</abilityName>
      <candidateList>
        <item>应当</item>
      </candidateList>
      <explain/>
      <paraID> 781C6DB</paraID>
      <start>34</start>
      <end>35</end>
      <status>ignored</status>
      <modifiedWord/>
      <trackRevisions>false</trackRevisions>
    </reviewItem>
    <reviewItem>
      <errorID>a6c3b4e6-3ede-4b72-9532-760c4f0f8a60</errorID>
      <errorWord>作</errorWord>
      <group>L1_Word</group>
      <groupName>字词问题</groupName>
      <ability>L2_Typo</ability>
      <abilityName>字词错误</abilityName>
      <candidateList>
        <item>做</item>
      </candidateList>
      <explain>存在发音相同字词的误用。</explain>
      <paraID>1C5461E0</paraID>
      <start>4</start>
      <end>5</end>
      <status>modified</status>
      <modifiedWord>做</modifiedWord>
      <trackRevisions>false</trackRevisions>
    </reviewItem>
    <reviewItem>
      <errorID>1ad78d2e-96c0-4f80-a2e8-a1e8b1d28622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6E9D2077</paraID>
      <start>0</start>
      <end>2</end>
      <status>modified</status>
      <modifiedWord>1.</modifiedWord>
      <trackRevisions>false</trackRevisions>
    </reviewItem>
    <reviewItem>
      <errorID>edf2e574-3699-4fdd-bca1-058c4114d44e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420A9C0D</paraID>
      <start>0</start>
      <end>2</end>
      <status>modified</status>
      <modifiedWord>2.</modifiedWord>
      <trackRevisions>false</trackRevisions>
    </reviewItem>
    <reviewItem>
      <errorID>70b1a7b1-7ef1-4bc0-bf78-457a5b76cea6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30B26513</paraID>
      <start>0</start>
      <end>2</end>
      <status>modified</status>
      <modifiedWord>3.</modifiedWord>
      <trackRevisions>false</trackRevisions>
    </reviewItem>
    <reviewItem>
      <errorID>5c58b641-5979-4ea2-8ed1-6861e351707a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4FDE6433</paraID>
      <start>0</start>
      <end>2</end>
      <status>modified</status>
      <modifiedWord>4.</modifiedWord>
      <trackRevisions>false</trackRevisions>
    </reviewItem>
    <reviewItem>
      <errorID>97b7c3ee-9a27-49bc-a118-718436ec45c7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1DE16BBB</paraID>
      <start>0</start>
      <end>2</end>
      <status>modified</status>
      <modifiedWord>5.</modifiedWord>
      <trackRevisions>false</trackRevisions>
    </reviewItem>
    <reviewItem>
      <errorID>220e5363-6295-419c-91ef-bac3d54af6c0</errorID>
      <errorWord>;</errorWord>
      <group>L1_Format</group>
      <groupName>格式问题</groupName>
      <ability>L2_HalfPunc</ability>
      <abilityName>全半角检查</abilityName>
      <candidateList>
        <item>；</item>
      </candidateList>
      <explain>文本全半角错误。</explain>
      <paraID>3218A359</paraID>
      <start>16</start>
      <end>17</end>
      <status>modified</status>
      <modifiedWord>；</modifiedWord>
      <trackRevisions>false</trackRevisions>
    </reviewItem>
    <reviewItem>
      <errorID>3c271b29-ccf4-46a6-a914-a2cac1a3b3d4</errorID>
      <errorWord>;</errorWord>
      <group>L1_Format</group>
      <groupName>格式问题</groupName>
      <ability>L2_HalfPunc</ability>
      <abilityName>全半角检查</abilityName>
      <candidateList>
        <item>；</item>
      </candidateList>
      <explain>文本全半角错误。</explain>
      <paraID> 36C60EA</paraID>
      <start>22</start>
      <end>23</end>
      <status>modified</status>
      <modifiedWord>；</modifiedWord>
      <trackRevisions>false</trackRevisions>
    </reviewItem>
    <reviewItem>
      <errorID>7c1f6886-23f9-4d45-b77e-16115386f082</errorID>
      <errorWord>;</errorWord>
      <group>L1_Format</group>
      <groupName>格式问题</groupName>
      <ability>L2_HalfPunc</ability>
      <abilityName>全半角检查</abilityName>
      <candidateList>
        <item>；</item>
      </candidateList>
      <explain>文本全半角错误。</explain>
      <paraID>32BE9145</paraID>
      <start>22</start>
      <end>23</end>
      <status>modified</status>
      <modifiedWord>；</modifiedWord>
      <trackRevisions>false</trackRevisions>
    </reviewItem>
    <reviewItem>
      <errorID>95b34d1b-fc74-44c0-a5ef-56d06966f18f</errorID>
      <errorWord>;</errorWord>
      <group>L1_Format</group>
      <groupName>格式问题</groupName>
      <ability>L2_HalfPunc</ability>
      <abilityName>全半角检查</abilityName>
      <candidateList>
        <item>；</item>
      </candidateList>
      <explain>文本全半角错误。</explain>
      <paraID>5C988BD2</paraID>
      <start>22</start>
      <end>23</end>
      <status>modified</status>
      <modifiedWord>；</modifiedWord>
      <trackRevisions>false</trackRevisions>
    </reviewItem>
    <reviewItem>
      <errorID>91e54cb3-c3d3-42a3-ae79-96ddc6cfd7cb</errorID>
      <errorWord>;</errorWord>
      <group>L1_Format</group>
      <groupName>格式问题</groupName>
      <ability>L2_HalfPunc</ability>
      <abilityName>全半角检查</abilityName>
      <candidateList>
        <item>；</item>
      </candidateList>
      <explain>文本全半角错误。</explain>
      <paraID>64311F89</paraID>
      <start>30</start>
      <end>31</end>
      <status>modified</status>
      <modifiedWord>；</modifiedWord>
      <trackRevisions>false</trackRevisions>
    </reviewItem>
    <reviewItem>
      <errorID>6137a769-15b1-4922-9d7a-fb76d88c699b</errorID>
      <errorWord>七</errorWord>
      <group>L1_Word</group>
      <groupName>字词问题</groupName>
      <ability>L2_Typo</ability>
      <abilityName>字词错误</abilityName>
      <candidateList>
        <item>七条</item>
      </candidateList>
      <explain/>
      <paraID>32445A77</paraID>
      <start>107</start>
      <end>109</end>
      <status>modified</status>
      <modifiedWord>七条</modifiedWord>
      <trackRevisions>false</trackRevisions>
    </reviewItem>
    <reviewItem>
      <errorID>e6f12b38-d331-40a3-b179-a4f2eade2b1f</errorID>
      <errorWord>相应</errorWord>
      <group>L1_Word</group>
      <groupName>字词问题</groupName>
      <ability>L2_Typo</ability>
      <abilityName>字词错误</abilityName>
      <candidateList>
        <item>响应</item>
      </candidateList>
      <explain>存在发音相同字词的误用。</explain>
      <paraID>2FA3C75E</paraID>
      <start>69</start>
      <end>71</end>
      <status>ignored</status>
      <modifiedWord/>
      <trackRevisions>false</trackRevisions>
    </reviewItem>
    <reviewItem>
      <errorID>c3965f0f-8891-42ad-9b95-c2db2e87aab8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40493970</paraID>
      <start>0</start>
      <end>2</end>
      <status>modified</status>
      <modifiedWord>1.</modifiedWord>
      <trackRevisions>false</trackRevisions>
    </reviewItem>
    <reviewItem>
      <errorID>596186e9-69cd-423d-8f19-cec9140bd289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1C0B640E</paraID>
      <start>0</start>
      <end>2</end>
      <status>modified</status>
      <modifiedWord>2.</modifiedWord>
      <trackRevisions>false</trackRevisions>
    </reviewItem>
    <reviewItem>
      <errorID>0554c132-0cb5-4499-ae3c-77e937f36444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518CE91A</paraID>
      <start>0</start>
      <end>2</end>
      <status>modified</status>
      <modifiedWord>1.</modifiedWord>
      <trackRevisions>false</trackRevisions>
    </reviewItem>
    <reviewItem>
      <errorID>7bf2c4d3-3c28-4f51-9f7a-521bb8e6b05b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23C062C0</paraID>
      <start>0</start>
      <end>2</end>
      <status>modified</status>
      <modifiedWord>2.</modifiedWord>
      <trackRevisions>false</trackRevisions>
    </reviewItem>
    <reviewItem>
      <errorID>dcd30439-2476-444f-aa2f-cd24188b2f00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DAC4003</paraID>
      <start>0</start>
      <end>2</end>
      <status>modified</status>
      <modifiedWord>3.</modifiedWord>
      <trackRevisions>false</trackRevisions>
    </reviewItem>
    <reviewItem>
      <errorID>0332c655-270b-4920-8b1b-60476ae756f7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5B293209</paraID>
      <start>0</start>
      <end>2</end>
      <status>modified</status>
      <modifiedWord>4.</modifiedWord>
      <trackRevisions>false</trackRevisions>
    </reviewItem>
    <reviewItem>
      <errorID>2ba255a0-6420-41ae-add1-42f75198dd67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43009373</paraID>
      <start>0</start>
      <end>2</end>
      <status>modified</status>
      <modifiedWord>5.</modifiedWord>
      <trackRevisions>false</trackRevisions>
    </reviewItem>
    <reviewItem>
      <errorID>9062f588-3df5-4e09-b4e9-555f1718648b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580F475F</paraID>
      <start>0</start>
      <end>2</end>
      <status>modified</status>
      <modifiedWord>6.</modifiedWord>
      <trackRevisions>false</trackRevisions>
    </reviewItem>
    <reviewItem>
      <errorID>4b084b09-7eb1-41cd-8190-8d9f16e9cbca</errorID>
      <errorWord>)</errorWord>
      <group>L1_Format</group>
      <groupName>格式问题</groupName>
      <ability>L2_HalfPunc</ability>
      <abilityName>全半角检查</abilityName>
      <candidateList>
        <item>）</item>
      </candidateList>
      <explain>文本全半角错误。</explain>
      <paraID>6A1B5B57</paraID>
      <start>11</start>
      <end>12</end>
      <status>modified</status>
      <modifiedWord>）</modifiedWord>
      <trackRevisions>false</trackRevisions>
    </reviewItem>
    <reviewItem>
      <errorID>090f9464-ffb5-465c-875a-4aa196e88d9b</errorID>
      <errorWord>)</errorWord>
      <group>L1_Format</group>
      <groupName>格式问题</groupName>
      <ability>L2_HalfPunc</ability>
      <abilityName>全半角检查</abilityName>
      <candidateList>
        <item>）</item>
      </candidateList>
      <explain>文本全半角错误。</explain>
      <paraID>21DBA726</paraID>
      <start>11</start>
      <end>12</end>
      <status>modified</status>
      <modifiedWord>）</modifiedWord>
      <trackRevisions>false</trackRevisions>
    </reviewItem>
    <reviewItem>
      <errorID>96d11f10-8fd0-4413-a0a7-ac69ce9cf441</errorID>
      <errorWord>。】</errorWord>
      <group>L1_Punc</group>
      <groupName>标点问题</groupName>
      <ability>L2_Punc</ability>
      <abilityName>标点符号检查</abilityName>
      <candidateList>
        <item>】</item>
      </candidateList>
      <explain/>
      <paraID>4E9F0BF4</paraID>
      <start>59</start>
      <end>61</end>
      <status>ignored</status>
      <modifiedWord/>
      <trackRevisions>false</trackRevisions>
    </reviewItem>
    <reviewItem>
      <errorID>4524dec7-79f0-45fa-967a-911815575c16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188898B5</paraID>
      <start>0</start>
      <end>2</end>
      <status>modified</status>
      <modifiedWord>1.</modifiedWord>
      <trackRevisions>false</trackRevisions>
    </reviewItem>
    <reviewItem>
      <errorID>3d4b2a1a-3c94-4c4a-bf8b-d89ce6463992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145FF207</paraID>
      <start>0</start>
      <end>2</end>
      <status>modified</status>
      <modifiedWord>2.</modifiedWord>
      <trackRevisions>false</trackRevisions>
    </reviewItem>
    <reviewItem>
      <errorID>38035cc4-d925-4ade-8589-da943697aa94</errorID>
      <errorWord>)</errorWord>
      <group>L1_Format</group>
      <groupName>格式问题</groupName>
      <ability>L2_HalfPunc</ability>
      <abilityName>全半角检查</abilityName>
      <candidateList>
        <item>）</item>
      </candidateList>
      <explain>文本全半角错误。</explain>
      <paraID>2A9066DF</paraID>
      <start>50</start>
      <end>51</end>
      <status>modified</status>
      <modifiedWord>）</modifiedWord>
      <trackRevisions>false</trackRevisions>
    </reviewItem>
    <reviewItem>
      <errorID>00029a6b-b289-497b-8b49-3071d1964854</errorID>
      <errorWord>)</errorWord>
      <group>L1_Format</group>
      <groupName>格式问题</groupName>
      <ability>L2_HalfPunc</ability>
      <abilityName>全半角检查</abilityName>
      <candidateList>
        <item>）</item>
      </candidateList>
      <explain>文本全半角错误。</explain>
      <paraID>665C464B</paraID>
      <start>10</start>
      <end>11</end>
      <status>modified</status>
      <modifiedWord>）</modifiedWord>
      <trackRevisions>false</trackRevisions>
    </reviewItem>
    <reviewItem>
      <errorID>4c3dc1f4-3ac2-4b89-b434-4f248038ca46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47803A74</paraID>
      <start>0</start>
      <end>2</end>
      <status>modified</status>
      <modifiedWord>1.</modifiedWord>
      <trackRevisions>false</trackRevisions>
    </reviewItem>
    <reviewItem>
      <errorID>c5eb39f4-1d79-4797-af70-f60b3d08b297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690A0756</paraID>
      <start>0</start>
      <end>2</end>
      <status>modified</status>
      <modifiedWord>2.</modifiedWord>
      <trackRevisions>false</trackRevisions>
    </reviewItem>
    <reviewItem>
      <errorID>be9a973e-2895-41d0-94c0-5fbf61cee455</errorID>
      <errorWord>)</errorWord>
      <group>L1_Format</group>
      <groupName>格式问题</groupName>
      <ability>L2_HalfPunc</ability>
      <abilityName>全半角检查</abilityName>
      <candidateList>
        <item>）</item>
      </candidateList>
      <explain>文本全半角错误。</explain>
      <paraID>402F965E</paraID>
      <start>8</start>
      <end>9</end>
      <status>ignored</status>
      <modifiedWord/>
      <trackRevisions>false</trackRevisions>
    </reviewItem>
    <reviewItem>
      <errorID>a09aaf24-8636-44db-8784-af85c94ce5c4</errorID>
      <errorWord>)</errorWord>
      <group>L1_Format</group>
      <groupName>格式问题</groupName>
      <ability>L2_HalfPunc</ability>
      <abilityName>全半角检查</abilityName>
      <candidateList>
        <item>）</item>
      </candidateList>
      <explain>文本全半角错误。</explain>
      <paraID>165AEE2D</paraID>
      <start>8</start>
      <end>9</end>
      <status>modified</status>
      <modifiedWord>）</modifiedWord>
      <trackRevisions>false</trackRevisions>
    </reviewItem>
    <reviewItem>
      <errorID>8c4f6e47-fb5b-49e5-b560-808763ac0b90</errorID>
      <errorWord>于</errorWord>
      <group>L1_Word</group>
      <groupName>字词问题</groupName>
      <ability>L2_Typo</ability>
      <abilityName>字词错误</abilityName>
      <candidateList>
        <item>于以</item>
      </candidateList>
      <explain/>
      <paraID>3C11145C</paraID>
      <start>27</start>
      <end>28</end>
      <status>ignored</status>
      <modifiedWord/>
      <trackRevisions>false</trackRevisions>
    </reviewItem>
    <reviewItem>
      <errorID>bcb9b5ee-4b71-47f1-8803-264ddd9ab671</errorID>
      <errorWord>于</errorWord>
      <group>L1_Word</group>
      <groupName>字词问题</groupName>
      <ability>L2_Typo</ability>
      <abilityName>字词错误</abilityName>
      <candidateList>
        <item>于以</item>
      </candidateList>
      <explain/>
      <paraID> 2B61C13</paraID>
      <start>29</start>
      <end>30</end>
      <status>ignored</status>
      <modifiedWord/>
      <trackRevisions>false</trackRevisions>
    </reviewItem>
    <reviewItem>
      <errorID>22114f1f-702a-4385-91d6-2d1a3e18b0b7</errorID>
      <errorWord>二○一一</errorWord>
      <group>L1_Knowledge</group>
      <groupName>知识性问题</groupName>
      <ability>L2_Knowledge</ability>
      <abilityName>其他知识</abilityName>
      <candidateList>
        <item>二〇一一</item>
      </candidateList>
      <explain/>
      <paraID>6F52758A</paraID>
      <start>0</start>
      <end>4</end>
      <status>ignored</status>
      <modifiedWord/>
      <trackRevisions>false</trackRevisions>
    </reviewItem>
    <reviewItem>
      <errorID>57255012-a62a-4b4d-8372-84d9ccab1fe1</errorID>
      <errorWord>(</errorWord>
      <group>L1_Format</group>
      <groupName>格式问题</groupName>
      <ability>L2_HalfPunc</ability>
      <abilityName>全半角检查</abilityName>
      <candidateList>
        <item>（</item>
      </candidateList>
      <explain>文本全半角错误。</explain>
      <paraID>7440C465</paraID>
      <start>46</start>
      <end>47</end>
      <status>ignored</status>
      <modifiedWord/>
      <trackRevisions>false</trackRevisions>
    </reviewItem>
    <reviewItem>
      <errorID>6a234afd-d941-4a1a-a7e4-ff4f9f6b49cf</errorID>
      <errorWord>)</errorWord>
      <group>L1_Format</group>
      <groupName>格式问题</groupName>
      <ability>L2_HalfPunc</ability>
      <abilityName>全半角检查</abilityName>
      <candidateList>
        <item>）</item>
      </candidateList>
      <explain>文本全半角错误。</explain>
      <paraID>7440C465</paraID>
      <start>58</start>
      <end>59</end>
      <status>ignored</status>
      <modifiedWord/>
      <trackRevisions>false</trackRevisions>
    </reviewItem>
    <reviewItem>
      <errorID>f9061280-65c5-4572-aabc-dbf7f1f9a2c0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6EBA1AEF</paraID>
      <start>23</start>
      <end>26</end>
      <status>ignored</status>
      <modifiedWord/>
      <trackRevisions>false</trackRevisions>
    </reviewItem>
    <reviewItem>
      <errorID>370262a9-7b0b-4509-843c-44a6e9b83330</errorID>
      <errorWord>中国银行业监督管理委员会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银行业监督管理委员会。2023年9月，中共中央、国务院印发了《党和国家机构改革方案》组建国家金融监督管理总局，不再保留中国银行保险监督管理委员会。</explain>
      <paraID> E162F05</paraID>
      <start>10</start>
      <end>22</end>
      <status>ignored</status>
      <modifiedWord/>
      <trackRevisions>false</trackRevisions>
    </reviewItem>
    <reviewItem>
      <errorID>d6d7548c-88ac-41db-87f2-119faa2af235</errorID>
      <errorWord>中国保险监督管理委员会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保险监督管理委员会。2023年9月，中共中央、国务院印发了《党和国家机构改革方案》组建国家金融监督管理总局，不再保留中国银行保险监督管理委员会。</explain>
      <paraID>13427FED</paraID>
      <start>11</start>
      <end>22</end>
      <status>ignored</status>
      <modifiedWord/>
      <trackRevisions>false</trackRevisions>
    </reviewItem>
    <reviewItem>
      <errorID>907d668c-36e2-42fd-b084-75047410d9dd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35BCA7B1</paraID>
      <start>19</start>
      <end>22</end>
      <status>ignored</status>
      <modifiedWord/>
      <trackRevisions>false</trackRevisions>
    </reviewItem>
    <reviewItem>
      <errorID>ed696247-2fa0-47bd-81b8-eacd261313e4</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E5BB8B0</paraID>
      <start>0</start>
      <end>3</end>
      <status>modified</status>
      <modifiedWord>（八）</modifiedWord>
      <trackRevisions>false</trackRevisions>
    </reviewItem>
    <reviewItem>
      <errorID>98c10fd3-9a9e-4048-9940-76e5352f3b6d</errorID>
      <errorWord>:</errorWord>
      <group>L1_Format</group>
      <groupName>格式问题</groupName>
      <ability>L2_HalfPunc</ability>
      <abilityName>全半角检查</abilityName>
      <candidateList>
        <item>：</item>
      </candidateList>
      <explain>文本全半角错误。</explain>
      <paraID>13D9865C</paraID>
      <start>1</start>
      <end>2</end>
      <status>modified</status>
      <modifiedWord>：</modifiedWord>
      <trackRevisions>false</trackRevisions>
    </reviewItem>
    <reviewItem>
      <errorID>513573b1-efec-46b8-bcbf-1d012e749d89</errorID>
      <errorWord>)</errorWord>
      <group>L1_Format</group>
      <groupName>格式问题</groupName>
      <ability>L2_HalfPunc</ability>
      <abilityName>全半角检查</abilityName>
      <candidateList>
        <item>）</item>
      </candidateList>
      <explain>文本全半角错误。</explain>
      <paraID> 841D36F</paraID>
      <start>8</start>
      <end>9</end>
      <status>modified</status>
      <modifiedWord>）</modifiedWord>
      <trackRevisions>false</trackRevisions>
    </reviewItem>
    <reviewItem>
      <errorID>55c13334-9067-4f80-8b8f-32694759205a</errorID>
      <errorWord>(</errorWord>
      <group>L1_Format</group>
      <groupName>格式问题</groupName>
      <ability>L2_HalfPunc</ability>
      <abilityName>全半角检查</abilityName>
      <candidateList>
        <item>（</item>
      </candidateList>
      <explain>文本全半角错误。</explain>
      <paraID>20204BC0</paraID>
      <start>11</start>
      <end>12</end>
      <status>modified</status>
      <modifiedWord>（</modifiedWord>
      <trackRevisions>false</trackRevisions>
    </reviewItem>
    <reviewItem>
      <errorID>57803216-7d6e-435c-a80a-2d3a366bad23</errorID>
      <errorWord>)</errorWord>
      <group>L1_Format</group>
      <groupName>格式问题</groupName>
      <ability>L2_HalfPunc</ability>
      <abilityName>全半角检查</abilityName>
      <candidateList>
        <item>）</item>
      </candidateList>
      <explain>文本全半角错误。</explain>
      <paraID>20204BC0</paraID>
      <start>14</start>
      <end>15</end>
      <status>modified</status>
      <modifiedWord>）</modifiedWord>
      <trackRevisions>false</trackRevisions>
    </reviewItem>
    <reviewItem>
      <errorID>479e1397-f617-467a-9e80-24627e794a58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2288B711</paraID>
      <start>6</start>
      <end>8</end>
      <status>ignored</status>
      <modifiedWord/>
      <trackRevisions>false</trackRevisions>
    </reviewItem>
    <reviewItem>
      <errorID>afb20a9b-7482-470f-9786-8458f162d5a4</errorID>
      <errorWord>)</errorWord>
      <group>L1_Format</group>
      <groupName>格式问题</groupName>
      <ability>L2_HalfPunc</ability>
      <abilityName>全半角检查</abilityName>
      <candidateList>
        <item>）</item>
      </candidateList>
      <explain>文本全半角错误。</explain>
      <paraID>71983F83</paraID>
      <start>8</start>
      <end>9</end>
      <status>ignored</status>
      <modifiedWord/>
      <trackRevisions>false</trackRevisions>
    </reviewItem>
    <reviewItem>
      <errorID>82b6fd48-32cd-4eef-9021-cf0c2122658d</errorID>
      <errorWord>,</errorWord>
      <group>L1_Format</group>
      <groupName>格式问题</groupName>
      <ability>L2_HalfPunc</ability>
      <abilityName>全半角检查</abilityName>
      <candidateList>
        <item>，</item>
      </candidateList>
      <explain>文本全半角错误。</explain>
      <paraID>1ACC5C30</paraID>
      <start>13</start>
      <end>14</end>
      <status>ignored</status>
      <modifiedWord/>
      <trackRevisions>false</trackRevisions>
    </reviewItem>
    <reviewItem>
      <errorID>10f3deeb-97a2-4b39-9308-01d820e6702e</errorID>
      <errorWord>,</errorWord>
      <group>L1_Format</group>
      <groupName>格式问题</groupName>
      <ability>L2_HalfPunc</ability>
      <abilityName>全半角检查</abilityName>
      <candidateList>
        <item>，</item>
      </candidateList>
      <explain>文本全半角错误。</explain>
      <paraID>1ACC5C30</paraID>
      <start>28</start>
      <end>29</end>
      <status>ignored</status>
      <modifiedWord/>
      <trackRevisions>false</trackRevisions>
    </reviewItem>
    <reviewItem>
      <errorID>eb79e43a-b139-4bbe-8288-bf9f6c919130</errorID>
      <errorWord>,</errorWord>
      <group>L1_Format</group>
      <groupName>格式问题</groupName>
      <ability>L2_HalfPunc</ability>
      <abilityName>全半角检查</abilityName>
      <candidateList>
        <item>，</item>
      </candidateList>
      <explain>文本全半角错误。</explain>
      <paraID>26BB11E4</paraID>
      <start>31</start>
      <end>32</end>
      <status>ignored</status>
      <modifiedWord/>
      <trackRevisions>false</trackRevisions>
    </reviewItem>
    <reviewItem>
      <errorID>6534cb69-7d82-46bc-a34e-fe5241ece562</errorID>
      <errorWord>,</errorWord>
      <group>L1_Format</group>
      <groupName>格式问题</groupName>
      <ability>L2_HalfPunc</ability>
      <abilityName>全半角检查</abilityName>
      <candidateList>
        <item>，</item>
      </candidateList>
      <explain>文本全半角错误。</explain>
      <paraID>10BBFC53</paraID>
      <start>22</start>
      <end>23</end>
      <status>ignored</status>
      <modifiedWord/>
      <trackRevisions>false</trackRevisions>
    </reviewItem>
    <reviewItem>
      <errorID>643cfe4b-a490-48c2-9c3a-26401c232cdc</errorID>
      <errorWord>,</errorWord>
      <group>L1_Format</group>
      <groupName>格式问题</groupName>
      <ability>L2_HalfPunc</ability>
      <abilityName>全半角检查</abilityName>
      <candidateList>
        <item>，</item>
      </candidateList>
      <explain>文本全半角错误。</explain>
      <paraID>1A7E3475</paraID>
      <start>55</start>
      <end>56</end>
      <status>ignored</status>
      <modifiedWord/>
      <trackRevisions>false</trackRevisions>
    </reviewItem>
    <reviewItem>
      <errorID>35ade3ee-b265-406d-b160-f7ab14146634</errorID>
      <errorWord>，</errorWord>
      <group>L1_Word</group>
      <groupName>字词问题</groupName>
      <ability>L2_Typo</ability>
      <abilityName>字词错误</abilityName>
      <candidateList>
        <item>，并</item>
      </candidateList>
      <explain/>
      <paraID>1A7E3475</paraID>
      <start>75</start>
      <end>76</end>
      <status>ignored</status>
      <modifiedWord/>
      <trackRevisions>false</trackRevisions>
    </reviewItem>
    <reviewItem>
      <errorID>f7a5aff1-a85c-4d92-840b-6a519935fa62</errorID>
      <errorWord>)</errorWord>
      <group>L1_Format</group>
      <groupName>格式问题</groupName>
      <ability>L2_HalfPunc</ability>
      <abilityName>全半角检查</abilityName>
      <candidateList>
        <item>）</item>
      </candidateList>
      <explain>文本全半角错误。</explain>
      <paraID>19648C53</paraID>
      <start>8</start>
      <end>9</end>
      <status>ignored</status>
      <modifiedWord/>
      <trackRevisions>false</trackRevisions>
    </reviewItem>
    <reviewItem>
      <errorID>f8cc4f86-6311-4324-9506-6f44fa5f3124</errorID>
      <errorWord>)</errorWord>
      <group>L1_Format</group>
      <groupName>格式问题</groupName>
      <ability>L2_HalfPunc</ability>
      <abilityName>全半角检查</abilityName>
      <candidateList>
        <item>）</item>
      </candidateList>
      <explain>文本全半角错误。</explain>
      <paraID> 270EFB4</paraID>
      <start>8</start>
      <end>9</end>
      <status>ignored</status>
      <modifiedWord/>
      <trackRevisions>false</trackRevisions>
    </reviewItem>
    <reviewItem>
      <errorID>41b7cbd6-0429-4efd-9a25-2659d22af1dd</errorID>
      <errorWord>)</errorWord>
      <group>L1_Format</group>
      <groupName>格式问题</groupName>
      <ability>L2_HalfPunc</ability>
      <abilityName>全半角检查</abilityName>
      <candidateList>
        <item>）</item>
      </candidateList>
      <explain>文本全半角错误。</explain>
      <paraID>51101AF7</paraID>
      <start>8</start>
      <end>9</end>
      <status>ignored</status>
      <modifiedWord/>
      <trackRevisions>false</trackRevisions>
    </reviewItem>
    <reviewItem>
      <errorID>af59e1bd-c815-48ff-92ba-304cd6069be5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6D411982</paraID>
      <start>0</start>
      <end>2</end>
      <status>ignored</status>
      <modifiedWord/>
      <trackRevisions>false</trackRevisions>
    </reviewItem>
    <reviewItem>
      <errorID>6951c1e5-7b9b-4075-90d6-e815b0dddee9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67B455A8</paraID>
      <start>0</start>
      <end>2</end>
      <status>ignored</status>
      <modifiedWord/>
      <trackRevisions>false</trackRevisions>
    </reviewItem>
    <reviewItem>
      <errorID>a2477850-58df-4d04-8573-ab9d5b9cf6ce</errorID>
      <errorWord>:</errorWord>
      <group>L1_Format</group>
      <groupName>格式问题</groupName>
      <ability>L2_HalfPunc</ability>
      <abilityName>全半角检查</abilityName>
      <candidateList>
        <item>：</item>
      </candidateList>
      <explain>文本全半角错误。</explain>
      <paraID>5B790DF6</paraID>
      <start>1</start>
      <end>2</end>
      <status>modified</status>
      <modifiedWord>：</modifiedWord>
      <trackRevisions>false</trackRevisions>
    </reviewItem>
    <reviewItem>
      <errorID>6f5b06ac-505e-4d5f-be87-12308cab1922</errorID>
      <errorWord>:</errorWord>
      <group>L1_Format</group>
      <groupName>格式问题</groupName>
      <ability>L2_HalfPunc</ability>
      <abilityName>全半角检查</abilityName>
      <candidateList>
        <item>：</item>
      </candidateList>
      <explain>文本全半角错误。</explain>
      <paraID> B9CD47C</paraID>
      <start>40</start>
      <end>41</end>
      <status>modified</status>
      <modifiedWord>：</modifiedWord>
      <trackRevisions>false</trackRevisions>
    </reviewItem>
    <reviewItem>
      <errorID>5e683b86-94ab-4110-b998-b445d98f3d3f</errorID>
      <errorWord>(</errorWord>
      <group>L1_Format</group>
      <groupName>格式问题</groupName>
      <ability>L2_HalfPunc</ability>
      <abilityName>全半角检查</abilityName>
      <candidateList>
        <item>（</item>
      </candidateList>
      <explain>文本全半角错误。</explain>
      <paraID>6A8946E7</paraID>
      <start>7</start>
      <end>8</end>
      <status>modified</status>
      <modifiedWord>（</modifiedWord>
      <trackRevisions>false</trackRevisions>
    </reviewItem>
    <reviewItem>
      <errorID>dcf47206-003a-4b6f-9e4d-f92bffcff185</errorID>
      <errorWord>)</errorWord>
      <group>L1_Format</group>
      <groupName>格式问题</groupName>
      <ability>L2_HalfPunc</ability>
      <abilityName>全半角检查</abilityName>
      <candidateList>
        <item>）</item>
      </candidateList>
      <explain>文本全半角错误。</explain>
      <paraID>6A8946E7</paraID>
      <start>12</start>
      <end>13</end>
      <status>modified</status>
      <modifiedWord>）</modifiedWord>
      <trackRevisions>false</trackRevisions>
    </reviewItem>
    <reviewItem>
      <errorID>4e1bea6b-5839-4d2d-b5bc-2ef1a60a621e</errorID>
      <errorWord>(</errorWord>
      <group>L1_Format</group>
      <groupName>格式问题</groupName>
      <ability>L2_HalfPunc</ability>
      <abilityName>全半角检查</abilityName>
      <candidateList>
        <item>（</item>
      </candidateList>
      <explain>文本全半角错误。</explain>
      <paraID>6A8946E7</paraID>
      <start>88</start>
      <end>89</end>
      <status>modified</status>
      <modifiedWord>（</modifiedWord>
      <trackRevisions>false</trackRevisions>
    </reviewItem>
    <reviewItem>
      <errorID>85e1d5ce-2cc8-4d3f-b866-3cab83cd5eec</errorID>
      <errorWord>)</errorWord>
      <group>L1_Format</group>
      <groupName>格式问题</groupName>
      <ability>L2_HalfPunc</ability>
      <abilityName>全半角检查</abilityName>
      <candidateList>
        <item>）</item>
      </candidateList>
      <explain>文本全半角错误。</explain>
      <paraID>6A8946E7</paraID>
      <start>91</start>
      <end>92</end>
      <status>modified</status>
      <modifiedWord>）</modifiedWord>
      <trackRevisions>false</trackRevisions>
    </reviewItem>
    <reviewItem>
      <errorID>2a10a855-a2ee-4147-b4f4-75f503d3aa20</errorID>
      <errorWord>(</errorWord>
      <group>L1_Format</group>
      <groupName>格式问题</groupName>
      <ability>L2_HalfPunc</ability>
      <abilityName>全半角检查</abilityName>
      <candidateList>
        <item>（</item>
      </candidateList>
      <explain>文本全半角错误。</explain>
      <paraID>1869886E</paraID>
      <start>3</start>
      <end>4</end>
      <status>modified</status>
      <modifiedWord>（</modifiedWord>
      <trackRevisions>false</trackRevisions>
    </reviewItem>
    <reviewItem>
      <errorID>e2242033-efee-4f53-b5cc-6d90974c0970</errorID>
      <errorWord>)</errorWord>
      <group>L1_Format</group>
      <groupName>格式问题</groupName>
      <ability>L2_HalfPunc</ability>
      <abilityName>全半角检查</abilityName>
      <candidateList>
        <item>）</item>
      </candidateList>
      <explain>文本全半角错误。</explain>
      <paraID>1869886E</paraID>
      <start>9</start>
      <end>10</end>
      <status>modified</status>
      <modifiedWord>）</modifiedWord>
      <trackRevisions>false</trackRevisions>
    </reviewItem>
    <reviewItem>
      <errorID>dfac419b-1dd8-4381-8290-3f141c1d9b93</errorID>
      <errorWord>:</errorWord>
      <group>L1_Format</group>
      <groupName>格式问题</groupName>
      <ability>L2_HalfPunc</ability>
      <abilityName>全半角检查</abilityName>
      <candidateList>
        <item>：</item>
      </candidateList>
      <explain>文本全半角错误。</explain>
      <paraID>1ED4E4FA</paraID>
      <start>12</start>
      <end>13</end>
      <status>modified</status>
      <modifiedWord>：</modifiedWord>
      <trackRevisions>false</trackRevisions>
    </reviewItem>
    <reviewItem>
      <errorID>ee2eadaa-3892-4ceb-bc3e-f510ed423442</errorID>
      <errorWord>:</errorWord>
      <group>L1_Format</group>
      <groupName>格式问题</groupName>
      <ability>L2_HalfPunc</ability>
      <abilityName>全半角检查</abilityName>
      <candidateList>
        <item>：</item>
      </candidateList>
      <explain>文本全半角错误。</explain>
      <paraID>37A54BFE</paraID>
      <start>2</start>
      <end>3</end>
      <status>modified</status>
      <modifiedWord>：</modifiedWord>
      <trackRevisions>false</trackRevisions>
    </reviewItem>
    <reviewItem>
      <errorID>1575ce97-9868-4c56-bdb5-274a1b1c8432</errorID>
      <errorWord>)</errorWord>
      <group>L1_Format</group>
      <groupName>格式问题</groupName>
      <ability>L2_HalfPunc</ability>
      <abilityName>全半角检查</abilityName>
      <candidateList>
        <item>）</item>
      </candidateList>
      <explain>文本全半角错误。</explain>
      <paraID>448666AB</paraID>
      <start>8</start>
      <end>9</end>
      <status>modified</status>
      <modifiedWord>）</modifiedWord>
      <trackRevisions>false</trackRevisions>
    </reviewItem>
    <reviewItem>
      <errorID>b87275d8-5fb9-47f9-90fb-28b21c925d6c</errorID>
      <errorWord>)</errorWord>
      <group>L1_Format</group>
      <groupName>格式问题</groupName>
      <ability>L2_HalfPunc</ability>
      <abilityName>全半角检查</abilityName>
      <candidateList>
        <item>）</item>
      </candidateList>
      <explain>文本全半角错误。</explain>
      <paraID>4AD74708</paraID>
      <start>8</start>
      <end>9</end>
      <status>modified</status>
      <modifiedWord>）</modifiedWord>
      <trackRevisions>false</trackRevisions>
    </reviewItem>
    <reviewItem>
      <errorID>97a6115e-0081-4e87-befa-71d74b0f6a45</errorID>
      <errorWord>)</errorWord>
      <group>L1_Format</group>
      <groupName>格式问题</groupName>
      <ability>L2_HalfPunc</ability>
      <abilityName>全半角检查</abilityName>
      <candidateList>
        <item>）</item>
      </candidateList>
      <explain>文本全半角错误。</explain>
      <paraID>27333291</paraID>
      <start>8</start>
      <end>9</end>
      <status>modified</status>
      <modifiedWord>）</modifiedWord>
      <trackRevisions>false</trackRevisions>
    </reviewItem>
    <reviewItem>
      <errorID>087a4a04-9069-4570-8e3a-877797cbb242</errorID>
      <errorWord>)</errorWord>
      <group>L1_Format</group>
      <groupName>格式问题</groupName>
      <ability>L2_HalfPunc</ability>
      <abilityName>全半角检查</abilityName>
      <candidateList>
        <item>）</item>
      </candidateList>
      <explain>文本全半角错误。</explain>
      <paraID>4CD5B2EF</paraID>
      <start>18</start>
      <end>19</end>
      <status>modified</status>
      <modifiedWord>）</modifiedWord>
      <trackRevisions>false</trackRevisions>
    </reviewItem>
    <reviewItem>
      <errorID>818ed0b1-bbf3-477b-b84b-c7b836e63478</errorID>
      <errorWord>)</errorWord>
      <group>L1_Format</group>
      <groupName>格式问题</groupName>
      <ability>L2_HalfPunc</ability>
      <abilityName>全半角检查</abilityName>
      <candidateList>
        <item>）</item>
      </candidateList>
      <explain>文本全半角错误。</explain>
      <paraID>77AA3C36</paraID>
      <start>11</start>
      <end>12</end>
      <status>modified</status>
      <modifiedWord>）</modifiedWord>
      <trackRevisions>false</trackRevisions>
    </reviewItem>
    <reviewItem>
      <errorID>f480a2c9-7e4f-45ff-b64d-98399e19ff68</errorID>
      <errorWord>)</errorWord>
      <group>L1_Format</group>
      <groupName>格式问题</groupName>
      <ability>L2_HalfPunc</ability>
      <abilityName>全半角检查</abilityName>
      <candidateList>
        <item>）</item>
      </candidateList>
      <explain>文本全半角错误。</explain>
      <paraID>3EA46769</paraID>
      <start>8</start>
      <end>9</end>
      <status>modified</status>
      <modifiedWord>）</modifiedWord>
      <trackRevisions>false</trackRevisions>
    </reviewItem>
    <reviewItem>
      <errorID>69292fc4-b574-48ce-9a48-e5a668ae2edb</errorID>
      <errorWord>…………</errorWord>
      <group>L1_Punc</group>
      <groupName>标点问题</groupName>
      <ability>L2_Punc</ability>
      <abilityName>标点符号检查</abilityName>
      <candidateList>
        <item>…</item>
      </candidateList>
      <explain/>
      <paraID>6324A49D</paraID>
      <start>0</start>
      <end>4</end>
      <status>ignored</status>
      <modifiedWord/>
      <trackRevisions>false</trackRevisions>
    </reviewItem>
    <reviewItem>
      <errorID>dc09ebfb-5867-4a99-9291-ed3300896b4a</errorID>
      <errorWord>…………</errorWord>
      <group>L1_Punc</group>
      <groupName>标点问题</groupName>
      <ability>L2_Punc</ability>
      <abilityName>标点符号检查</abilityName>
      <candidateList>
        <item>…</item>
      </candidateList>
      <explain/>
      <paraID> EE83785</paraID>
      <start>0</start>
      <end>4</end>
      <status>ignored</status>
      <modifiedWord/>
      <trackRevisions>false</trackRevisions>
    </reviewItem>
    <reviewItem>
      <errorID>c29bae92-84ba-41a3-89f9-694afff2ecb4</errorID>
      <errorWord>)</errorWord>
      <group>L1_Format</group>
      <groupName>格式问题</groupName>
      <ability>L2_HalfPunc</ability>
      <abilityName>全半角检查</abilityName>
      <candidateList>
        <item>）</item>
      </candidateList>
      <explain>文本全半角错误。</explain>
      <paraID>2E8083B6</paraID>
      <start>8</start>
      <end>9</end>
      <status>modified</status>
      <modifiedWord>）</modifiedWord>
      <trackRevisions>false</trackRevisions>
    </reviewItem>
    <reviewItem>
      <errorID>1d727a6a-b0f9-4d89-91cc-3f5b215c4a9c</errorID>
      <errorWord>)</errorWord>
      <group>L1_Format</group>
      <groupName>格式问题</groupName>
      <ability>L2_HalfPunc</ability>
      <abilityName>全半角检查</abilityName>
      <candidateList>
        <item>）</item>
      </candidateList>
      <explain>文本全半角错误。</explain>
      <paraID>68FCBA1E</paraID>
      <start>8</start>
      <end>9</end>
      <status>modified</status>
      <modifiedWord>）</modifiedWord>
      <trackRevisions>false</trackRevisions>
    </reviewItem>
    <reviewItem>
      <errorID>24f64e82-a0d6-490d-b24d-69c107c2bcf1</errorID>
      <errorWord>…………</errorWord>
      <group>L1_Punc</group>
      <groupName>标点问题</groupName>
      <ability>L2_Punc</ability>
      <abilityName>标点符号检查</abilityName>
      <candidateList>
        <item>…</item>
      </candidateList>
      <explain/>
      <paraID>7D0AF02A</paraID>
      <start>0</start>
      <end>4</end>
      <status>ignored</status>
      <modifiedWord/>
      <trackRevisions>false</trackRevisions>
    </reviewItem>
    <reviewItem>
      <errorID>f8c55251-acf4-4205-9d4e-1d697f0de10c</errorID>
      <errorWord>…………</errorWord>
      <group>L1_Punc</group>
      <groupName>标点问题</groupName>
      <ability>L2_Punc</ability>
      <abilityName>标点符号检查</abilityName>
      <candidateList>
        <item>…</item>
      </candidateList>
      <explain/>
      <paraID>59EB3DF9</paraID>
      <start>0</start>
      <end>4</end>
      <status>ignored</status>
      <modifiedWord/>
      <trackRevisions>false</trackRevisions>
    </reviewItem>
    <reviewItem>
      <errorID>75cfc420-b301-458b-b418-114ccb45dd6e</errorID>
      <errorWord>)</errorWord>
      <group>L1_Format</group>
      <groupName>格式问题</groupName>
      <ability>L2_HalfPunc</ability>
      <abilityName>全半角检查</abilityName>
      <candidateList>
        <item>）</item>
      </candidateList>
      <explain>文本全半角错误。</explain>
      <paraID>53059121</paraID>
      <start>8</start>
      <end>9</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8E9464-EF58-442D-B535-F25A6DBA3763}">
  <ds:schemaRefs/>
</ds:datastoreItem>
</file>

<file path=docProps/app.xml><?xml version="1.0" encoding="utf-8"?>
<Properties xmlns="http://schemas.openxmlformats.org/officeDocument/2006/extended-properties" xmlns:vt="http://schemas.openxmlformats.org/officeDocument/2006/docPropsVTypes">
  <Template>Normal.dotm</Template>
  <Pages>144</Pages>
  <Words>15143</Words>
  <Characters>16320</Characters>
  <Lines>562</Lines>
  <Paragraphs>158</Paragraphs>
  <TotalTime>0</TotalTime>
  <ScaleCrop>false</ScaleCrop>
  <LinksUpToDate>false</LinksUpToDate>
  <CharactersWithSpaces>16747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2024-01-02T05:57:00Z</dcterms:created>
  <dc:creator>admin</dc:creator>
  <cp:lastModifiedBy>-</cp:lastModifiedBy>
  <cp:lastPrinted>2024-12-28T09:33:00Z</cp:lastPrinted>
  <dcterms:modified xsi:type="dcterms:W3CDTF">2026-06-05T11:03:37Z</dcterms:modified>
  <cp:revision>445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4AAE62E3FB3248069D094D8076C78223_13</vt:lpwstr>
  </property>
  <property fmtid="{D5CDD505-2E9C-101B-9397-08002B2CF9AE}" pid="4" name="KSOTemplateDocerSaveRecord">
    <vt:lpwstr>eyJoZGlkIjoiZTA5ZDc3NzUwMjU4ODkxZmRjY2NiOTU5NjVhNDg3NjQiLCJ1c2VySWQiOiI0ODc1ODQyMTAifQ==</vt:lpwstr>
  </property>
</Properties>
</file>