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87D5E">
      <w:pPr>
        <w:pStyle w:val="30"/>
        <w:rPr>
          <w:rFonts w:hint="eastAsia" w:ascii="宋体" w:hAnsi="宋体" w:eastAsia="宋体" w:cs="宋体"/>
          <w:color w:val="auto"/>
          <w:highlight w:val="none"/>
        </w:rPr>
      </w:pPr>
      <w:bookmarkStart w:id="0" w:name="_Toc217446030"/>
      <w:bookmarkStart w:id="1" w:name="_Toc183682338"/>
    </w:p>
    <w:p w14:paraId="5B6F0696">
      <w:pPr>
        <w:pStyle w:val="30"/>
        <w:rPr>
          <w:rFonts w:hint="eastAsia" w:ascii="宋体" w:hAnsi="宋体" w:eastAsia="宋体" w:cs="宋体"/>
          <w:color w:val="auto"/>
          <w:highlight w:val="none"/>
        </w:rPr>
      </w:pPr>
    </w:p>
    <w:p w14:paraId="29E72346">
      <w:pPr>
        <w:pStyle w:val="30"/>
        <w:rPr>
          <w:rFonts w:hint="eastAsia" w:ascii="宋体" w:hAnsi="宋体" w:eastAsia="宋体" w:cs="宋体"/>
          <w:color w:val="auto"/>
          <w:highlight w:val="none"/>
        </w:rPr>
      </w:pPr>
    </w:p>
    <w:p w14:paraId="340060FD">
      <w:pPr>
        <w:snapToGrid w:val="0"/>
        <w:spacing w:before="666" w:beforeLines="200" w:line="360" w:lineRule="auto"/>
        <w:jc w:val="center"/>
        <w:rPr>
          <w:rFonts w:hint="eastAsia" w:ascii="宋体" w:hAnsi="宋体" w:eastAsia="宋体" w:cs="宋体"/>
          <w:color w:val="auto"/>
          <w:sz w:val="180"/>
          <w:szCs w:val="180"/>
          <w:highlight w:val="none"/>
          <w:lang w:eastAsia="zh-CN"/>
        </w:rPr>
      </w:pPr>
      <w:r>
        <w:rPr>
          <w:rFonts w:hint="eastAsia" w:ascii="宋体" w:hAnsi="宋体" w:cs="宋体"/>
          <w:b/>
          <w:bCs w:val="0"/>
          <w:color w:val="auto"/>
          <w:sz w:val="48"/>
          <w:szCs w:val="48"/>
          <w:highlight w:val="none"/>
          <w:lang w:val="en-US" w:eastAsia="zh-CN"/>
        </w:rPr>
        <w:t>伊宁市某局2026年ZB采购项目</w:t>
      </w:r>
    </w:p>
    <w:p w14:paraId="48FC67DB">
      <w:pPr>
        <w:pStyle w:val="12"/>
        <w:adjustRightInd w:val="0"/>
        <w:snapToGrid w:val="0"/>
        <w:spacing w:line="360" w:lineRule="auto"/>
        <w:jc w:val="center"/>
        <w:rPr>
          <w:rFonts w:hint="eastAsia" w:ascii="宋体" w:hAnsi="宋体" w:eastAsia="宋体" w:cs="宋体"/>
          <w:b/>
          <w:color w:val="auto"/>
          <w:sz w:val="28"/>
          <w:szCs w:val="28"/>
          <w:highlight w:val="none"/>
        </w:rPr>
      </w:pPr>
    </w:p>
    <w:p w14:paraId="4A197582">
      <w:pPr>
        <w:pStyle w:val="12"/>
        <w:adjustRightInd w:val="0"/>
        <w:snapToGrid w:val="0"/>
        <w:spacing w:line="360" w:lineRule="auto"/>
        <w:jc w:val="center"/>
        <w:rPr>
          <w:rFonts w:hint="eastAsia" w:ascii="宋体" w:hAnsi="宋体" w:eastAsia="宋体" w:cs="宋体"/>
          <w:b/>
          <w:color w:val="auto"/>
          <w:sz w:val="28"/>
          <w:szCs w:val="28"/>
          <w:highlight w:val="none"/>
        </w:rPr>
      </w:pPr>
    </w:p>
    <w:p w14:paraId="0FA171AA">
      <w:pPr>
        <w:pStyle w:val="12"/>
        <w:adjustRightInd w:val="0"/>
        <w:snapToGrid w:val="0"/>
        <w:spacing w:line="360" w:lineRule="auto"/>
        <w:jc w:val="center"/>
        <w:rPr>
          <w:rFonts w:hint="eastAsia" w:ascii="宋体" w:hAnsi="宋体" w:eastAsia="宋体" w:cs="宋体"/>
          <w:b/>
          <w:color w:val="auto"/>
          <w:sz w:val="28"/>
          <w:szCs w:val="28"/>
          <w:highlight w:val="none"/>
        </w:rPr>
      </w:pPr>
    </w:p>
    <w:p w14:paraId="0B65F08E">
      <w:pPr>
        <w:pStyle w:val="12"/>
        <w:adjustRightInd w:val="0"/>
        <w:snapToGrid w:val="0"/>
        <w:spacing w:line="360" w:lineRule="auto"/>
        <w:rPr>
          <w:rFonts w:hint="eastAsia" w:ascii="宋体" w:hAnsi="宋体" w:eastAsia="宋体" w:cs="宋体"/>
          <w:b/>
          <w:color w:val="auto"/>
          <w:sz w:val="28"/>
          <w:szCs w:val="28"/>
          <w:highlight w:val="none"/>
        </w:rPr>
      </w:pPr>
    </w:p>
    <w:p w14:paraId="4B3B2E53">
      <w:pPr>
        <w:pStyle w:val="12"/>
        <w:adjustRightInd w:val="0"/>
        <w:snapToGrid w:val="0"/>
        <w:spacing w:line="360" w:lineRule="auto"/>
        <w:jc w:val="center"/>
        <w:rPr>
          <w:rFonts w:hint="eastAsia" w:ascii="宋体" w:hAnsi="宋体" w:eastAsia="宋体" w:cs="宋体"/>
          <w:color w:val="auto"/>
          <w:sz w:val="84"/>
          <w:szCs w:val="84"/>
          <w:highlight w:val="none"/>
          <w:lang w:eastAsia="zh-CN"/>
        </w:rPr>
      </w:pPr>
      <w:r>
        <w:rPr>
          <w:rFonts w:hint="eastAsia" w:ascii="宋体" w:hAnsi="宋体" w:eastAsia="宋体" w:cs="宋体"/>
          <w:b/>
          <w:color w:val="auto"/>
          <w:sz w:val="28"/>
          <w:szCs w:val="28"/>
          <w:highlight w:val="none"/>
        </w:rPr>
        <w:t>采购项目编号：</w:t>
      </w:r>
      <w:r>
        <w:rPr>
          <w:rFonts w:hint="eastAsia" w:ascii="宋体" w:hAnsi="宋体" w:eastAsia="宋体" w:cs="宋体"/>
          <w:b/>
          <w:color w:val="auto"/>
          <w:sz w:val="28"/>
          <w:szCs w:val="28"/>
          <w:highlight w:val="none"/>
          <w:lang w:eastAsia="zh-CN"/>
        </w:rPr>
        <w:t>XJCRZCG-2026088</w:t>
      </w:r>
    </w:p>
    <w:p w14:paraId="0DD11B3E">
      <w:pPr>
        <w:pStyle w:val="12"/>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84"/>
          <w:szCs w:val="84"/>
          <w:highlight w:val="none"/>
        </w:rPr>
        <w:t>招标文件</w:t>
      </w:r>
    </w:p>
    <w:p w14:paraId="76D37684">
      <w:pPr>
        <w:pStyle w:val="12"/>
        <w:adjustRightInd w:val="0"/>
        <w:snapToGrid w:val="0"/>
        <w:spacing w:before="166" w:beforeLines="50" w:line="360" w:lineRule="auto"/>
        <w:rPr>
          <w:rFonts w:hint="eastAsia" w:ascii="宋体" w:hAnsi="宋体" w:eastAsia="宋体" w:cs="宋体"/>
          <w:b/>
          <w:color w:val="auto"/>
          <w:sz w:val="32"/>
          <w:szCs w:val="32"/>
          <w:highlight w:val="none"/>
        </w:rPr>
      </w:pPr>
    </w:p>
    <w:p w14:paraId="74451A4A">
      <w:pPr>
        <w:pStyle w:val="12"/>
        <w:adjustRightInd w:val="0"/>
        <w:snapToGrid w:val="0"/>
        <w:spacing w:before="166" w:beforeLines="50" w:line="360" w:lineRule="auto"/>
        <w:rPr>
          <w:rFonts w:hint="eastAsia" w:ascii="宋体" w:hAnsi="宋体" w:eastAsia="宋体" w:cs="宋体"/>
          <w:b/>
          <w:color w:val="auto"/>
          <w:sz w:val="32"/>
          <w:szCs w:val="32"/>
          <w:highlight w:val="none"/>
        </w:rPr>
      </w:pPr>
    </w:p>
    <w:p w14:paraId="3D234E40">
      <w:pPr>
        <w:pStyle w:val="12"/>
        <w:adjustRightInd w:val="0"/>
        <w:snapToGrid w:val="0"/>
        <w:spacing w:before="166" w:beforeLines="50" w:line="360" w:lineRule="auto"/>
        <w:rPr>
          <w:rFonts w:hint="eastAsia" w:ascii="宋体" w:hAnsi="宋体" w:eastAsia="宋体" w:cs="宋体"/>
          <w:b/>
          <w:color w:val="auto"/>
          <w:sz w:val="32"/>
          <w:szCs w:val="32"/>
          <w:highlight w:val="none"/>
        </w:rPr>
      </w:pPr>
    </w:p>
    <w:p w14:paraId="3E9F961C">
      <w:pPr>
        <w:rPr>
          <w:rFonts w:hint="eastAsia" w:ascii="宋体" w:hAnsi="宋体" w:eastAsia="宋体" w:cs="宋体"/>
          <w:b/>
          <w:color w:val="auto"/>
          <w:sz w:val="32"/>
          <w:szCs w:val="32"/>
          <w:highlight w:val="none"/>
        </w:rPr>
      </w:pPr>
    </w:p>
    <w:p w14:paraId="1C0EE554">
      <w:pPr>
        <w:rPr>
          <w:rFonts w:hint="eastAsia" w:ascii="宋体" w:hAnsi="宋体" w:eastAsia="宋体" w:cs="宋体"/>
          <w:b/>
          <w:color w:val="auto"/>
          <w:sz w:val="32"/>
          <w:szCs w:val="32"/>
          <w:highlight w:val="none"/>
        </w:rPr>
      </w:pPr>
    </w:p>
    <w:p w14:paraId="45B68B60">
      <w:pPr>
        <w:rPr>
          <w:rFonts w:hint="eastAsia" w:ascii="宋体" w:hAnsi="宋体" w:eastAsia="宋体" w:cs="宋体"/>
          <w:b/>
          <w:color w:val="auto"/>
          <w:sz w:val="32"/>
          <w:szCs w:val="32"/>
          <w:highlight w:val="none"/>
        </w:rPr>
      </w:pPr>
    </w:p>
    <w:p w14:paraId="7E9A3D81">
      <w:pPr>
        <w:rPr>
          <w:rFonts w:hint="eastAsia" w:ascii="宋体" w:hAnsi="宋体" w:eastAsia="宋体" w:cs="宋体"/>
          <w:b/>
          <w:color w:val="auto"/>
          <w:sz w:val="32"/>
          <w:szCs w:val="32"/>
          <w:highlight w:val="none"/>
        </w:rPr>
      </w:pPr>
    </w:p>
    <w:p w14:paraId="0A45E301">
      <w:pPr>
        <w:rPr>
          <w:rFonts w:hint="eastAsia" w:ascii="宋体" w:hAnsi="宋体" w:eastAsia="宋体" w:cs="宋体"/>
          <w:b/>
          <w:color w:val="auto"/>
          <w:sz w:val="32"/>
          <w:szCs w:val="32"/>
          <w:highlight w:val="none"/>
        </w:rPr>
      </w:pPr>
    </w:p>
    <w:p w14:paraId="448256B2">
      <w:pPr>
        <w:keepNext w:val="0"/>
        <w:keepLines w:val="0"/>
        <w:pageBreakBefore w:val="0"/>
        <w:widowControl w:val="0"/>
        <w:kinsoku/>
        <w:wordWrap/>
        <w:overflowPunct/>
        <w:topLinePunct w:val="0"/>
        <w:autoSpaceDE w:val="0"/>
        <w:autoSpaceDN w:val="0"/>
        <w:bidi w:val="0"/>
        <w:adjustRightInd/>
        <w:snapToGrid/>
        <w:spacing w:line="480" w:lineRule="auto"/>
        <w:ind w:firstLine="1711" w:firstLineChars="600"/>
        <w:jc w:val="both"/>
        <w:textAlignment w:val="auto"/>
        <w:rPr>
          <w:rFonts w:hint="eastAsia" w:ascii="宋体" w:hAnsi="宋体" w:eastAsia="宋体" w:cs="宋体"/>
          <w:b/>
          <w:bCs/>
          <w:color w:val="auto"/>
          <w:spacing w:val="-8"/>
          <w:sz w:val="30"/>
          <w:szCs w:val="30"/>
          <w:highlight w:val="none"/>
          <w:lang w:val="zh-CN"/>
        </w:rPr>
      </w:pPr>
      <w:r>
        <w:rPr>
          <w:rFonts w:hint="eastAsia" w:ascii="宋体" w:hAnsi="宋体" w:eastAsia="宋体" w:cs="宋体"/>
          <w:b/>
          <w:bCs/>
          <w:color w:val="auto"/>
          <w:spacing w:val="-8"/>
          <w:sz w:val="30"/>
          <w:szCs w:val="30"/>
          <w:highlight w:val="none"/>
        </w:rPr>
        <w:t>采购人</w:t>
      </w:r>
      <w:r>
        <w:rPr>
          <w:rFonts w:hint="eastAsia" w:ascii="宋体" w:hAnsi="宋体" w:eastAsia="宋体" w:cs="宋体"/>
          <w:b/>
          <w:bCs/>
          <w:color w:val="auto"/>
          <w:spacing w:val="-8"/>
          <w:sz w:val="30"/>
          <w:szCs w:val="30"/>
          <w:highlight w:val="none"/>
          <w:lang w:val="zh-CN"/>
        </w:rPr>
        <w:t>：</w:t>
      </w:r>
      <w:r>
        <w:rPr>
          <w:rFonts w:hint="eastAsia" w:ascii="宋体" w:hAnsi="宋体" w:cs="宋体"/>
          <w:b/>
          <w:bCs/>
          <w:color w:val="auto"/>
          <w:spacing w:val="-8"/>
          <w:sz w:val="30"/>
          <w:szCs w:val="30"/>
          <w:highlight w:val="none"/>
          <w:lang w:val="zh-CN"/>
        </w:rPr>
        <w:t>伊宁市某局</w:t>
      </w:r>
    </w:p>
    <w:p w14:paraId="1E616DE4">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hint="eastAsia" w:ascii="宋体" w:hAnsi="宋体" w:eastAsia="宋体" w:cs="宋体"/>
          <w:b/>
          <w:bCs/>
          <w:color w:val="auto"/>
          <w:spacing w:val="-8"/>
          <w:sz w:val="30"/>
          <w:szCs w:val="30"/>
          <w:highlight w:val="none"/>
        </w:rPr>
      </w:pPr>
      <w:r>
        <w:rPr>
          <w:rFonts w:hint="eastAsia" w:ascii="宋体" w:hAnsi="宋体" w:eastAsia="宋体" w:cs="宋体"/>
          <w:b/>
          <w:bCs/>
          <w:color w:val="auto"/>
          <w:spacing w:val="-8"/>
          <w:sz w:val="30"/>
          <w:szCs w:val="30"/>
          <w:highlight w:val="none"/>
        </w:rPr>
        <w:t>采购</w:t>
      </w:r>
      <w:r>
        <w:rPr>
          <w:rFonts w:hint="eastAsia" w:ascii="宋体" w:hAnsi="宋体" w:eastAsia="宋体" w:cs="宋体"/>
          <w:b/>
          <w:bCs/>
          <w:color w:val="auto"/>
          <w:spacing w:val="-8"/>
          <w:sz w:val="30"/>
          <w:szCs w:val="30"/>
          <w:highlight w:val="none"/>
          <w:lang w:val="zh-CN"/>
        </w:rPr>
        <w:t>代理机构：新疆长润泽建设工程管理有限公司</w:t>
      </w:r>
    </w:p>
    <w:p w14:paraId="7BAE7F54">
      <w:pPr>
        <w:keepNext w:val="0"/>
        <w:keepLines w:val="0"/>
        <w:pageBreakBefore w:val="0"/>
        <w:widowControl w:val="0"/>
        <w:kinsoku/>
        <w:wordWrap/>
        <w:overflowPunct/>
        <w:topLinePunct w:val="0"/>
        <w:autoSpaceDE w:val="0"/>
        <w:autoSpaceDN w:val="0"/>
        <w:bidi w:val="0"/>
        <w:adjustRightInd/>
        <w:snapToGrid/>
        <w:spacing w:line="480" w:lineRule="auto"/>
        <w:ind w:firstLine="1711" w:firstLineChars="600"/>
        <w:jc w:val="both"/>
        <w:textAlignment w:val="auto"/>
        <w:rPr>
          <w:rFonts w:hint="eastAsia" w:ascii="宋体" w:hAnsi="宋体" w:eastAsia="宋体" w:cs="宋体"/>
          <w:b/>
          <w:bCs/>
          <w:color w:val="auto"/>
          <w:spacing w:val="-8"/>
          <w:sz w:val="30"/>
          <w:szCs w:val="30"/>
          <w:highlight w:val="none"/>
          <w:lang w:val="zh-CN"/>
        </w:rPr>
      </w:pPr>
      <w:r>
        <w:rPr>
          <w:rFonts w:hint="eastAsia" w:ascii="宋体" w:hAnsi="宋体" w:eastAsia="宋体" w:cs="宋体"/>
          <w:b/>
          <w:bCs/>
          <w:color w:val="auto"/>
          <w:spacing w:val="-8"/>
          <w:sz w:val="30"/>
          <w:szCs w:val="30"/>
          <w:highlight w:val="none"/>
          <w:lang w:val="en-US" w:eastAsia="zh-CN"/>
        </w:rPr>
        <w:t>日期：</w:t>
      </w:r>
      <w:r>
        <w:rPr>
          <w:rFonts w:hint="eastAsia" w:ascii="宋体" w:hAnsi="宋体" w:eastAsia="宋体" w:cs="宋体"/>
          <w:b/>
          <w:bCs/>
          <w:color w:val="auto"/>
          <w:spacing w:val="-8"/>
          <w:sz w:val="30"/>
          <w:szCs w:val="30"/>
          <w:highlight w:val="none"/>
          <w:lang w:val="zh-CN"/>
        </w:rPr>
        <w:t>20</w:t>
      </w:r>
      <w:r>
        <w:rPr>
          <w:rFonts w:hint="eastAsia" w:ascii="宋体" w:hAnsi="宋体" w:eastAsia="宋体" w:cs="宋体"/>
          <w:b/>
          <w:bCs/>
          <w:color w:val="auto"/>
          <w:spacing w:val="-8"/>
          <w:sz w:val="30"/>
          <w:szCs w:val="30"/>
          <w:highlight w:val="none"/>
          <w:lang w:val="en-US" w:eastAsia="zh-CN"/>
        </w:rPr>
        <w:t>26</w:t>
      </w:r>
      <w:r>
        <w:rPr>
          <w:rFonts w:hint="eastAsia" w:ascii="宋体" w:hAnsi="宋体" w:eastAsia="宋体" w:cs="宋体"/>
          <w:b/>
          <w:bCs/>
          <w:color w:val="auto"/>
          <w:spacing w:val="-8"/>
          <w:sz w:val="30"/>
          <w:szCs w:val="30"/>
          <w:highlight w:val="none"/>
          <w:lang w:val="zh-CN"/>
        </w:rPr>
        <w:t>年</w:t>
      </w:r>
      <w:r>
        <w:rPr>
          <w:rFonts w:hint="eastAsia" w:ascii="宋体" w:hAnsi="宋体" w:eastAsia="宋体" w:cs="宋体"/>
          <w:b/>
          <w:bCs/>
          <w:color w:val="auto"/>
          <w:spacing w:val="-8"/>
          <w:sz w:val="30"/>
          <w:szCs w:val="30"/>
          <w:highlight w:val="none"/>
          <w:lang w:val="en-US" w:eastAsia="zh-CN"/>
        </w:rPr>
        <w:t>06</w:t>
      </w:r>
      <w:r>
        <w:rPr>
          <w:rFonts w:hint="eastAsia" w:ascii="宋体" w:hAnsi="宋体" w:eastAsia="宋体" w:cs="宋体"/>
          <w:b/>
          <w:bCs/>
          <w:color w:val="auto"/>
          <w:spacing w:val="-8"/>
          <w:sz w:val="30"/>
          <w:szCs w:val="30"/>
          <w:highlight w:val="none"/>
          <w:lang w:val="zh-CN"/>
        </w:rPr>
        <w:t>月</w:t>
      </w:r>
    </w:p>
    <w:p w14:paraId="186F2C76">
      <w:pPr>
        <w:autoSpaceDE w:val="0"/>
        <w:autoSpaceDN w:val="0"/>
        <w:spacing w:line="480" w:lineRule="auto"/>
        <w:ind w:firstLine="590" w:firstLineChars="200"/>
        <w:jc w:val="left"/>
        <w:rPr>
          <w:rFonts w:hint="eastAsia" w:ascii="宋体" w:hAnsi="宋体" w:eastAsia="宋体" w:cs="宋体"/>
          <w:b/>
          <w:bCs/>
          <w:color w:val="auto"/>
          <w:spacing w:val="-8"/>
          <w:sz w:val="31"/>
          <w:szCs w:val="31"/>
          <w:highlight w:val="none"/>
          <w:lang w:val="zh-CN"/>
        </w:rPr>
        <w:sectPr>
          <w:headerReference r:id="rId5" w:type="first"/>
          <w:headerReference r:id="rId3" w:type="default"/>
          <w:footerReference r:id="rId6" w:type="default"/>
          <w:headerReference r:id="rId4" w:type="even"/>
          <w:footerReference r:id="rId7" w:type="even"/>
          <w:pgSz w:w="11911" w:h="16838"/>
          <w:pgMar w:top="1417" w:right="1134" w:bottom="1417" w:left="1134" w:header="873" w:footer="1485" w:gutter="0"/>
          <w:pgNumType w:fmt="decimal" w:start="1"/>
          <w:cols w:space="0" w:num="1"/>
          <w:rtlGutter w:val="0"/>
          <w:docGrid w:linePitch="333" w:charSpace="0"/>
        </w:sectPr>
      </w:pPr>
    </w:p>
    <w:p w14:paraId="5030686F">
      <w:pPr>
        <w:keepNext w:val="0"/>
        <w:keepLines w:val="0"/>
        <w:pageBreakBefore w:val="0"/>
        <w:widowControl w:val="0"/>
        <w:kinsoku/>
        <w:wordWrap/>
        <w:overflowPunct/>
        <w:topLinePunct w:val="0"/>
        <w:autoSpaceDE/>
        <w:autoSpaceDN/>
        <w:bidi w:val="0"/>
        <w:adjustRightInd/>
        <w:snapToGrid/>
        <w:spacing w:line="480" w:lineRule="exact"/>
        <w:ind w:firstLine="203" w:firstLineChars="46"/>
        <w:jc w:val="center"/>
        <w:textAlignment w:val="auto"/>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温馨提示</w:t>
      </w:r>
    </w:p>
    <w:p w14:paraId="20C3F2C2">
      <w:pPr>
        <w:keepNext w:val="0"/>
        <w:keepLines w:val="0"/>
        <w:pageBreakBefore w:val="0"/>
        <w:widowControl w:val="0"/>
        <w:kinsoku/>
        <w:wordWrap/>
        <w:overflowPunct/>
        <w:topLinePunct w:val="0"/>
        <w:autoSpaceDE/>
        <w:autoSpaceDN/>
        <w:bidi w:val="0"/>
        <w:adjustRightInd/>
        <w:snapToGrid/>
        <w:spacing w:line="480" w:lineRule="exact"/>
        <w:ind w:firstLine="582" w:firstLineChars="194"/>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获取</w:t>
      </w:r>
      <w:r>
        <w:rPr>
          <w:rFonts w:hint="eastAsia" w:ascii="宋体" w:hAnsi="宋体" w:eastAsia="宋体" w:cs="宋体"/>
          <w:bCs/>
          <w:color w:val="auto"/>
          <w:sz w:val="30"/>
          <w:szCs w:val="30"/>
          <w:highlight w:val="none"/>
          <w:lang w:val="zh-CN" w:eastAsia="zh-CN"/>
        </w:rPr>
        <w:t>招标文件后，请仔细阅读，特别注意粗体部分，如有疑问，请来电咨询。电话：</w:t>
      </w:r>
      <w:r>
        <w:rPr>
          <w:rFonts w:hint="eastAsia" w:ascii="宋体" w:hAnsi="宋体" w:eastAsia="宋体" w:cs="宋体"/>
          <w:bCs/>
          <w:color w:val="auto"/>
          <w:sz w:val="30"/>
          <w:szCs w:val="30"/>
          <w:highlight w:val="none"/>
          <w:lang w:val="en-US" w:eastAsia="zh-CN"/>
        </w:rPr>
        <w:t>15299819661。</w:t>
      </w:r>
    </w:p>
    <w:p w14:paraId="5671233F">
      <w:pPr>
        <w:pStyle w:val="4"/>
        <w:spacing w:before="120" w:beforeLines="50"/>
        <w:ind w:firstLine="0"/>
        <w:rPr>
          <w:rFonts w:hint="eastAsia" w:ascii="宋体" w:hAnsi="宋体" w:eastAsia="宋体" w:cs="宋体"/>
          <w:b/>
          <w:color w:val="auto"/>
          <w:kern w:val="44"/>
          <w:sz w:val="44"/>
          <w:szCs w:val="44"/>
          <w:highlight w:val="none"/>
        </w:rPr>
      </w:pPr>
    </w:p>
    <w:p w14:paraId="46EDFD9E">
      <w:pPr>
        <w:pStyle w:val="4"/>
        <w:spacing w:before="120" w:beforeLines="50"/>
        <w:ind w:firstLine="0"/>
        <w:rPr>
          <w:rFonts w:hint="eastAsia" w:ascii="宋体" w:hAnsi="宋体" w:eastAsia="宋体" w:cs="宋体"/>
          <w:b/>
          <w:color w:val="auto"/>
          <w:kern w:val="44"/>
          <w:sz w:val="44"/>
          <w:szCs w:val="44"/>
          <w:highlight w:val="none"/>
        </w:rPr>
      </w:pPr>
    </w:p>
    <w:p w14:paraId="67BEDB39">
      <w:pPr>
        <w:pStyle w:val="4"/>
        <w:spacing w:before="120" w:beforeLines="50"/>
        <w:ind w:firstLine="0"/>
        <w:rPr>
          <w:rFonts w:hint="eastAsia" w:ascii="宋体" w:hAnsi="宋体" w:eastAsia="宋体" w:cs="宋体"/>
          <w:b/>
          <w:color w:val="auto"/>
          <w:kern w:val="44"/>
          <w:sz w:val="44"/>
          <w:szCs w:val="44"/>
          <w:highlight w:val="none"/>
        </w:rPr>
      </w:pPr>
    </w:p>
    <w:p w14:paraId="008C88E7">
      <w:pPr>
        <w:pStyle w:val="4"/>
        <w:spacing w:before="120" w:beforeLines="50"/>
        <w:ind w:firstLine="0"/>
        <w:rPr>
          <w:rFonts w:hint="eastAsia" w:ascii="宋体" w:hAnsi="宋体" w:eastAsia="宋体" w:cs="宋体"/>
          <w:b/>
          <w:color w:val="auto"/>
          <w:kern w:val="44"/>
          <w:sz w:val="44"/>
          <w:szCs w:val="44"/>
          <w:highlight w:val="none"/>
        </w:rPr>
      </w:pPr>
    </w:p>
    <w:p w14:paraId="2131B891">
      <w:pPr>
        <w:pStyle w:val="4"/>
        <w:spacing w:before="120" w:beforeLines="50"/>
        <w:ind w:firstLine="0"/>
        <w:rPr>
          <w:rFonts w:hint="eastAsia" w:ascii="宋体" w:hAnsi="宋体" w:eastAsia="宋体" w:cs="宋体"/>
          <w:b/>
          <w:color w:val="auto"/>
          <w:kern w:val="44"/>
          <w:sz w:val="44"/>
          <w:szCs w:val="44"/>
          <w:highlight w:val="none"/>
        </w:rPr>
      </w:pPr>
    </w:p>
    <w:p w14:paraId="7776DED1">
      <w:pPr>
        <w:pStyle w:val="4"/>
        <w:spacing w:before="120" w:beforeLines="50"/>
        <w:ind w:firstLine="0"/>
        <w:rPr>
          <w:rFonts w:hint="eastAsia" w:ascii="宋体" w:hAnsi="宋体" w:eastAsia="宋体" w:cs="宋体"/>
          <w:b/>
          <w:color w:val="auto"/>
          <w:kern w:val="44"/>
          <w:sz w:val="44"/>
          <w:szCs w:val="44"/>
          <w:highlight w:val="none"/>
        </w:rPr>
      </w:pPr>
    </w:p>
    <w:p w14:paraId="37164F09">
      <w:pPr>
        <w:pStyle w:val="4"/>
        <w:spacing w:before="120" w:beforeLines="50"/>
        <w:ind w:firstLine="0"/>
        <w:rPr>
          <w:rFonts w:hint="eastAsia" w:ascii="宋体" w:hAnsi="宋体" w:eastAsia="宋体" w:cs="宋体"/>
          <w:b/>
          <w:color w:val="auto"/>
          <w:kern w:val="44"/>
          <w:sz w:val="44"/>
          <w:szCs w:val="44"/>
          <w:highlight w:val="none"/>
        </w:rPr>
      </w:pPr>
    </w:p>
    <w:p w14:paraId="380A8F86">
      <w:pPr>
        <w:pStyle w:val="4"/>
        <w:spacing w:before="120" w:beforeLines="50"/>
        <w:ind w:firstLine="0"/>
        <w:rPr>
          <w:rFonts w:hint="eastAsia" w:ascii="宋体" w:hAnsi="宋体" w:eastAsia="宋体" w:cs="宋体"/>
          <w:b/>
          <w:color w:val="auto"/>
          <w:kern w:val="44"/>
          <w:sz w:val="44"/>
          <w:szCs w:val="44"/>
          <w:highlight w:val="none"/>
        </w:rPr>
      </w:pPr>
    </w:p>
    <w:p w14:paraId="43490894">
      <w:pPr>
        <w:pStyle w:val="4"/>
        <w:spacing w:before="120" w:beforeLines="50"/>
        <w:ind w:firstLine="0"/>
        <w:rPr>
          <w:rFonts w:hint="eastAsia" w:ascii="宋体" w:hAnsi="宋体" w:eastAsia="宋体" w:cs="宋体"/>
          <w:b/>
          <w:color w:val="auto"/>
          <w:kern w:val="44"/>
          <w:sz w:val="44"/>
          <w:szCs w:val="44"/>
          <w:highlight w:val="none"/>
        </w:rPr>
      </w:pPr>
    </w:p>
    <w:p w14:paraId="2BD7882C">
      <w:pPr>
        <w:rPr>
          <w:rFonts w:hint="eastAsia" w:ascii="宋体" w:hAnsi="宋体" w:eastAsia="宋体" w:cs="宋体"/>
          <w:bCs/>
          <w:color w:val="auto"/>
          <w:sz w:val="36"/>
          <w:highlight w:val="none"/>
        </w:rPr>
      </w:pPr>
      <w:r>
        <w:rPr>
          <w:rFonts w:hint="eastAsia" w:ascii="宋体" w:hAnsi="宋体" w:eastAsia="宋体" w:cs="宋体"/>
          <w:bCs/>
          <w:color w:val="auto"/>
          <w:sz w:val="36"/>
          <w:highlight w:val="none"/>
        </w:rPr>
        <w:br w:type="page"/>
      </w:r>
    </w:p>
    <w:sdt>
      <w:sdtPr>
        <w:rPr>
          <w:rFonts w:hint="eastAsia" w:ascii="宋体" w:hAnsi="宋体" w:eastAsia="宋体" w:cs="宋体"/>
          <w:color w:val="auto"/>
          <w:kern w:val="2"/>
          <w:sz w:val="28"/>
          <w:szCs w:val="28"/>
          <w:highlight w:val="none"/>
          <w:lang w:val="en-US" w:eastAsia="zh-CN" w:bidi="ar-SA"/>
        </w:rPr>
        <w:id w:val="147471333"/>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14:paraId="73B364D5">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14:paraId="74A8FA3F">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"1-2"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_Toc21003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第一章  招标公告 ………………………………………………………………………………</w:t>
          </w:r>
          <w:r>
            <w:rPr>
              <w:rFonts w:hint="eastAsia" w:ascii="宋体" w:hAnsi="宋体" w:eastAsia="宋体" w:cs="宋体"/>
              <w:bCs/>
              <w:color w:val="auto"/>
              <w:sz w:val="22"/>
              <w:szCs w:val="22"/>
              <w:highlight w:val="none"/>
              <w:lang w:val="en-US" w:eastAsia="zh-CN"/>
            </w:rPr>
            <w:t>1</w:t>
          </w:r>
          <w:r>
            <w:rPr>
              <w:rFonts w:hint="eastAsia" w:ascii="宋体" w:hAnsi="宋体" w:eastAsia="宋体" w:cs="宋体"/>
              <w:color w:val="auto"/>
              <w:sz w:val="22"/>
              <w:szCs w:val="22"/>
              <w:highlight w:val="none"/>
            </w:rPr>
            <w:fldChar w:fldCharType="end"/>
          </w:r>
        </w:p>
        <w:p w14:paraId="1BEEA190">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_Toc1365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第二章  投标人须知 ……………………………………………………………………………</w:t>
          </w:r>
          <w:r>
            <w:rPr>
              <w:rFonts w:hint="eastAsia" w:ascii="宋体" w:hAnsi="宋体" w:eastAsia="宋体" w:cs="宋体"/>
              <w:bCs/>
              <w:color w:val="auto"/>
              <w:sz w:val="22"/>
              <w:szCs w:val="22"/>
              <w:highlight w:val="none"/>
              <w:lang w:val="en-US" w:eastAsia="zh-CN"/>
            </w:rPr>
            <w:t>3</w:t>
          </w:r>
          <w:r>
            <w:rPr>
              <w:rFonts w:hint="eastAsia" w:ascii="宋体" w:hAnsi="宋体" w:eastAsia="宋体" w:cs="宋体"/>
              <w:color w:val="auto"/>
              <w:sz w:val="22"/>
              <w:szCs w:val="22"/>
              <w:highlight w:val="none"/>
            </w:rPr>
            <w:fldChar w:fldCharType="end"/>
          </w:r>
        </w:p>
        <w:p w14:paraId="4F8B08A5">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_Toc16378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第三章  评标办法 ………………………………………………………………………………3</w:t>
          </w:r>
          <w:r>
            <w:rPr>
              <w:rFonts w:hint="eastAsia" w:ascii="宋体" w:hAnsi="宋体" w:eastAsia="宋体" w:cs="宋体"/>
              <w:bCs/>
              <w:color w:val="auto"/>
              <w:sz w:val="22"/>
              <w:szCs w:val="22"/>
              <w:highlight w:val="none"/>
              <w:lang w:val="en-US" w:eastAsia="zh-CN"/>
            </w:rPr>
            <w:t>2</w:t>
          </w:r>
          <w:r>
            <w:rPr>
              <w:rFonts w:hint="eastAsia" w:ascii="宋体" w:hAnsi="宋体" w:eastAsia="宋体" w:cs="宋体"/>
              <w:color w:val="auto"/>
              <w:sz w:val="22"/>
              <w:szCs w:val="22"/>
              <w:highlight w:val="none"/>
            </w:rPr>
            <w:fldChar w:fldCharType="end"/>
          </w:r>
        </w:p>
        <w:p w14:paraId="43E62583">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_Toc12148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第四章  采购内容及要求 ………………………………………………………………………4</w:t>
          </w:r>
          <w:r>
            <w:rPr>
              <w:rFonts w:hint="eastAsia" w:ascii="宋体" w:hAnsi="宋体" w:eastAsia="宋体" w:cs="宋体"/>
              <w:bCs/>
              <w:color w:val="auto"/>
              <w:sz w:val="22"/>
              <w:szCs w:val="22"/>
              <w:highlight w:val="none"/>
              <w:lang w:val="en-US" w:eastAsia="zh-CN"/>
            </w:rPr>
            <w:t>1</w:t>
          </w:r>
          <w:r>
            <w:rPr>
              <w:rFonts w:hint="eastAsia" w:ascii="宋体" w:hAnsi="宋体" w:eastAsia="宋体" w:cs="宋体"/>
              <w:color w:val="auto"/>
              <w:sz w:val="22"/>
              <w:szCs w:val="22"/>
              <w:highlight w:val="none"/>
            </w:rPr>
            <w:fldChar w:fldCharType="end"/>
          </w:r>
        </w:p>
        <w:p w14:paraId="22F561B4">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_Toc27643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第五章  采购合同格式…………………………………………………………………………</w:t>
          </w:r>
          <w:r>
            <w:rPr>
              <w:rFonts w:hint="eastAsia" w:ascii="宋体" w:hAnsi="宋体" w:eastAsia="宋体" w:cs="宋体"/>
              <w:bCs/>
              <w:color w:val="auto"/>
              <w:sz w:val="22"/>
              <w:szCs w:val="22"/>
              <w:highlight w:val="none"/>
              <w:lang w:val="en-US" w:eastAsia="zh-CN"/>
            </w:rPr>
            <w:t>44</w:t>
          </w:r>
          <w:r>
            <w:rPr>
              <w:rFonts w:hint="eastAsia" w:ascii="宋体" w:hAnsi="宋体" w:eastAsia="宋体" w:cs="宋体"/>
              <w:color w:val="auto"/>
              <w:sz w:val="22"/>
              <w:szCs w:val="22"/>
              <w:highlight w:val="none"/>
            </w:rPr>
            <w:fldChar w:fldCharType="end"/>
          </w:r>
        </w:p>
        <w:p w14:paraId="41D311EA">
          <w:pPr>
            <w:pStyle w:val="19"/>
            <w:tabs>
              <w:tab w:val="right" w:leader="dot" w:pos="9643"/>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_Toc6641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rPr>
            <w:t>第六章  投标文件格式 ………………………………………………………………………</w:t>
          </w:r>
          <w:r>
            <w:rPr>
              <w:rFonts w:hint="eastAsia" w:ascii="宋体" w:hAnsi="宋体" w:eastAsia="宋体" w:cs="宋体"/>
              <w:bCs/>
              <w:color w:val="auto"/>
              <w:sz w:val="22"/>
              <w:szCs w:val="22"/>
              <w:highlight w:val="none"/>
              <w:lang w:val="en-US" w:eastAsia="zh-CN"/>
            </w:rPr>
            <w:t>50</w:t>
          </w:r>
          <w:r>
            <w:rPr>
              <w:rFonts w:hint="eastAsia" w:ascii="宋体" w:hAnsi="宋体" w:eastAsia="宋体" w:cs="宋体"/>
              <w:color w:val="auto"/>
              <w:sz w:val="22"/>
              <w:szCs w:val="22"/>
              <w:highlight w:val="none"/>
            </w:rPr>
            <w:fldChar w:fldCharType="end"/>
          </w:r>
        </w:p>
        <w:p w14:paraId="655E7F83">
          <w:pPr>
            <w:pStyle w:val="19"/>
            <w:tabs>
              <w:tab w:val="right" w:leader="dot" w:pos="9643"/>
            </w:tabs>
            <w:rPr>
              <w:rFonts w:hint="eastAsia" w:ascii="宋体" w:hAnsi="宋体" w:eastAsia="宋体" w:cs="宋体"/>
              <w:color w:val="auto"/>
              <w:sz w:val="22"/>
              <w:szCs w:val="22"/>
              <w:highlight w:val="none"/>
            </w:rPr>
          </w:pPr>
        </w:p>
        <w:p w14:paraId="0B1973EC">
          <w:pPr>
            <w:rPr>
              <w:color w:val="auto"/>
              <w:highlight w:val="none"/>
            </w:rPr>
          </w:pPr>
          <w:r>
            <w:rPr>
              <w:rFonts w:hint="eastAsia" w:ascii="宋体" w:hAnsi="宋体" w:eastAsia="宋体" w:cs="宋体"/>
              <w:color w:val="auto"/>
              <w:sz w:val="22"/>
              <w:szCs w:val="22"/>
              <w:highlight w:val="none"/>
            </w:rPr>
            <w:fldChar w:fldCharType="end"/>
          </w:r>
        </w:p>
      </w:sdtContent>
    </w:sdt>
    <w:p w14:paraId="32182314">
      <w:pPr>
        <w:rPr>
          <w:color w:val="auto"/>
          <w:highlight w:val="none"/>
        </w:rPr>
      </w:pPr>
    </w:p>
    <w:p w14:paraId="4E64330C">
      <w:pPr>
        <w:pStyle w:val="3"/>
        <w:keepNext/>
        <w:keepLines/>
        <w:pageBreakBefore w:val="0"/>
        <w:widowControl w:val="0"/>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val="0"/>
          <w:bCs/>
          <w:color w:val="auto"/>
          <w:sz w:val="21"/>
          <w:szCs w:val="21"/>
          <w:highlight w:val="none"/>
        </w:rPr>
      </w:pPr>
    </w:p>
    <w:p w14:paraId="27150041">
      <w:pPr>
        <w:pStyle w:val="4"/>
        <w:rPr>
          <w:rFonts w:hint="eastAsia" w:ascii="宋体" w:hAnsi="宋体" w:eastAsia="宋体" w:cs="宋体"/>
          <w:color w:val="auto"/>
          <w:szCs w:val="21"/>
          <w:highlight w:val="none"/>
        </w:rPr>
      </w:pPr>
    </w:p>
    <w:bookmarkEnd w:id="0"/>
    <w:bookmarkEnd w:id="1"/>
    <w:p w14:paraId="6BBFCBDA">
      <w:pPr>
        <w:pStyle w:val="4"/>
        <w:spacing w:before="120" w:beforeLines="50" w:after="360" w:afterLines="150"/>
        <w:ind w:firstLine="0"/>
        <w:jc w:val="center"/>
        <w:rPr>
          <w:rFonts w:hint="eastAsia" w:ascii="宋体" w:hAnsi="宋体" w:eastAsia="宋体" w:cs="宋体"/>
          <w:b/>
          <w:color w:val="auto"/>
          <w:kern w:val="44"/>
          <w:sz w:val="44"/>
          <w:szCs w:val="44"/>
          <w:highlight w:val="none"/>
        </w:rPr>
        <w:sectPr>
          <w:footerReference r:id="rId8" w:type="default"/>
          <w:pgSz w:w="11911" w:h="16838"/>
          <w:pgMar w:top="1417" w:right="1134" w:bottom="1417" w:left="1134" w:header="873" w:footer="1485" w:gutter="0"/>
          <w:pgNumType w:fmt="decimal" w:start="50"/>
          <w:cols w:space="0" w:num="1"/>
          <w:rtlGutter w:val="0"/>
          <w:docGrid w:linePitch="0" w:charSpace="0"/>
        </w:sectPr>
      </w:pPr>
    </w:p>
    <w:p w14:paraId="0E9C0A0E">
      <w:pPr>
        <w:pStyle w:val="4"/>
        <w:pageBreakBefore w:val="0"/>
        <w:widowControl w:val="0"/>
        <w:kinsoku/>
        <w:wordWrap/>
        <w:overflowPunct/>
        <w:topLinePunct w:val="0"/>
        <w:bidi w:val="0"/>
        <w:snapToGrid/>
        <w:spacing w:line="480" w:lineRule="exact"/>
        <w:ind w:firstLine="0"/>
        <w:jc w:val="center"/>
        <w:textAlignment w:val="auto"/>
        <w:rPr>
          <w:rFonts w:hint="eastAsia" w:ascii="宋体" w:hAnsi="宋体" w:eastAsia="宋体" w:cs="宋体"/>
          <w:color w:val="auto"/>
          <w:highlight w:val="none"/>
        </w:rPr>
      </w:pPr>
      <w:r>
        <w:rPr>
          <w:rFonts w:hint="eastAsia" w:ascii="宋体" w:hAnsi="宋体" w:eastAsia="宋体" w:cs="宋体"/>
          <w:b/>
          <w:color w:val="auto"/>
          <w:kern w:val="44"/>
          <w:sz w:val="44"/>
          <w:szCs w:val="44"/>
          <w:highlight w:val="none"/>
        </w:rPr>
        <w:t>第一</w:t>
      </w:r>
      <w:r>
        <w:rPr>
          <w:rFonts w:hint="eastAsia" w:ascii="宋体" w:hAnsi="宋体" w:eastAsia="宋体" w:cs="宋体"/>
          <w:b/>
          <w:color w:val="auto"/>
          <w:sz w:val="44"/>
          <w:szCs w:val="44"/>
          <w:highlight w:val="none"/>
        </w:rPr>
        <w:t>章</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招标公告</w:t>
      </w:r>
    </w:p>
    <w:p w14:paraId="4040BCD6">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宋体" w:hAnsi="宋体" w:eastAsia="宋体" w:cs="宋体"/>
          <w:b w:val="0"/>
          <w:bCs/>
          <w:color w:val="auto"/>
          <w:sz w:val="32"/>
          <w:szCs w:val="32"/>
          <w:highlight w:val="none"/>
          <w:lang w:eastAsia="zh-CN"/>
        </w:rPr>
      </w:pPr>
      <w:bookmarkStart w:id="2" w:name="_Toc6170"/>
      <w:bookmarkStart w:id="3" w:name="_Toc213396945"/>
      <w:bookmarkStart w:id="4" w:name="_Toc213396759"/>
      <w:bookmarkStart w:id="5" w:name="_Toc217446031"/>
      <w:bookmarkStart w:id="6" w:name="_Toc213397009"/>
      <w:bookmarkStart w:id="7" w:name="_Toc213496267"/>
      <w:bookmarkStart w:id="8" w:name="_Toc89075871"/>
      <w:bookmarkStart w:id="9" w:name="_Toc77400776"/>
      <w:bookmarkStart w:id="10" w:name="_Toc183682339"/>
      <w:bookmarkStart w:id="11" w:name="_Toc183582202"/>
      <w:r>
        <w:rPr>
          <w:rFonts w:hint="eastAsia" w:ascii="宋体" w:hAnsi="宋体" w:cs="宋体"/>
          <w:b/>
          <w:bCs w:val="0"/>
          <w:color w:val="auto"/>
          <w:sz w:val="32"/>
          <w:szCs w:val="32"/>
          <w:highlight w:val="none"/>
          <w:lang w:eastAsia="zh-CN"/>
        </w:rPr>
        <w:t>伊宁市某局2026年ZB采购项目</w:t>
      </w:r>
      <w:r>
        <w:rPr>
          <w:rFonts w:hint="eastAsia" w:ascii="宋体" w:hAnsi="宋体" w:eastAsia="宋体" w:cs="宋体"/>
          <w:b/>
          <w:bCs w:val="0"/>
          <w:color w:val="auto"/>
          <w:sz w:val="32"/>
          <w:szCs w:val="32"/>
          <w:highlight w:val="none"/>
          <w:lang w:val="en-US" w:eastAsia="zh-CN"/>
        </w:rPr>
        <w:t>公开招标公告</w:t>
      </w:r>
      <w:bookmarkEnd w:id="2"/>
    </w:p>
    <w:p w14:paraId="7F6298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项目概况</w:t>
      </w:r>
    </w:p>
    <w:p w14:paraId="491BB01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single"/>
          <w:lang w:eastAsia="zh-CN"/>
        </w:rPr>
        <w:t>伊宁市某局2026年ZB采购项目</w:t>
      </w:r>
      <w:r>
        <w:rPr>
          <w:rFonts w:hint="eastAsia" w:ascii="宋体" w:hAnsi="宋体" w:eastAsia="宋体" w:cs="宋体"/>
          <w:i w:val="0"/>
          <w:iCs w:val="0"/>
          <w:color w:val="auto"/>
          <w:sz w:val="24"/>
          <w:szCs w:val="24"/>
          <w:highlight w:val="none"/>
          <w:u w:val="none"/>
          <w:lang w:eastAsia="zh-CN"/>
        </w:rPr>
        <w:t>的潜在投标人应在政采云平台线上获取招标文件，并于</w:t>
      </w:r>
      <w:r>
        <w:rPr>
          <w:rFonts w:hint="eastAsia" w:ascii="宋体" w:hAnsi="宋体" w:eastAsia="宋体" w:cs="宋体"/>
          <w:i w:val="0"/>
          <w:iCs w:val="0"/>
          <w:color w:val="auto"/>
          <w:sz w:val="24"/>
          <w:szCs w:val="24"/>
          <w:highlight w:val="none"/>
          <w:u w:val="single"/>
          <w:lang w:eastAsia="zh-CN"/>
        </w:rPr>
        <w:t>2026年0</w:t>
      </w:r>
      <w:r>
        <w:rPr>
          <w:rFonts w:hint="eastAsia" w:ascii="宋体" w:hAnsi="宋体" w:eastAsia="宋体"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lang w:eastAsia="zh-CN"/>
        </w:rPr>
        <w:t>月</w:t>
      </w:r>
      <w:r>
        <w:rPr>
          <w:rFonts w:hint="eastAsia" w:ascii="宋体" w:hAnsi="宋体" w:cs="宋体"/>
          <w:i w:val="0"/>
          <w:iCs w:val="0"/>
          <w:color w:val="auto"/>
          <w:sz w:val="24"/>
          <w:szCs w:val="24"/>
          <w:highlight w:val="none"/>
          <w:u w:val="single"/>
          <w:lang w:val="en-US" w:eastAsia="zh-CN"/>
        </w:rPr>
        <w:t>08</w:t>
      </w:r>
      <w:r>
        <w:rPr>
          <w:rFonts w:hint="eastAsia" w:ascii="宋体" w:hAnsi="宋体" w:eastAsia="宋体" w:cs="宋体"/>
          <w:i w:val="0"/>
          <w:iCs w:val="0"/>
          <w:color w:val="auto"/>
          <w:sz w:val="24"/>
          <w:szCs w:val="24"/>
          <w:highlight w:val="none"/>
          <w:u w:val="single"/>
          <w:lang w:eastAsia="zh-CN"/>
        </w:rPr>
        <w:t>日1</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eastAsia="zh-CN"/>
        </w:rPr>
        <w:t>:00</w:t>
      </w:r>
      <w:r>
        <w:rPr>
          <w:rFonts w:hint="eastAsia" w:ascii="宋体" w:hAnsi="宋体" w:eastAsia="宋体" w:cs="宋体"/>
          <w:i w:val="0"/>
          <w:iCs w:val="0"/>
          <w:color w:val="auto"/>
          <w:sz w:val="24"/>
          <w:szCs w:val="24"/>
          <w:highlight w:val="none"/>
          <w:u w:val="none"/>
          <w:lang w:eastAsia="zh-CN"/>
        </w:rPr>
        <w:t>（北京时间）前递交投标文件。</w:t>
      </w:r>
    </w:p>
    <w:p w14:paraId="26281A2D">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12" w:name="_Toc35393790"/>
      <w:bookmarkStart w:id="13" w:name="_Toc35393621"/>
      <w:bookmarkStart w:id="14" w:name="_Toc28359079"/>
      <w:bookmarkStart w:id="15" w:name="_Toc28359002"/>
      <w:bookmarkStart w:id="16" w:name="_Toc11636"/>
      <w:bookmarkStart w:id="17" w:name="_Hlk24379207"/>
      <w:r>
        <w:rPr>
          <w:rFonts w:hint="eastAsia" w:ascii="宋体" w:hAnsi="宋体" w:eastAsia="宋体" w:cs="宋体"/>
          <w:b/>
          <w:bCs w:val="0"/>
          <w:i w:val="0"/>
          <w:iCs w:val="0"/>
          <w:color w:val="auto"/>
          <w:sz w:val="24"/>
          <w:szCs w:val="24"/>
          <w:highlight w:val="none"/>
        </w:rPr>
        <w:t>一、项目基本情况</w:t>
      </w:r>
      <w:bookmarkEnd w:id="12"/>
      <w:bookmarkEnd w:id="13"/>
      <w:bookmarkEnd w:id="14"/>
      <w:bookmarkEnd w:id="15"/>
      <w:bookmarkEnd w:id="16"/>
    </w:p>
    <w:p w14:paraId="72D9AE2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eastAsia="zh-CN"/>
        </w:rPr>
        <w:t>项目编号：</w:t>
      </w:r>
      <w:r>
        <w:rPr>
          <w:rFonts w:hint="eastAsia" w:ascii="宋体" w:hAnsi="宋体" w:eastAsia="宋体" w:cs="宋体"/>
          <w:b w:val="0"/>
          <w:bCs w:val="0"/>
          <w:i w:val="0"/>
          <w:iCs w:val="0"/>
          <w:color w:val="auto"/>
          <w:sz w:val="24"/>
          <w:szCs w:val="24"/>
          <w:highlight w:val="none"/>
          <w:u w:val="none"/>
          <w:lang w:eastAsia="zh-CN"/>
        </w:rPr>
        <w:t>XJCRZCG-2026088</w:t>
      </w:r>
    </w:p>
    <w:p w14:paraId="787AD06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rPr>
        <w:t>项目名称：</w:t>
      </w:r>
      <w:r>
        <w:rPr>
          <w:rFonts w:hint="eastAsia" w:ascii="宋体" w:hAnsi="宋体" w:cs="宋体"/>
          <w:b w:val="0"/>
          <w:bCs w:val="0"/>
          <w:i w:val="0"/>
          <w:iCs w:val="0"/>
          <w:color w:val="auto"/>
          <w:sz w:val="24"/>
          <w:szCs w:val="24"/>
          <w:highlight w:val="none"/>
          <w:u w:val="none"/>
          <w:lang w:val="en-US" w:eastAsia="zh-CN"/>
        </w:rPr>
        <w:t>伊宁市某局2026年ZB采购项目</w:t>
      </w:r>
    </w:p>
    <w:bookmarkEnd w:id="17"/>
    <w:p w14:paraId="74E85A94">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公开招标</w:t>
      </w:r>
    </w:p>
    <w:p w14:paraId="1B4D1AD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i w:val="0"/>
          <w:iCs w:val="0"/>
          <w:color w:val="auto"/>
          <w:sz w:val="24"/>
          <w:szCs w:val="24"/>
          <w:highlight w:val="none"/>
          <w:lang w:val="en-US" w:eastAsia="zh-CN"/>
        </w:rPr>
      </w:pPr>
      <w:bookmarkStart w:id="18" w:name="_Toc35393622"/>
      <w:bookmarkStart w:id="19" w:name="_Toc35393791"/>
      <w:bookmarkStart w:id="20" w:name="_Toc28359003"/>
      <w:bookmarkStart w:id="21" w:name="_Toc28359080"/>
      <w:r>
        <w:rPr>
          <w:rFonts w:hint="eastAsia" w:ascii="宋体" w:hAnsi="宋体" w:eastAsia="宋体" w:cs="宋体"/>
          <w:b/>
          <w:bCs/>
          <w:i w:val="0"/>
          <w:iCs w:val="0"/>
          <w:color w:val="auto"/>
          <w:sz w:val="24"/>
          <w:szCs w:val="24"/>
          <w:highlight w:val="none"/>
        </w:rPr>
        <w:t>预算金额：</w:t>
      </w:r>
      <w:r>
        <w:rPr>
          <w:rFonts w:hint="eastAsia" w:ascii="宋体" w:hAnsi="宋体" w:eastAsia="宋体" w:cs="宋体"/>
          <w:b w:val="0"/>
          <w:bCs w:val="0"/>
          <w:i w:val="0"/>
          <w:iCs w:val="0"/>
          <w:color w:val="auto"/>
          <w:sz w:val="24"/>
          <w:szCs w:val="24"/>
          <w:highlight w:val="none"/>
          <w:lang w:val="en-US" w:eastAsia="zh-CN"/>
        </w:rPr>
        <w:t>2964000.00</w:t>
      </w:r>
      <w:r>
        <w:rPr>
          <w:rFonts w:hint="eastAsia" w:ascii="宋体" w:hAnsi="宋体" w:eastAsia="宋体" w:cs="宋体"/>
          <w:i w:val="0"/>
          <w:iCs w:val="0"/>
          <w:color w:val="auto"/>
          <w:sz w:val="24"/>
          <w:szCs w:val="24"/>
          <w:highlight w:val="none"/>
          <w:lang w:val="en-US" w:eastAsia="zh-CN"/>
        </w:rPr>
        <w:t>元；</w:t>
      </w:r>
    </w:p>
    <w:p w14:paraId="0A3DECFD">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lang w:val="en-US"/>
        </w:rPr>
      </w:pPr>
      <w:r>
        <w:rPr>
          <w:rFonts w:hint="eastAsia" w:ascii="宋体" w:hAnsi="宋体" w:eastAsia="宋体" w:cs="宋体"/>
          <w:b/>
          <w:bCs/>
          <w:i w:val="0"/>
          <w:iCs w:val="0"/>
          <w:color w:val="auto"/>
          <w:sz w:val="24"/>
          <w:szCs w:val="24"/>
          <w:highlight w:val="none"/>
        </w:rPr>
        <w:t>最高限价：</w:t>
      </w:r>
      <w:r>
        <w:rPr>
          <w:rFonts w:hint="eastAsia" w:ascii="宋体" w:hAnsi="宋体" w:eastAsia="宋体" w:cs="宋体"/>
          <w:b w:val="0"/>
          <w:bCs w:val="0"/>
          <w:i w:val="0"/>
          <w:iCs w:val="0"/>
          <w:color w:val="auto"/>
          <w:sz w:val="24"/>
          <w:szCs w:val="24"/>
          <w:highlight w:val="none"/>
        </w:rPr>
        <w:t>2964000</w:t>
      </w:r>
      <w:r>
        <w:rPr>
          <w:rFonts w:hint="eastAsia" w:ascii="宋体" w:hAnsi="宋体" w:eastAsia="宋体" w:cs="宋体"/>
          <w:b w:val="0"/>
          <w:bCs w:val="0"/>
          <w:i w:val="0"/>
          <w:iCs w:val="0"/>
          <w:color w:val="auto"/>
          <w:sz w:val="24"/>
          <w:szCs w:val="24"/>
          <w:highlight w:val="none"/>
          <w:lang w:val="en-US" w:eastAsia="zh-CN"/>
        </w:rPr>
        <w:t>.00</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b w:val="0"/>
          <w:bCs w:val="0"/>
          <w:color w:val="auto"/>
          <w:sz w:val="24"/>
          <w:szCs w:val="24"/>
          <w:highlight w:val="none"/>
          <w:vertAlign w:val="baseline"/>
          <w:lang w:val="en-US" w:eastAsia="zh-CN"/>
        </w:rPr>
        <w:t>；</w:t>
      </w:r>
    </w:p>
    <w:p w14:paraId="658BCD5A">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采购需求：</w:t>
      </w:r>
      <w:r>
        <w:rPr>
          <w:rFonts w:hint="eastAsia" w:ascii="宋体" w:hAnsi="宋体" w:eastAsia="宋体" w:cs="宋体"/>
          <w:b w:val="0"/>
          <w:bCs w:val="0"/>
          <w:i w:val="0"/>
          <w:iCs w:val="0"/>
          <w:color w:val="auto"/>
          <w:sz w:val="24"/>
          <w:szCs w:val="24"/>
          <w:highlight w:val="none"/>
          <w:lang w:val="en-US" w:eastAsia="zh-CN"/>
        </w:rPr>
        <w:t>采购1批设备，具体内容详见招标文件</w:t>
      </w:r>
      <w:r>
        <w:rPr>
          <w:rFonts w:hint="eastAsia" w:ascii="宋体" w:hAnsi="宋体" w:cs="宋体"/>
          <w:b w:val="0"/>
          <w:bCs w:val="0"/>
          <w:i w:val="0"/>
          <w:iCs w:val="0"/>
          <w:color w:val="auto"/>
          <w:sz w:val="24"/>
          <w:szCs w:val="24"/>
          <w:highlight w:val="none"/>
          <w:lang w:val="en-US" w:eastAsia="zh-CN"/>
        </w:rPr>
        <w:t>；</w:t>
      </w:r>
    </w:p>
    <w:p w14:paraId="3D3621AB">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自合同签订之日起15个日历日内完成供货及验收</w:t>
      </w:r>
      <w:r>
        <w:rPr>
          <w:rFonts w:hint="eastAsia" w:ascii="宋体" w:hAnsi="宋体" w:cs="宋体"/>
          <w:color w:val="auto"/>
          <w:sz w:val="24"/>
          <w:szCs w:val="24"/>
          <w:highlight w:val="none"/>
          <w:lang w:eastAsia="zh-CN"/>
        </w:rPr>
        <w:t>。</w:t>
      </w:r>
    </w:p>
    <w:p w14:paraId="52CA583B">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本项目</w:t>
      </w:r>
      <w:r>
        <w:rPr>
          <w:rFonts w:hint="eastAsia" w:ascii="宋体" w:hAnsi="宋体" w:eastAsia="宋体" w:cs="宋体"/>
          <w:b w:val="0"/>
          <w:bCs w:val="0"/>
          <w:i w:val="0"/>
          <w:iCs w:val="0"/>
          <w:color w:val="auto"/>
          <w:sz w:val="24"/>
          <w:szCs w:val="24"/>
          <w:highlight w:val="none"/>
          <w:lang w:val="en-US" w:eastAsia="zh-CN"/>
        </w:rPr>
        <w:t>不</w:t>
      </w:r>
      <w:r>
        <w:rPr>
          <w:rFonts w:hint="eastAsia" w:ascii="宋体" w:hAnsi="宋体" w:eastAsia="宋体" w:cs="宋体"/>
          <w:b w:val="0"/>
          <w:bCs w:val="0"/>
          <w:i w:val="0"/>
          <w:iCs w:val="0"/>
          <w:color w:val="auto"/>
          <w:sz w:val="24"/>
          <w:szCs w:val="24"/>
          <w:highlight w:val="none"/>
        </w:rPr>
        <w:t>接受联合体。</w:t>
      </w:r>
    </w:p>
    <w:p w14:paraId="436AA244">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22" w:name="_Toc1559"/>
      <w:r>
        <w:rPr>
          <w:rFonts w:hint="eastAsia" w:ascii="宋体" w:hAnsi="宋体" w:eastAsia="宋体" w:cs="宋体"/>
          <w:b/>
          <w:bCs w:val="0"/>
          <w:i w:val="0"/>
          <w:iCs w:val="0"/>
          <w:color w:val="auto"/>
          <w:sz w:val="24"/>
          <w:szCs w:val="24"/>
          <w:highlight w:val="none"/>
        </w:rPr>
        <w:t>二、申请人的资格要求：</w:t>
      </w:r>
      <w:bookmarkEnd w:id="18"/>
      <w:bookmarkEnd w:id="19"/>
      <w:bookmarkEnd w:id="20"/>
      <w:bookmarkEnd w:id="21"/>
      <w:bookmarkEnd w:id="22"/>
    </w:p>
    <w:p w14:paraId="1EB86372">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bCs/>
          <w:i w:val="0"/>
          <w:iCs w:val="0"/>
          <w:color w:val="auto"/>
          <w:sz w:val="24"/>
          <w:szCs w:val="24"/>
          <w:highlight w:val="none"/>
          <w:u w:val="none"/>
        </w:rPr>
      </w:pPr>
      <w:bookmarkStart w:id="23" w:name="_Toc28359081"/>
      <w:bookmarkStart w:id="24" w:name="_Toc28359004"/>
      <w:r>
        <w:rPr>
          <w:rFonts w:hint="eastAsia" w:ascii="宋体" w:hAnsi="宋体" w:eastAsia="宋体" w:cs="宋体"/>
          <w:b/>
          <w:bCs/>
          <w:i w:val="0"/>
          <w:iCs w:val="0"/>
          <w:color w:val="auto"/>
          <w:sz w:val="24"/>
          <w:szCs w:val="24"/>
          <w:highlight w:val="none"/>
          <w:u w:val="none"/>
        </w:rPr>
        <w:t>1.满足《中华人民共和国政府采购法》第二十二条规定；</w:t>
      </w:r>
    </w:p>
    <w:p w14:paraId="3181B9E1">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rPr>
        <w:t>2.落实政府采购政策需满足的资格要求：</w:t>
      </w:r>
      <w:r>
        <w:rPr>
          <w:rFonts w:hint="eastAsia" w:ascii="宋体" w:hAnsi="宋体" w:eastAsia="宋体" w:cs="宋体"/>
          <w:b w:val="0"/>
          <w:bCs w:val="0"/>
          <w:i w:val="0"/>
          <w:iCs w:val="0"/>
          <w:color w:val="auto"/>
          <w:sz w:val="24"/>
          <w:szCs w:val="24"/>
          <w:highlight w:val="none"/>
          <w:u w:val="none"/>
        </w:rPr>
        <w:t>本项目专门面向中小企业</w:t>
      </w:r>
      <w:r>
        <w:rPr>
          <w:rFonts w:hint="eastAsia" w:ascii="宋体" w:hAnsi="宋体" w:eastAsia="宋体" w:cs="宋体"/>
          <w:b w:val="0"/>
          <w:bCs w:val="0"/>
          <w:i w:val="0"/>
          <w:iCs w:val="0"/>
          <w:color w:val="auto"/>
          <w:sz w:val="24"/>
          <w:szCs w:val="24"/>
          <w:highlight w:val="none"/>
          <w:u w:val="none"/>
          <w:lang w:eastAsia="zh-CN"/>
        </w:rPr>
        <w:t>；</w:t>
      </w:r>
    </w:p>
    <w:p w14:paraId="00A055DE">
      <w:pPr>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rPr>
        <w:t>3.本项目的特定资格要求：</w:t>
      </w:r>
      <w:r>
        <w:rPr>
          <w:rFonts w:hint="eastAsia" w:ascii="宋体" w:hAnsi="宋体" w:eastAsia="宋体" w:cs="宋体"/>
          <w:b w:val="0"/>
          <w:bCs w:val="0"/>
          <w:i w:val="0"/>
          <w:iCs w:val="0"/>
          <w:color w:val="auto"/>
          <w:sz w:val="24"/>
          <w:szCs w:val="24"/>
          <w:highlight w:val="none"/>
          <w:u w:val="none"/>
          <w:lang w:val="en-US" w:eastAsia="zh-CN"/>
        </w:rPr>
        <w:t>无。</w:t>
      </w:r>
    </w:p>
    <w:p w14:paraId="5CBBBCBF">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25" w:name="_Toc35393623"/>
      <w:bookmarkStart w:id="26" w:name="_Toc35393792"/>
      <w:bookmarkStart w:id="27" w:name="_Toc6535"/>
      <w:r>
        <w:rPr>
          <w:rFonts w:hint="eastAsia" w:ascii="宋体" w:hAnsi="宋体" w:eastAsia="宋体" w:cs="宋体"/>
          <w:b/>
          <w:bCs w:val="0"/>
          <w:i w:val="0"/>
          <w:iCs w:val="0"/>
          <w:color w:val="auto"/>
          <w:sz w:val="24"/>
          <w:szCs w:val="24"/>
          <w:highlight w:val="none"/>
        </w:rPr>
        <w:t>三、获取招标文件</w:t>
      </w:r>
      <w:bookmarkEnd w:id="23"/>
      <w:bookmarkEnd w:id="24"/>
      <w:bookmarkEnd w:id="25"/>
      <w:bookmarkEnd w:id="26"/>
      <w:bookmarkEnd w:id="27"/>
    </w:p>
    <w:p w14:paraId="6546023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时间：</w:t>
      </w:r>
      <w:r>
        <w:rPr>
          <w:rFonts w:hint="eastAsia" w:ascii="宋体" w:hAnsi="宋体" w:eastAsia="宋体"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06</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18</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eastAsia="zh-CN"/>
        </w:rPr>
        <w:t>06</w:t>
      </w:r>
      <w:r>
        <w:rPr>
          <w:rFonts w:hint="eastAsia" w:ascii="宋体" w:hAnsi="宋体" w:eastAsia="宋体" w:cs="宋体"/>
          <w:i w:val="0"/>
          <w:iCs w:val="0"/>
          <w:color w:val="auto"/>
          <w:sz w:val="24"/>
          <w:szCs w:val="24"/>
          <w:highlight w:val="none"/>
          <w:u w:val="single"/>
        </w:rPr>
        <w:t>月</w:t>
      </w:r>
      <w:r>
        <w:rPr>
          <w:rFonts w:hint="eastAsia" w:ascii="宋体" w:hAnsi="宋体" w:cs="宋体"/>
          <w:i w:val="0"/>
          <w:iCs w:val="0"/>
          <w:color w:val="auto"/>
          <w:sz w:val="24"/>
          <w:szCs w:val="24"/>
          <w:highlight w:val="none"/>
          <w:u w:val="single"/>
          <w:lang w:val="en-US" w:eastAsia="zh-CN"/>
        </w:rPr>
        <w:t>26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lang w:val="en-US" w:eastAsia="zh-CN"/>
        </w:rPr>
        <w:t>0:00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cs="宋体"/>
          <w:i w:val="0"/>
          <w:iCs w:val="0"/>
          <w:color w:val="auto"/>
          <w:sz w:val="24"/>
          <w:szCs w:val="24"/>
          <w:highlight w:val="none"/>
          <w:u w:val="single"/>
          <w:lang w:val="en-US" w:eastAsia="zh-CN"/>
        </w:rPr>
        <w:t>59</w:t>
      </w:r>
      <w:r>
        <w:rPr>
          <w:rFonts w:hint="eastAsia" w:ascii="宋体" w:hAnsi="宋体" w:eastAsia="宋体" w:cs="宋体"/>
          <w:i w:val="0"/>
          <w:iCs w:val="0"/>
          <w:color w:val="auto"/>
          <w:sz w:val="24"/>
          <w:szCs w:val="24"/>
          <w:highlight w:val="none"/>
        </w:rPr>
        <w:t>（北京时间，法定节假日除外）</w:t>
      </w:r>
    </w:p>
    <w:p w14:paraId="275AC5FE">
      <w:pPr>
        <w:pageBreakBefore w:val="0"/>
        <w:widowControl w:val="0"/>
        <w:kinsoku/>
        <w:wordWrap/>
        <w:overflowPunct/>
        <w:topLinePunct w:val="0"/>
        <w:autoSpaceDE/>
        <w:autoSpaceDN/>
        <w:bidi w:val="0"/>
        <w:adjustRightInd/>
        <w:snapToGrid/>
        <w:spacing w:beforeAutospacing="0" w:afterAutospacing="0" w:line="480" w:lineRule="exact"/>
        <w:ind w:left="0" w:leftChars="0" w:firstLine="482" w:firstLineChars="200"/>
        <w:textAlignment w:val="auto"/>
        <w:rPr>
          <w:rFonts w:hint="eastAsia" w:ascii="宋体" w:hAnsi="宋体" w:eastAsia="宋体" w:cs="宋体"/>
          <w:i w:val="0"/>
          <w:iCs w:val="0"/>
          <w:color w:val="auto"/>
          <w:sz w:val="24"/>
          <w:szCs w:val="24"/>
          <w:highlight w:val="none"/>
          <w:u w:val="single"/>
          <w:lang w:val="en-US" w:eastAsia="zh-CN"/>
        </w:rPr>
      </w:pPr>
      <w:bookmarkStart w:id="28" w:name="_Toc28359005"/>
      <w:bookmarkStart w:id="29" w:name="_Toc28359082"/>
      <w:bookmarkStart w:id="30" w:name="_Toc35393624"/>
      <w:bookmarkStart w:id="31" w:name="_Toc35393793"/>
      <w:r>
        <w:rPr>
          <w:rFonts w:hint="eastAsia" w:ascii="宋体" w:hAnsi="宋体" w:eastAsia="宋体" w:cs="宋体"/>
          <w:b/>
          <w:bCs/>
          <w:i w:val="0"/>
          <w:iCs w:val="0"/>
          <w:color w:val="auto"/>
          <w:sz w:val="24"/>
          <w:szCs w:val="24"/>
          <w:highlight w:val="none"/>
        </w:rPr>
        <w:t>地点：</w:t>
      </w:r>
      <w:r>
        <w:rPr>
          <w:rFonts w:hint="eastAsia" w:ascii="宋体" w:hAnsi="宋体" w:eastAsia="宋体" w:cs="宋体"/>
          <w:b w:val="0"/>
          <w:bCs w:val="0"/>
          <w:i w:val="0"/>
          <w:iCs w:val="0"/>
          <w:color w:val="auto"/>
          <w:sz w:val="24"/>
          <w:szCs w:val="24"/>
          <w:highlight w:val="none"/>
        </w:rPr>
        <w:t>政采云系统平台（https://www.zcygov.cn/）</w:t>
      </w:r>
    </w:p>
    <w:p w14:paraId="1196A496">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rPr>
        <w:t>方式</w:t>
      </w:r>
      <w:r>
        <w:rPr>
          <w:rFonts w:hint="eastAsia" w:ascii="宋体" w:hAnsi="宋体" w:eastAsia="宋体" w:cs="宋体"/>
          <w:b w:val="0"/>
          <w:bCs w:val="0"/>
          <w:i w:val="0"/>
          <w:iCs w:val="0"/>
          <w:color w:val="auto"/>
          <w:sz w:val="24"/>
          <w:szCs w:val="24"/>
          <w:highlight w:val="none"/>
        </w:rPr>
        <w:t>：投标人</w:t>
      </w:r>
      <w:r>
        <w:rPr>
          <w:rFonts w:hint="eastAsia" w:ascii="宋体" w:hAnsi="宋体" w:eastAsia="宋体" w:cs="宋体"/>
          <w:b w:val="0"/>
          <w:bCs w:val="0"/>
          <w:i w:val="0"/>
          <w:iCs w:val="0"/>
          <w:color w:val="auto"/>
          <w:sz w:val="24"/>
          <w:szCs w:val="24"/>
          <w:highlight w:val="none"/>
          <w:lang w:eastAsia="zh-CN"/>
        </w:rPr>
        <w:t>登录政采云平台https://www.zcygov.cn/在线申请获取采购文件（进入“项目采购”应用，在获取采购文件菜单中选择项目，申请获取采购文件），或者点击采购公告底部潜在投标人“获取采购文件”，页面跳转后登录，直接获取采购文件。</w:t>
      </w:r>
    </w:p>
    <w:p w14:paraId="1A55F054">
      <w:pPr>
        <w:pStyle w:val="3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售价：</w:t>
      </w:r>
      <w:r>
        <w:rPr>
          <w:rFonts w:hint="eastAsia" w:ascii="宋体" w:hAnsi="宋体" w:eastAsia="宋体" w:cs="宋体"/>
          <w:i w:val="0"/>
          <w:iCs w:val="0"/>
          <w:color w:val="auto"/>
          <w:sz w:val="24"/>
          <w:szCs w:val="24"/>
          <w:highlight w:val="none"/>
        </w:rPr>
        <w:t>0元</w:t>
      </w:r>
    </w:p>
    <w:p w14:paraId="22A6AF4A">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32" w:name="_Toc4322"/>
      <w:r>
        <w:rPr>
          <w:rFonts w:hint="eastAsia" w:ascii="宋体" w:hAnsi="宋体" w:eastAsia="宋体" w:cs="宋体"/>
          <w:b/>
          <w:bCs w:val="0"/>
          <w:i w:val="0"/>
          <w:iCs w:val="0"/>
          <w:color w:val="auto"/>
          <w:sz w:val="24"/>
          <w:szCs w:val="24"/>
          <w:highlight w:val="none"/>
        </w:rPr>
        <w:t>四、提交投标文件</w:t>
      </w:r>
      <w:bookmarkEnd w:id="28"/>
      <w:bookmarkEnd w:id="29"/>
      <w:r>
        <w:rPr>
          <w:rFonts w:hint="eastAsia" w:ascii="宋体" w:hAnsi="宋体" w:eastAsia="宋体" w:cs="宋体"/>
          <w:b/>
          <w:bCs w:val="0"/>
          <w:i w:val="0"/>
          <w:iCs w:val="0"/>
          <w:color w:val="auto"/>
          <w:sz w:val="24"/>
          <w:szCs w:val="24"/>
          <w:highlight w:val="none"/>
        </w:rPr>
        <w:t>截止时间、开标时间和地点</w:t>
      </w:r>
      <w:bookmarkEnd w:id="30"/>
      <w:bookmarkEnd w:id="31"/>
      <w:bookmarkEnd w:id="32"/>
    </w:p>
    <w:p w14:paraId="199129C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提交投标文件截止时间：</w:t>
      </w:r>
      <w:r>
        <w:rPr>
          <w:rFonts w:hint="eastAsia" w:ascii="宋体" w:hAnsi="宋体" w:eastAsia="宋体" w:cs="宋体"/>
          <w:color w:val="auto"/>
          <w:kern w:val="2"/>
          <w:sz w:val="24"/>
          <w:szCs w:val="24"/>
          <w:highlight w:val="none"/>
          <w:u w:val="single"/>
          <w:lang w:val="en-US" w:eastAsia="zh-CN" w:bidi="ar-SA"/>
        </w:rPr>
        <w:t>2026年07月</w:t>
      </w:r>
      <w:r>
        <w:rPr>
          <w:rFonts w:hint="eastAsia" w:ascii="宋体" w:hAnsi="宋体" w:cs="宋体"/>
          <w:color w:val="auto"/>
          <w:kern w:val="2"/>
          <w:sz w:val="24"/>
          <w:szCs w:val="24"/>
          <w:highlight w:val="none"/>
          <w:u w:val="single"/>
          <w:lang w:val="en-US" w:eastAsia="zh-CN" w:bidi="ar-SA"/>
        </w:rPr>
        <w:t>08</w:t>
      </w:r>
      <w:r>
        <w:rPr>
          <w:rFonts w:hint="eastAsia" w:ascii="宋体" w:hAnsi="宋体" w:eastAsia="宋体" w:cs="宋体"/>
          <w:color w:val="auto"/>
          <w:kern w:val="2"/>
          <w:sz w:val="24"/>
          <w:szCs w:val="24"/>
          <w:highlight w:val="none"/>
          <w:u w:val="single"/>
          <w:lang w:val="en-US" w:eastAsia="zh-CN" w:bidi="ar-SA"/>
        </w:rPr>
        <w:t>日1</w:t>
      </w:r>
      <w:r>
        <w:rPr>
          <w:rFonts w:hint="eastAsia" w:ascii="宋体" w:hAnsi="宋体" w:cs="宋体"/>
          <w:color w:val="auto"/>
          <w:kern w:val="2"/>
          <w:sz w:val="24"/>
          <w:szCs w:val="24"/>
          <w:highlight w:val="none"/>
          <w:u w:val="single"/>
          <w:lang w:val="en-US" w:eastAsia="zh-CN" w:bidi="ar-SA"/>
        </w:rPr>
        <w:t>6</w:t>
      </w:r>
      <w:r>
        <w:rPr>
          <w:rFonts w:hint="eastAsia" w:ascii="宋体" w:hAnsi="宋体" w:eastAsia="宋体" w:cs="宋体"/>
          <w:color w:val="auto"/>
          <w:kern w:val="2"/>
          <w:sz w:val="24"/>
          <w:szCs w:val="24"/>
          <w:highlight w:val="none"/>
          <w:u w:val="single"/>
          <w:lang w:val="en-US" w:eastAsia="zh-CN" w:bidi="ar-SA"/>
        </w:rPr>
        <w:t>点00分（北京时间）</w:t>
      </w:r>
    </w:p>
    <w:p w14:paraId="4F43D4F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投标地点：政采云平台客户端投标</w:t>
      </w:r>
    </w:p>
    <w:p w14:paraId="3FACC47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开标时间：</w:t>
      </w:r>
      <w:r>
        <w:rPr>
          <w:rFonts w:hint="eastAsia" w:ascii="宋体" w:hAnsi="宋体" w:eastAsia="宋体" w:cs="宋体"/>
          <w:color w:val="auto"/>
          <w:kern w:val="2"/>
          <w:sz w:val="24"/>
          <w:szCs w:val="24"/>
          <w:highlight w:val="none"/>
          <w:u w:val="single"/>
          <w:lang w:val="en-US" w:eastAsia="zh-CN" w:bidi="ar-SA"/>
        </w:rPr>
        <w:t>2026年07月</w:t>
      </w:r>
      <w:r>
        <w:rPr>
          <w:rFonts w:hint="eastAsia" w:ascii="宋体" w:hAnsi="宋体" w:cs="宋体"/>
          <w:color w:val="auto"/>
          <w:kern w:val="2"/>
          <w:sz w:val="24"/>
          <w:szCs w:val="24"/>
          <w:highlight w:val="none"/>
          <w:u w:val="single"/>
          <w:lang w:val="en-US" w:eastAsia="zh-CN" w:bidi="ar-SA"/>
        </w:rPr>
        <w:t>08</w:t>
      </w:r>
      <w:r>
        <w:rPr>
          <w:rFonts w:hint="eastAsia" w:ascii="宋体" w:hAnsi="宋体" w:eastAsia="宋体" w:cs="宋体"/>
          <w:color w:val="auto"/>
          <w:kern w:val="2"/>
          <w:sz w:val="24"/>
          <w:szCs w:val="24"/>
          <w:highlight w:val="none"/>
          <w:u w:val="single"/>
          <w:lang w:val="en-US" w:eastAsia="zh-CN" w:bidi="ar-SA"/>
        </w:rPr>
        <w:t>日1</w:t>
      </w:r>
      <w:r>
        <w:rPr>
          <w:rFonts w:hint="eastAsia" w:ascii="宋体" w:hAnsi="宋体" w:cs="宋体"/>
          <w:color w:val="auto"/>
          <w:kern w:val="2"/>
          <w:sz w:val="24"/>
          <w:szCs w:val="24"/>
          <w:highlight w:val="none"/>
          <w:u w:val="single"/>
          <w:lang w:val="en-US" w:eastAsia="zh-CN" w:bidi="ar-SA"/>
        </w:rPr>
        <w:t>6</w:t>
      </w:r>
      <w:r>
        <w:rPr>
          <w:rFonts w:hint="eastAsia" w:ascii="宋体" w:hAnsi="宋体" w:eastAsia="宋体" w:cs="宋体"/>
          <w:color w:val="auto"/>
          <w:kern w:val="2"/>
          <w:sz w:val="24"/>
          <w:szCs w:val="24"/>
          <w:highlight w:val="none"/>
          <w:u w:val="single"/>
          <w:lang w:val="en-US" w:eastAsia="zh-CN" w:bidi="ar-SA"/>
        </w:rPr>
        <w:t>点00分（北京时间）</w:t>
      </w:r>
    </w:p>
    <w:p w14:paraId="47CF9CF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开标地点：政采云电子开标大厅</w:t>
      </w:r>
    </w:p>
    <w:p w14:paraId="31C60EF8">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33" w:name="_Toc28359007"/>
      <w:bookmarkStart w:id="34" w:name="_Toc35393794"/>
      <w:bookmarkStart w:id="35" w:name="_Toc35393625"/>
      <w:bookmarkStart w:id="36" w:name="_Toc14524"/>
      <w:bookmarkStart w:id="37" w:name="_Toc28359084"/>
      <w:r>
        <w:rPr>
          <w:rFonts w:hint="eastAsia" w:ascii="宋体" w:hAnsi="宋体" w:eastAsia="宋体" w:cs="宋体"/>
          <w:b/>
          <w:bCs w:val="0"/>
          <w:i w:val="0"/>
          <w:iCs w:val="0"/>
          <w:color w:val="auto"/>
          <w:sz w:val="24"/>
          <w:szCs w:val="24"/>
          <w:highlight w:val="none"/>
        </w:rPr>
        <w:t>五、公告期限</w:t>
      </w:r>
      <w:bookmarkEnd w:id="33"/>
      <w:bookmarkEnd w:id="34"/>
      <w:bookmarkEnd w:id="35"/>
      <w:bookmarkEnd w:id="36"/>
      <w:bookmarkEnd w:id="37"/>
    </w:p>
    <w:p w14:paraId="582578E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自本公告发布之日起5个工作日。</w:t>
      </w:r>
    </w:p>
    <w:p w14:paraId="24F20C48">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38" w:name="_Toc35393626"/>
      <w:bookmarkStart w:id="39" w:name="_Toc28316"/>
      <w:bookmarkStart w:id="40" w:name="_Toc35393795"/>
      <w:r>
        <w:rPr>
          <w:rFonts w:hint="eastAsia" w:ascii="宋体" w:hAnsi="宋体" w:eastAsia="宋体" w:cs="宋体"/>
          <w:b/>
          <w:bCs w:val="0"/>
          <w:i w:val="0"/>
          <w:iCs w:val="0"/>
          <w:color w:val="auto"/>
          <w:sz w:val="24"/>
          <w:szCs w:val="24"/>
          <w:highlight w:val="none"/>
        </w:rPr>
        <w:t>六、其他补充事宜</w:t>
      </w:r>
      <w:bookmarkEnd w:id="38"/>
      <w:bookmarkEnd w:id="39"/>
      <w:bookmarkEnd w:id="40"/>
    </w:p>
    <w:p w14:paraId="00084F89">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eastAsia" w:ascii="宋体" w:hAnsi="宋体" w:eastAsia="宋体" w:cs="宋体"/>
          <w:i w:val="0"/>
          <w:iCs w:val="0"/>
          <w:color w:val="auto"/>
          <w:kern w:val="0"/>
          <w:sz w:val="24"/>
          <w:szCs w:val="24"/>
          <w:highlight w:val="none"/>
        </w:rPr>
      </w:pPr>
      <w:bookmarkStart w:id="41" w:name="_Toc35393796"/>
      <w:bookmarkStart w:id="42" w:name="_Toc28359085"/>
      <w:bookmarkStart w:id="43" w:name="_Toc35393627"/>
      <w:bookmarkStart w:id="44" w:name="_Toc28359008"/>
      <w:r>
        <w:rPr>
          <w:rFonts w:hint="eastAsia" w:ascii="宋体" w:hAnsi="宋体" w:eastAsia="宋体" w:cs="宋体"/>
          <w:i w:val="0"/>
          <w:iCs w:val="0"/>
          <w:color w:val="auto"/>
          <w:kern w:val="0"/>
          <w:sz w:val="24"/>
          <w:szCs w:val="24"/>
          <w:highlight w:val="none"/>
        </w:rPr>
        <w:t>1、本项目实行网上投标，采用电子投标文件；</w:t>
      </w:r>
    </w:p>
    <w:p w14:paraId="7F343696">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2、各投标人应在开标前应确保成为政采云平台</w:t>
      </w:r>
      <w:r>
        <w:rPr>
          <w:rFonts w:hint="eastAsia" w:ascii="宋体" w:hAnsi="宋体" w:eastAsia="宋体" w:cs="宋体"/>
          <w:i w:val="0"/>
          <w:iCs w:val="0"/>
          <w:color w:val="auto"/>
          <w:kern w:val="0"/>
          <w:sz w:val="24"/>
          <w:szCs w:val="24"/>
          <w:highlight w:val="none"/>
          <w:lang w:eastAsia="zh-CN"/>
        </w:rPr>
        <w:t>投标人</w:t>
      </w:r>
      <w:r>
        <w:rPr>
          <w:rFonts w:hint="eastAsia" w:ascii="宋体" w:hAnsi="宋体" w:eastAsia="宋体" w:cs="宋体"/>
          <w:i w:val="0"/>
          <w:iCs w:val="0"/>
          <w:color w:val="auto"/>
          <w:kern w:val="0"/>
          <w:sz w:val="24"/>
          <w:szCs w:val="24"/>
          <w:highlight w:val="none"/>
        </w:rPr>
        <w:t>，并完成CA数字证书（符合国密标准）申领。因未注册入库、未办理CA数字证书等原因造成无法投标或投标失败等后果由投标人自行承担。有意向参与区域电子开评标的</w:t>
      </w:r>
      <w:r>
        <w:rPr>
          <w:rFonts w:hint="eastAsia" w:ascii="宋体" w:hAnsi="宋体" w:eastAsia="宋体" w:cs="宋体"/>
          <w:i w:val="0"/>
          <w:iCs w:val="0"/>
          <w:color w:val="auto"/>
          <w:kern w:val="0"/>
          <w:sz w:val="24"/>
          <w:szCs w:val="24"/>
          <w:highlight w:val="none"/>
          <w:lang w:eastAsia="zh-CN"/>
        </w:rPr>
        <w:t>投标人</w:t>
      </w:r>
      <w:r>
        <w:rPr>
          <w:rFonts w:hint="eastAsia" w:ascii="宋体" w:hAnsi="宋体" w:eastAsia="宋体" w:cs="宋体"/>
          <w:i w:val="0"/>
          <w:iCs w:val="0"/>
          <w:color w:val="auto"/>
          <w:kern w:val="0"/>
          <w:sz w:val="24"/>
          <w:szCs w:val="24"/>
          <w:highlight w:val="none"/>
        </w:rPr>
        <w:t>，可访问新疆数字证书认证中心官方网站（https://www.xjca.com.cn/）或下载“新疆政务通”APP自行进行申领。如需咨询，请联系新疆CA服务热线0991-2819290；</w:t>
      </w:r>
    </w:p>
    <w:p w14:paraId="518EAA6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rPr>
        <w:t>3、</w:t>
      </w:r>
      <w:r>
        <w:rPr>
          <w:rFonts w:hint="eastAsia" w:ascii="宋体" w:hAnsi="宋体" w:eastAsia="宋体" w:cs="宋体"/>
          <w:i w:val="0"/>
          <w:iCs w:val="0"/>
          <w:color w:val="auto"/>
          <w:kern w:val="0"/>
          <w:sz w:val="24"/>
          <w:szCs w:val="24"/>
          <w:highlight w:val="none"/>
          <w:lang w:eastAsia="zh-CN"/>
        </w:rPr>
        <w:t>投标人</w:t>
      </w:r>
      <w:r>
        <w:rPr>
          <w:rFonts w:hint="eastAsia" w:ascii="宋体" w:hAnsi="宋体" w:eastAsia="宋体" w:cs="宋体"/>
          <w:i w:val="0"/>
          <w:iCs w:val="0"/>
          <w:color w:val="auto"/>
          <w:kern w:val="0"/>
          <w:sz w:val="24"/>
          <w:szCs w:val="24"/>
          <w:highlight w:val="none"/>
        </w:rPr>
        <w:t>将政采云电子交易客户端下载、安装完成后，可通过账号密码或CA登录客户端进行投标文件的制作。在使用政采云投标客户端时，建议使用WIN7（64位）及以上操作系统。客户端请至</w:t>
      </w:r>
      <w:r>
        <w:rPr>
          <w:rFonts w:hint="eastAsia" w:ascii="宋体" w:hAnsi="宋体" w:eastAsia="宋体" w:cs="宋体"/>
          <w:i w:val="0"/>
          <w:iCs w:val="0"/>
          <w:color w:val="auto"/>
          <w:kern w:val="0"/>
          <w:sz w:val="24"/>
          <w:szCs w:val="24"/>
          <w:highlight w:val="none"/>
          <w:lang w:val="en-US" w:eastAsia="zh-CN"/>
        </w:rPr>
        <w:t>新疆</w:t>
      </w:r>
      <w:r>
        <w:rPr>
          <w:rFonts w:hint="eastAsia" w:ascii="宋体" w:hAnsi="宋体" w:eastAsia="宋体" w:cs="宋体"/>
          <w:i w:val="0"/>
          <w:iCs w:val="0"/>
          <w:color w:val="auto"/>
          <w:kern w:val="0"/>
          <w:sz w:val="24"/>
          <w:szCs w:val="24"/>
          <w:highlight w:val="none"/>
        </w:rPr>
        <w:t>政府采购网（http://ccgp-bingtuan.gov.cn/）下载专区查看，如有问题可拨打政采云客户服务热线400-881-7190进行咨询。如因</w:t>
      </w:r>
      <w:r>
        <w:rPr>
          <w:rFonts w:hint="eastAsia" w:ascii="宋体" w:hAnsi="宋体" w:eastAsia="宋体" w:cs="宋体"/>
          <w:i w:val="0"/>
          <w:iCs w:val="0"/>
          <w:color w:val="auto"/>
          <w:kern w:val="0"/>
          <w:sz w:val="24"/>
          <w:szCs w:val="24"/>
          <w:highlight w:val="none"/>
          <w:lang w:eastAsia="zh-CN"/>
        </w:rPr>
        <w:t>投标人</w:t>
      </w:r>
      <w:r>
        <w:rPr>
          <w:rFonts w:hint="eastAsia" w:ascii="宋体" w:hAnsi="宋体" w:eastAsia="宋体" w:cs="宋体"/>
          <w:i w:val="0"/>
          <w:iCs w:val="0"/>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i w:val="0"/>
          <w:iCs w:val="0"/>
          <w:color w:val="auto"/>
          <w:kern w:val="0"/>
          <w:sz w:val="24"/>
          <w:szCs w:val="24"/>
          <w:highlight w:val="none"/>
          <w:lang w:eastAsia="zh-CN"/>
        </w:rPr>
        <w:t>投标人</w:t>
      </w:r>
      <w:r>
        <w:rPr>
          <w:rFonts w:hint="eastAsia" w:ascii="宋体" w:hAnsi="宋体" w:eastAsia="宋体" w:cs="宋体"/>
          <w:i w:val="0"/>
          <w:iCs w:val="0"/>
          <w:color w:val="auto"/>
          <w:kern w:val="0"/>
          <w:sz w:val="24"/>
          <w:szCs w:val="24"/>
          <w:highlight w:val="none"/>
        </w:rPr>
        <w:t>自动弃标。</w:t>
      </w:r>
    </w:p>
    <w:p w14:paraId="7C7E750E">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4"/>
          <w:szCs w:val="24"/>
          <w:highlight w:val="none"/>
        </w:rPr>
      </w:pPr>
      <w:bookmarkStart w:id="45" w:name="_Toc32552"/>
      <w:r>
        <w:rPr>
          <w:rFonts w:hint="eastAsia" w:ascii="宋体" w:hAnsi="宋体" w:eastAsia="宋体" w:cs="宋体"/>
          <w:b/>
          <w:bCs w:val="0"/>
          <w:i w:val="0"/>
          <w:iCs w:val="0"/>
          <w:color w:val="auto"/>
          <w:sz w:val="24"/>
          <w:szCs w:val="24"/>
          <w:highlight w:val="none"/>
        </w:rPr>
        <w:t>七、对本次招标提出询问，请按以下方式联系</w:t>
      </w:r>
      <w:bookmarkEnd w:id="41"/>
      <w:bookmarkEnd w:id="42"/>
      <w:bookmarkEnd w:id="43"/>
      <w:bookmarkEnd w:id="44"/>
      <w:bookmarkEnd w:id="45"/>
    </w:p>
    <w:p w14:paraId="01BF861D">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1.采购人信息</w:t>
      </w:r>
    </w:p>
    <w:p w14:paraId="1E85F68F">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名 称：伊宁市某局</w:t>
      </w:r>
      <w:r>
        <w:rPr>
          <w:rFonts w:hint="eastAsia" w:ascii="宋体" w:hAnsi="宋体" w:eastAsia="宋体" w:cs="宋体"/>
          <w:i w:val="0"/>
          <w:iCs w:val="0"/>
          <w:color w:val="auto"/>
          <w:sz w:val="24"/>
          <w:szCs w:val="24"/>
          <w:highlight w:val="none"/>
          <w:lang w:val="en-US" w:eastAsia="zh-CN"/>
        </w:rPr>
        <w:t xml:space="preserve"> </w:t>
      </w:r>
    </w:p>
    <w:p w14:paraId="1BF58F48">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址：新疆维吾尔自治区伊犁哈萨克自治州伊宁市</w:t>
      </w:r>
    </w:p>
    <w:p w14:paraId="79A9247F">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bookmarkStart w:id="46" w:name="_Toc28359009"/>
      <w:bookmarkStart w:id="47" w:name="_Toc28359086"/>
      <w:r>
        <w:rPr>
          <w:rFonts w:hint="eastAsia" w:ascii="宋体" w:hAnsi="宋体" w:eastAsia="宋体" w:cs="宋体"/>
          <w:i w:val="0"/>
          <w:iCs w:val="0"/>
          <w:color w:val="auto"/>
          <w:sz w:val="24"/>
          <w:szCs w:val="24"/>
          <w:highlight w:val="none"/>
          <w:lang w:eastAsia="zh-CN"/>
        </w:rPr>
        <w:t>联系人：李良俊</w:t>
      </w:r>
    </w:p>
    <w:p w14:paraId="0B4BE305">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联系方式：15599681060</w:t>
      </w:r>
    </w:p>
    <w:p w14:paraId="2BC5C799">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2.采购代理机构信息</w:t>
      </w:r>
      <w:bookmarkEnd w:id="46"/>
      <w:bookmarkEnd w:id="47"/>
    </w:p>
    <w:p w14:paraId="0357B70B">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rPr>
        <w:t>名 称：</w:t>
      </w:r>
      <w:r>
        <w:rPr>
          <w:rFonts w:hint="eastAsia" w:ascii="宋体" w:hAnsi="宋体" w:eastAsia="宋体" w:cs="宋体"/>
          <w:i w:val="0"/>
          <w:iCs w:val="0"/>
          <w:color w:val="auto"/>
          <w:sz w:val="24"/>
          <w:szCs w:val="24"/>
          <w:highlight w:val="none"/>
          <w:u w:val="none"/>
          <w:lang w:eastAsia="zh-CN"/>
        </w:rPr>
        <w:t>新疆长润泽建设工程管理有限公司</w:t>
      </w:r>
    </w:p>
    <w:p w14:paraId="0BE2D8D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地 址：</w:t>
      </w:r>
      <w:r>
        <w:rPr>
          <w:rFonts w:hint="eastAsia" w:ascii="宋体" w:hAnsi="宋体" w:eastAsia="宋体" w:cs="宋体"/>
          <w:i w:val="0"/>
          <w:iCs w:val="0"/>
          <w:color w:val="auto"/>
          <w:sz w:val="24"/>
          <w:szCs w:val="24"/>
          <w:highlight w:val="none"/>
          <w:u w:val="none"/>
          <w:lang w:eastAsia="zh-CN"/>
        </w:rPr>
        <w:t>伊宁市金茂新天地B座16楼1602室</w:t>
      </w:r>
    </w:p>
    <w:p w14:paraId="1233E1DC">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项目联系人：</w:t>
      </w:r>
      <w:r>
        <w:rPr>
          <w:rFonts w:hint="eastAsia" w:ascii="宋体" w:hAnsi="宋体" w:eastAsia="宋体" w:cs="宋体"/>
          <w:i w:val="0"/>
          <w:iCs w:val="0"/>
          <w:color w:val="auto"/>
          <w:sz w:val="24"/>
          <w:szCs w:val="24"/>
          <w:highlight w:val="none"/>
          <w:lang w:val="en-US" w:eastAsia="zh-CN"/>
        </w:rPr>
        <w:t>邱海宁</w:t>
      </w:r>
    </w:p>
    <w:p w14:paraId="744C106F">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项目联系方式：</w:t>
      </w:r>
      <w:r>
        <w:rPr>
          <w:rFonts w:hint="eastAsia" w:ascii="宋体" w:hAnsi="宋体" w:eastAsia="宋体" w:cs="宋体"/>
          <w:i w:val="0"/>
          <w:iCs w:val="0"/>
          <w:color w:val="auto"/>
          <w:sz w:val="24"/>
          <w:szCs w:val="24"/>
          <w:highlight w:val="none"/>
          <w:lang w:val="en-US" w:eastAsia="zh-CN"/>
        </w:rPr>
        <w:t>15299819661</w:t>
      </w:r>
    </w:p>
    <w:p w14:paraId="2448B82B">
      <w:pPr>
        <w:rPr>
          <w:rFonts w:hint="eastAsia" w:ascii="宋体" w:hAnsi="宋体" w:eastAsia="宋体" w:cs="宋体"/>
          <w:b/>
          <w:color w:val="auto"/>
          <w:kern w:val="44"/>
          <w:sz w:val="44"/>
          <w:szCs w:val="44"/>
          <w:highlight w:val="none"/>
        </w:rPr>
      </w:pPr>
      <w:r>
        <w:rPr>
          <w:rFonts w:hint="eastAsia" w:ascii="宋体" w:hAnsi="宋体" w:eastAsia="宋体" w:cs="宋体"/>
          <w:b/>
          <w:color w:val="auto"/>
          <w:kern w:val="44"/>
          <w:sz w:val="44"/>
          <w:szCs w:val="44"/>
          <w:highlight w:val="none"/>
        </w:rPr>
        <w:br w:type="page"/>
      </w:r>
    </w:p>
    <w:p w14:paraId="058175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kern w:val="44"/>
          <w:sz w:val="44"/>
          <w:szCs w:val="44"/>
          <w:highlight w:val="none"/>
        </w:rPr>
        <w:t>第二</w:t>
      </w:r>
      <w:r>
        <w:rPr>
          <w:rFonts w:hint="eastAsia" w:ascii="宋体" w:hAnsi="宋体" w:eastAsia="宋体" w:cs="宋体"/>
          <w:b/>
          <w:color w:val="auto"/>
          <w:sz w:val="44"/>
          <w:szCs w:val="44"/>
          <w:highlight w:val="none"/>
        </w:rPr>
        <w:t>章</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投标人须知</w:t>
      </w:r>
      <w:bookmarkEnd w:id="3"/>
      <w:bookmarkEnd w:id="4"/>
      <w:bookmarkEnd w:id="5"/>
      <w:bookmarkEnd w:id="6"/>
      <w:bookmarkEnd w:id="7"/>
      <w:bookmarkStart w:id="48" w:name="_Toc189727030"/>
      <w:bookmarkStart w:id="49" w:name="_Toc217446032"/>
      <w:bookmarkStart w:id="50" w:name="_Toc213396946"/>
      <w:bookmarkStart w:id="51" w:name="_Toc213496268"/>
      <w:bookmarkStart w:id="52" w:name="_Toc184274915"/>
      <w:bookmarkStart w:id="53" w:name="_Toc213396760"/>
      <w:bookmarkStart w:id="54" w:name="_Toc184283909"/>
      <w:bookmarkStart w:id="55" w:name="_Toc213397010"/>
    </w:p>
    <w:p w14:paraId="4AB750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t>投标人须知前附表</w:t>
      </w:r>
      <w:bookmarkEnd w:id="48"/>
      <w:bookmarkEnd w:id="49"/>
      <w:bookmarkEnd w:id="50"/>
      <w:bookmarkEnd w:id="51"/>
      <w:bookmarkEnd w:id="52"/>
      <w:bookmarkEnd w:id="53"/>
      <w:bookmarkEnd w:id="54"/>
      <w:bookmarkEnd w:id="55"/>
    </w:p>
    <w:tbl>
      <w:tblPr>
        <w:tblStyle w:val="2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2160"/>
        <w:gridCol w:w="6530"/>
      </w:tblGrid>
      <w:tr w14:paraId="2BA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exact"/>
          <w:tblHeader/>
          <w:jc w:val="center"/>
        </w:trPr>
        <w:tc>
          <w:tcPr>
            <w:tcW w:w="811" w:type="dxa"/>
            <w:noWrap w:val="0"/>
            <w:vAlign w:val="center"/>
          </w:tcPr>
          <w:p w14:paraId="60D20655">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序号 </w:t>
            </w:r>
          </w:p>
        </w:tc>
        <w:tc>
          <w:tcPr>
            <w:tcW w:w="2160" w:type="dxa"/>
            <w:noWrap w:val="0"/>
            <w:vAlign w:val="center"/>
          </w:tcPr>
          <w:p w14:paraId="00C21EB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内容</w:t>
            </w:r>
          </w:p>
        </w:tc>
        <w:tc>
          <w:tcPr>
            <w:tcW w:w="6530" w:type="dxa"/>
            <w:noWrap w:val="0"/>
            <w:vAlign w:val="center"/>
          </w:tcPr>
          <w:p w14:paraId="3246836D">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说明和要求</w:t>
            </w:r>
          </w:p>
        </w:tc>
      </w:tr>
      <w:tr w14:paraId="7DBE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4" w:hRule="atLeast"/>
          <w:jc w:val="center"/>
        </w:trPr>
        <w:tc>
          <w:tcPr>
            <w:tcW w:w="811" w:type="dxa"/>
            <w:noWrap w:val="0"/>
            <w:vAlign w:val="center"/>
          </w:tcPr>
          <w:p w14:paraId="793ADF7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160" w:type="dxa"/>
            <w:noWrap w:val="0"/>
            <w:vAlign w:val="center"/>
          </w:tcPr>
          <w:p w14:paraId="5E3DE92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w:t>
            </w:r>
          </w:p>
        </w:tc>
        <w:tc>
          <w:tcPr>
            <w:tcW w:w="6530" w:type="dxa"/>
            <w:noWrap w:val="0"/>
            <w:vAlign w:val="center"/>
          </w:tcPr>
          <w:p w14:paraId="2D2F0655">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 称：</w:t>
            </w:r>
            <w:r>
              <w:rPr>
                <w:rFonts w:hint="eastAsia" w:hAnsi="宋体" w:cs="宋体"/>
                <w:color w:val="auto"/>
                <w:sz w:val="24"/>
                <w:szCs w:val="24"/>
                <w:highlight w:val="none"/>
                <w:lang w:val="zh-CN"/>
              </w:rPr>
              <w:t>伊宁市某局</w:t>
            </w:r>
            <w:r>
              <w:rPr>
                <w:rFonts w:hint="eastAsia" w:ascii="宋体" w:hAnsi="宋体" w:eastAsia="宋体" w:cs="宋体"/>
                <w:color w:val="auto"/>
                <w:sz w:val="24"/>
                <w:szCs w:val="24"/>
                <w:highlight w:val="none"/>
                <w:lang w:val="zh-CN"/>
              </w:rPr>
              <w:t xml:space="preserve"> </w:t>
            </w:r>
          </w:p>
          <w:p w14:paraId="6A86C587">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 址：</w:t>
            </w:r>
            <w:r>
              <w:rPr>
                <w:rFonts w:hint="eastAsia" w:hAnsi="宋体" w:cs="宋体"/>
                <w:color w:val="auto"/>
                <w:sz w:val="24"/>
                <w:szCs w:val="24"/>
                <w:highlight w:val="none"/>
                <w:lang w:val="zh-CN"/>
              </w:rPr>
              <w:t>新疆维吾尔自治区伊犁哈萨克自治州伊宁市</w:t>
            </w:r>
          </w:p>
          <w:p w14:paraId="2D1A90F5">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联系人：李良俊</w:t>
            </w:r>
          </w:p>
          <w:p w14:paraId="2EF5A0F0">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联系方式：15599681060</w:t>
            </w:r>
          </w:p>
        </w:tc>
      </w:tr>
      <w:tr w14:paraId="3896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811" w:type="dxa"/>
            <w:noWrap w:val="0"/>
            <w:vAlign w:val="center"/>
          </w:tcPr>
          <w:p w14:paraId="5EC8D02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160" w:type="dxa"/>
            <w:noWrap w:val="0"/>
            <w:vAlign w:val="center"/>
          </w:tcPr>
          <w:p w14:paraId="3B49A14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采购代理机构</w:t>
            </w:r>
          </w:p>
        </w:tc>
        <w:tc>
          <w:tcPr>
            <w:tcW w:w="6530" w:type="dxa"/>
            <w:noWrap w:val="0"/>
            <w:vAlign w:val="center"/>
          </w:tcPr>
          <w:p w14:paraId="1F52D27F">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新疆长润泽建设工程管理有限公司</w:t>
            </w:r>
          </w:p>
          <w:p w14:paraId="082E9D09">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伊宁市金茂新天地B座16楼1602室</w:t>
            </w:r>
          </w:p>
          <w:p w14:paraId="071C3615">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项目联系人：邱海宁</w:t>
            </w:r>
          </w:p>
          <w:p w14:paraId="70A6ADA5">
            <w:pPr>
              <w:pStyle w:val="12"/>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项目联系方式：15299819661</w:t>
            </w:r>
          </w:p>
        </w:tc>
      </w:tr>
      <w:tr w14:paraId="31A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exact"/>
          <w:jc w:val="center"/>
        </w:trPr>
        <w:tc>
          <w:tcPr>
            <w:tcW w:w="811" w:type="dxa"/>
            <w:noWrap w:val="0"/>
            <w:vAlign w:val="center"/>
          </w:tcPr>
          <w:p w14:paraId="0BB86695">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160" w:type="dxa"/>
            <w:noWrap w:val="0"/>
            <w:vAlign w:val="center"/>
          </w:tcPr>
          <w:p w14:paraId="3655381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采购项目名称</w:t>
            </w:r>
          </w:p>
        </w:tc>
        <w:tc>
          <w:tcPr>
            <w:tcW w:w="6530" w:type="dxa"/>
            <w:noWrap w:val="0"/>
            <w:vAlign w:val="center"/>
          </w:tcPr>
          <w:p w14:paraId="088D065B">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伊宁市某局2026年ZB采购项目</w:t>
            </w:r>
          </w:p>
        </w:tc>
      </w:tr>
      <w:tr w14:paraId="16A5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811" w:type="dxa"/>
            <w:noWrap w:val="0"/>
            <w:vAlign w:val="center"/>
          </w:tcPr>
          <w:p w14:paraId="33D22C6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p>
        </w:tc>
        <w:tc>
          <w:tcPr>
            <w:tcW w:w="2160" w:type="dxa"/>
            <w:noWrap w:val="0"/>
            <w:vAlign w:val="center"/>
          </w:tcPr>
          <w:p w14:paraId="507DC4A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采购项目编号</w:t>
            </w:r>
          </w:p>
        </w:tc>
        <w:tc>
          <w:tcPr>
            <w:tcW w:w="6530" w:type="dxa"/>
            <w:noWrap w:val="0"/>
            <w:vAlign w:val="center"/>
          </w:tcPr>
          <w:p w14:paraId="42D9490D">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XJCRZCG-2026088</w:t>
            </w:r>
          </w:p>
        </w:tc>
      </w:tr>
      <w:tr w14:paraId="102D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exact"/>
          <w:jc w:val="center"/>
        </w:trPr>
        <w:tc>
          <w:tcPr>
            <w:tcW w:w="811" w:type="dxa"/>
            <w:noWrap w:val="0"/>
            <w:vAlign w:val="center"/>
          </w:tcPr>
          <w:p w14:paraId="46049F5A">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p>
        </w:tc>
        <w:tc>
          <w:tcPr>
            <w:tcW w:w="2160" w:type="dxa"/>
            <w:noWrap w:val="0"/>
            <w:vAlign w:val="center"/>
          </w:tcPr>
          <w:p w14:paraId="543912D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资金来源</w:t>
            </w:r>
          </w:p>
        </w:tc>
        <w:tc>
          <w:tcPr>
            <w:tcW w:w="6530" w:type="dxa"/>
            <w:noWrap w:val="0"/>
            <w:vAlign w:val="center"/>
          </w:tcPr>
          <w:p w14:paraId="46826C24">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2E4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811" w:type="dxa"/>
            <w:vMerge w:val="restart"/>
            <w:noWrap w:val="0"/>
            <w:vAlign w:val="center"/>
          </w:tcPr>
          <w:p w14:paraId="52220741">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w:t>
            </w:r>
          </w:p>
        </w:tc>
        <w:tc>
          <w:tcPr>
            <w:tcW w:w="2160" w:type="dxa"/>
            <w:noWrap w:val="0"/>
            <w:vAlign w:val="center"/>
          </w:tcPr>
          <w:p w14:paraId="61CA0DD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预算金额</w:t>
            </w:r>
          </w:p>
        </w:tc>
        <w:tc>
          <w:tcPr>
            <w:tcW w:w="6530" w:type="dxa"/>
            <w:noWrap w:val="0"/>
            <w:vAlign w:val="center"/>
          </w:tcPr>
          <w:p w14:paraId="59C8E6BF">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本标段预算金额￥2964000.00。投标人投标报价超出预算金额的，作为不实质性响应投标文件，按无效投标文件处理。</w:t>
            </w:r>
          </w:p>
        </w:tc>
      </w:tr>
      <w:tr w14:paraId="72A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9" w:hRule="exact"/>
          <w:jc w:val="center"/>
        </w:trPr>
        <w:tc>
          <w:tcPr>
            <w:tcW w:w="811" w:type="dxa"/>
            <w:vMerge w:val="continue"/>
            <w:noWrap w:val="0"/>
            <w:vAlign w:val="center"/>
          </w:tcPr>
          <w:p w14:paraId="345EBED2">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p>
        </w:tc>
        <w:tc>
          <w:tcPr>
            <w:tcW w:w="2160" w:type="dxa"/>
            <w:noWrap w:val="0"/>
            <w:vAlign w:val="center"/>
          </w:tcPr>
          <w:p w14:paraId="64B5C6ED">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p>
        </w:tc>
        <w:tc>
          <w:tcPr>
            <w:tcW w:w="6530" w:type="dxa"/>
            <w:noWrap w:val="0"/>
            <w:vAlign w:val="center"/>
          </w:tcPr>
          <w:p w14:paraId="60500A83">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52"/>
            </w:r>
            <w:r>
              <w:rPr>
                <w:rFonts w:hint="eastAsia" w:ascii="宋体" w:hAnsi="宋体" w:eastAsia="宋体" w:cs="宋体"/>
                <w:color w:val="auto"/>
                <w:sz w:val="24"/>
                <w:szCs w:val="24"/>
                <w:highlight w:val="none"/>
                <w:lang w:val="en-US" w:eastAsia="zh-CN"/>
              </w:rPr>
              <w:t>有，本标段最高限价：2964000.00元（若报价超出单价预算的按无效文件处理）</w:t>
            </w:r>
          </w:p>
          <w:p w14:paraId="45FC3157">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投标人投标报价超出最高限价的，作为不实质性响应投标文件，按无效投标文件处理。</w:t>
            </w:r>
          </w:p>
        </w:tc>
      </w:tr>
      <w:tr w14:paraId="4C51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811" w:type="dxa"/>
            <w:noWrap w:val="0"/>
            <w:vAlign w:val="center"/>
          </w:tcPr>
          <w:p w14:paraId="1C7ED11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w:t>
            </w:r>
          </w:p>
        </w:tc>
        <w:tc>
          <w:tcPr>
            <w:tcW w:w="2160" w:type="dxa"/>
            <w:noWrap w:val="0"/>
            <w:vAlign w:val="center"/>
          </w:tcPr>
          <w:p w14:paraId="0153C94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项目分包</w:t>
            </w:r>
          </w:p>
        </w:tc>
        <w:tc>
          <w:tcPr>
            <w:tcW w:w="6530" w:type="dxa"/>
            <w:noWrap w:val="0"/>
            <w:vAlign w:val="center"/>
          </w:tcPr>
          <w:p w14:paraId="310DA0B5">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w:t>
            </w:r>
            <w:r>
              <w:rPr>
                <w:rFonts w:hint="eastAsia" w:cs="宋体"/>
                <w:color w:val="auto"/>
                <w:sz w:val="24"/>
                <w:szCs w:val="24"/>
                <w:highlight w:val="none"/>
                <w:lang w:val="zh-CN"/>
              </w:rPr>
              <w:t>伊宁市某局2026年ZB采购项目</w:t>
            </w:r>
            <w:r>
              <w:rPr>
                <w:rFonts w:hint="eastAsia" w:ascii="宋体" w:hAnsi="宋体" w:eastAsia="宋体" w:cs="宋体"/>
                <w:color w:val="auto"/>
                <w:sz w:val="24"/>
                <w:szCs w:val="24"/>
                <w:highlight w:val="none"/>
                <w:lang w:val="zh-CN"/>
              </w:rPr>
              <w:t>。</w:t>
            </w:r>
          </w:p>
        </w:tc>
      </w:tr>
      <w:tr w14:paraId="6FAE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811" w:type="dxa"/>
            <w:noWrap w:val="0"/>
            <w:vAlign w:val="center"/>
          </w:tcPr>
          <w:p w14:paraId="771E037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w:t>
            </w:r>
          </w:p>
        </w:tc>
        <w:tc>
          <w:tcPr>
            <w:tcW w:w="2160" w:type="dxa"/>
            <w:noWrap w:val="0"/>
            <w:vAlign w:val="center"/>
          </w:tcPr>
          <w:p w14:paraId="4FEEADA3">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采购方式</w:t>
            </w:r>
          </w:p>
        </w:tc>
        <w:tc>
          <w:tcPr>
            <w:tcW w:w="6530" w:type="dxa"/>
            <w:noWrap w:val="0"/>
            <w:vAlign w:val="center"/>
          </w:tcPr>
          <w:p w14:paraId="75A885B3">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公开招标</w:t>
            </w:r>
          </w:p>
        </w:tc>
      </w:tr>
      <w:tr w14:paraId="18DE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exact"/>
          <w:jc w:val="center"/>
        </w:trPr>
        <w:tc>
          <w:tcPr>
            <w:tcW w:w="811" w:type="dxa"/>
            <w:noWrap w:val="0"/>
            <w:vAlign w:val="center"/>
          </w:tcPr>
          <w:p w14:paraId="4DD70D3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2160" w:type="dxa"/>
            <w:noWrap w:val="0"/>
            <w:vAlign w:val="center"/>
          </w:tcPr>
          <w:p w14:paraId="0C468FB5">
            <w:pPr>
              <w:pStyle w:val="31"/>
              <w:keepNext w:val="0"/>
              <w:keepLines w:val="0"/>
              <w:pageBreakBefore w:val="0"/>
              <w:widowControl w:val="0"/>
              <w:kinsoku/>
              <w:wordWrap/>
              <w:overflowPunct/>
              <w:topLinePunct w:val="0"/>
              <w:bidi w:val="0"/>
              <w:snapToGrid/>
              <w:spacing w:line="440" w:lineRule="exact"/>
              <w:ind w:left="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是否专门面向中小</w:t>
            </w:r>
          </w:p>
          <w:p w14:paraId="2609C55F">
            <w:pPr>
              <w:pStyle w:val="31"/>
              <w:keepNext w:val="0"/>
              <w:keepLines w:val="0"/>
              <w:pageBreakBefore w:val="0"/>
              <w:widowControl w:val="0"/>
              <w:kinsoku/>
              <w:wordWrap/>
              <w:overflowPunct/>
              <w:topLinePunct w:val="0"/>
              <w:bidi w:val="0"/>
              <w:snapToGrid/>
              <w:spacing w:line="44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企业采购</w:t>
            </w:r>
          </w:p>
        </w:tc>
        <w:tc>
          <w:tcPr>
            <w:tcW w:w="6530" w:type="dxa"/>
            <w:noWrap w:val="0"/>
            <w:vAlign w:val="center"/>
          </w:tcPr>
          <w:p w14:paraId="4975D2BE">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否</w:t>
            </w:r>
          </w:p>
          <w:p w14:paraId="167D28A7">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☑是，非中小微企业、监狱企业或者残疾人福利性单位的投标人，其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文件无效。</w:t>
            </w:r>
          </w:p>
        </w:tc>
      </w:tr>
      <w:tr w14:paraId="5EC3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jc w:val="center"/>
        </w:trPr>
        <w:tc>
          <w:tcPr>
            <w:tcW w:w="811" w:type="dxa"/>
            <w:noWrap w:val="0"/>
            <w:vAlign w:val="center"/>
          </w:tcPr>
          <w:p w14:paraId="57F2454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2160" w:type="dxa"/>
            <w:noWrap w:val="0"/>
            <w:vAlign w:val="center"/>
          </w:tcPr>
          <w:p w14:paraId="6C615CE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采购内容</w:t>
            </w:r>
          </w:p>
        </w:tc>
        <w:tc>
          <w:tcPr>
            <w:tcW w:w="6530" w:type="dxa"/>
            <w:noWrap w:val="0"/>
            <w:vAlign w:val="center"/>
          </w:tcPr>
          <w:p w14:paraId="0D04B799">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详见第四章</w:t>
            </w:r>
          </w:p>
        </w:tc>
      </w:tr>
      <w:tr w14:paraId="4BDF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811" w:type="dxa"/>
            <w:noWrap w:val="0"/>
            <w:vAlign w:val="center"/>
          </w:tcPr>
          <w:p w14:paraId="50BD599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p>
        </w:tc>
        <w:tc>
          <w:tcPr>
            <w:tcW w:w="2160" w:type="dxa"/>
            <w:noWrap w:val="0"/>
            <w:vAlign w:val="center"/>
          </w:tcPr>
          <w:p w14:paraId="696EE99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合同履行期限</w:t>
            </w:r>
          </w:p>
        </w:tc>
        <w:tc>
          <w:tcPr>
            <w:tcW w:w="6530" w:type="dxa"/>
            <w:noWrap w:val="0"/>
            <w:vAlign w:val="center"/>
          </w:tcPr>
          <w:p w14:paraId="0B2359B9">
            <w:pPr>
              <w:pStyle w:val="31"/>
              <w:keepNext w:val="0"/>
              <w:keepLines w:val="0"/>
              <w:pageBreakBefore w:val="0"/>
              <w:widowControl w:val="0"/>
              <w:kinsoku/>
              <w:wordWrap/>
              <w:overflowPunct/>
              <w:topLinePunct w:val="0"/>
              <w:autoSpaceDE w:val="0"/>
              <w:autoSpaceDN w:val="0"/>
              <w:bidi w:val="0"/>
              <w:adjustRightInd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自合同签订之日起15个日历日内完成供货及验收</w:t>
            </w:r>
          </w:p>
        </w:tc>
      </w:tr>
      <w:tr w14:paraId="36F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811" w:type="dxa"/>
            <w:noWrap w:val="0"/>
            <w:vAlign w:val="center"/>
          </w:tcPr>
          <w:p w14:paraId="346B84E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w:t>
            </w:r>
          </w:p>
        </w:tc>
        <w:tc>
          <w:tcPr>
            <w:tcW w:w="2160" w:type="dxa"/>
            <w:noWrap w:val="0"/>
            <w:vAlign w:val="center"/>
          </w:tcPr>
          <w:p w14:paraId="6AD31B9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交货地点</w:t>
            </w:r>
          </w:p>
        </w:tc>
        <w:tc>
          <w:tcPr>
            <w:tcW w:w="6530" w:type="dxa"/>
            <w:noWrap w:val="0"/>
            <w:vAlign w:val="center"/>
          </w:tcPr>
          <w:p w14:paraId="7DE50D5E">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6AFA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exact"/>
          <w:jc w:val="center"/>
        </w:trPr>
        <w:tc>
          <w:tcPr>
            <w:tcW w:w="811" w:type="dxa"/>
            <w:noWrap w:val="0"/>
            <w:vAlign w:val="center"/>
          </w:tcPr>
          <w:p w14:paraId="2DEC638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w:t>
            </w:r>
          </w:p>
        </w:tc>
        <w:tc>
          <w:tcPr>
            <w:tcW w:w="2160" w:type="dxa"/>
            <w:noWrap w:val="0"/>
            <w:vAlign w:val="center"/>
          </w:tcPr>
          <w:p w14:paraId="7D21E0F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质量要求、验收标准</w:t>
            </w:r>
          </w:p>
        </w:tc>
        <w:tc>
          <w:tcPr>
            <w:tcW w:w="6530" w:type="dxa"/>
            <w:noWrap w:val="0"/>
            <w:vAlign w:val="center"/>
          </w:tcPr>
          <w:p w14:paraId="6B8238FF">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质保期：</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p>
          <w:p w14:paraId="3725BF91">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详见第四章</w:t>
            </w:r>
          </w:p>
        </w:tc>
      </w:tr>
      <w:tr w14:paraId="006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811" w:type="dxa"/>
            <w:noWrap w:val="0"/>
            <w:vAlign w:val="center"/>
          </w:tcPr>
          <w:p w14:paraId="7B7ABAE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w:t>
            </w:r>
          </w:p>
        </w:tc>
        <w:tc>
          <w:tcPr>
            <w:tcW w:w="2160" w:type="dxa"/>
            <w:noWrap w:val="0"/>
            <w:vAlign w:val="center"/>
          </w:tcPr>
          <w:p w14:paraId="5A3F26B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是否采购进口产品</w:t>
            </w:r>
          </w:p>
        </w:tc>
        <w:tc>
          <w:tcPr>
            <w:tcW w:w="6530" w:type="dxa"/>
            <w:noWrap w:val="0"/>
            <w:vAlign w:val="center"/>
          </w:tcPr>
          <w:p w14:paraId="6BDFC9F2">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本</w:t>
            </w:r>
            <w:r>
              <w:rPr>
                <w:rFonts w:hint="eastAsia" w:ascii="宋体" w:hAnsi="宋体" w:eastAsia="宋体" w:cs="宋体"/>
                <w:color w:val="auto"/>
                <w:sz w:val="24"/>
                <w:szCs w:val="24"/>
                <w:highlight w:val="none"/>
                <w:lang w:val="en-US" w:eastAsia="zh-CN"/>
              </w:rPr>
              <w:t>标段拒绝</w:t>
            </w:r>
            <w:r>
              <w:rPr>
                <w:rFonts w:hint="eastAsia" w:ascii="宋体" w:hAnsi="宋体" w:eastAsia="宋体" w:cs="宋体"/>
                <w:color w:val="auto"/>
                <w:sz w:val="24"/>
                <w:szCs w:val="24"/>
                <w:highlight w:val="none"/>
                <w:lang w:val="zh-CN"/>
              </w:rPr>
              <w:t>进口产品参加</w:t>
            </w:r>
            <w:r>
              <w:rPr>
                <w:rFonts w:hint="eastAsia" w:ascii="宋体" w:hAnsi="宋体" w:eastAsia="宋体" w:cs="宋体"/>
                <w:color w:val="auto"/>
                <w:sz w:val="24"/>
                <w:szCs w:val="24"/>
                <w:highlight w:val="none"/>
                <w:lang w:val="en-US" w:eastAsia="zh-CN"/>
              </w:rPr>
              <w:t>投标。</w:t>
            </w:r>
          </w:p>
        </w:tc>
      </w:tr>
      <w:tr w14:paraId="510B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811" w:type="dxa"/>
            <w:noWrap w:val="0"/>
            <w:vAlign w:val="center"/>
          </w:tcPr>
          <w:p w14:paraId="4716C29F">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w:t>
            </w:r>
          </w:p>
        </w:tc>
        <w:tc>
          <w:tcPr>
            <w:tcW w:w="2160" w:type="dxa"/>
            <w:noWrap w:val="0"/>
            <w:vAlign w:val="center"/>
          </w:tcPr>
          <w:p w14:paraId="7D0EDB35">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联合体投标</w:t>
            </w:r>
          </w:p>
        </w:tc>
        <w:tc>
          <w:tcPr>
            <w:tcW w:w="6530" w:type="dxa"/>
            <w:noWrap w:val="0"/>
            <w:vAlign w:val="top"/>
          </w:tcPr>
          <w:p w14:paraId="3AAD73B3">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不接受</w:t>
            </w:r>
          </w:p>
          <w:p w14:paraId="1B6F6DC8">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□接受，详见投标人须知第3.3条款</w:t>
            </w:r>
          </w:p>
        </w:tc>
      </w:tr>
      <w:tr w14:paraId="4403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811" w:type="dxa"/>
            <w:noWrap w:val="0"/>
            <w:vAlign w:val="center"/>
          </w:tcPr>
          <w:p w14:paraId="1675139F">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w:t>
            </w:r>
          </w:p>
        </w:tc>
        <w:tc>
          <w:tcPr>
            <w:tcW w:w="2160" w:type="dxa"/>
            <w:noWrap w:val="0"/>
            <w:vAlign w:val="center"/>
          </w:tcPr>
          <w:p w14:paraId="17315AA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招标文件发售</w:t>
            </w:r>
          </w:p>
        </w:tc>
        <w:tc>
          <w:tcPr>
            <w:tcW w:w="6530" w:type="dxa"/>
            <w:noWrap w:val="0"/>
            <w:vAlign w:val="center"/>
          </w:tcPr>
          <w:p w14:paraId="4C6646ED">
            <w:pPr>
              <w:keepNext w:val="0"/>
              <w:keepLines w:val="0"/>
              <w:pageBreakBefore w:val="0"/>
              <w:widowControl/>
              <w:kinsoku/>
              <w:wordWrap/>
              <w:overflowPunct/>
              <w:topLinePunct w:val="0"/>
              <w:bidi w:val="0"/>
              <w:snapToGrid/>
              <w:spacing w:line="440" w:lineRule="exact"/>
              <w:ind w:right="0" w:rightChars="0"/>
              <w:jc w:val="left"/>
              <w:textAlignment w:val="auto"/>
              <w:rPr>
                <w:rFonts w:hint="eastAsia" w:ascii="宋体" w:hAnsi="宋体" w:eastAsia="宋体" w:cs="宋体"/>
                <w:color w:val="auto"/>
                <w:kern w:val="0"/>
                <w:sz w:val="24"/>
                <w:szCs w:val="24"/>
                <w:highlight w:val="none"/>
                <w:u w:val="single"/>
                <w:lang w:val="zh-CN" w:eastAsia="zh-CN" w:bidi="ar-SA"/>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u w:val="single"/>
                <w:lang w:val="zh-CN" w:eastAsia="zh-CN" w:bidi="ar-SA"/>
              </w:rPr>
              <w:t>年</w:t>
            </w:r>
            <w:r>
              <w:rPr>
                <w:rFonts w:hint="eastAsia" w:ascii="宋体" w:hAnsi="宋体" w:eastAsia="宋体" w:cs="宋体"/>
                <w:color w:val="auto"/>
                <w:kern w:val="0"/>
                <w:sz w:val="24"/>
                <w:szCs w:val="24"/>
                <w:highlight w:val="none"/>
                <w:u w:val="single"/>
                <w:lang w:val="en-US" w:eastAsia="zh-CN" w:bidi="ar-SA"/>
              </w:rPr>
              <w:t>06</w:t>
            </w:r>
            <w:r>
              <w:rPr>
                <w:rFonts w:hint="eastAsia" w:ascii="宋体" w:hAnsi="宋体" w:eastAsia="宋体" w:cs="宋体"/>
                <w:color w:val="auto"/>
                <w:kern w:val="0"/>
                <w:sz w:val="24"/>
                <w:szCs w:val="24"/>
                <w:highlight w:val="none"/>
                <w:u w:val="single"/>
                <w:lang w:val="zh-CN" w:eastAsia="zh-CN" w:bidi="ar-SA"/>
              </w:rPr>
              <w:t>月</w:t>
            </w:r>
            <w:r>
              <w:rPr>
                <w:rFonts w:hint="eastAsia" w:ascii="宋体" w:hAnsi="宋体" w:eastAsia="宋体" w:cs="宋体"/>
                <w:color w:val="auto"/>
                <w:kern w:val="0"/>
                <w:sz w:val="24"/>
                <w:szCs w:val="24"/>
                <w:highlight w:val="none"/>
                <w:u w:val="single"/>
                <w:lang w:val="en-US" w:eastAsia="zh-CN" w:bidi="ar-SA"/>
              </w:rPr>
              <w:t>18</w:t>
            </w:r>
            <w:r>
              <w:rPr>
                <w:rFonts w:hint="eastAsia" w:ascii="宋体" w:hAnsi="宋体" w:eastAsia="宋体" w:cs="宋体"/>
                <w:color w:val="auto"/>
                <w:kern w:val="0"/>
                <w:sz w:val="24"/>
                <w:szCs w:val="24"/>
                <w:highlight w:val="none"/>
                <w:u w:val="single"/>
                <w:lang w:val="zh-CN" w:eastAsia="zh-CN" w:bidi="ar-SA"/>
              </w:rPr>
              <w:t>日至</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u w:val="single"/>
                <w:lang w:val="zh-CN" w:eastAsia="zh-CN" w:bidi="ar-SA"/>
              </w:rPr>
              <w:t>年</w:t>
            </w:r>
            <w:r>
              <w:rPr>
                <w:rFonts w:hint="eastAsia" w:ascii="宋体" w:hAnsi="宋体" w:eastAsia="宋体" w:cs="宋体"/>
                <w:color w:val="auto"/>
                <w:kern w:val="0"/>
                <w:sz w:val="24"/>
                <w:szCs w:val="24"/>
                <w:highlight w:val="none"/>
                <w:u w:val="single"/>
                <w:lang w:val="en-US" w:eastAsia="zh-CN" w:bidi="ar-SA"/>
              </w:rPr>
              <w:t>06</w:t>
            </w:r>
            <w:r>
              <w:rPr>
                <w:rFonts w:hint="eastAsia" w:ascii="宋体" w:hAnsi="宋体" w:eastAsia="宋体" w:cs="宋体"/>
                <w:color w:val="auto"/>
                <w:kern w:val="0"/>
                <w:sz w:val="24"/>
                <w:szCs w:val="24"/>
                <w:highlight w:val="none"/>
                <w:u w:val="single"/>
                <w:lang w:val="zh-CN" w:eastAsia="zh-CN" w:bidi="ar-SA"/>
              </w:rPr>
              <w:t>月</w:t>
            </w:r>
            <w:r>
              <w:rPr>
                <w:rFonts w:hint="eastAsia" w:ascii="宋体" w:hAnsi="宋体" w:eastAsia="宋体" w:cs="宋体"/>
                <w:color w:val="auto"/>
                <w:kern w:val="0"/>
                <w:sz w:val="24"/>
                <w:szCs w:val="24"/>
                <w:highlight w:val="none"/>
                <w:u w:val="single"/>
                <w:lang w:val="en-US" w:eastAsia="zh-CN" w:bidi="ar-SA"/>
              </w:rPr>
              <w:t>26</w:t>
            </w:r>
            <w:r>
              <w:rPr>
                <w:rFonts w:hint="eastAsia" w:ascii="宋体" w:hAnsi="宋体" w:eastAsia="宋体" w:cs="宋体"/>
                <w:color w:val="auto"/>
                <w:kern w:val="0"/>
                <w:sz w:val="24"/>
                <w:szCs w:val="24"/>
                <w:highlight w:val="none"/>
                <w:u w:val="single"/>
                <w:lang w:val="zh-CN" w:eastAsia="zh-CN" w:bidi="ar-SA"/>
              </w:rPr>
              <w:t>日，每天上午</w:t>
            </w:r>
            <w:r>
              <w:rPr>
                <w:rFonts w:hint="eastAsia" w:ascii="宋体" w:hAnsi="宋体" w:eastAsia="宋体" w:cs="宋体"/>
                <w:color w:val="auto"/>
                <w:kern w:val="0"/>
                <w:sz w:val="24"/>
                <w:szCs w:val="24"/>
                <w:highlight w:val="none"/>
                <w:u w:val="single"/>
                <w:lang w:val="en-US" w:eastAsia="zh-CN" w:bidi="ar-SA"/>
              </w:rPr>
              <w:t>10:00</w:t>
            </w:r>
            <w:r>
              <w:rPr>
                <w:rFonts w:hint="eastAsia" w:ascii="宋体" w:hAnsi="宋体" w:eastAsia="宋体" w:cs="宋体"/>
                <w:color w:val="auto"/>
                <w:kern w:val="0"/>
                <w:sz w:val="24"/>
                <w:szCs w:val="24"/>
                <w:highlight w:val="none"/>
                <w:u w:val="single"/>
                <w:lang w:val="zh-CN" w:eastAsia="zh-CN" w:bidi="ar-SA"/>
              </w:rPr>
              <w:t>至</w:t>
            </w:r>
            <w:r>
              <w:rPr>
                <w:rFonts w:hint="eastAsia" w:ascii="宋体" w:hAnsi="宋体" w:eastAsia="宋体" w:cs="宋体"/>
                <w:color w:val="auto"/>
                <w:kern w:val="0"/>
                <w:sz w:val="24"/>
                <w:szCs w:val="24"/>
                <w:highlight w:val="none"/>
                <w:u w:val="single"/>
                <w:lang w:val="en-US" w:eastAsia="zh-CN" w:bidi="ar-SA"/>
              </w:rPr>
              <w:t>14:00</w:t>
            </w:r>
            <w:r>
              <w:rPr>
                <w:rFonts w:hint="eastAsia" w:ascii="宋体" w:hAnsi="宋体" w:eastAsia="宋体" w:cs="宋体"/>
                <w:color w:val="auto"/>
                <w:kern w:val="0"/>
                <w:sz w:val="24"/>
                <w:szCs w:val="24"/>
                <w:highlight w:val="none"/>
                <w:u w:val="single"/>
                <w:lang w:val="zh-CN" w:eastAsia="zh-CN" w:bidi="ar-SA"/>
              </w:rPr>
              <w:t>，下午</w:t>
            </w:r>
            <w:r>
              <w:rPr>
                <w:rFonts w:hint="eastAsia" w:ascii="宋体" w:hAnsi="宋体" w:eastAsia="宋体" w:cs="宋体"/>
                <w:color w:val="auto"/>
                <w:kern w:val="0"/>
                <w:sz w:val="24"/>
                <w:szCs w:val="24"/>
                <w:highlight w:val="none"/>
                <w:u w:val="single"/>
                <w:lang w:val="en-US" w:eastAsia="zh-CN" w:bidi="ar-SA"/>
              </w:rPr>
              <w:t>16:00</w:t>
            </w:r>
            <w:r>
              <w:rPr>
                <w:rFonts w:hint="eastAsia" w:ascii="宋体" w:hAnsi="宋体" w:eastAsia="宋体" w:cs="宋体"/>
                <w:color w:val="auto"/>
                <w:kern w:val="0"/>
                <w:sz w:val="24"/>
                <w:szCs w:val="24"/>
                <w:highlight w:val="none"/>
                <w:u w:val="single"/>
                <w:lang w:val="zh-CN" w:eastAsia="zh-CN" w:bidi="ar-SA"/>
              </w:rPr>
              <w:t>至</w:t>
            </w:r>
            <w:r>
              <w:rPr>
                <w:rFonts w:hint="eastAsia" w:ascii="宋体" w:hAnsi="宋体" w:eastAsia="宋体" w:cs="宋体"/>
                <w:color w:val="auto"/>
                <w:kern w:val="0"/>
                <w:sz w:val="24"/>
                <w:szCs w:val="24"/>
                <w:highlight w:val="none"/>
                <w:u w:val="single"/>
                <w:lang w:val="en-US" w:eastAsia="zh-CN" w:bidi="ar-SA"/>
              </w:rPr>
              <w:t>20:00</w:t>
            </w:r>
            <w:r>
              <w:rPr>
                <w:rFonts w:hint="eastAsia" w:ascii="宋体" w:hAnsi="宋体" w:eastAsia="宋体" w:cs="宋体"/>
                <w:color w:val="auto"/>
                <w:kern w:val="0"/>
                <w:sz w:val="24"/>
                <w:szCs w:val="24"/>
                <w:highlight w:val="none"/>
                <w:u w:val="single"/>
                <w:lang w:val="zh-CN" w:eastAsia="zh-CN" w:bidi="ar-SA"/>
              </w:rPr>
              <w:t>（北京时间，法定节假日除外）</w:t>
            </w:r>
          </w:p>
          <w:p w14:paraId="600A18CE">
            <w:pPr>
              <w:keepNext w:val="0"/>
              <w:keepLines w:val="0"/>
              <w:pageBreakBefore w:val="0"/>
              <w:widowControl/>
              <w:kinsoku/>
              <w:wordWrap/>
              <w:overflowPunct/>
              <w:topLinePunct w:val="0"/>
              <w:bidi w:val="0"/>
              <w:snapToGrid/>
              <w:spacing w:line="440" w:lineRule="exact"/>
              <w:ind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地点：政采云系统平台（https://www.zcygov.cn/）</w:t>
            </w:r>
          </w:p>
        </w:tc>
      </w:tr>
      <w:tr w14:paraId="1E03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811" w:type="dxa"/>
            <w:noWrap w:val="0"/>
            <w:vAlign w:val="center"/>
          </w:tcPr>
          <w:p w14:paraId="0DA112B8">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w:t>
            </w:r>
          </w:p>
        </w:tc>
        <w:tc>
          <w:tcPr>
            <w:tcW w:w="2160" w:type="dxa"/>
            <w:noWrap w:val="0"/>
            <w:vAlign w:val="center"/>
          </w:tcPr>
          <w:p w14:paraId="32C5660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考察现场、标前答疑会</w:t>
            </w:r>
          </w:p>
        </w:tc>
        <w:tc>
          <w:tcPr>
            <w:tcW w:w="6530" w:type="dxa"/>
            <w:noWrap w:val="0"/>
            <w:vAlign w:val="center"/>
          </w:tcPr>
          <w:p w14:paraId="4C0F3F34">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sym w:font="Wingdings 2" w:char="0052"/>
            </w:r>
            <w:r>
              <w:rPr>
                <w:rFonts w:hint="eastAsia" w:ascii="宋体" w:hAnsi="宋体" w:eastAsia="宋体" w:cs="宋体"/>
                <w:color w:val="auto"/>
                <w:sz w:val="24"/>
                <w:szCs w:val="24"/>
                <w:highlight w:val="none"/>
                <w:lang w:val="zh-CN"/>
              </w:rPr>
              <w:t>不组织</w:t>
            </w:r>
          </w:p>
          <w:p w14:paraId="522103D9">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□组织，时间、地点另行书面通知</w:t>
            </w:r>
          </w:p>
        </w:tc>
      </w:tr>
      <w:tr w14:paraId="4953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811" w:type="dxa"/>
            <w:noWrap w:val="0"/>
            <w:vAlign w:val="center"/>
          </w:tcPr>
          <w:p w14:paraId="1B97B44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w:t>
            </w:r>
          </w:p>
        </w:tc>
        <w:tc>
          <w:tcPr>
            <w:tcW w:w="2160" w:type="dxa"/>
            <w:noWrap w:val="0"/>
            <w:vAlign w:val="center"/>
          </w:tcPr>
          <w:p w14:paraId="0968779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转包与分包履约</w:t>
            </w:r>
          </w:p>
        </w:tc>
        <w:tc>
          <w:tcPr>
            <w:tcW w:w="6530" w:type="dxa"/>
            <w:noWrap w:val="0"/>
            <w:vAlign w:val="center"/>
          </w:tcPr>
          <w:p w14:paraId="139E2A7E">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不得转包。不允许分包。</w:t>
            </w:r>
          </w:p>
        </w:tc>
      </w:tr>
      <w:tr w14:paraId="5771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811" w:type="dxa"/>
            <w:noWrap w:val="0"/>
            <w:vAlign w:val="center"/>
          </w:tcPr>
          <w:p w14:paraId="6C7895A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160" w:type="dxa"/>
            <w:noWrap w:val="0"/>
            <w:vAlign w:val="center"/>
          </w:tcPr>
          <w:p w14:paraId="7794A26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付款方式</w:t>
            </w:r>
          </w:p>
        </w:tc>
        <w:tc>
          <w:tcPr>
            <w:tcW w:w="6530" w:type="dxa"/>
            <w:noWrap w:val="0"/>
            <w:vAlign w:val="center"/>
          </w:tcPr>
          <w:p w14:paraId="56E53B92">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zh-CN"/>
              </w:rPr>
              <w:t>签订合同后产品到货并完成设备安装完毕、调试合格、试运行达标支付合同总价的100%。（具体要求以签订合同为准）</w:t>
            </w:r>
          </w:p>
        </w:tc>
      </w:tr>
      <w:tr w14:paraId="1F7F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811" w:type="dxa"/>
            <w:noWrap w:val="0"/>
            <w:vAlign w:val="center"/>
          </w:tcPr>
          <w:p w14:paraId="1788426F">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20</w:t>
            </w:r>
          </w:p>
        </w:tc>
        <w:tc>
          <w:tcPr>
            <w:tcW w:w="2160" w:type="dxa"/>
            <w:noWrap w:val="0"/>
            <w:vAlign w:val="center"/>
          </w:tcPr>
          <w:p w14:paraId="32AEC096">
            <w:pPr>
              <w:pStyle w:val="4"/>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招标文件澄清</w:t>
            </w:r>
          </w:p>
          <w:p w14:paraId="4E6BA08B">
            <w:pPr>
              <w:pStyle w:val="4"/>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或修改时间、形式</w:t>
            </w:r>
          </w:p>
        </w:tc>
        <w:tc>
          <w:tcPr>
            <w:tcW w:w="6530" w:type="dxa"/>
            <w:noWrap w:val="0"/>
            <w:vAlign w:val="center"/>
          </w:tcPr>
          <w:p w14:paraId="78856CC2">
            <w:pPr>
              <w:pStyle w:val="4"/>
              <w:keepNext w:val="0"/>
              <w:keepLines w:val="0"/>
              <w:pageBreakBefore w:val="0"/>
              <w:kinsoku/>
              <w:wordWrap/>
              <w:overflowPunct/>
              <w:topLinePunct w:val="0"/>
              <w:bidi w:val="0"/>
              <w:snapToGrid/>
              <w:spacing w:line="44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时间：</w:t>
            </w:r>
            <w:r>
              <w:rPr>
                <w:rFonts w:hint="eastAsia" w:ascii="宋体" w:hAnsi="宋体" w:eastAsia="宋体" w:cs="宋体"/>
                <w:color w:val="auto"/>
                <w:sz w:val="24"/>
                <w:szCs w:val="24"/>
                <w:highlight w:val="none"/>
              </w:rPr>
              <w:t>递交投标文件</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时间15日前</w:t>
            </w:r>
          </w:p>
          <w:p w14:paraId="5D7B1313">
            <w:pPr>
              <w:pStyle w:val="4"/>
              <w:keepNext w:val="0"/>
              <w:keepLines w:val="0"/>
              <w:pageBreakBefore w:val="0"/>
              <w:kinsoku/>
              <w:wordWrap/>
              <w:overflowPunct/>
              <w:topLinePunct w:val="0"/>
              <w:bidi w:val="0"/>
              <w:snapToGrid/>
              <w:spacing w:line="440" w:lineRule="exact"/>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形式：书面和</w:t>
            </w:r>
            <w:r>
              <w:rPr>
                <w:rFonts w:hint="eastAsia" w:ascii="宋体" w:hAnsi="宋体" w:eastAsia="宋体" w:cs="宋体"/>
                <w:color w:val="auto"/>
                <w:sz w:val="24"/>
                <w:szCs w:val="24"/>
                <w:highlight w:val="none"/>
                <w:lang w:eastAsia="zh-CN"/>
              </w:rPr>
              <w:t>政采云平台</w:t>
            </w:r>
          </w:p>
        </w:tc>
      </w:tr>
      <w:tr w14:paraId="43C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811" w:type="dxa"/>
            <w:noWrap w:val="0"/>
            <w:vAlign w:val="center"/>
          </w:tcPr>
          <w:p w14:paraId="76EC7F3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w:t>
            </w:r>
          </w:p>
        </w:tc>
        <w:tc>
          <w:tcPr>
            <w:tcW w:w="2160" w:type="dxa"/>
            <w:noWrap w:val="0"/>
            <w:vAlign w:val="center"/>
          </w:tcPr>
          <w:p w14:paraId="6AE26D8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构成招标文件的</w:t>
            </w:r>
          </w:p>
          <w:p w14:paraId="0809746D">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其他文件</w:t>
            </w:r>
          </w:p>
        </w:tc>
        <w:tc>
          <w:tcPr>
            <w:tcW w:w="6530" w:type="dxa"/>
            <w:noWrap w:val="0"/>
            <w:vAlign w:val="center"/>
          </w:tcPr>
          <w:p w14:paraId="1CDA7929">
            <w:pPr>
              <w:pStyle w:val="31"/>
              <w:keepNext w:val="0"/>
              <w:keepLines w:val="0"/>
              <w:pageBreakBefore w:val="0"/>
              <w:widowControl w:val="0"/>
              <w:kinsoku/>
              <w:wordWrap/>
              <w:overflowPunct/>
              <w:topLinePunct w:val="0"/>
              <w:autoSpaceDE w:val="0"/>
              <w:autoSpaceDN w:val="0"/>
              <w:bidi w:val="0"/>
              <w:adjustRightInd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招标文件的澄清</w:t>
            </w:r>
            <w:r>
              <w:rPr>
                <w:rFonts w:hint="eastAsia" w:ascii="宋体" w:hAnsi="宋体" w:eastAsia="宋体" w:cs="宋体"/>
                <w:color w:val="auto"/>
                <w:sz w:val="24"/>
                <w:szCs w:val="24"/>
                <w:highlight w:val="none"/>
              </w:rPr>
              <w:t>、修改书及有关补充通知为招标文件的有效组成部分</w:t>
            </w:r>
          </w:p>
        </w:tc>
      </w:tr>
      <w:tr w14:paraId="0FF3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811" w:type="dxa"/>
            <w:noWrap w:val="0"/>
            <w:vAlign w:val="center"/>
          </w:tcPr>
          <w:p w14:paraId="7B5509A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22</w:t>
            </w:r>
          </w:p>
        </w:tc>
        <w:tc>
          <w:tcPr>
            <w:tcW w:w="2160" w:type="dxa"/>
            <w:noWrap w:val="0"/>
            <w:vAlign w:val="center"/>
          </w:tcPr>
          <w:p w14:paraId="52E0330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投标人对招标文件</w:t>
            </w:r>
          </w:p>
          <w:p w14:paraId="1136F82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提出质疑的时间、形式</w:t>
            </w:r>
          </w:p>
        </w:tc>
        <w:tc>
          <w:tcPr>
            <w:tcW w:w="6530" w:type="dxa"/>
            <w:noWrap w:val="0"/>
            <w:vAlign w:val="center"/>
          </w:tcPr>
          <w:p w14:paraId="223379D1">
            <w:pPr>
              <w:pStyle w:val="31"/>
              <w:keepNext w:val="0"/>
              <w:keepLines w:val="0"/>
              <w:pageBreakBefore w:val="0"/>
              <w:widowControl w:val="0"/>
              <w:kinsoku/>
              <w:wordWrap/>
              <w:overflowPunct/>
              <w:topLinePunct w:val="0"/>
              <w:autoSpaceDE w:val="0"/>
              <w:autoSpaceDN w:val="0"/>
              <w:bidi w:val="0"/>
              <w:adjustRightInd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时间：自投标人收到招标文件之日起7个工作日内，超过期限的采购人或采购代理机构不再受理</w:t>
            </w:r>
          </w:p>
          <w:p w14:paraId="07575C59">
            <w:pPr>
              <w:pStyle w:val="31"/>
              <w:keepNext w:val="0"/>
              <w:keepLines w:val="0"/>
              <w:pageBreakBefore w:val="0"/>
              <w:widowControl w:val="0"/>
              <w:kinsoku/>
              <w:wordWrap/>
              <w:overflowPunct/>
              <w:topLinePunct w:val="0"/>
              <w:autoSpaceDE w:val="0"/>
              <w:autoSpaceDN w:val="0"/>
              <w:bidi w:val="0"/>
              <w:adjustRightInd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形式：书面形式（详见</w:t>
            </w:r>
            <w:r>
              <w:rPr>
                <w:rFonts w:hint="eastAsia" w:ascii="宋体" w:hAnsi="宋体" w:eastAsia="宋体" w:cs="宋体"/>
                <w:color w:val="auto"/>
                <w:sz w:val="24"/>
                <w:szCs w:val="24"/>
                <w:highlight w:val="none"/>
              </w:rPr>
              <w:t>投标人须知第13.1.2条款</w:t>
            </w:r>
            <w:r>
              <w:rPr>
                <w:rFonts w:hint="eastAsia" w:ascii="宋体" w:hAnsi="宋体" w:eastAsia="宋体" w:cs="宋体"/>
                <w:color w:val="auto"/>
                <w:sz w:val="24"/>
                <w:szCs w:val="24"/>
                <w:highlight w:val="none"/>
                <w:lang w:val="zh-CN"/>
              </w:rPr>
              <w:t>）</w:t>
            </w:r>
          </w:p>
        </w:tc>
      </w:tr>
      <w:tr w14:paraId="77E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exact"/>
          <w:jc w:val="center"/>
        </w:trPr>
        <w:tc>
          <w:tcPr>
            <w:tcW w:w="811" w:type="dxa"/>
            <w:noWrap w:val="0"/>
            <w:vAlign w:val="center"/>
          </w:tcPr>
          <w:p w14:paraId="29ABB3E5">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23</w:t>
            </w:r>
          </w:p>
        </w:tc>
        <w:tc>
          <w:tcPr>
            <w:tcW w:w="2160" w:type="dxa"/>
            <w:noWrap w:val="0"/>
            <w:vAlign w:val="center"/>
          </w:tcPr>
          <w:p w14:paraId="59CFE95D">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对投标人提出质疑</w:t>
            </w:r>
          </w:p>
          <w:p w14:paraId="1DDEBE2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答复时间、形式</w:t>
            </w:r>
          </w:p>
        </w:tc>
        <w:tc>
          <w:tcPr>
            <w:tcW w:w="6530" w:type="dxa"/>
            <w:noWrap w:val="0"/>
            <w:vAlign w:val="center"/>
          </w:tcPr>
          <w:p w14:paraId="2D16E4B5">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时间：自收到投标人质疑函之日起7个工作日内</w:t>
            </w:r>
          </w:p>
          <w:p w14:paraId="7E297493">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形式：书面形式或政采云平台</w:t>
            </w:r>
          </w:p>
        </w:tc>
      </w:tr>
      <w:tr w14:paraId="0DE7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811" w:type="dxa"/>
            <w:noWrap w:val="0"/>
            <w:vAlign w:val="center"/>
          </w:tcPr>
          <w:p w14:paraId="05570A3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24</w:t>
            </w:r>
          </w:p>
        </w:tc>
        <w:tc>
          <w:tcPr>
            <w:tcW w:w="2160" w:type="dxa"/>
            <w:noWrap w:val="0"/>
            <w:vAlign w:val="center"/>
          </w:tcPr>
          <w:p w14:paraId="3A26BAD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w:t>
            </w:r>
          </w:p>
        </w:tc>
        <w:tc>
          <w:tcPr>
            <w:tcW w:w="6530" w:type="dxa"/>
            <w:noWrap w:val="0"/>
            <w:vAlign w:val="center"/>
          </w:tcPr>
          <w:p w14:paraId="06439656">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从投标截止日起90</w:t>
            </w:r>
            <w:r>
              <w:rPr>
                <w:rFonts w:hint="eastAsia" w:ascii="宋体" w:hAnsi="宋体" w:eastAsia="宋体" w:cs="宋体"/>
                <w:color w:val="auto"/>
                <w:sz w:val="24"/>
                <w:szCs w:val="24"/>
                <w:highlight w:val="none"/>
              </w:rPr>
              <w:t>日历</w:t>
            </w:r>
            <w:r>
              <w:rPr>
                <w:rFonts w:hint="eastAsia" w:ascii="宋体" w:hAnsi="宋体" w:eastAsia="宋体" w:cs="宋体"/>
                <w:color w:val="auto"/>
                <w:sz w:val="24"/>
                <w:szCs w:val="24"/>
                <w:highlight w:val="none"/>
                <w:lang w:val="zh-CN"/>
              </w:rPr>
              <w:t>日</w:t>
            </w:r>
          </w:p>
        </w:tc>
      </w:tr>
      <w:tr w14:paraId="48DD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exact"/>
          <w:jc w:val="center"/>
        </w:trPr>
        <w:tc>
          <w:tcPr>
            <w:tcW w:w="811" w:type="dxa"/>
            <w:noWrap w:val="0"/>
            <w:vAlign w:val="center"/>
          </w:tcPr>
          <w:p w14:paraId="2DA904C3">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w:t>
            </w:r>
          </w:p>
        </w:tc>
        <w:tc>
          <w:tcPr>
            <w:tcW w:w="2160" w:type="dxa"/>
            <w:noWrap w:val="0"/>
            <w:vAlign w:val="center"/>
          </w:tcPr>
          <w:p w14:paraId="57DB8D3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是否允许递交多个</w:t>
            </w:r>
          </w:p>
          <w:p w14:paraId="2E68DF2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备选投标方案</w:t>
            </w:r>
          </w:p>
        </w:tc>
        <w:tc>
          <w:tcPr>
            <w:tcW w:w="6530" w:type="dxa"/>
            <w:noWrap w:val="0"/>
            <w:vAlign w:val="center"/>
          </w:tcPr>
          <w:p w14:paraId="52182F42">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不允许</w:t>
            </w:r>
          </w:p>
        </w:tc>
      </w:tr>
      <w:tr w14:paraId="42B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6" w:hRule="atLeast"/>
          <w:jc w:val="center"/>
        </w:trPr>
        <w:tc>
          <w:tcPr>
            <w:tcW w:w="811" w:type="dxa"/>
            <w:noWrap w:val="0"/>
            <w:vAlign w:val="center"/>
          </w:tcPr>
          <w:p w14:paraId="2EE6013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26</w:t>
            </w:r>
          </w:p>
        </w:tc>
        <w:tc>
          <w:tcPr>
            <w:tcW w:w="2160" w:type="dxa"/>
            <w:noWrap w:val="0"/>
            <w:vAlign w:val="center"/>
          </w:tcPr>
          <w:p w14:paraId="7F3B4AF5">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投标保证金</w:t>
            </w:r>
          </w:p>
        </w:tc>
        <w:tc>
          <w:tcPr>
            <w:tcW w:w="6530" w:type="dxa"/>
            <w:noWrap w:val="0"/>
            <w:vAlign w:val="center"/>
          </w:tcPr>
          <w:p w14:paraId="04EEF511">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是否要求投标人递交投标保证金：要求</w:t>
            </w:r>
          </w:p>
          <w:p w14:paraId="56A62FB0">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lang w:val="en-US" w:eastAsia="zh-CN"/>
              </w:rPr>
              <w:t>伍万</w:t>
            </w:r>
            <w:r>
              <w:rPr>
                <w:rFonts w:hint="eastAsia" w:ascii="宋体" w:hAnsi="宋体" w:eastAsia="宋体" w:cs="宋体"/>
                <w:color w:val="auto"/>
                <w:sz w:val="24"/>
                <w:szCs w:val="24"/>
                <w:highlight w:val="none"/>
              </w:rPr>
              <w:t>元整；</w:t>
            </w:r>
          </w:p>
          <w:p w14:paraId="7ED9A1A6">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投标保证金的形式：支票、汇票、本票或者金融机构、担保机构出具的保函等非现金形式提交(推广电子保函)；</w:t>
            </w:r>
          </w:p>
          <w:p w14:paraId="0848D25B">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账户名称：新疆长润泽建设工程管理有限公司</w:t>
            </w:r>
          </w:p>
          <w:p w14:paraId="738EAFBA">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开户行:中信银行股份有限公司伊犁分行</w:t>
            </w:r>
          </w:p>
          <w:p w14:paraId="6E7904AA">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账号：8113701012700221619</w:t>
            </w:r>
          </w:p>
          <w:p w14:paraId="6B13491E">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行号：302898000133</w:t>
            </w:r>
            <w:r>
              <w:rPr>
                <w:rFonts w:hint="eastAsia" w:ascii="宋体" w:hAnsi="宋体" w:eastAsia="宋体" w:cs="宋体"/>
                <w:color w:val="auto"/>
                <w:sz w:val="24"/>
                <w:szCs w:val="24"/>
                <w:highlight w:val="none"/>
                <w:lang w:val="zh-CN" w:eastAsia="zh-CN"/>
              </w:rPr>
              <w:t xml:space="preserve"> </w:t>
            </w:r>
          </w:p>
          <w:p w14:paraId="4D406082">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在递交的投标保证金转账单附注说明中写清：项目名称（有标段号的需注明标段号）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投标保证金递交截止时间：同提交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响应文件截止时间（以银行到账时间为准），逾期未交或逾期到账视为放弃投标</w:t>
            </w:r>
            <w:r>
              <w:rPr>
                <w:rFonts w:hint="eastAsia" w:ascii="宋体" w:hAnsi="宋体" w:eastAsia="宋体" w:cs="宋体"/>
                <w:color w:val="auto"/>
                <w:sz w:val="24"/>
                <w:szCs w:val="24"/>
                <w:highlight w:val="none"/>
                <w:lang w:eastAsia="zh-CN"/>
              </w:rPr>
              <w:t>。</w:t>
            </w:r>
          </w:p>
          <w:p w14:paraId="36D8F270">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新疆政府采购电子保函操作流程：登录新疆政府采购网,进入“政采贷/电子保函”模块，即可在线完成电子保函的申请。若有任何问题，可以联系政采云金融服务专属客服，电话：95763。</w:t>
            </w:r>
          </w:p>
          <w:p w14:paraId="756F260B">
            <w:pPr>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潜在供应商可以自主选择以上任一种递交方式提交保证金。</w:t>
            </w:r>
          </w:p>
        </w:tc>
      </w:tr>
      <w:tr w14:paraId="1E9E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exact"/>
          <w:jc w:val="center"/>
        </w:trPr>
        <w:tc>
          <w:tcPr>
            <w:tcW w:w="811" w:type="dxa"/>
            <w:noWrap w:val="0"/>
            <w:vAlign w:val="center"/>
          </w:tcPr>
          <w:p w14:paraId="4E58CD7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27</w:t>
            </w:r>
          </w:p>
        </w:tc>
        <w:tc>
          <w:tcPr>
            <w:tcW w:w="2160" w:type="dxa"/>
            <w:noWrap w:val="0"/>
            <w:vAlign w:val="center"/>
          </w:tcPr>
          <w:p w14:paraId="4857EC13">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不予退还投标</w:t>
            </w:r>
          </w:p>
          <w:p w14:paraId="6D11F4D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保证金的情形</w:t>
            </w:r>
          </w:p>
        </w:tc>
        <w:tc>
          <w:tcPr>
            <w:tcW w:w="6530" w:type="dxa"/>
            <w:noWrap w:val="0"/>
            <w:vAlign w:val="center"/>
          </w:tcPr>
          <w:p w14:paraId="7BDF03D9">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详见</w:t>
            </w:r>
            <w:r>
              <w:rPr>
                <w:rFonts w:hint="eastAsia" w:ascii="宋体" w:hAnsi="宋体" w:eastAsia="宋体" w:cs="宋体"/>
                <w:color w:val="auto"/>
                <w:sz w:val="24"/>
                <w:szCs w:val="24"/>
                <w:highlight w:val="none"/>
              </w:rPr>
              <w:t>投标人须知第4.5.2.2条款</w:t>
            </w:r>
          </w:p>
        </w:tc>
      </w:tr>
      <w:tr w14:paraId="1F48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exact"/>
          <w:jc w:val="center"/>
        </w:trPr>
        <w:tc>
          <w:tcPr>
            <w:tcW w:w="811" w:type="dxa"/>
            <w:noWrap w:val="0"/>
            <w:vAlign w:val="center"/>
          </w:tcPr>
          <w:p w14:paraId="7F33C616">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28</w:t>
            </w:r>
          </w:p>
        </w:tc>
        <w:tc>
          <w:tcPr>
            <w:tcW w:w="2160" w:type="dxa"/>
            <w:noWrap w:val="0"/>
            <w:vAlign w:val="center"/>
          </w:tcPr>
          <w:p w14:paraId="3881CE3C">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解密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文件现场</w:t>
            </w:r>
          </w:p>
          <w:p w14:paraId="19B343F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是否提供样品</w:t>
            </w:r>
          </w:p>
        </w:tc>
        <w:tc>
          <w:tcPr>
            <w:tcW w:w="6530" w:type="dxa"/>
            <w:noWrap w:val="0"/>
            <w:vAlign w:val="center"/>
          </w:tcPr>
          <w:p w14:paraId="0331667B">
            <w:pPr>
              <w:keepNext w:val="0"/>
              <w:keepLines w:val="0"/>
              <w:pageBreakBefore w:val="0"/>
              <w:kinsoku/>
              <w:overflowPunct/>
              <w:topLinePunct w:val="0"/>
              <w:bidi w:val="0"/>
              <w:spacing w:line="440" w:lineRule="exact"/>
              <w:ind w:right="0" w:right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2" w:char="0052"/>
            </w:r>
            <w:r>
              <w:rPr>
                <w:rFonts w:hint="eastAsia" w:ascii="宋体" w:hAnsi="宋体" w:eastAsia="宋体" w:cs="宋体"/>
                <w:color w:val="auto"/>
                <w:kern w:val="0"/>
                <w:sz w:val="24"/>
                <w:szCs w:val="24"/>
                <w:highlight w:val="none"/>
                <w:lang w:val="zh-CN" w:eastAsia="zh-CN" w:bidi="ar-SA"/>
              </w:rPr>
              <w:t xml:space="preserve">  不需要</w:t>
            </w:r>
          </w:p>
          <w:p w14:paraId="0E3F0199">
            <w:pPr>
              <w:keepNext w:val="0"/>
              <w:keepLines w:val="0"/>
              <w:pageBreakBefore w:val="0"/>
              <w:kinsoku/>
              <w:overflowPunct/>
              <w:topLinePunct w:val="0"/>
              <w:bidi w:val="0"/>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zh-CN" w:eastAsia="zh-CN" w:bidi="ar-SA"/>
              </w:rPr>
              <w:t>□  需要，样品要求：</w:t>
            </w:r>
          </w:p>
        </w:tc>
      </w:tr>
      <w:tr w14:paraId="40B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811" w:type="dxa"/>
            <w:noWrap w:val="0"/>
            <w:vAlign w:val="center"/>
          </w:tcPr>
          <w:p w14:paraId="33D5533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29</w:t>
            </w:r>
          </w:p>
        </w:tc>
        <w:tc>
          <w:tcPr>
            <w:tcW w:w="2160" w:type="dxa"/>
            <w:noWrap w:val="0"/>
            <w:vAlign w:val="center"/>
          </w:tcPr>
          <w:p w14:paraId="53BFFA8F">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投标文件签字</w:t>
            </w:r>
          </w:p>
          <w:p w14:paraId="564B04F7">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或盖章要求</w:t>
            </w:r>
          </w:p>
        </w:tc>
        <w:tc>
          <w:tcPr>
            <w:tcW w:w="6530" w:type="dxa"/>
            <w:noWrap w:val="0"/>
            <w:vAlign w:val="center"/>
          </w:tcPr>
          <w:p w14:paraId="0822BAEC">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投标人必须按照招标文件的规定和要求签字、盖章</w:t>
            </w:r>
          </w:p>
        </w:tc>
      </w:tr>
      <w:tr w14:paraId="56B3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7" w:hRule="exact"/>
          <w:jc w:val="center"/>
        </w:trPr>
        <w:tc>
          <w:tcPr>
            <w:tcW w:w="811" w:type="dxa"/>
            <w:shd w:val="clear" w:color="auto" w:fill="auto"/>
            <w:noWrap w:val="0"/>
            <w:vAlign w:val="center"/>
          </w:tcPr>
          <w:p w14:paraId="63D8AFD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30</w:t>
            </w:r>
          </w:p>
        </w:tc>
        <w:tc>
          <w:tcPr>
            <w:tcW w:w="2160" w:type="dxa"/>
            <w:shd w:val="clear" w:color="auto" w:fill="auto"/>
            <w:noWrap w:val="0"/>
            <w:vAlign w:val="center"/>
          </w:tcPr>
          <w:p w14:paraId="20C5A69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提交投标文件地点</w:t>
            </w:r>
          </w:p>
        </w:tc>
        <w:tc>
          <w:tcPr>
            <w:tcW w:w="6530" w:type="dxa"/>
            <w:shd w:val="clear" w:color="auto" w:fill="auto"/>
            <w:noWrap w:val="0"/>
            <w:vAlign w:val="center"/>
          </w:tcPr>
          <w:p w14:paraId="51A4FF72">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请登录政采云投标客户端，在截止时间前将加密的电子投标文件（.jmbs）上传到新疆政府采购网对应的位置（逾期上传或者未上传指定地点的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文件，采购人不予受理）。</w:t>
            </w:r>
          </w:p>
          <w:p w14:paraId="2E2D11CA">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采用不见面开标：</w:t>
            </w:r>
          </w:p>
          <w:p w14:paraId="53E371BE">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投标地点：政采云远程不见面开标大厅</w:t>
            </w:r>
          </w:p>
          <w:p w14:paraId="2F9E75D1">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不见面开标默认解密时长：</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分钟</w:t>
            </w:r>
          </w:p>
          <w:p w14:paraId="26FC93FA">
            <w:pPr>
              <w:pStyle w:val="31"/>
              <w:keepNext w:val="0"/>
              <w:keepLines w:val="0"/>
              <w:pageBreakBefore w:val="0"/>
              <w:kinsoku/>
              <w:wordWrap/>
              <w:overflowPunct/>
              <w:topLinePunct w:val="0"/>
              <w:bidi w:val="0"/>
              <w:snapToGrid/>
              <w:spacing w:line="440" w:lineRule="exact"/>
              <w:ind w:right="0" w:rightChars="0"/>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关于能否延长解密时间的约定：开标现场若发现默认解密时长不足，由采购人决定是否延长解密时长。</w:t>
            </w:r>
          </w:p>
        </w:tc>
      </w:tr>
      <w:tr w14:paraId="09CB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5" w:hRule="exact"/>
          <w:jc w:val="center"/>
        </w:trPr>
        <w:tc>
          <w:tcPr>
            <w:tcW w:w="811" w:type="dxa"/>
            <w:noWrap w:val="0"/>
            <w:vAlign w:val="center"/>
          </w:tcPr>
          <w:p w14:paraId="3D4338FE">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31</w:t>
            </w:r>
          </w:p>
        </w:tc>
        <w:tc>
          <w:tcPr>
            <w:tcW w:w="2160" w:type="dxa"/>
            <w:noWrap w:val="0"/>
            <w:vAlign w:val="center"/>
          </w:tcPr>
          <w:p w14:paraId="2F1A371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p>
        </w:tc>
        <w:tc>
          <w:tcPr>
            <w:tcW w:w="6530" w:type="dxa"/>
            <w:noWrap w:val="0"/>
            <w:vAlign w:val="center"/>
          </w:tcPr>
          <w:p w14:paraId="7702E7FD">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采用不见面开标：</w:t>
            </w:r>
          </w:p>
          <w:p w14:paraId="41E5A971">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本项目采用不见面开标、投标人需要递交电子投标文件，加密的电子投标文件，在投标截止时间前通过新疆政府采购网政采云平台上传到指定位置。无需递交纸质文件。</w:t>
            </w:r>
          </w:p>
          <w:p w14:paraId="285F1BD4">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本项目采用远程不见面交易的模式。开标当日，投标人无需到达开标现场，仅需在任意地点通过新疆政府采购网政采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002973DF">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3.远程开标前，投标人务必在新疆政府采购网政采云平台（http://ccgp-bingtuan.gov.cn）投标文件上传模块中使用“模拟解密”功能，验证本机远程自助解密环境。</w:t>
            </w:r>
          </w:p>
        </w:tc>
      </w:tr>
      <w:tr w14:paraId="242D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exact"/>
          <w:jc w:val="center"/>
        </w:trPr>
        <w:tc>
          <w:tcPr>
            <w:tcW w:w="811" w:type="dxa"/>
            <w:noWrap w:val="0"/>
            <w:vAlign w:val="center"/>
          </w:tcPr>
          <w:p w14:paraId="2EAAF39B">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w:t>
            </w:r>
          </w:p>
        </w:tc>
        <w:tc>
          <w:tcPr>
            <w:tcW w:w="2160" w:type="dxa"/>
            <w:noWrap w:val="0"/>
            <w:vAlign w:val="center"/>
          </w:tcPr>
          <w:p w14:paraId="5EDAA2A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w:t>
            </w:r>
          </w:p>
        </w:tc>
        <w:tc>
          <w:tcPr>
            <w:tcW w:w="6530" w:type="dxa"/>
            <w:noWrap w:val="0"/>
            <w:vAlign w:val="center"/>
          </w:tcPr>
          <w:p w14:paraId="347B3CAF">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202</w:t>
            </w:r>
            <w:r>
              <w:rPr>
                <w:rFonts w:hint="eastAsia" w:ascii="宋体" w:hAnsi="宋体" w:eastAsia="宋体" w:cs="宋体"/>
                <w:color w:val="auto"/>
                <w:spacing w:val="20"/>
                <w:sz w:val="24"/>
                <w:szCs w:val="24"/>
                <w:highlight w:val="none"/>
                <w:lang w:val="en-US" w:eastAsia="zh-CN"/>
              </w:rPr>
              <w:t>6</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lang w:val="en-US" w:eastAsia="zh-CN"/>
              </w:rPr>
              <w:t>07</w:t>
            </w:r>
            <w:r>
              <w:rPr>
                <w:rFonts w:hint="eastAsia" w:ascii="宋体" w:hAnsi="宋体" w:eastAsia="宋体" w:cs="宋体"/>
                <w:color w:val="auto"/>
                <w:spacing w:val="20"/>
                <w:sz w:val="24"/>
                <w:szCs w:val="24"/>
                <w:highlight w:val="none"/>
              </w:rPr>
              <w:t>月</w:t>
            </w:r>
            <w:r>
              <w:rPr>
                <w:rFonts w:hint="eastAsia" w:cs="宋体"/>
                <w:color w:val="auto"/>
                <w:spacing w:val="20"/>
                <w:sz w:val="24"/>
                <w:szCs w:val="24"/>
                <w:highlight w:val="none"/>
                <w:lang w:val="en-US" w:eastAsia="zh-CN"/>
              </w:rPr>
              <w:t>08</w:t>
            </w:r>
            <w:r>
              <w:rPr>
                <w:rFonts w:hint="eastAsia" w:ascii="宋体" w:hAnsi="宋体" w:eastAsia="宋体" w:cs="宋体"/>
                <w:color w:val="auto"/>
                <w:spacing w:val="20"/>
                <w:sz w:val="24"/>
                <w:szCs w:val="24"/>
                <w:highlight w:val="none"/>
              </w:rPr>
              <w:t>日</w:t>
            </w:r>
            <w:r>
              <w:rPr>
                <w:rFonts w:hint="eastAsia" w:cs="宋体"/>
                <w:color w:val="auto"/>
                <w:spacing w:val="20"/>
                <w:sz w:val="24"/>
                <w:szCs w:val="24"/>
                <w:highlight w:val="none"/>
                <w:lang w:val="en-US" w:eastAsia="zh-CN"/>
              </w:rPr>
              <w:t>16</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lang w:val="en-US" w:eastAsia="zh-CN"/>
              </w:rPr>
              <w:t>0</w:t>
            </w:r>
            <w:r>
              <w:rPr>
                <w:rFonts w:hint="eastAsia" w:ascii="宋体" w:hAnsi="宋体" w:eastAsia="宋体" w:cs="宋体"/>
                <w:color w:val="auto"/>
                <w:spacing w:val="20"/>
                <w:sz w:val="24"/>
                <w:szCs w:val="24"/>
                <w:highlight w:val="none"/>
              </w:rPr>
              <w:t>0(北京时间)（如有变动另行通知）</w:t>
            </w:r>
          </w:p>
        </w:tc>
      </w:tr>
      <w:tr w14:paraId="7667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exact"/>
          <w:jc w:val="center"/>
        </w:trPr>
        <w:tc>
          <w:tcPr>
            <w:tcW w:w="811" w:type="dxa"/>
            <w:noWrap w:val="0"/>
            <w:vAlign w:val="center"/>
          </w:tcPr>
          <w:p w14:paraId="2098D05C">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33</w:t>
            </w:r>
          </w:p>
        </w:tc>
        <w:tc>
          <w:tcPr>
            <w:tcW w:w="2160" w:type="dxa"/>
            <w:noWrap w:val="0"/>
            <w:vAlign w:val="center"/>
          </w:tcPr>
          <w:p w14:paraId="111A0DF4">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递交投标文件地点</w:t>
            </w:r>
          </w:p>
        </w:tc>
        <w:tc>
          <w:tcPr>
            <w:tcW w:w="6530" w:type="dxa"/>
            <w:noWrap w:val="0"/>
            <w:vAlign w:val="center"/>
          </w:tcPr>
          <w:p w14:paraId="7CFF553C">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请登录政采云投标客户端，在截止时间前将加密的电子投标文件（.jmbs）上传到新疆政府采购网对应的位置（逾期上传或者未上传指定地点的投标文件，采购人不予受理）</w:t>
            </w:r>
          </w:p>
        </w:tc>
      </w:tr>
      <w:tr w14:paraId="5C0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811" w:type="dxa"/>
            <w:noWrap w:val="0"/>
            <w:vAlign w:val="center"/>
          </w:tcPr>
          <w:p w14:paraId="20BC24DE">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34</w:t>
            </w:r>
          </w:p>
        </w:tc>
        <w:tc>
          <w:tcPr>
            <w:tcW w:w="2160" w:type="dxa"/>
            <w:noWrap w:val="0"/>
            <w:vAlign w:val="center"/>
          </w:tcPr>
          <w:p w14:paraId="70188891">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投标文件是否退还</w:t>
            </w:r>
          </w:p>
        </w:tc>
        <w:tc>
          <w:tcPr>
            <w:tcW w:w="6530" w:type="dxa"/>
            <w:noWrap w:val="0"/>
            <w:vAlign w:val="center"/>
          </w:tcPr>
          <w:p w14:paraId="0877902C">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0204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811" w:type="dxa"/>
            <w:noWrap w:val="0"/>
            <w:vAlign w:val="center"/>
          </w:tcPr>
          <w:p w14:paraId="5BF7F933">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35</w:t>
            </w:r>
          </w:p>
        </w:tc>
        <w:tc>
          <w:tcPr>
            <w:tcW w:w="2160" w:type="dxa"/>
            <w:noWrap w:val="0"/>
            <w:vAlign w:val="center"/>
          </w:tcPr>
          <w:p w14:paraId="3039B173">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开标时间和地点</w:t>
            </w:r>
          </w:p>
        </w:tc>
        <w:tc>
          <w:tcPr>
            <w:tcW w:w="6530" w:type="dxa"/>
            <w:noWrap w:val="0"/>
            <w:vAlign w:val="center"/>
          </w:tcPr>
          <w:p w14:paraId="501968C3">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开标时间（解密）：同投标截止时间</w:t>
            </w:r>
          </w:p>
          <w:p w14:paraId="19C58677">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开标地点：政采云电子开标大厅</w:t>
            </w:r>
          </w:p>
        </w:tc>
      </w:tr>
      <w:tr w14:paraId="79DD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58594C53">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36</w:t>
            </w:r>
          </w:p>
        </w:tc>
        <w:tc>
          <w:tcPr>
            <w:tcW w:w="2160" w:type="dxa"/>
            <w:noWrap w:val="0"/>
            <w:vAlign w:val="center"/>
          </w:tcPr>
          <w:p w14:paraId="461BA5C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评标委员会的组建</w:t>
            </w:r>
          </w:p>
        </w:tc>
        <w:tc>
          <w:tcPr>
            <w:tcW w:w="6530" w:type="dxa"/>
            <w:noWrap w:val="0"/>
            <w:vAlign w:val="center"/>
          </w:tcPr>
          <w:p w14:paraId="3CFE6A6D">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评标委员会构成形式、人数，评标专家确定方式：详见投标人须知第8.1.1条款</w:t>
            </w:r>
          </w:p>
        </w:tc>
      </w:tr>
      <w:tr w14:paraId="7AA9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5A23B8D2">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37</w:t>
            </w:r>
          </w:p>
        </w:tc>
        <w:tc>
          <w:tcPr>
            <w:tcW w:w="2160" w:type="dxa"/>
            <w:noWrap w:val="0"/>
            <w:vAlign w:val="center"/>
          </w:tcPr>
          <w:p w14:paraId="3217E6DB">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评标方法及标准</w:t>
            </w:r>
          </w:p>
        </w:tc>
        <w:tc>
          <w:tcPr>
            <w:tcW w:w="6530" w:type="dxa"/>
            <w:noWrap w:val="0"/>
            <w:vAlign w:val="center"/>
          </w:tcPr>
          <w:p w14:paraId="7B887432">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详见第三章评标方法</w:t>
            </w:r>
          </w:p>
        </w:tc>
      </w:tr>
      <w:tr w14:paraId="077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811" w:type="dxa"/>
            <w:noWrap w:val="0"/>
            <w:vAlign w:val="center"/>
          </w:tcPr>
          <w:p w14:paraId="62F623DB">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38</w:t>
            </w:r>
          </w:p>
        </w:tc>
        <w:tc>
          <w:tcPr>
            <w:tcW w:w="2160" w:type="dxa"/>
            <w:noWrap w:val="0"/>
            <w:vAlign w:val="center"/>
          </w:tcPr>
          <w:p w14:paraId="338740F0">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评标委员会推荐中标候选人的人数</w:t>
            </w:r>
          </w:p>
        </w:tc>
        <w:tc>
          <w:tcPr>
            <w:tcW w:w="6530" w:type="dxa"/>
            <w:noWrap w:val="0"/>
            <w:vAlign w:val="center"/>
          </w:tcPr>
          <w:p w14:paraId="60881DA4">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r>
      <w:tr w14:paraId="4F74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811" w:type="dxa"/>
            <w:noWrap w:val="0"/>
            <w:vAlign w:val="center"/>
          </w:tcPr>
          <w:p w14:paraId="553FDCAE">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39</w:t>
            </w:r>
          </w:p>
        </w:tc>
        <w:tc>
          <w:tcPr>
            <w:tcW w:w="2160" w:type="dxa"/>
            <w:noWrap w:val="0"/>
            <w:vAlign w:val="center"/>
          </w:tcPr>
          <w:p w14:paraId="30EC275A">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是否授权评标委员会确定中标人</w:t>
            </w:r>
          </w:p>
        </w:tc>
        <w:tc>
          <w:tcPr>
            <w:tcW w:w="6530" w:type="dxa"/>
            <w:noWrap w:val="0"/>
            <w:vAlign w:val="center"/>
          </w:tcPr>
          <w:p w14:paraId="5A30C628">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否</w:t>
            </w:r>
          </w:p>
        </w:tc>
      </w:tr>
      <w:tr w14:paraId="1FD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811" w:type="dxa"/>
            <w:noWrap w:val="0"/>
            <w:vAlign w:val="center"/>
          </w:tcPr>
          <w:p w14:paraId="6FB91D3B">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40</w:t>
            </w:r>
          </w:p>
        </w:tc>
        <w:tc>
          <w:tcPr>
            <w:tcW w:w="2160" w:type="dxa"/>
            <w:noWrap w:val="0"/>
            <w:vAlign w:val="center"/>
          </w:tcPr>
          <w:p w14:paraId="384CB054">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中标公告的时间、</w:t>
            </w:r>
          </w:p>
          <w:p w14:paraId="5B7B9F48">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媒介和期限</w:t>
            </w:r>
          </w:p>
        </w:tc>
        <w:tc>
          <w:tcPr>
            <w:tcW w:w="6530" w:type="dxa"/>
            <w:noWrap w:val="0"/>
            <w:vAlign w:val="center"/>
          </w:tcPr>
          <w:p w14:paraId="282346EE">
            <w:pPr>
              <w:pStyle w:val="4"/>
              <w:keepNext w:val="0"/>
              <w:keepLines w:val="0"/>
              <w:pageBreakBefore w:val="0"/>
              <w:widowControl w:val="0"/>
              <w:kinsoku/>
              <w:wordWrap/>
              <w:overflowPunct/>
              <w:topLinePunct w:val="0"/>
              <w:bidi w:val="0"/>
              <w:snapToGrid/>
              <w:spacing w:line="440" w:lineRule="exact"/>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公告时间：</w:t>
            </w:r>
            <w:r>
              <w:rPr>
                <w:rFonts w:hint="eastAsia" w:ascii="宋体" w:hAnsi="宋体" w:eastAsia="宋体" w:cs="宋体"/>
                <w:color w:val="auto"/>
                <w:sz w:val="24"/>
                <w:szCs w:val="24"/>
                <w:highlight w:val="none"/>
              </w:rPr>
              <w:t>在确定中标人之日起</w:t>
            </w: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个工作日内</w:t>
            </w:r>
          </w:p>
          <w:p w14:paraId="20613D8E">
            <w:pPr>
              <w:pStyle w:val="31"/>
              <w:keepNext w:val="0"/>
              <w:keepLines w:val="0"/>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公告媒介：</w:t>
            </w:r>
            <w:r>
              <w:rPr>
                <w:rFonts w:hint="eastAsia" w:ascii="宋体" w:hAnsi="宋体" w:eastAsia="宋体" w:cs="宋体"/>
                <w:color w:val="auto"/>
                <w:sz w:val="24"/>
                <w:szCs w:val="24"/>
                <w:highlight w:val="none"/>
                <w:lang w:val="en-US" w:eastAsia="zh-CN"/>
              </w:rPr>
              <w:t>新疆政府采购网</w:t>
            </w:r>
          </w:p>
          <w:p w14:paraId="060BADC5">
            <w:pPr>
              <w:pStyle w:val="31"/>
              <w:keepNext w:val="0"/>
              <w:keepLines w:val="0"/>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公告期限：1个工作日</w:t>
            </w:r>
          </w:p>
        </w:tc>
      </w:tr>
      <w:tr w14:paraId="6AEC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0" w:hRule="atLeast"/>
          <w:jc w:val="center"/>
        </w:trPr>
        <w:tc>
          <w:tcPr>
            <w:tcW w:w="811" w:type="dxa"/>
            <w:noWrap w:val="0"/>
            <w:vAlign w:val="center"/>
          </w:tcPr>
          <w:p w14:paraId="5D6EFCC7">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41</w:t>
            </w:r>
          </w:p>
        </w:tc>
        <w:tc>
          <w:tcPr>
            <w:tcW w:w="2160" w:type="dxa"/>
            <w:noWrap w:val="0"/>
            <w:vAlign w:val="center"/>
          </w:tcPr>
          <w:p w14:paraId="13DDBD9C">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履约保证金</w:t>
            </w:r>
          </w:p>
        </w:tc>
        <w:tc>
          <w:tcPr>
            <w:tcW w:w="6530" w:type="dxa"/>
            <w:noWrap w:val="0"/>
            <w:vAlign w:val="center"/>
          </w:tcPr>
          <w:p w14:paraId="4D59D5EB">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sym w:font="Wingdings 2" w:char="0052"/>
            </w:r>
            <w:r>
              <w:rPr>
                <w:rFonts w:hint="eastAsia" w:ascii="宋体" w:hAnsi="宋体" w:eastAsia="宋体" w:cs="宋体"/>
                <w:color w:val="auto"/>
                <w:sz w:val="24"/>
                <w:szCs w:val="24"/>
                <w:highlight w:val="none"/>
                <w:lang w:val="zh-CN" w:eastAsia="zh-CN"/>
              </w:rPr>
              <w:t xml:space="preserve"> 需要   </w:t>
            </w: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zh-CN" w:eastAsia="zh-CN"/>
              </w:rPr>
              <w:t>不需要</w:t>
            </w:r>
          </w:p>
          <w:p w14:paraId="062CF89C">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履约保证金的形式：履约保证金（现金转账、支票、银行汇票</w:t>
            </w:r>
            <w:r>
              <w:rPr>
                <w:rFonts w:hint="eastAsia" w:ascii="宋体" w:hAnsi="宋体" w:eastAsia="宋体" w:cs="宋体"/>
                <w:color w:val="auto"/>
                <w:sz w:val="24"/>
                <w:szCs w:val="24"/>
                <w:highlight w:val="none"/>
                <w:lang w:val="en-US" w:eastAsia="zh-CN"/>
              </w:rPr>
              <w:t>或保函</w:t>
            </w:r>
            <w:r>
              <w:rPr>
                <w:rFonts w:hint="eastAsia" w:ascii="宋体" w:hAnsi="宋体" w:eastAsia="宋体" w:cs="宋体"/>
                <w:color w:val="auto"/>
                <w:sz w:val="24"/>
                <w:szCs w:val="24"/>
                <w:highlight w:val="none"/>
                <w:lang w:val="zh-CN" w:eastAsia="zh-CN"/>
              </w:rPr>
              <w:t>等）</w:t>
            </w:r>
          </w:p>
          <w:p w14:paraId="53EBC9B5">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履约保证金的金额：签约合同价款的</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lang w:val="zh-CN" w:eastAsia="zh-CN"/>
              </w:rPr>
              <w:t>% ；投标人必须在收到中标通知书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个工作日内（签订合同之前）汇入采购人指定账户，如中标后不能按规定缴纳履约保证金，招标人将有充分的理由解除中标人的中标资格并没收其投标保证金。</w:t>
            </w:r>
          </w:p>
          <w:p w14:paraId="388BC073">
            <w:pPr>
              <w:pStyle w:val="31"/>
              <w:keepNext w:val="0"/>
              <w:keepLines w:val="0"/>
              <w:pageBreakBefore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履约保证金退还时间：验收完成后，资料齐全、遗留问题全部解决后退还（不计利息）</w:t>
            </w:r>
          </w:p>
        </w:tc>
      </w:tr>
      <w:tr w14:paraId="4F5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811" w:type="dxa"/>
            <w:noWrap w:val="0"/>
            <w:vAlign w:val="center"/>
          </w:tcPr>
          <w:p w14:paraId="7CB3B0B4">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42</w:t>
            </w:r>
          </w:p>
        </w:tc>
        <w:tc>
          <w:tcPr>
            <w:tcW w:w="2160" w:type="dxa"/>
            <w:noWrap w:val="0"/>
            <w:vAlign w:val="center"/>
          </w:tcPr>
          <w:p w14:paraId="1B08418A">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投标人信用信息</w:t>
            </w:r>
          </w:p>
          <w:p w14:paraId="0DF0B387">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查询截止时点</w:t>
            </w:r>
          </w:p>
        </w:tc>
        <w:tc>
          <w:tcPr>
            <w:tcW w:w="6530" w:type="dxa"/>
            <w:noWrap w:val="0"/>
            <w:vAlign w:val="center"/>
          </w:tcPr>
          <w:p w14:paraId="33AE6916">
            <w:pPr>
              <w:keepNext w:val="0"/>
              <w:keepLines w:val="0"/>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投标文件递交截止时间当日</w:t>
            </w:r>
          </w:p>
        </w:tc>
      </w:tr>
      <w:tr w14:paraId="678A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811" w:type="dxa"/>
            <w:noWrap w:val="0"/>
            <w:vAlign w:val="center"/>
          </w:tcPr>
          <w:p w14:paraId="4CCC6BD6">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43</w:t>
            </w:r>
          </w:p>
        </w:tc>
        <w:tc>
          <w:tcPr>
            <w:tcW w:w="2160" w:type="dxa"/>
            <w:noWrap w:val="0"/>
            <w:vAlign w:val="center"/>
          </w:tcPr>
          <w:p w14:paraId="013AE1CF">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现场</w:t>
            </w:r>
            <w:r>
              <w:rPr>
                <w:rFonts w:hint="eastAsia" w:ascii="宋体" w:hAnsi="宋体" w:eastAsia="宋体" w:cs="宋体"/>
                <w:color w:val="auto"/>
                <w:sz w:val="24"/>
                <w:szCs w:val="24"/>
                <w:highlight w:val="none"/>
                <w:lang w:val="en-US" w:eastAsia="zh-CN"/>
              </w:rPr>
              <w:t>勘察</w:t>
            </w:r>
          </w:p>
        </w:tc>
        <w:tc>
          <w:tcPr>
            <w:tcW w:w="6530" w:type="dxa"/>
            <w:noWrap w:val="0"/>
            <w:vAlign w:val="center"/>
          </w:tcPr>
          <w:p w14:paraId="62EA6A39">
            <w:pPr>
              <w:keepNext w:val="0"/>
              <w:keepLines w:val="0"/>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sym w:font="Wingdings 2" w:char="0052"/>
            </w:r>
            <w:r>
              <w:rPr>
                <w:rFonts w:hint="eastAsia" w:ascii="宋体" w:hAnsi="宋体" w:eastAsia="宋体" w:cs="宋体"/>
                <w:color w:val="auto"/>
                <w:sz w:val="24"/>
                <w:szCs w:val="24"/>
                <w:highlight w:val="none"/>
                <w:lang w:val="zh-CN"/>
              </w:rPr>
              <w:t xml:space="preserve"> 组织</w:t>
            </w:r>
          </w:p>
        </w:tc>
      </w:tr>
      <w:tr w14:paraId="1AF4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811" w:type="dxa"/>
            <w:noWrap w:val="0"/>
            <w:vAlign w:val="center"/>
          </w:tcPr>
          <w:p w14:paraId="1AEC5C0B">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44</w:t>
            </w:r>
          </w:p>
        </w:tc>
        <w:tc>
          <w:tcPr>
            <w:tcW w:w="2160" w:type="dxa"/>
            <w:noWrap w:val="0"/>
            <w:vAlign w:val="center"/>
          </w:tcPr>
          <w:p w14:paraId="0EADD515">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资格审查时是否</w:t>
            </w:r>
          </w:p>
          <w:p w14:paraId="1392DF01">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核验证件</w:t>
            </w:r>
          </w:p>
        </w:tc>
        <w:tc>
          <w:tcPr>
            <w:tcW w:w="6530" w:type="dxa"/>
            <w:noWrap w:val="0"/>
            <w:vAlign w:val="center"/>
          </w:tcPr>
          <w:p w14:paraId="28DBD5BE">
            <w:pPr>
              <w:pStyle w:val="31"/>
              <w:keepNext w:val="0"/>
              <w:keepLines w:val="0"/>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需要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不需要</w:t>
            </w:r>
          </w:p>
        </w:tc>
      </w:tr>
      <w:tr w14:paraId="1F81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811" w:type="dxa"/>
            <w:noWrap w:val="0"/>
            <w:vAlign w:val="center"/>
          </w:tcPr>
          <w:p w14:paraId="3845312D">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45</w:t>
            </w:r>
          </w:p>
        </w:tc>
        <w:tc>
          <w:tcPr>
            <w:tcW w:w="2160" w:type="dxa"/>
            <w:noWrap w:val="0"/>
            <w:vAlign w:val="center"/>
          </w:tcPr>
          <w:p w14:paraId="59EAABCB">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开标现场是否</w:t>
            </w:r>
          </w:p>
          <w:p w14:paraId="10894E1A">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演示与述标</w:t>
            </w:r>
          </w:p>
        </w:tc>
        <w:tc>
          <w:tcPr>
            <w:tcW w:w="6530" w:type="dxa"/>
            <w:noWrap w:val="0"/>
            <w:vAlign w:val="center"/>
          </w:tcPr>
          <w:p w14:paraId="4478A6F8">
            <w:pPr>
              <w:keepNext w:val="0"/>
              <w:keepLines w:val="0"/>
              <w:pageBreakBefore w:val="0"/>
              <w:widowControl w:val="0"/>
              <w:tabs>
                <w:tab w:val="left" w:pos="279"/>
              </w:tabs>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需要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不需要</w:t>
            </w:r>
          </w:p>
        </w:tc>
      </w:tr>
      <w:tr w14:paraId="3764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811" w:type="dxa"/>
            <w:noWrap w:val="0"/>
            <w:vAlign w:val="center"/>
          </w:tcPr>
          <w:p w14:paraId="02DDD441">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46</w:t>
            </w:r>
          </w:p>
        </w:tc>
        <w:tc>
          <w:tcPr>
            <w:tcW w:w="2160" w:type="dxa"/>
            <w:noWrap w:val="0"/>
            <w:vAlign w:val="center"/>
          </w:tcPr>
          <w:p w14:paraId="57EB390F">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开标现场是否</w:t>
            </w:r>
          </w:p>
          <w:p w14:paraId="3E63485B">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提供样品</w:t>
            </w:r>
          </w:p>
        </w:tc>
        <w:tc>
          <w:tcPr>
            <w:tcW w:w="6530" w:type="dxa"/>
            <w:noWrap w:val="0"/>
            <w:vAlign w:val="center"/>
          </w:tcPr>
          <w:p w14:paraId="4DE73BA1">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 不需要</w:t>
            </w:r>
          </w:p>
        </w:tc>
      </w:tr>
      <w:tr w14:paraId="047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811" w:type="dxa"/>
            <w:noWrap w:val="0"/>
            <w:vAlign w:val="center"/>
          </w:tcPr>
          <w:p w14:paraId="34B27BB7">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47</w:t>
            </w:r>
          </w:p>
        </w:tc>
        <w:tc>
          <w:tcPr>
            <w:tcW w:w="2160" w:type="dxa"/>
            <w:noWrap w:val="0"/>
            <w:vAlign w:val="center"/>
          </w:tcPr>
          <w:p w14:paraId="2D242198">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6530" w:type="dxa"/>
            <w:noWrap w:val="0"/>
            <w:vAlign w:val="center"/>
          </w:tcPr>
          <w:p w14:paraId="555FFDE2">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44DD10E">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2.落实政府采购政策需满足的资格要求：本项目专门面向中小企业</w:t>
            </w:r>
            <w:r>
              <w:rPr>
                <w:rFonts w:hint="eastAsia" w:ascii="宋体" w:hAnsi="宋体" w:eastAsia="宋体" w:cs="宋体"/>
                <w:color w:val="auto"/>
                <w:sz w:val="24"/>
                <w:szCs w:val="24"/>
                <w:highlight w:val="none"/>
                <w:lang w:eastAsia="zh-CN"/>
              </w:rPr>
              <w:t>；</w:t>
            </w:r>
          </w:p>
          <w:p w14:paraId="358704C8">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无。</w:t>
            </w:r>
          </w:p>
        </w:tc>
      </w:tr>
      <w:tr w14:paraId="68BD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72E8A2A9">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48</w:t>
            </w:r>
          </w:p>
        </w:tc>
        <w:tc>
          <w:tcPr>
            <w:tcW w:w="2160" w:type="dxa"/>
            <w:noWrap w:val="0"/>
            <w:vAlign w:val="center"/>
          </w:tcPr>
          <w:p w14:paraId="3008DC9D">
            <w:pPr>
              <w:pStyle w:val="31"/>
              <w:keepNext w:val="0"/>
              <w:keepLines w:val="0"/>
              <w:pageBreakBefore w:val="0"/>
              <w:widowControl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6530" w:type="dxa"/>
            <w:noWrap w:val="0"/>
            <w:vAlign w:val="center"/>
          </w:tcPr>
          <w:p w14:paraId="53F6794E">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采购标的对应的中小企业划分标准所属行业为</w:t>
            </w:r>
            <w:r>
              <w:rPr>
                <w:rFonts w:hint="eastAsia" w:ascii="宋体" w:hAnsi="宋体" w:eastAsia="宋体" w:cs="宋体"/>
                <w:color w:val="auto"/>
                <w:sz w:val="24"/>
                <w:szCs w:val="24"/>
                <w:highlight w:val="none"/>
                <w:u w:val="single"/>
              </w:rPr>
              <w:t>工业</w:t>
            </w:r>
            <w:r>
              <w:rPr>
                <w:rFonts w:hint="eastAsia" w:ascii="宋体" w:hAnsi="宋体" w:eastAsia="宋体" w:cs="宋体"/>
                <w:color w:val="auto"/>
                <w:sz w:val="24"/>
                <w:szCs w:val="24"/>
                <w:highlight w:val="none"/>
              </w:rPr>
              <w:t>。</w:t>
            </w:r>
          </w:p>
          <w:p w14:paraId="20A478C8">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工业（包括采矿业，制造业，电力、热力、燃气及水生产和供应业）。从业人员1000人以下或营业收入40000万元以下的为中小微型企业。其中，从业人员300人及以上，且营业收入2000万元及以上的为中型企业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从业人员20人及以上，且营业收入300万元及以上的为小型企业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从业人员20人以下或营业收入300万元以下的为微型企业。</w:t>
            </w:r>
          </w:p>
          <w:p w14:paraId="6FE6A2F1">
            <w:pPr>
              <w:keepNext w:val="0"/>
              <w:keepLines w:val="0"/>
              <w:pageBreakBefore w:val="0"/>
              <w:widowControl w:val="0"/>
              <w:kinsoku/>
              <w:wordWrap/>
              <w:overflowPunct/>
              <w:topLinePunct w:val="0"/>
              <w:bidi w:val="0"/>
              <w:snapToGrid/>
              <w:spacing w:line="40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备注：本项目所指的中小企业为：制造商/生产企业；若供应商提供的《中小企业声明函》中填写的行业与采购文件中明确的采购标的对应的中小企业划分标准所属行业不一致，则不予认定为中小企业。</w:t>
            </w:r>
          </w:p>
        </w:tc>
      </w:tr>
      <w:tr w14:paraId="2B34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264A485A">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49</w:t>
            </w:r>
          </w:p>
        </w:tc>
        <w:tc>
          <w:tcPr>
            <w:tcW w:w="2160" w:type="dxa"/>
            <w:noWrap w:val="0"/>
            <w:vAlign w:val="center"/>
          </w:tcPr>
          <w:p w14:paraId="21B180AD">
            <w:pPr>
              <w:keepNext w:val="0"/>
              <w:keepLines w:val="0"/>
              <w:pageBreakBefore w:val="0"/>
              <w:kinsoku/>
              <w:wordWrap w:val="0"/>
              <w:overflowPunct/>
              <w:topLinePunct w:val="0"/>
              <w:bidi w:val="0"/>
              <w:adjustRightInd w:val="0"/>
              <w:snapToGrid w:val="0"/>
              <w:spacing w:line="44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低于成本价不正当竞争预防措施</w:t>
            </w:r>
          </w:p>
        </w:tc>
        <w:tc>
          <w:tcPr>
            <w:tcW w:w="6530" w:type="dxa"/>
            <w:noWrap w:val="0"/>
            <w:vAlign w:val="center"/>
          </w:tcPr>
          <w:p w14:paraId="6419D957">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政府采购异常低价审查：根据《关于推动解决政府采购异常低价问题的通知》（财库〔2026〕2 号）的规定：</w:t>
            </w:r>
          </w:p>
          <w:p w14:paraId="6319DBB1">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（一）政府采购评审中出现下列情形之一的，评审委员会应当启动异常低价投标（响应）审查程序：</w:t>
            </w:r>
          </w:p>
          <w:p w14:paraId="3FA13F8F">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1.投标（响应）报价低于全部通过符合性审查供应商投标（响应）报价平均值 50%的，即投标（响应）报价&lt;全部通过符合性审查供应商投标（响应）报价平均值×50%；</w:t>
            </w:r>
          </w:p>
          <w:p w14:paraId="42D838A8">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2.投标（响应）报价低于通过符合性审查的次低报价供应商投标（响应）报价 50%的，即投标（响应）报价&lt;通过符合性审查的次低报价供应商投标（响应）报价×50%；</w:t>
            </w:r>
          </w:p>
          <w:p w14:paraId="03BADC2A">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3.投标（响应）报价低于采购项目最高限价45%的，即投标（响应）报价&lt;采购项目最高限价×45%；</w:t>
            </w:r>
          </w:p>
          <w:p w14:paraId="7B6BE51B">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4.评审委员会基于专业判断，认为供应商报价过低，有可能影响产品质量或者不能诚信履约的其他情形。</w:t>
            </w:r>
          </w:p>
          <w:p w14:paraId="55E0DDA1">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相关法律法规对供应商报价有规定的，从其规定。</w:t>
            </w:r>
          </w:p>
          <w:p w14:paraId="4CB0AF1A">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4B10771">
            <w:pPr>
              <w:keepNext w:val="0"/>
              <w:keepLines w:val="0"/>
              <w:pageBreakBefore w:val="0"/>
              <w:widowControl w:val="0"/>
              <w:kinsoku/>
              <w:wordWrap/>
              <w:overflowPunct/>
              <w:topLinePunct w:val="0"/>
              <w:bidi w:val="0"/>
              <w:adjustRightInd/>
              <w:snapToGrid/>
              <w:spacing w:line="440" w:lineRule="exact"/>
              <w:ind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122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1" w:type="dxa"/>
            <w:noWrap w:val="0"/>
            <w:vAlign w:val="center"/>
          </w:tcPr>
          <w:p w14:paraId="5C5087A5">
            <w:pPr>
              <w:pStyle w:val="31"/>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2160" w:type="dxa"/>
            <w:noWrap w:val="0"/>
            <w:vAlign w:val="center"/>
          </w:tcPr>
          <w:p w14:paraId="4BB4F859">
            <w:pPr>
              <w:pStyle w:val="31"/>
              <w:keepNext w:val="0"/>
              <w:keepLines w:val="0"/>
              <w:pageBreakBefore w:val="0"/>
              <w:kinsoku/>
              <w:wordWrap/>
              <w:overflowPunct/>
              <w:topLinePunct w:val="0"/>
              <w:bidi w:val="0"/>
              <w:snapToGrid/>
              <w:spacing w:line="440" w:lineRule="exact"/>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w:t>
            </w:r>
          </w:p>
        </w:tc>
        <w:tc>
          <w:tcPr>
            <w:tcW w:w="6530" w:type="dxa"/>
            <w:noWrap w:val="0"/>
            <w:vAlign w:val="center"/>
          </w:tcPr>
          <w:p w14:paraId="4F29E1D6">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（1）本项目核心产品为</w:t>
            </w:r>
            <w:r>
              <w:rPr>
                <w:rFonts w:hint="eastAsia" w:ascii="宋体" w:hAnsi="宋体" w:cs="宋体"/>
                <w:b/>
                <w:bCs/>
                <w:color w:val="auto"/>
                <w:kern w:val="2"/>
                <w:sz w:val="24"/>
                <w:szCs w:val="24"/>
                <w:highlight w:val="none"/>
                <w:u w:val="none"/>
                <w:lang w:val="en-US" w:eastAsia="zh-CN" w:bidi="ar-SA"/>
              </w:rPr>
              <w:t>：</w:t>
            </w:r>
            <w:r>
              <w:rPr>
                <w:rFonts w:hint="eastAsia" w:ascii="宋体" w:hAnsi="宋体" w:eastAsia="宋体" w:cs="宋体"/>
                <w:b/>
                <w:bCs/>
                <w:color w:val="auto"/>
                <w:kern w:val="2"/>
                <w:sz w:val="24"/>
                <w:szCs w:val="24"/>
                <w:highlight w:val="none"/>
                <w:u w:val="single"/>
                <w:lang w:val="en-US" w:eastAsia="zh-CN" w:bidi="ar-SA"/>
              </w:rPr>
              <w:t>最小作战单元快反装备模块</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核心产品相同品牌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56B6864A">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其他：得分相同的，按投标报价由低到高顺序排列。得分且投标报价相同的，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kern w:val="2"/>
                <w:sz w:val="24"/>
                <w:szCs w:val="24"/>
                <w:highlight w:val="none"/>
                <w:lang w:val="en-US" w:eastAsia="zh-CN" w:bidi="ar-SA"/>
              </w:rPr>
              <w:t>文件满足招标文件全部实质性要求且按评审因素的量化指标评审得分最高的投标人为排名第一的中标候选人产品中标后验收过程中如果发现有不满足招标要求的、篡改参数，投标产品与交货产品不一致的，用户可以拒绝付款，并列入黑名单。</w:t>
            </w:r>
          </w:p>
          <w:p w14:paraId="10C7217F">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（2）投标文件制作工具，请在新疆政府采购网政采云平台首页--下载专区--电子招投标客户端下载中进行下载。</w:t>
            </w:r>
          </w:p>
          <w:p w14:paraId="7FC20FA2">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（3）“电子投标文件”指利用新疆政府采购网政采云平台提供的“电子投标文件制作工具”编制加密的投标文件。</w:t>
            </w:r>
          </w:p>
          <w:p w14:paraId="38AC1DC5">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66C26398">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文件解释权：本招标文件的解释权归新疆长润泽建设工程管理有限公司所有，当对一个问题有多种解释时以采购代理机构解释为准。采购文件未作须知明示，而又有法律法规规定的，采购代理机构将依据法律法规的规定进行解释。</w:t>
            </w:r>
          </w:p>
          <w:p w14:paraId="11F770F4">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（6）录音录像：采购代理机构对开标、投标人资格审查和评标过程进行全程录音录像，并存档备查。</w:t>
            </w:r>
          </w:p>
          <w:p w14:paraId="73A49F11">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（7）合格投标人不足3家的，不得评标，不合格的投标人，不得进入评标环节。</w:t>
            </w:r>
          </w:p>
          <w:p w14:paraId="64CFBCE1">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（8）所有投标单位对招标文件中所有条款如有疑问或异议或质疑请在收到招标文件时间7个工作日内以书面形式（加盖公章）递交至新疆长润泽建设工程管理有限公司，否则不予受理。</w:t>
            </w:r>
          </w:p>
          <w:p w14:paraId="669F557E">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递交方式：纸质版递交</w:t>
            </w:r>
            <w:r>
              <w:rPr>
                <w:rFonts w:hint="eastAsia" w:ascii="宋体" w:hAnsi="宋体" w:eastAsia="宋体" w:cs="宋体"/>
                <w:color w:val="auto"/>
                <w:kern w:val="2"/>
                <w:sz w:val="24"/>
                <w:szCs w:val="24"/>
                <w:highlight w:val="none"/>
                <w:lang w:val="en-US" w:eastAsia="zh-CN" w:bidi="ar-SA"/>
              </w:rPr>
              <w:tab/>
            </w:r>
          </w:p>
          <w:p w14:paraId="046B28B6">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接收人：邱海宁</w:t>
            </w:r>
          </w:p>
          <w:p w14:paraId="35106C16">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接收部门：新疆长润泽建设工程管理有限公司</w:t>
            </w:r>
          </w:p>
          <w:p w14:paraId="05F04633">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接受地址：伊宁市金茂新天地B座16楼1602</w:t>
            </w:r>
          </w:p>
          <w:p w14:paraId="72699ECD">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联系电话：15299819661</w:t>
            </w:r>
          </w:p>
          <w:p w14:paraId="310468F6">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（9）请各投标单位认真阅读并充分响应招标文件要求，以免造成投标失败。</w:t>
            </w:r>
          </w:p>
          <w:p w14:paraId="6AD163E9">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（10）为保证本项目产品质量及良好的服务，最低报价不作为中标的唯一依据。</w:t>
            </w:r>
          </w:p>
          <w:p w14:paraId="5C077CDF">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招标人可拒绝与其签订合同。并将其列入政府采购黑名单库。</w:t>
            </w:r>
          </w:p>
          <w:p w14:paraId="1BBB2AE5">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（12）若招标文件有前后不一致的地方，以投标须知前附表为准。</w:t>
            </w:r>
          </w:p>
          <w:p w14:paraId="0B760B0C">
            <w:pPr>
              <w:pStyle w:val="30"/>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（13）本次采购项目属性：货物。</w:t>
            </w:r>
          </w:p>
        </w:tc>
      </w:tr>
    </w:tbl>
    <w:p w14:paraId="7128DC29">
      <w:pPr>
        <w:pStyle w:val="3"/>
        <w:pageBreakBefore w:val="0"/>
        <w:kinsoku/>
        <w:wordWrap/>
        <w:overflowPunct/>
        <w:topLinePunct w:val="0"/>
        <w:bidi w:val="0"/>
        <w:spacing w:before="0" w:after="0" w:line="480" w:lineRule="exact"/>
        <w:ind w:left="0" w:leftChars="0" w:right="0"/>
        <w:jc w:val="center"/>
        <w:rPr>
          <w:rFonts w:hint="eastAsia" w:ascii="宋体" w:hAnsi="宋体" w:eastAsia="宋体" w:cs="宋体"/>
          <w:bCs/>
          <w:color w:val="auto"/>
          <w:sz w:val="24"/>
          <w:szCs w:val="24"/>
          <w:highlight w:val="none"/>
        </w:rPr>
      </w:pPr>
      <w:r>
        <w:rPr>
          <w:rFonts w:hint="eastAsia" w:ascii="宋体" w:hAnsi="宋体" w:eastAsia="宋体" w:cs="宋体"/>
          <w:color w:val="auto"/>
          <w:highlight w:val="none"/>
        </w:rPr>
        <w:br w:type="page"/>
      </w:r>
      <w:bookmarkEnd w:id="8"/>
      <w:bookmarkEnd w:id="9"/>
      <w:bookmarkEnd w:id="10"/>
      <w:bookmarkEnd w:id="11"/>
      <w:bookmarkStart w:id="56" w:name="_Toc77400778"/>
      <w:bookmarkStart w:id="57" w:name="_Toc18349"/>
      <w:bookmarkStart w:id="58" w:name="_Toc183582204"/>
      <w:bookmarkStart w:id="59" w:name="_Toc183682341"/>
      <w:bookmarkStart w:id="60" w:name="_Toc89075873"/>
      <w:bookmarkStart w:id="61" w:name="_Toc217446033"/>
      <w:r>
        <w:rPr>
          <w:rFonts w:hint="eastAsia" w:ascii="宋体" w:hAnsi="宋体" w:eastAsia="宋体" w:cs="宋体"/>
          <w:b/>
          <w:bCs w:val="0"/>
          <w:color w:val="auto"/>
          <w:sz w:val="28"/>
          <w:szCs w:val="28"/>
          <w:highlight w:val="none"/>
        </w:rPr>
        <w:t>1.总则</w:t>
      </w:r>
      <w:bookmarkEnd w:id="56"/>
      <w:bookmarkEnd w:id="57"/>
      <w:bookmarkEnd w:id="58"/>
      <w:bookmarkEnd w:id="59"/>
      <w:bookmarkEnd w:id="60"/>
      <w:bookmarkEnd w:id="61"/>
      <w:bookmarkStart w:id="62" w:name="_Toc183682342"/>
      <w:bookmarkStart w:id="63" w:name="_Toc183582205"/>
      <w:bookmarkStart w:id="64" w:name="_Toc217446034"/>
    </w:p>
    <w:p w14:paraId="64DE325F">
      <w:pPr>
        <w:pStyle w:val="3"/>
        <w:pageBreakBefore w:val="0"/>
        <w:kinsoku/>
        <w:wordWrap/>
        <w:overflowPunct/>
        <w:topLinePunct w:val="0"/>
        <w:bidi w:val="0"/>
        <w:spacing w:before="0" w:after="0" w:line="480" w:lineRule="exact"/>
        <w:ind w:left="0" w:leftChars="0" w:right="0"/>
        <w:rPr>
          <w:rFonts w:hint="eastAsia" w:ascii="宋体" w:hAnsi="宋体" w:eastAsia="宋体" w:cs="宋体"/>
          <w:bCs/>
          <w:color w:val="auto"/>
          <w:sz w:val="24"/>
          <w:szCs w:val="24"/>
          <w:highlight w:val="none"/>
        </w:rPr>
      </w:pPr>
      <w:bookmarkStart w:id="65" w:name="_Toc3471"/>
      <w:r>
        <w:rPr>
          <w:rFonts w:hint="eastAsia" w:ascii="宋体" w:hAnsi="宋体" w:eastAsia="宋体" w:cs="宋体"/>
          <w:color w:val="auto"/>
          <w:sz w:val="24"/>
          <w:szCs w:val="24"/>
          <w:highlight w:val="none"/>
        </w:rPr>
        <w:t>1.</w:t>
      </w:r>
      <w:bookmarkEnd w:id="62"/>
      <w:bookmarkEnd w:id="63"/>
      <w:r>
        <w:rPr>
          <w:rFonts w:hint="eastAsia" w:ascii="宋体" w:hAnsi="宋体" w:eastAsia="宋体" w:cs="宋体"/>
          <w:color w:val="auto"/>
          <w:sz w:val="24"/>
          <w:szCs w:val="24"/>
          <w:highlight w:val="none"/>
        </w:rPr>
        <w:t>1适用范围</w:t>
      </w:r>
      <w:bookmarkEnd w:id="64"/>
      <w:bookmarkEnd w:id="65"/>
    </w:p>
    <w:p w14:paraId="7E495356">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本招标文件仅适用于本次公开招标所叙述的货物（产品）项目采购活动。</w:t>
      </w:r>
      <w:bookmarkStart w:id="66" w:name="_Toc183682343"/>
      <w:bookmarkStart w:id="67" w:name="_Toc183582206"/>
      <w:bookmarkStart w:id="68" w:name="_Toc217446035"/>
    </w:p>
    <w:p w14:paraId="67D8D3EA">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69" w:name="_Toc29642"/>
      <w:r>
        <w:rPr>
          <w:rFonts w:hint="eastAsia" w:ascii="宋体" w:hAnsi="宋体" w:eastAsia="宋体" w:cs="宋体"/>
          <w:color w:val="auto"/>
          <w:sz w:val="24"/>
          <w:szCs w:val="24"/>
          <w:highlight w:val="none"/>
        </w:rPr>
        <w:t>1.2</w:t>
      </w:r>
      <w:bookmarkEnd w:id="66"/>
      <w:bookmarkEnd w:id="67"/>
      <w:bookmarkEnd w:id="68"/>
      <w:r>
        <w:rPr>
          <w:rFonts w:hint="eastAsia" w:ascii="宋体" w:hAnsi="宋体" w:eastAsia="宋体" w:cs="宋体"/>
          <w:color w:val="auto"/>
          <w:sz w:val="24"/>
          <w:szCs w:val="24"/>
          <w:highlight w:val="none"/>
        </w:rPr>
        <w:t>名词解释</w:t>
      </w:r>
      <w:bookmarkEnd w:id="69"/>
    </w:p>
    <w:p w14:paraId="183E765D">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
          <w:color w:val="auto"/>
          <w:sz w:val="24"/>
          <w:szCs w:val="24"/>
          <w:highlight w:val="none"/>
        </w:rPr>
      </w:pPr>
      <w:bookmarkStart w:id="70" w:name="_Toc217390843"/>
      <w:bookmarkStart w:id="71" w:name="_Toc217446036"/>
      <w:bookmarkStart w:id="72" w:name="_Toc183582207"/>
      <w:bookmarkStart w:id="73" w:name="_Toc183682344"/>
      <w:r>
        <w:rPr>
          <w:rFonts w:hint="eastAsia" w:ascii="宋体" w:hAnsi="宋体" w:eastAsia="宋体" w:cs="宋体"/>
          <w:color w:val="auto"/>
          <w:sz w:val="24"/>
          <w:szCs w:val="24"/>
          <w:highlight w:val="none"/>
        </w:rPr>
        <w:t>1.2.1</w:t>
      </w:r>
      <w:r>
        <w:rPr>
          <w:rFonts w:hint="eastAsia" w:ascii="宋体" w:hAnsi="宋体" w:eastAsia="宋体" w:cs="宋体"/>
          <w:b/>
          <w:color w:val="auto"/>
          <w:sz w:val="24"/>
          <w:szCs w:val="24"/>
          <w:highlight w:val="none"/>
        </w:rPr>
        <w:t>采购人</w:t>
      </w:r>
      <w:r>
        <w:rPr>
          <w:rFonts w:hint="eastAsia" w:ascii="宋体" w:hAnsi="宋体" w:eastAsia="宋体" w:cs="宋体"/>
          <w:color w:val="auto"/>
          <w:sz w:val="24"/>
          <w:szCs w:val="24"/>
          <w:highlight w:val="none"/>
        </w:rPr>
        <w:t>系指依法进行采购的国家机关、事业单位、团体组织。本次采购的采购人名称、地址、电话、联系人见投标人须知前附表。</w:t>
      </w:r>
    </w:p>
    <w:p w14:paraId="265678B2">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w:t>
      </w:r>
      <w:r>
        <w:rPr>
          <w:rFonts w:hint="eastAsia" w:ascii="宋体" w:hAnsi="宋体" w:eastAsia="宋体" w:cs="宋体"/>
          <w:b/>
          <w:color w:val="auto"/>
          <w:sz w:val="24"/>
          <w:szCs w:val="24"/>
          <w:highlight w:val="none"/>
        </w:rPr>
        <w:t>监督机构</w:t>
      </w:r>
      <w:r>
        <w:rPr>
          <w:rFonts w:hint="eastAsia" w:ascii="宋体" w:hAnsi="宋体" w:eastAsia="宋体" w:cs="宋体"/>
          <w:color w:val="auto"/>
          <w:sz w:val="24"/>
          <w:szCs w:val="24"/>
          <w:highlight w:val="none"/>
        </w:rPr>
        <w:t>系指监督管理部门。</w:t>
      </w:r>
    </w:p>
    <w:p w14:paraId="072CA5A5">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b/>
          <w:color w:val="auto"/>
          <w:sz w:val="24"/>
          <w:szCs w:val="24"/>
          <w:highlight w:val="none"/>
        </w:rPr>
        <w:t>采购代理机构</w:t>
      </w:r>
      <w:r>
        <w:rPr>
          <w:rFonts w:hint="eastAsia" w:ascii="宋体" w:hAnsi="宋体" w:eastAsia="宋体" w:cs="宋体"/>
          <w:color w:val="auto"/>
          <w:sz w:val="24"/>
          <w:szCs w:val="24"/>
          <w:highlight w:val="none"/>
        </w:rPr>
        <w:t>系指接受采购人委托，代理采购项目的依法经</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部门认定资格的采购代理机构。本次采购的采购代理机构名称、地址、电话、联系人见投标人须知前附表。</w:t>
      </w:r>
    </w:p>
    <w:p w14:paraId="7F9DA644">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w:t>
      </w:r>
      <w:r>
        <w:rPr>
          <w:rFonts w:hint="eastAsia" w:ascii="宋体" w:hAnsi="宋体" w:eastAsia="宋体" w:cs="宋体"/>
          <w:b/>
          <w:color w:val="auto"/>
          <w:sz w:val="24"/>
          <w:szCs w:val="24"/>
          <w:highlight w:val="none"/>
        </w:rPr>
        <w:t>投标人</w:t>
      </w:r>
      <w:r>
        <w:rPr>
          <w:rFonts w:hint="eastAsia" w:ascii="宋体" w:hAnsi="宋体" w:eastAsia="宋体" w:cs="宋体"/>
          <w:color w:val="auto"/>
          <w:sz w:val="24"/>
          <w:szCs w:val="24"/>
          <w:highlight w:val="none"/>
        </w:rPr>
        <w:t>是指响应招标，参加投标竞争的法人或其他组织或个人。</w:t>
      </w:r>
    </w:p>
    <w:p w14:paraId="67243A1F">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1.2.5 </w:t>
      </w:r>
      <w:r>
        <w:rPr>
          <w:rFonts w:hint="eastAsia" w:ascii="宋体" w:hAnsi="宋体" w:eastAsia="宋体" w:cs="宋体"/>
          <w:b/>
          <w:color w:val="auto"/>
          <w:sz w:val="24"/>
          <w:szCs w:val="24"/>
          <w:highlight w:val="none"/>
        </w:rPr>
        <w:t>货物</w:t>
      </w:r>
      <w:r>
        <w:rPr>
          <w:rFonts w:hint="eastAsia" w:ascii="宋体" w:hAnsi="宋体" w:eastAsia="宋体" w:cs="宋体"/>
          <w:color w:val="auto"/>
          <w:sz w:val="24"/>
          <w:szCs w:val="24"/>
          <w:highlight w:val="none"/>
        </w:rPr>
        <w:t>是指本招标文件中第四章所述所有货物。</w:t>
      </w:r>
    </w:p>
    <w:p w14:paraId="33E676D6">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1.2.6 </w:t>
      </w:r>
      <w:r>
        <w:rPr>
          <w:rFonts w:hint="eastAsia" w:ascii="宋体" w:hAnsi="宋体" w:eastAsia="宋体" w:cs="宋体"/>
          <w:b/>
          <w:color w:val="auto"/>
          <w:sz w:val="24"/>
          <w:szCs w:val="24"/>
          <w:highlight w:val="none"/>
        </w:rPr>
        <w:t>服务</w:t>
      </w:r>
      <w:r>
        <w:rPr>
          <w:rFonts w:hint="eastAsia" w:ascii="宋体" w:hAnsi="宋体" w:eastAsia="宋体" w:cs="宋体"/>
          <w:color w:val="auto"/>
          <w:sz w:val="24"/>
          <w:szCs w:val="24"/>
          <w:highlight w:val="none"/>
        </w:rPr>
        <w:t>是指人为满足招标文件要求而提供的服务。</w:t>
      </w:r>
    </w:p>
    <w:p w14:paraId="731236F8">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1.2.7 </w:t>
      </w:r>
      <w:r>
        <w:rPr>
          <w:rFonts w:hint="eastAsia" w:ascii="宋体" w:hAnsi="宋体" w:eastAsia="宋体" w:cs="宋体"/>
          <w:b/>
          <w:color w:val="auto"/>
          <w:sz w:val="24"/>
          <w:szCs w:val="24"/>
          <w:highlight w:val="none"/>
        </w:rPr>
        <w:t>节能产品</w:t>
      </w:r>
      <w:r>
        <w:rPr>
          <w:rFonts w:hint="eastAsia" w:ascii="宋体" w:hAnsi="宋体" w:eastAsia="宋体" w:cs="宋体"/>
          <w:color w:val="auto"/>
          <w:sz w:val="24"/>
          <w:szCs w:val="24"/>
          <w:highlight w:val="none"/>
        </w:rPr>
        <w:t>指财政部、发展改革委、生态环境部等部门发布的《节能产品品目清单》中的产品。</w:t>
      </w:r>
    </w:p>
    <w:p w14:paraId="01AC692C">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1.2.8 </w:t>
      </w:r>
      <w:r>
        <w:rPr>
          <w:rFonts w:hint="eastAsia" w:ascii="宋体" w:hAnsi="宋体" w:eastAsia="宋体" w:cs="宋体"/>
          <w:b/>
          <w:color w:val="auto"/>
          <w:sz w:val="24"/>
          <w:szCs w:val="24"/>
          <w:highlight w:val="none"/>
        </w:rPr>
        <w:t>环境标志产品</w:t>
      </w:r>
      <w:r>
        <w:rPr>
          <w:rFonts w:hint="eastAsia" w:ascii="宋体" w:hAnsi="宋体" w:eastAsia="宋体" w:cs="宋体"/>
          <w:color w:val="auto"/>
          <w:sz w:val="24"/>
          <w:szCs w:val="24"/>
          <w:highlight w:val="none"/>
        </w:rPr>
        <w:t>是指财政部、发展改革委、生态环境部等部门发布的《环境标志产品品目清单》中的产品。</w:t>
      </w:r>
    </w:p>
    <w:p w14:paraId="1D744053">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1.2.9 </w:t>
      </w:r>
      <w:r>
        <w:rPr>
          <w:rFonts w:hint="eastAsia" w:ascii="宋体" w:hAnsi="宋体" w:eastAsia="宋体" w:cs="宋体"/>
          <w:b/>
          <w:color w:val="auto"/>
          <w:kern w:val="0"/>
          <w:sz w:val="24"/>
          <w:szCs w:val="24"/>
          <w:highlight w:val="none"/>
        </w:rPr>
        <w:t>进口产品</w:t>
      </w:r>
      <w:r>
        <w:rPr>
          <w:rFonts w:hint="eastAsia" w:ascii="宋体" w:hAnsi="宋体" w:eastAsia="宋体" w:cs="宋体"/>
          <w:color w:val="auto"/>
          <w:kern w:val="0"/>
          <w:sz w:val="24"/>
          <w:szCs w:val="24"/>
          <w:highlight w:val="none"/>
        </w:rPr>
        <w:t>是指通过中国海关报关验放进入中国境内且产自关境外的产品，详见《关于政府采购进口产品管理有关问题的通知》(财库[2007]119号)。</w:t>
      </w:r>
    </w:p>
    <w:p w14:paraId="58C1AF5E">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1.2.10</w:t>
      </w:r>
      <w:r>
        <w:rPr>
          <w:rFonts w:hint="eastAsia" w:ascii="宋体" w:hAnsi="宋体" w:eastAsia="宋体" w:cs="宋体"/>
          <w:b/>
          <w:color w:val="auto"/>
          <w:sz w:val="24"/>
          <w:szCs w:val="24"/>
          <w:highlight w:val="none"/>
        </w:rPr>
        <w:t>中小企业</w:t>
      </w:r>
      <w:r>
        <w:rPr>
          <w:rFonts w:hint="eastAsia" w:ascii="宋体" w:hAnsi="宋体" w:eastAsia="宋体" w:cs="宋体"/>
          <w:color w:val="auto"/>
          <w:sz w:val="24"/>
          <w:szCs w:val="24"/>
          <w:highlight w:val="none"/>
        </w:rPr>
        <w:t>是指符合《工业和信息化部、国家统计局、国家发展和改革委员会、财政部关于印发中小企业划型标准规定的通知》（工信部联企业[2011]300号）规定的对中小企业的划分标准的企业。</w:t>
      </w:r>
    </w:p>
    <w:p w14:paraId="5145C0AD">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 </w:t>
      </w:r>
      <w:r>
        <w:rPr>
          <w:rFonts w:hint="eastAsia" w:ascii="宋体" w:hAnsi="宋体" w:eastAsia="宋体" w:cs="宋体"/>
          <w:b/>
          <w:color w:val="auto"/>
          <w:sz w:val="24"/>
          <w:szCs w:val="24"/>
          <w:highlight w:val="none"/>
        </w:rPr>
        <w:t>监狱企业</w:t>
      </w:r>
      <w:r>
        <w:rPr>
          <w:rFonts w:hint="eastAsia" w:ascii="宋体" w:hAnsi="宋体" w:eastAsia="宋体" w:cs="宋体"/>
          <w:color w:val="auto"/>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监狱管理局、戒毒管理局的企业。</w:t>
      </w:r>
    </w:p>
    <w:p w14:paraId="311D6E21">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1.2.12 </w:t>
      </w:r>
      <w:r>
        <w:rPr>
          <w:rFonts w:hint="eastAsia" w:ascii="宋体" w:hAnsi="宋体" w:eastAsia="宋体" w:cs="宋体"/>
          <w:b/>
          <w:color w:val="auto"/>
          <w:kern w:val="0"/>
          <w:sz w:val="24"/>
          <w:szCs w:val="24"/>
          <w:highlight w:val="none"/>
        </w:rPr>
        <w:t>残疾人福利性单位</w:t>
      </w:r>
      <w:r>
        <w:rPr>
          <w:rFonts w:hint="eastAsia" w:ascii="宋体" w:hAnsi="宋体" w:eastAsia="宋体" w:cs="宋体"/>
          <w:color w:val="auto"/>
          <w:kern w:val="0"/>
          <w:sz w:val="24"/>
          <w:szCs w:val="24"/>
          <w:highlight w:val="none"/>
        </w:rPr>
        <w:t>是指符合</w:t>
      </w:r>
      <w:r>
        <w:rPr>
          <w:rFonts w:hint="eastAsia" w:ascii="宋体" w:hAnsi="宋体" w:eastAsia="宋体" w:cs="宋体"/>
          <w:color w:val="auto"/>
          <w:spacing w:val="6"/>
          <w:sz w:val="24"/>
          <w:szCs w:val="24"/>
          <w:highlight w:val="none"/>
        </w:rPr>
        <w:t>《财政部、民政部、中国残疾人联合会关于促进残疾人就业政府采购政策的通知》（财库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号）规定条件的单位。</w:t>
      </w:r>
    </w:p>
    <w:p w14:paraId="50C8D5AA">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合格的投标</w:t>
      </w:r>
      <w:bookmarkEnd w:id="70"/>
      <w:bookmarkEnd w:id="71"/>
      <w:bookmarkEnd w:id="72"/>
      <w:bookmarkEnd w:id="73"/>
      <w:r>
        <w:rPr>
          <w:rFonts w:hint="eastAsia" w:ascii="宋体" w:hAnsi="宋体" w:eastAsia="宋体" w:cs="宋体"/>
          <w:color w:val="auto"/>
          <w:sz w:val="24"/>
          <w:szCs w:val="24"/>
          <w:highlight w:val="none"/>
        </w:rPr>
        <w:t>人</w:t>
      </w:r>
    </w:p>
    <w:p w14:paraId="3B0E1E67">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合格的投标人应具备以下条件：</w:t>
      </w:r>
    </w:p>
    <w:p w14:paraId="011DEBCE">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（1）具备且满足“招标公告”要求的；</w:t>
      </w:r>
    </w:p>
    <w:p w14:paraId="2F4BF158">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在新疆政府采购网免费获取了</w:t>
      </w:r>
      <w:r>
        <w:rPr>
          <w:rFonts w:hint="eastAsia" w:ascii="宋体" w:hAnsi="宋体" w:eastAsia="宋体" w:cs="宋体"/>
          <w:color w:val="auto"/>
          <w:sz w:val="24"/>
          <w:szCs w:val="24"/>
          <w:highlight w:val="none"/>
        </w:rPr>
        <w:t>招标文件并</w:t>
      </w:r>
      <w:r>
        <w:rPr>
          <w:rFonts w:hint="eastAsia" w:ascii="宋体" w:hAnsi="宋体" w:eastAsia="宋体" w:cs="宋体"/>
          <w:color w:val="auto"/>
          <w:sz w:val="24"/>
          <w:szCs w:val="24"/>
          <w:highlight w:val="none"/>
          <w:lang w:val="en-US" w:eastAsia="zh-CN"/>
        </w:rPr>
        <w:t>注册为正式供应商</w:t>
      </w:r>
      <w:r>
        <w:rPr>
          <w:rFonts w:hint="eastAsia" w:ascii="宋体" w:hAnsi="宋体" w:eastAsia="宋体" w:cs="宋体"/>
          <w:color w:val="auto"/>
          <w:sz w:val="24"/>
          <w:szCs w:val="24"/>
          <w:highlight w:val="none"/>
        </w:rPr>
        <w:t>；</w:t>
      </w:r>
    </w:p>
    <w:p w14:paraId="1FBCA829">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（3）向采购代理机构交纳了投标保证金；</w:t>
      </w:r>
    </w:p>
    <w:p w14:paraId="010744F7">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（4）遵守国家、新疆维吾尔自治区有关的法律法规、规章和规范性文件要求；</w:t>
      </w:r>
    </w:p>
    <w:p w14:paraId="07B358D5">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（5）招标文件和法律、行政法规规定的其他条件。</w:t>
      </w:r>
    </w:p>
    <w:p w14:paraId="1141FC42">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投标人不得存在下列情形之一：</w:t>
      </w:r>
    </w:p>
    <w:p w14:paraId="0475326B">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（l）与采购人、采购代理机构存在</w:t>
      </w:r>
      <w:r>
        <w:rPr>
          <w:rFonts w:hint="eastAsia" w:ascii="宋体" w:hAnsi="宋体" w:eastAsia="宋体" w:cs="宋体"/>
          <w:bCs/>
          <w:color w:val="auto"/>
          <w:sz w:val="24"/>
          <w:szCs w:val="24"/>
          <w:highlight w:val="none"/>
        </w:rPr>
        <w:t>隶属关系或者其他利害关系，且可能影响招标公正性；</w:t>
      </w:r>
    </w:p>
    <w:p w14:paraId="0E226516">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（2）与本采购项目其他投标人的法定代表人（或者负责人）为同一人；</w:t>
      </w:r>
    </w:p>
    <w:p w14:paraId="30C4F2EE">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（3）与本采购项目其他投标人存在控股、管理关系；</w:t>
      </w:r>
    </w:p>
    <w:p w14:paraId="26BCC1AE">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（4）为本项目采购代理机构；</w:t>
      </w:r>
    </w:p>
    <w:p w14:paraId="317097DD">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（5）为本项目代理投标的为其采购代理机构；</w:t>
      </w:r>
    </w:p>
    <w:p w14:paraId="75B1746A">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（6）为本项目提供整体设计、规范编制或者项目管理、监理、检测、咨询服务；</w:t>
      </w:r>
    </w:p>
    <w:p w14:paraId="6FA2F872">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bCs/>
          <w:color w:val="auto"/>
          <w:sz w:val="24"/>
          <w:szCs w:val="24"/>
          <w:highlight w:val="none"/>
        </w:rPr>
        <w:t>受到刑事处罚；</w:t>
      </w:r>
    </w:p>
    <w:p w14:paraId="12DAF2F9">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（8）受到财政部门3万元以上数额罚款的行政处罚或其他行政部门较大数额罚款的行政处罚（举行听证会的）；</w:t>
      </w:r>
    </w:p>
    <w:p w14:paraId="0DD82B96">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）被责令停产停业、暂扣或者吊销许可证、暂扣或者吊销执照的行政处罚；</w:t>
      </w:r>
    </w:p>
    <w:p w14:paraId="5010EC04">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color w:val="auto"/>
          <w:sz w:val="24"/>
          <w:szCs w:val="24"/>
          <w:highlight w:val="none"/>
        </w:rPr>
        <w:t>被列入失信被执行人名单；</w:t>
      </w:r>
    </w:p>
    <w:p w14:paraId="28C3A370">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（11）被列入</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14:paraId="542E8548">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（12）被禁止在一至三年内参加政府采购活动或存在</w:t>
      </w:r>
      <w:r>
        <w:rPr>
          <w:rFonts w:hint="eastAsia" w:ascii="宋体" w:hAnsi="宋体" w:eastAsia="宋体" w:cs="宋体"/>
          <w:color w:val="auto"/>
          <w:sz w:val="24"/>
          <w:szCs w:val="24"/>
          <w:highlight w:val="none"/>
        </w:rPr>
        <w:t>财政部门认定的其他重大违法记录。</w:t>
      </w:r>
    </w:p>
    <w:p w14:paraId="1131E38F">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74" w:name="_Toc5863"/>
      <w:bookmarkStart w:id="75" w:name="_Toc217446037"/>
      <w:bookmarkStart w:id="76" w:name="_Toc183682345"/>
      <w:bookmarkStart w:id="77" w:name="_Toc183582208"/>
      <w:r>
        <w:rPr>
          <w:rFonts w:hint="eastAsia" w:ascii="宋体" w:hAnsi="宋体" w:eastAsia="宋体" w:cs="宋体"/>
          <w:color w:val="auto"/>
          <w:sz w:val="24"/>
          <w:szCs w:val="24"/>
          <w:highlight w:val="none"/>
        </w:rPr>
        <w:t>1.4合格的货物（产品）和服务</w:t>
      </w:r>
      <w:bookmarkEnd w:id="74"/>
    </w:p>
    <w:p w14:paraId="08AFC40A">
      <w:pPr>
        <w:pageBreakBefore w:val="0"/>
        <w:tabs>
          <w:tab w:val="left" w:pos="747"/>
        </w:tabs>
        <w:kinsoku/>
        <w:wordWrap/>
        <w:overflowPunct/>
        <w:topLinePunct w:val="0"/>
        <w:bidi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提供的所有货物和服务，必须是合法生产、合法来源，符合国家有关标准要求，并满足招标文件规定的规格、参数、质量、价格、有效期、售后服务及投标人须承担的运输、技术支持、培训和招标文件规定的其它伴随服务等要求。</w:t>
      </w:r>
    </w:p>
    <w:p w14:paraId="30A91F24">
      <w:pPr>
        <w:pageBreakBefore w:val="0"/>
        <w:tabs>
          <w:tab w:val="left" w:pos="747"/>
        </w:tabs>
        <w:kinsoku/>
        <w:wordWrap/>
        <w:overflowPunct/>
        <w:topLinePunct w:val="0"/>
        <w:bidi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采购人有权拒绝接受任何不合格的货物和服务，由此产生的费用及相关后果均由投标人自行承担。</w:t>
      </w:r>
    </w:p>
    <w:p w14:paraId="714DAD21">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78" w:name="_Toc29652"/>
      <w:bookmarkStart w:id="79" w:name="_Toc217446047"/>
      <w:r>
        <w:rPr>
          <w:rFonts w:hint="eastAsia" w:ascii="宋体" w:hAnsi="宋体" w:eastAsia="宋体" w:cs="宋体"/>
          <w:color w:val="auto"/>
          <w:sz w:val="24"/>
          <w:szCs w:val="24"/>
          <w:highlight w:val="none"/>
        </w:rPr>
        <w:t>1.5知识产权</w:t>
      </w:r>
      <w:bookmarkEnd w:id="78"/>
      <w:bookmarkEnd w:id="79"/>
    </w:p>
    <w:p w14:paraId="17303459">
      <w:pPr>
        <w:pStyle w:val="1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28504935">
      <w:pPr>
        <w:pStyle w:val="1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采购人享有本项目实施过程中产生的知识成果及知识产权。</w:t>
      </w:r>
    </w:p>
    <w:p w14:paraId="72091BD8">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77A2684D">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如采用投标人所不拥有的知识产权，则在投标报价中必须包括合法获取该知识产权的相关费用。</w:t>
      </w:r>
    </w:p>
    <w:p w14:paraId="1A337136">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80" w:name="_Toc29485"/>
      <w:r>
        <w:rPr>
          <w:rFonts w:hint="eastAsia" w:ascii="宋体" w:hAnsi="宋体" w:eastAsia="宋体" w:cs="宋体"/>
          <w:color w:val="auto"/>
          <w:sz w:val="24"/>
          <w:szCs w:val="24"/>
          <w:highlight w:val="none"/>
        </w:rPr>
        <w:t>1.6投标费用</w:t>
      </w:r>
      <w:bookmarkEnd w:id="75"/>
      <w:bookmarkEnd w:id="76"/>
      <w:bookmarkEnd w:id="77"/>
      <w:bookmarkEnd w:id="80"/>
    </w:p>
    <w:p w14:paraId="11525B53">
      <w:pPr>
        <w:pageBreakBefore w:val="0"/>
        <w:tabs>
          <w:tab w:val="left" w:pos="7665"/>
        </w:tabs>
        <w:kinsoku/>
        <w:wordWrap/>
        <w:overflowPunct/>
        <w:topLinePunct w:val="0"/>
        <w:bidi w:val="0"/>
        <w:spacing w:line="480" w:lineRule="exact"/>
        <w:ind w:left="0" w:leftChars="0" w:right="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不论投标结果如何，投标人准备和参加投标活动发生的费用自理。</w:t>
      </w:r>
      <w:bookmarkStart w:id="81" w:name="_Toc89075875"/>
      <w:bookmarkStart w:id="82" w:name="_Toc77400779"/>
      <w:bookmarkStart w:id="83" w:name="_Toc183682346"/>
      <w:bookmarkStart w:id="84" w:name="_Toc183582209"/>
      <w:bookmarkStart w:id="85" w:name="_Toc217446038"/>
    </w:p>
    <w:p w14:paraId="7A03A3ED">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lang w:val="zh-CN"/>
        </w:rPr>
      </w:pPr>
      <w:bookmarkStart w:id="86" w:name="_Toc14325"/>
      <w:r>
        <w:rPr>
          <w:rFonts w:hint="eastAsia" w:ascii="宋体" w:hAnsi="宋体" w:eastAsia="宋体" w:cs="宋体"/>
          <w:color w:val="auto"/>
          <w:sz w:val="24"/>
          <w:szCs w:val="24"/>
          <w:highlight w:val="none"/>
          <w:lang w:val="zh-CN"/>
        </w:rPr>
        <w:t>1.7 保密</w:t>
      </w:r>
      <w:bookmarkEnd w:id="86"/>
    </w:p>
    <w:p w14:paraId="3EC753AC">
      <w:pPr>
        <w:pageBreakBefore w:val="0"/>
        <w:kinsoku/>
        <w:wordWrap/>
        <w:overflowPunct/>
        <w:topLinePunct w:val="0"/>
        <w:autoSpaceDE w:val="0"/>
        <w:autoSpaceDN w:val="0"/>
        <w:bidi w:val="0"/>
        <w:spacing w:line="480" w:lineRule="exact"/>
        <w:ind w:left="0" w:leftChars="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参与采购活动的当事人应对招标文件和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文件中的商业秘密、技术秘密和个人隐私等保密，违者应对由此造成的后果承担法律责任。</w:t>
      </w:r>
    </w:p>
    <w:p w14:paraId="63A9EC5C">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87" w:name="_Toc20888"/>
      <w:r>
        <w:rPr>
          <w:rFonts w:hint="eastAsia" w:ascii="宋体" w:hAnsi="宋体" w:eastAsia="宋体" w:cs="宋体"/>
          <w:color w:val="auto"/>
          <w:sz w:val="24"/>
          <w:szCs w:val="24"/>
          <w:highlight w:val="none"/>
        </w:rPr>
        <w:t>1.8语言文字</w:t>
      </w:r>
      <w:bookmarkEnd w:id="87"/>
    </w:p>
    <w:p w14:paraId="3003D179">
      <w:pPr>
        <w:pageBreakBefore w:val="0"/>
        <w:tabs>
          <w:tab w:val="left" w:pos="7665"/>
        </w:tabs>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招标投标文件使用的语言为中文。专用术语使用外文的，应附有中文注释。</w:t>
      </w:r>
    </w:p>
    <w:p w14:paraId="02D3CF70">
      <w:pPr>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投标文件中如附有外文资料，必须逐一对应翻译成中文并加盖投标人单位章后附在相关外文资料后面，否则，投标人的投标文件将作为无效投标处理。</w:t>
      </w:r>
    </w:p>
    <w:p w14:paraId="5AF218F6">
      <w:pPr>
        <w:pStyle w:val="12"/>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投标文件中翻译的中文资料与外文资料如果出现差异和矛盾时，以中文为准。但不能故意错误翻译，否则，投标人的投标文件将作为无效投标处理。</w:t>
      </w:r>
      <w:r>
        <w:rPr>
          <w:rFonts w:hint="eastAsia" w:ascii="宋体" w:hAnsi="宋体" w:eastAsia="宋体" w:cs="宋体"/>
          <w:color w:val="auto"/>
          <w:kern w:val="0"/>
          <w:sz w:val="24"/>
          <w:szCs w:val="24"/>
          <w:highlight w:val="none"/>
        </w:rPr>
        <w:t>必要时采购人可以要求投标人提供附有公证书的中文翻译文件或者与原版文件签章相一致的中文翻译文件。</w:t>
      </w:r>
    </w:p>
    <w:p w14:paraId="063ADD1C">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88" w:name="_Toc31594"/>
      <w:r>
        <w:rPr>
          <w:rFonts w:hint="eastAsia" w:ascii="宋体" w:hAnsi="宋体" w:eastAsia="宋体" w:cs="宋体"/>
          <w:color w:val="auto"/>
          <w:sz w:val="24"/>
          <w:szCs w:val="24"/>
          <w:highlight w:val="none"/>
        </w:rPr>
        <w:t>1.9计量单位</w:t>
      </w:r>
      <w:bookmarkEnd w:id="88"/>
    </w:p>
    <w:p w14:paraId="3628E481">
      <w:pPr>
        <w:pageBreakBefore w:val="0"/>
        <w:tabs>
          <w:tab w:val="left" w:pos="7665"/>
        </w:tabs>
        <w:kinsoku/>
        <w:wordWrap/>
        <w:overflowPunct/>
        <w:topLinePunct w:val="0"/>
        <w:bidi w:val="0"/>
        <w:spacing w:line="480" w:lineRule="exact"/>
        <w:ind w:left="0" w:leftChars="0" w:right="0"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所有计量单位均采用中华人民共和国法定计量单位。</w:t>
      </w:r>
    </w:p>
    <w:p w14:paraId="25A1C4BF">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89" w:name="_Toc19889"/>
      <w:r>
        <w:rPr>
          <w:rFonts w:hint="eastAsia" w:ascii="宋体" w:hAnsi="宋体" w:eastAsia="宋体" w:cs="宋体"/>
          <w:color w:val="auto"/>
          <w:sz w:val="24"/>
          <w:szCs w:val="24"/>
          <w:highlight w:val="none"/>
        </w:rPr>
        <w:t>1.10 答疑会或现场考察</w:t>
      </w:r>
      <w:bookmarkEnd w:id="89"/>
    </w:p>
    <w:p w14:paraId="4144BC71">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通知所有获取了招标文件的投标人。</w:t>
      </w:r>
    </w:p>
    <w:p w14:paraId="69AC39F5">
      <w:pPr>
        <w:pageBreakBefore w:val="0"/>
        <w:kinsoku/>
        <w:wordWrap/>
        <w:overflowPunct/>
        <w:topLinePunct w:val="0"/>
        <w:bidi w:val="0"/>
        <w:adjustRightInd w:val="0"/>
        <w:snapToGrid w:val="0"/>
        <w:spacing w:line="48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答疑会或现场考察后，采购人或采购代理机构对投标人所提问题的澄清，以书面形式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通知所有获取了招标文件的投标人。该澄清内容为招标文件的组成部分。</w:t>
      </w:r>
    </w:p>
    <w:p w14:paraId="3A7EF0FD">
      <w:pPr>
        <w:pageBreakBefore w:val="0"/>
        <w:kinsoku/>
        <w:wordWrap/>
        <w:overflowPunct/>
        <w:topLinePunct w:val="0"/>
        <w:bidi w:val="0"/>
        <w:adjustRightInd w:val="0"/>
        <w:snapToGrid w:val="0"/>
        <w:spacing w:line="48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采购人不对投标人现场考察而做出的推论、理解和结论负责。一旦成交，中标人不得以任何借口，提出额外补偿，或延长合同期限的要求。</w:t>
      </w:r>
    </w:p>
    <w:p w14:paraId="44922E97">
      <w:pPr>
        <w:pageBreakBefore w:val="0"/>
        <w:tabs>
          <w:tab w:val="left" w:pos="7665"/>
        </w:tabs>
        <w:kinsoku/>
        <w:wordWrap/>
        <w:overflowPunct/>
        <w:topLinePunct w:val="0"/>
        <w:bidi w:val="0"/>
        <w:spacing w:line="480" w:lineRule="exact"/>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2.招标文件</w:t>
      </w:r>
      <w:bookmarkEnd w:id="81"/>
      <w:bookmarkEnd w:id="82"/>
      <w:bookmarkEnd w:id="83"/>
      <w:bookmarkEnd w:id="84"/>
      <w:bookmarkEnd w:id="85"/>
      <w:bookmarkStart w:id="90" w:name="_Toc183582210"/>
      <w:bookmarkStart w:id="91" w:name="_Toc217446039"/>
      <w:bookmarkStart w:id="92" w:name="_Toc183682347"/>
    </w:p>
    <w:p w14:paraId="693FD357">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93" w:name="_Toc3033"/>
      <w:r>
        <w:rPr>
          <w:rFonts w:hint="eastAsia" w:ascii="宋体" w:hAnsi="宋体" w:eastAsia="宋体" w:cs="宋体"/>
          <w:color w:val="auto"/>
          <w:sz w:val="24"/>
          <w:szCs w:val="24"/>
          <w:highlight w:val="none"/>
        </w:rPr>
        <w:t>2.1招标文件的</w:t>
      </w:r>
      <w:bookmarkEnd w:id="90"/>
      <w:bookmarkEnd w:id="91"/>
      <w:bookmarkEnd w:id="92"/>
      <w:r>
        <w:rPr>
          <w:rFonts w:hint="eastAsia" w:ascii="宋体" w:hAnsi="宋体" w:eastAsia="宋体" w:cs="宋体"/>
          <w:color w:val="auto"/>
          <w:sz w:val="24"/>
          <w:szCs w:val="24"/>
          <w:highlight w:val="none"/>
        </w:rPr>
        <w:t>组成</w:t>
      </w:r>
      <w:bookmarkEnd w:id="93"/>
    </w:p>
    <w:p w14:paraId="4F02932A">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本招标文件包括以下内容：</w:t>
      </w:r>
    </w:p>
    <w:p w14:paraId="1F826591">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1586E457">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0B8569E1">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38DA10E5">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（4）采购内容及要求；</w:t>
      </w:r>
    </w:p>
    <w:p w14:paraId="24A27793">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（5）采购合同条款；</w:t>
      </w:r>
    </w:p>
    <w:p w14:paraId="700A31BB">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（6）投标文件格式要求；</w:t>
      </w:r>
    </w:p>
    <w:p w14:paraId="6406DFFD">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（7）投标人须知前附表规定的其他材料。</w:t>
      </w:r>
      <w:bookmarkStart w:id="94" w:name="_Toc183582211"/>
      <w:bookmarkStart w:id="95" w:name="_Toc183682348"/>
      <w:bookmarkStart w:id="96" w:name="_Toc217446040"/>
    </w:p>
    <w:p w14:paraId="66C051D7">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根据本章第1.10款、第2.2款对招标文件所作的澄清、修改，构成招标文件组成部分。</w:t>
      </w:r>
    </w:p>
    <w:p w14:paraId="75E01A43">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97" w:name="_Toc1496"/>
      <w:r>
        <w:rPr>
          <w:rFonts w:hint="eastAsia" w:ascii="宋体" w:hAnsi="宋体" w:eastAsia="宋体" w:cs="宋体"/>
          <w:color w:val="auto"/>
          <w:sz w:val="24"/>
          <w:szCs w:val="24"/>
          <w:highlight w:val="none"/>
        </w:rPr>
        <w:t>2.2招标文件的澄清</w:t>
      </w:r>
      <w:bookmarkEnd w:id="94"/>
      <w:bookmarkEnd w:id="95"/>
      <w:r>
        <w:rPr>
          <w:rFonts w:hint="eastAsia" w:ascii="宋体" w:hAnsi="宋体" w:eastAsia="宋体" w:cs="宋体"/>
          <w:color w:val="auto"/>
          <w:sz w:val="24"/>
          <w:szCs w:val="24"/>
          <w:highlight w:val="none"/>
        </w:rPr>
        <w:t>或修改</w:t>
      </w:r>
      <w:bookmarkEnd w:id="96"/>
      <w:bookmarkEnd w:id="97"/>
    </w:p>
    <w:p w14:paraId="7898CD15">
      <w:pPr>
        <w:pageBreakBefore w:val="0"/>
        <w:tabs>
          <w:tab w:val="left" w:pos="720"/>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在投标截止时间前，采购代理机构无论出于何种原因，可以对已发出的招标文件进行必要的澄清或者修改，但不得修改采购标的和资格条件。</w:t>
      </w:r>
    </w:p>
    <w:p w14:paraId="1430F457">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采购人或采购代理机构对已发出的招标文件进行必要的澄清或者修改，澄清或修改的内容可能影响投标文件编制的，应当在投标文件截止时间</w:t>
      </w: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日前，以书面形式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将澄清或者修改的内容通知所有获取招标文件的投标人。投标人在收到上述通知后，应立即以书面形式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向采购代理机构确认。如果澄清或者修改发出的时间距规定的投标截止时间不足</w:t>
      </w: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日，将相应顺延投标截止时间。</w:t>
      </w:r>
    </w:p>
    <w:p w14:paraId="5ADC7E55">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eastAsia="宋体" w:cs="宋体"/>
          <w:b/>
          <w:color w:val="auto"/>
          <w:sz w:val="24"/>
          <w:szCs w:val="24"/>
          <w:highlight w:val="none"/>
        </w:rPr>
        <w:t>10</w:t>
      </w:r>
      <w:r>
        <w:rPr>
          <w:rFonts w:hint="eastAsia" w:ascii="宋体" w:hAnsi="宋体" w:eastAsia="宋体" w:cs="宋体"/>
          <w:color w:val="auto"/>
          <w:sz w:val="24"/>
          <w:szCs w:val="24"/>
          <w:highlight w:val="none"/>
        </w:rPr>
        <w:t>日前按招标文件中的联系方式，以书面形式向采购代理机构提出，采购代理机构应当在</w:t>
      </w:r>
      <w:r>
        <w:rPr>
          <w:rFonts w:hint="eastAsia" w:ascii="宋体" w:hAnsi="宋体" w:eastAsia="宋体" w:cs="宋体"/>
          <w:b/>
          <w:color w:val="auto"/>
          <w:sz w:val="24"/>
          <w:szCs w:val="24"/>
          <w:highlight w:val="none"/>
        </w:rPr>
        <w:t>3</w:t>
      </w:r>
      <w:r>
        <w:rPr>
          <w:rFonts w:hint="eastAsia" w:ascii="宋体" w:hAnsi="宋体" w:eastAsia="宋体" w:cs="宋体"/>
          <w:color w:val="auto"/>
          <w:sz w:val="24"/>
          <w:szCs w:val="24"/>
          <w:highlight w:val="none"/>
        </w:rPr>
        <w:t>个工作日内，以书面形式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予以答复，或认为有必要召开答疑会。超过该时间收到的需要询问或澄清的内容，采购代理机构有权不予答复。</w:t>
      </w:r>
    </w:p>
    <w:p w14:paraId="57C635DA">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在投标截止时间前，采购代理机构可以视采购具体情况，延长投标截止时间和开标时间，并在招标文件要求提交投标文件的截止时间前，将变更时间以书面形式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通知所有获取招标文件的投标人，同时在原信息发布媒体上发布变更公告。</w:t>
      </w:r>
      <w:bookmarkStart w:id="98" w:name="_Toc183682350"/>
      <w:bookmarkStart w:id="99" w:name="_Toc217446041"/>
      <w:bookmarkStart w:id="100" w:name="_Toc183582213"/>
      <w:bookmarkStart w:id="101" w:name="_Toc208848971"/>
    </w:p>
    <w:p w14:paraId="6859AE49">
      <w:pPr>
        <w:pageBreakBefore w:val="0"/>
        <w:kinsoku/>
        <w:wordWrap/>
        <w:overflowPunct/>
        <w:topLinePunct w:val="0"/>
        <w:bidi w:val="0"/>
        <w:spacing w:line="480" w:lineRule="exact"/>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当招标文件澄清、答复、修改或补充通知与招标文件就同一内容表述不一致时，以最后发出的书面文件内容为准。</w:t>
      </w:r>
    </w:p>
    <w:bookmarkEnd w:id="98"/>
    <w:bookmarkEnd w:id="99"/>
    <w:bookmarkEnd w:id="100"/>
    <w:bookmarkEnd w:id="101"/>
    <w:p w14:paraId="5797FDF7">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102" w:name="_Toc16425"/>
      <w:r>
        <w:rPr>
          <w:rFonts w:hint="eastAsia" w:ascii="宋体" w:hAnsi="宋体" w:eastAsia="宋体" w:cs="宋体"/>
          <w:color w:val="auto"/>
          <w:sz w:val="24"/>
          <w:szCs w:val="24"/>
          <w:highlight w:val="none"/>
        </w:rPr>
        <w:t>2.3招标文件的解释权</w:t>
      </w:r>
      <w:bookmarkEnd w:id="102"/>
    </w:p>
    <w:p w14:paraId="6488CDA5">
      <w:pPr>
        <w:pStyle w:val="4"/>
        <w:pageBreakBefore w:val="0"/>
        <w:kinsoku/>
        <w:wordWrap/>
        <w:overflowPunct/>
        <w:topLinePunct w:val="0"/>
        <w:bidi w:val="0"/>
        <w:spacing w:line="480" w:lineRule="exact"/>
        <w:ind w:left="0" w:leftChars="0" w:right="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招标文件的解释权归采购代理机构，如发现招标文件内容与现行法律法规不相符的情况，以现行法律法规为准。</w:t>
      </w:r>
      <w:bookmarkStart w:id="103" w:name="_Toc89075876"/>
      <w:bookmarkStart w:id="104" w:name="_Toc183682351"/>
      <w:bookmarkStart w:id="105" w:name="_Toc183582214"/>
      <w:bookmarkStart w:id="106" w:name="_Toc217446042"/>
      <w:bookmarkStart w:id="107" w:name="_Toc77400780"/>
    </w:p>
    <w:p w14:paraId="65E543D7">
      <w:pPr>
        <w:pStyle w:val="4"/>
        <w:pageBreakBefore w:val="0"/>
        <w:kinsoku/>
        <w:wordWrap/>
        <w:overflowPunct/>
        <w:topLinePunct w:val="0"/>
        <w:bidi w:val="0"/>
        <w:spacing w:line="480" w:lineRule="exact"/>
        <w:ind w:left="0" w:leftChars="0" w:right="0"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3.投标人</w:t>
      </w:r>
    </w:p>
    <w:p w14:paraId="3FD721BD">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108" w:name="_Toc1850"/>
      <w:r>
        <w:rPr>
          <w:rFonts w:hint="eastAsia" w:ascii="宋体" w:hAnsi="宋体" w:eastAsia="宋体" w:cs="宋体"/>
          <w:color w:val="auto"/>
          <w:sz w:val="24"/>
          <w:szCs w:val="24"/>
          <w:highlight w:val="none"/>
        </w:rPr>
        <w:t>3.1</w:t>
      </w:r>
      <w:bookmarkEnd w:id="103"/>
      <w:bookmarkEnd w:id="104"/>
      <w:bookmarkEnd w:id="105"/>
      <w:bookmarkEnd w:id="106"/>
      <w:bookmarkEnd w:id="107"/>
      <w:bookmarkStart w:id="109" w:name="_Toc183682352"/>
      <w:bookmarkStart w:id="110" w:name="_Toc217446043"/>
      <w:bookmarkStart w:id="111" w:name="_Toc183582215"/>
      <w:r>
        <w:rPr>
          <w:rFonts w:hint="eastAsia" w:ascii="宋体" w:hAnsi="宋体" w:eastAsia="宋体" w:cs="宋体"/>
          <w:color w:val="auto"/>
          <w:sz w:val="24"/>
          <w:szCs w:val="24"/>
          <w:highlight w:val="none"/>
        </w:rPr>
        <w:t>投标人资格要求</w:t>
      </w:r>
      <w:bookmarkEnd w:id="108"/>
    </w:p>
    <w:p w14:paraId="55EEA667">
      <w:pPr>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3.1.1 投标人应符合资格要求规定的条件，</w:t>
      </w:r>
      <w:r>
        <w:rPr>
          <w:rFonts w:hint="eastAsia" w:ascii="宋体" w:hAnsi="宋体" w:eastAsia="宋体" w:cs="宋体"/>
          <w:b/>
          <w:color w:val="auto"/>
          <w:sz w:val="24"/>
          <w:szCs w:val="24"/>
          <w:highlight w:val="none"/>
          <w:lang w:val="zh-CN"/>
        </w:rPr>
        <w:t>并根据</w:t>
      </w:r>
      <w:r>
        <w:rPr>
          <w:rFonts w:hint="eastAsia" w:ascii="宋体" w:hAnsi="宋体" w:eastAsia="宋体" w:cs="宋体"/>
          <w:b/>
          <w:color w:val="auto"/>
          <w:sz w:val="24"/>
          <w:szCs w:val="24"/>
          <w:highlight w:val="none"/>
        </w:rPr>
        <w:t>资格要求</w:t>
      </w:r>
      <w:r>
        <w:rPr>
          <w:rFonts w:hint="eastAsia" w:ascii="宋体" w:hAnsi="宋体" w:eastAsia="宋体" w:cs="宋体"/>
          <w:b/>
          <w:color w:val="auto"/>
          <w:sz w:val="24"/>
          <w:szCs w:val="24"/>
          <w:highlight w:val="none"/>
          <w:lang w:val="zh-CN"/>
        </w:rPr>
        <w:t>规定提供下列材料：</w:t>
      </w:r>
    </w:p>
    <w:p w14:paraId="13F1F197">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为企业法人应提供合法有效的标识有统一社会信用代码的营业执照；事业法人应提供事业单位法人证书；其他组织应提供合法登记证明文件</w:t>
      </w:r>
      <w:r>
        <w:rPr>
          <w:rFonts w:hint="eastAsia" w:ascii="宋体" w:hAnsi="宋体" w:eastAsia="宋体" w:cs="宋体"/>
          <w:color w:val="auto"/>
          <w:kern w:val="0"/>
          <w:sz w:val="24"/>
          <w:szCs w:val="24"/>
          <w:highlight w:val="none"/>
          <w:lang w:eastAsia="zh-CN"/>
        </w:rPr>
        <w:t>；</w:t>
      </w:r>
    </w:p>
    <w:p w14:paraId="5C46D143">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kern w:val="0"/>
          <w:sz w:val="24"/>
          <w:szCs w:val="24"/>
          <w:highlight w:val="none"/>
        </w:rPr>
        <w:t>法定代表人身份证或法定代表人授权委托书和委托代理人的身份证。法定代表人授权委托书应当与投标文件中所提供的相一致</w:t>
      </w:r>
      <w:r>
        <w:rPr>
          <w:rFonts w:hint="eastAsia" w:ascii="宋体" w:hAnsi="宋体" w:eastAsia="宋体" w:cs="宋体"/>
          <w:color w:val="auto"/>
          <w:kern w:val="0"/>
          <w:sz w:val="24"/>
          <w:szCs w:val="24"/>
          <w:highlight w:val="none"/>
          <w:lang w:eastAsia="zh-CN"/>
        </w:rPr>
        <w:t>；</w:t>
      </w:r>
    </w:p>
    <w:p w14:paraId="77609DFE">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eastAsia="zh-CN"/>
        </w:rPr>
        <w:t>投标人须书面承诺自身商业信誉良好，投标截止时间前未在“信用中国”列入失信被执行人、重大税收违法失信主体，未在中国政府采购网存在政府采购严重违法失信记录，无法律法规禁止参与政府采购的其他违法失信情形（注：1.投标文件无需附信用查询截图，由资格审查小组及采购代理机构现场统一核验；2.承诺函格式自拟并加盖公章；3.现场查实存在上述失信记录的，投标无效，相关损失与法律责任由投标人自行承担。）；</w:t>
      </w:r>
    </w:p>
    <w:p w14:paraId="088087D8">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eastAsia="zh-CN"/>
        </w:rPr>
        <w:t>投标人提供2026年1月至今已缴存的至少一个月的社会保障资金缴存单据或社保机构开具的社会保险参保缴费情况证明，依法不需要缴纳社会保障资金的投标人应提供相关文件证明；</w:t>
      </w:r>
    </w:p>
    <w:p w14:paraId="1282AE06">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rPr>
        <w:t>投标人提供会计师事务所出具的2025年的财务审计报告（报告中须包括资产负债表、利润表、现金流量表及财务报表附注）；如果</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为新成立单位，无法提供审计报告，则需提供新企业验资报告复印件并加盖提供报告单位的公章；如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无法提供上年度审计报告或新企业验资报告，则需提供开户银行出具的资信证明并附基本存款账户开户许可证或者基本户存款信息表；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银行出具的存款证明不能作为银行资信证明</w:t>
      </w:r>
      <w:r>
        <w:rPr>
          <w:rFonts w:hint="eastAsia" w:ascii="宋体" w:hAnsi="宋体" w:eastAsia="宋体" w:cs="宋体"/>
          <w:color w:val="auto"/>
          <w:kern w:val="0"/>
          <w:sz w:val="24"/>
          <w:szCs w:val="24"/>
          <w:highlight w:val="none"/>
          <w:lang w:eastAsia="zh-CN"/>
        </w:rPr>
        <w:t>；</w:t>
      </w:r>
    </w:p>
    <w:p w14:paraId="52383E07">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提供2026年1月至今已缴纳的至少一个月的纳税证明或完税证明，纳税证明或完税证明上应有代收机构或税务机关的公章，依法免税的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应提供相关文件证明</w:t>
      </w:r>
      <w:r>
        <w:rPr>
          <w:rFonts w:hint="eastAsia" w:ascii="宋体" w:hAnsi="宋体" w:eastAsia="宋体" w:cs="宋体"/>
          <w:color w:val="auto"/>
          <w:kern w:val="0"/>
          <w:sz w:val="24"/>
          <w:szCs w:val="24"/>
          <w:highlight w:val="none"/>
          <w:lang w:eastAsia="zh-CN"/>
        </w:rPr>
        <w:t>；</w:t>
      </w:r>
    </w:p>
    <w:p w14:paraId="4DEEF440">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应具备良好的商业信誉，提供参加政府采购活动前3年内在经营活动中没有重大违法记录的书面声明</w:t>
      </w:r>
      <w:r>
        <w:rPr>
          <w:rFonts w:hint="eastAsia" w:ascii="宋体" w:hAnsi="宋体" w:eastAsia="宋体" w:cs="宋体"/>
          <w:color w:val="auto"/>
          <w:kern w:val="0"/>
          <w:sz w:val="24"/>
          <w:szCs w:val="24"/>
          <w:highlight w:val="none"/>
          <w:lang w:eastAsia="zh-CN"/>
        </w:rPr>
        <w:t>；</w:t>
      </w:r>
    </w:p>
    <w:p w14:paraId="1DE20E6C">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投标保证金足额缴纳凭证或保函</w:t>
      </w:r>
      <w:r>
        <w:rPr>
          <w:rFonts w:hint="eastAsia" w:ascii="宋体" w:hAnsi="宋体" w:eastAsia="宋体" w:cs="宋体"/>
          <w:i w:val="0"/>
          <w:iCs w:val="0"/>
          <w:color w:val="auto"/>
          <w:sz w:val="24"/>
          <w:szCs w:val="24"/>
          <w:highlight w:val="none"/>
          <w:u w:val="none"/>
          <w:lang w:eastAsia="zh-CN"/>
        </w:rPr>
        <w:t>；</w:t>
      </w:r>
    </w:p>
    <w:p w14:paraId="4D0B6813">
      <w:pPr>
        <w:pageBreakBefore w:val="0"/>
        <w:kinsoku/>
        <w:wordWrap/>
        <w:overflowPunct/>
        <w:topLinePunct w:val="0"/>
        <w:bidi w:val="0"/>
        <w:spacing w:line="480" w:lineRule="exact"/>
        <w:ind w:left="0" w:leftChars="0" w:right="0"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color w:val="auto"/>
          <w:kern w:val="0"/>
          <w:sz w:val="24"/>
          <w:szCs w:val="24"/>
          <w:highlight w:val="none"/>
          <w:lang w:eastAsia="zh-CN"/>
        </w:rPr>
        <w:t>投标人应为中小企业，需提供《中小企业声明函》</w:t>
      </w:r>
      <w:r>
        <w:rPr>
          <w:rFonts w:hint="eastAsia" w:ascii="宋体" w:hAnsi="宋体" w:eastAsia="宋体" w:cs="宋体"/>
          <w:b w:val="0"/>
          <w:bCs/>
          <w:color w:val="auto"/>
          <w:sz w:val="24"/>
          <w:szCs w:val="24"/>
          <w:highlight w:val="none"/>
          <w:lang w:val="en-US" w:eastAsia="zh-CN"/>
        </w:rPr>
        <w:t>。</w:t>
      </w:r>
    </w:p>
    <w:p w14:paraId="4379C916">
      <w:pPr>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注：以上资格证明材料为必备材料，缺少一项或某项达不到招标文件要求的按无效投标文件处理。在投标文件中应附一套以上完整的资格证明材料，复印件加盖投标人单位公章。</w:t>
      </w:r>
    </w:p>
    <w:p w14:paraId="7F2E09DC">
      <w:pPr>
        <w:pageBreakBefore w:val="0"/>
        <w:kinsoku/>
        <w:wordWrap/>
        <w:overflowPunct/>
        <w:topLinePunct w:val="0"/>
        <w:autoSpaceDE w:val="0"/>
        <w:autoSpaceDN w:val="0"/>
        <w:bidi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sz w:val="24"/>
          <w:szCs w:val="24"/>
          <w:highlight w:val="none"/>
        </w:rPr>
        <w:t>采购代理机构将通过“信用中国”网站（www.creditchina.gov.cn）和中国政府采购网站（www.ccgp.gov.cn）查询投标人信用记录，被列入失信被执行人、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、政府采购严重违法失信行为记录名单的单位将被拒绝参与本项目投标。</w:t>
      </w:r>
    </w:p>
    <w:p w14:paraId="0152DE72">
      <w:pPr>
        <w:pageBreakBefore w:val="0"/>
        <w:tabs>
          <w:tab w:val="left" w:pos="720"/>
        </w:tabs>
        <w:kinsoku/>
        <w:wordWrap/>
        <w:overflowPunct/>
        <w:topLinePunct w:val="0"/>
        <w:bidi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3.1.3 </w:t>
      </w:r>
      <w:r>
        <w:rPr>
          <w:rFonts w:hint="eastAsia" w:ascii="宋体" w:hAnsi="宋体" w:eastAsia="宋体" w:cs="宋体"/>
          <w:color w:val="auto"/>
          <w:sz w:val="24"/>
          <w:szCs w:val="24"/>
          <w:highlight w:val="none"/>
        </w:rPr>
        <w:t>投标人应保证所提供的全部证明材料的真实性，并保证愿意接受由采购人对其所提供材料的真实性的调查和考证。</w:t>
      </w:r>
    </w:p>
    <w:p w14:paraId="614124B0">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112" w:name="_Toc17198"/>
      <w:r>
        <w:rPr>
          <w:rFonts w:hint="eastAsia" w:ascii="宋体" w:hAnsi="宋体" w:eastAsia="宋体" w:cs="宋体"/>
          <w:color w:val="auto"/>
          <w:sz w:val="24"/>
          <w:szCs w:val="24"/>
          <w:highlight w:val="none"/>
        </w:rPr>
        <w:t>3.2授权委托</w:t>
      </w:r>
      <w:bookmarkEnd w:id="112"/>
    </w:p>
    <w:p w14:paraId="600B4950">
      <w:pPr>
        <w:pStyle w:val="12"/>
        <w:pageBreakBefore w:val="0"/>
        <w:kinsoku/>
        <w:wordWrap/>
        <w:overflowPunct/>
        <w:topLinePunct w:val="0"/>
        <w:bidi w:val="0"/>
        <w:adjustRightInd w:val="0"/>
        <w:snapToGrid w:val="0"/>
        <w:spacing w:line="480" w:lineRule="exact"/>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3.2.1投标人代表为法定代表人（单位负责人）的，应持有法定代表人（单位负责人）身份证明。投标人代表不是法定代表人（单位负责人）的，应持有法定代表人（单位负责人）授权委托书。</w:t>
      </w:r>
    </w:p>
    <w:p w14:paraId="76C68686">
      <w:pPr>
        <w:pStyle w:val="12"/>
        <w:pageBreakBefore w:val="0"/>
        <w:kinsoku/>
        <w:wordWrap/>
        <w:overflowPunct/>
        <w:topLinePunct w:val="0"/>
        <w:bidi w:val="0"/>
        <w:adjustRightInd w:val="0"/>
        <w:snapToGrid w:val="0"/>
        <w:spacing w:line="480" w:lineRule="exact"/>
        <w:ind w:left="0" w:leftChars="0" w:right="0" w:firstLine="600" w:firstLineChars="25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kern w:val="0"/>
          <w:sz w:val="24"/>
          <w:szCs w:val="24"/>
          <w:highlight w:val="none"/>
        </w:rPr>
        <w:t>.2投标人应当委托本单位正式员工作为投标人代表，且投标人代表只能接受一个投标人的委托参加投标。</w:t>
      </w:r>
    </w:p>
    <w:p w14:paraId="43DCDC55">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113" w:name="_Toc16974"/>
      <w:r>
        <w:rPr>
          <w:rFonts w:hint="eastAsia" w:ascii="宋体" w:hAnsi="宋体" w:eastAsia="宋体" w:cs="宋体"/>
          <w:color w:val="auto"/>
          <w:sz w:val="24"/>
          <w:szCs w:val="24"/>
          <w:highlight w:val="none"/>
        </w:rPr>
        <w:t>3.3联合投标</w:t>
      </w:r>
      <w:bookmarkEnd w:id="113"/>
    </w:p>
    <w:p w14:paraId="2DA6B62A">
      <w:pPr>
        <w:pageBreakBefore w:val="0"/>
        <w:tabs>
          <w:tab w:val="left" w:pos="7665"/>
        </w:tabs>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3.3.1本项目允许联合投标的，适用本条款。</w:t>
      </w:r>
    </w:p>
    <w:p w14:paraId="36CF8343">
      <w:pPr>
        <w:pageBreakBefore w:val="0"/>
        <w:kinsoku/>
        <w:wordWrap/>
        <w:overflowPunct/>
        <w:topLinePunct w:val="0"/>
        <w:bidi w:val="0"/>
        <w:spacing w:line="480" w:lineRule="exact"/>
        <w:ind w:left="0" w:leftChars="0" w:right="0"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两个以上投标人可以组成一个投标联合体，以一个投标人的身份投标。以联合体形式参加投标的，联合体各方均应当符合《中华人民共和国政府采购法》规定的资格条件：</w:t>
      </w:r>
    </w:p>
    <w:p w14:paraId="1DE0ACAB">
      <w:pPr>
        <w:pageBreakBefore w:val="0"/>
        <w:kinsoku/>
        <w:wordWrap/>
        <w:overflowPunct/>
        <w:topLinePunct w:val="0"/>
        <w:bidi w:val="0"/>
        <w:spacing w:line="480" w:lineRule="exact"/>
        <w:ind w:left="0" w:leftChars="0" w:right="0"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（1）联合体各方均应当符合本章第3.1.1条规定的投标人基本资格条件；</w:t>
      </w:r>
    </w:p>
    <w:p w14:paraId="7E5107B1">
      <w:pPr>
        <w:pageBreakBefore w:val="0"/>
        <w:kinsoku/>
        <w:wordWrap/>
        <w:overflowPunct/>
        <w:topLinePunct w:val="0"/>
        <w:bidi w:val="0"/>
        <w:adjustRightInd w:val="0"/>
        <w:snapToGrid w:val="0"/>
        <w:spacing w:line="480" w:lineRule="exact"/>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（2）联合体各方中至少应当有一方符合本章第3.1.1（7）条款规定的投标人强制资格条件。</w:t>
      </w:r>
    </w:p>
    <w:p w14:paraId="49D00D1F">
      <w:pPr>
        <w:pageBreakBefore w:val="0"/>
        <w:kinsoku/>
        <w:wordWrap/>
        <w:overflowPunct/>
        <w:topLinePunct w:val="0"/>
        <w:bidi w:val="0"/>
        <w:spacing w:line="480" w:lineRule="exact"/>
        <w:ind w:left="0" w:leftChars="0" w:right="0"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联合体各方之间应当签订共同投标协议，明确约定联合体各方承担的合同工作量比例和相应的责任，并将共同投标协议连同投标文件一并提交采购代理机构。联合体各方签订共同投标协议后，不得再以自己名义单独在同一项目中投标，也不得组成新的联合体参加同一项目投标。</w:t>
      </w:r>
    </w:p>
    <w:p w14:paraId="2683EBC6">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3.3.4联合体应当确定其中一个单位为投标的全权代表，负责参加投标的一切事务，并承担投标及履约中应承担的全部责任与义务。</w:t>
      </w:r>
    </w:p>
    <w:p w14:paraId="4EAEFC4A">
      <w:pPr>
        <w:pStyle w:val="1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3.3.5联合体各方应当共同与采购人签订采购合同，就采购合同约定的事项对采购人承担连带责任。</w:t>
      </w:r>
    </w:p>
    <w:p w14:paraId="139C27EC">
      <w:pPr>
        <w:pStyle w:val="3"/>
        <w:pageBreakBefore w:val="0"/>
        <w:kinsoku/>
        <w:wordWrap/>
        <w:overflowPunct/>
        <w:topLinePunct w:val="0"/>
        <w:bidi w:val="0"/>
        <w:spacing w:before="0" w:after="0" w:line="480" w:lineRule="exact"/>
        <w:ind w:left="0" w:leftChars="0" w:right="0"/>
        <w:rPr>
          <w:rFonts w:hint="eastAsia" w:ascii="宋体" w:hAnsi="宋体" w:eastAsia="宋体" w:cs="宋体"/>
          <w:color w:val="auto"/>
          <w:sz w:val="24"/>
          <w:szCs w:val="24"/>
          <w:highlight w:val="none"/>
        </w:rPr>
      </w:pPr>
      <w:bookmarkStart w:id="114" w:name="_Toc14507"/>
      <w:r>
        <w:rPr>
          <w:rFonts w:hint="eastAsia" w:ascii="宋体" w:hAnsi="宋体" w:eastAsia="宋体" w:cs="宋体"/>
          <w:color w:val="auto"/>
          <w:sz w:val="24"/>
          <w:szCs w:val="24"/>
          <w:highlight w:val="none"/>
        </w:rPr>
        <w:t>3.4享受的政府采购政策</w:t>
      </w:r>
      <w:bookmarkEnd w:id="114"/>
    </w:p>
    <w:p w14:paraId="5E9EA6F6">
      <w:pPr>
        <w:pStyle w:val="12"/>
        <w:pageBreakBefore w:val="0"/>
        <w:kinsoku/>
        <w:wordWrap/>
        <w:overflowPunct/>
        <w:topLinePunct w:val="0"/>
        <w:bidi w:val="0"/>
        <w:adjustRightInd w:val="0"/>
        <w:snapToGrid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3.4.1 节能产品、环境标志产品</w:t>
      </w:r>
    </w:p>
    <w:p w14:paraId="11F9DE3A">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3.4.1.1 根据《国家市场监督管理总局关于发布强制性产品认证目录描述与界定表的公告》（2023 年第 36 号）要求，本项目采购产品若属于《强制性产品认证目录》《强制性产品认证目录描述与界定表（2023 年修订）》范围内，须提供有效期内的强制性认证（CCC）证书。</w:t>
      </w:r>
    </w:p>
    <w:p w14:paraId="38E4D331">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3.4.1.2 根据财政部、发展改革委、生态环境部、市场监管总局联合发布的《关于调整优化节能产品、环境标志产品政府采购执行机制的通知》(财库[2019]9号)要求，相关采购产品须满足以下认证及价格扣除要求：</w:t>
      </w:r>
    </w:p>
    <w:p w14:paraId="145E7870">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若属于《关于印发节能产品政府采购品目清单的通知》（财库[2019]19号）范围内的强制采购产品，须提供有效期内的节能产品认证证书；属于优先采购产品的，须提供有效期内的节能产品认证证书，且按以下标准给予价格扣除：节能产品金额占项目总金额≥30%，扣除2%；＜30%，扣除1%；强制采购节能产品不享受该价格扣除。</w:t>
      </w:r>
    </w:p>
    <w:p w14:paraId="48971907">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若属于《关于印发节能产品政府采购品目清单的通知》（财库[2019]19号）、《关于印发环境标志产品政府采购品目清单的通知》（财库[2019]18号）范围内的优先采购产品，须提供有效期内的对应认证证书（节能或环境标志产品认证证书）；环境标志产品按以下标准给予价格扣除：环境标志产品金额占项目总金额≥30%，扣除2%；＜30%，扣除1%。</w:t>
      </w:r>
    </w:p>
    <w:p w14:paraId="6BD07CA8">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节能产品指属于《节能产品政府采购品目清单》范围，且具备国家指定认证机构出具的有效期内节能产品认证证书的产品；环境标志产品指属于《环境标志产品政府采购品目清单》范围，且具备国家指定认证机构出具的有效期内环境标志产品认证证书的产品。</w:t>
      </w:r>
    </w:p>
    <w:p w14:paraId="60D33136">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3.4.1.3 投标人所投产品有下列情形之一的，优先采购产品不再享受优先采购政策，强制采购产品按无效投标文件处理：</w:t>
      </w:r>
    </w:p>
    <w:p w14:paraId="218355EC">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（1）不属于《节能产品、环境标志产品品目清单》范围内的产品；</w:t>
      </w:r>
    </w:p>
    <w:p w14:paraId="5718F96D">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（2）未提供对应认证证书，或经核对认证证书信息有误的。</w:t>
      </w:r>
    </w:p>
    <w:p w14:paraId="4783ADCE">
      <w:pPr>
        <w:pageBreakBefore w:val="0"/>
        <w:kinsoku/>
        <w:wordWrap/>
        <w:overflowPunct/>
        <w:topLinePunct w:val="0"/>
        <w:bidi w:val="0"/>
        <w:adjustRightInd w:val="0"/>
        <w:snapToGrid w:val="0"/>
        <w:spacing w:line="48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3.4.2 中小企业</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本项目专门面向中小企业</w:t>
      </w:r>
      <w:r>
        <w:rPr>
          <w:rFonts w:hint="eastAsia" w:ascii="宋体" w:hAnsi="宋体" w:eastAsia="宋体" w:cs="宋体"/>
          <w:b/>
          <w:color w:val="auto"/>
          <w:sz w:val="24"/>
          <w:szCs w:val="24"/>
          <w:highlight w:val="none"/>
          <w:lang w:eastAsia="zh-CN"/>
        </w:rPr>
        <w:t>）</w:t>
      </w:r>
    </w:p>
    <w:p w14:paraId="70B6EA65">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3.4.2.1 </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依据《工业和信息化部、国家统计局、国家发展和改革委员会、财政部关于印发中小企业划型标准规定的通知》规定划分标准，属于中小企业的，可享受支持中小型企业发展优惠政策。</w:t>
      </w:r>
    </w:p>
    <w:p w14:paraId="1B899DD1">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作为中小企业参加政府采购活动时，应当提供《中小企业声明函》（见第六章投标文件格式），不提供或提供有瑕疵的：</w:t>
      </w:r>
    </w:p>
    <w:p w14:paraId="39EE59E2">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（1）在评审时，</w:t>
      </w:r>
      <w:r>
        <w:rPr>
          <w:rFonts w:hint="eastAsia" w:ascii="宋体" w:hAnsi="宋体" w:eastAsia="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享受政府采购价格折扣的优惠政策；</w:t>
      </w:r>
    </w:p>
    <w:p w14:paraId="7DFFC9E2">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（2）在资格审查时，不予通过资格审查（仅限专门面向中小企业采购的项目）。</w:t>
      </w:r>
    </w:p>
    <w:p w14:paraId="3F33F092">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3.4.2.3监狱企业参加政府采购活动时，视同小型微型企业。依照&lt;财政部、司法部关于政府采购支持监狱企业发展有关问题的通知&gt;（财库〔2014〕68号）之规定，应当提供由省级以上监狱管理局、戒毒管理局出具的属于监狱企业的证明文件，不提供或提供有瑕疵的，不视为小型微型企业。</w:t>
      </w:r>
    </w:p>
    <w:p w14:paraId="124EBEFF">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3.4.2.4 残疾人福利性单位参加政府采购活动时，视同小型微型企业。依据《财政部、民政部、中国残疾人联合会关于促进残疾人就业政府采购政策的通知》（财库〔2017〕141号）的规定，应当提供《残疾人福利性单位声明函》（见第六章投标文件格式），不提供或提供有瑕疵的，不视为小型微型企业。</w:t>
      </w:r>
    </w:p>
    <w:p w14:paraId="60D5E38D">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3.4.2.5联合体各方均中小企业的，参加政府采购活动时，视同中小企业。联合体各方均需提供《中小企业声明函》，有一方未提供或提供有瑕疵的，不视为中小企业。</w:t>
      </w:r>
    </w:p>
    <w:p w14:paraId="09B556ED">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3.4.2.6 中小企业可以同时享受节能产品、环境标志产品优先采购政策。同一项目中部分产品属于优先采购政策的，评审时只对该部分产品实行优先采购。</w:t>
      </w:r>
    </w:p>
    <w:p w14:paraId="5C34122A">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3.4.2.7 政府采购监督检查和投诉处理中对中小企业的认定，由企业所在地的县级以上中小企业主管部门负责。</w:t>
      </w:r>
    </w:p>
    <w:p w14:paraId="54966CC2">
      <w:pPr>
        <w:pageBreakBefore w:val="0"/>
        <w:kinsoku/>
        <w:wordWrap/>
        <w:overflowPunct/>
        <w:topLinePunct w:val="0"/>
        <w:bidi w:val="0"/>
        <w:adjustRightInd w:val="0"/>
        <w:snapToGrid w:val="0"/>
        <w:spacing w:line="480" w:lineRule="exact"/>
        <w:ind w:left="0" w:leftChars="0" w:right="0"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3.4.3采购标的对应的中小企业划分标准所属行业为工业。</w:t>
      </w:r>
    </w:p>
    <w:p w14:paraId="048B8194">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3.4.3.1工业：（包括采矿业，制造业，电力、热力、燃气及水生产和供应业）。从业人员 1000 人以下或营业收入40000万元以下的为中小微型企业。其中，从业人员300人及以上，且营业收入2000万元及以上 的为中型企业;从业人员20人及以上，且营业收入300万元及以上的为小型企业;从业人员20人以下或营业收入300万元以下的为微型企业。</w:t>
      </w:r>
    </w:p>
    <w:p w14:paraId="51FDFAF6">
      <w:pPr>
        <w:pageBreakBefore w:val="0"/>
        <w:kinsoku/>
        <w:wordWrap/>
        <w:overflowPunct/>
        <w:topLinePunct w:val="0"/>
        <w:bidi w:val="0"/>
        <w:adjustRightInd w:val="0"/>
        <w:snapToGrid w:val="0"/>
        <w:spacing w:line="480" w:lineRule="exact"/>
        <w:ind w:left="0" w:leftChars="0" w:right="0"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3.4.4进口产品</w:t>
      </w:r>
    </w:p>
    <w:p w14:paraId="1D907AB8">
      <w:pPr>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（A）本标段</w:t>
      </w:r>
      <w:r>
        <w:rPr>
          <w:rFonts w:hint="eastAsia" w:ascii="宋体" w:hAnsi="宋体" w:eastAsia="宋体" w:cs="宋体"/>
          <w:color w:val="auto"/>
          <w:sz w:val="24"/>
          <w:szCs w:val="24"/>
          <w:highlight w:val="none"/>
          <w:lang w:val="en-US" w:eastAsia="zh-CN"/>
        </w:rPr>
        <w:t>拒绝</w:t>
      </w:r>
      <w:r>
        <w:rPr>
          <w:rFonts w:hint="eastAsia" w:ascii="宋体" w:hAnsi="宋体" w:eastAsia="宋体" w:cs="宋体"/>
          <w:color w:val="auto"/>
          <w:sz w:val="24"/>
          <w:szCs w:val="24"/>
          <w:highlight w:val="none"/>
          <w:lang w:val="zh-CN"/>
        </w:rPr>
        <w:t>进口产品参加</w:t>
      </w:r>
      <w:r>
        <w:rPr>
          <w:rFonts w:hint="eastAsia" w:ascii="宋体" w:hAnsi="宋体" w:eastAsia="宋体" w:cs="宋体"/>
          <w:color w:val="auto"/>
          <w:sz w:val="24"/>
          <w:szCs w:val="24"/>
          <w:highlight w:val="none"/>
          <w:lang w:val="en-US" w:eastAsia="zh-CN"/>
        </w:rPr>
        <w:t>投标。</w:t>
      </w:r>
    </w:p>
    <w:p w14:paraId="1B35C22F">
      <w:pPr>
        <w:pStyle w:val="12"/>
        <w:pageBreakBefore w:val="0"/>
        <w:kinsoku/>
        <w:wordWrap/>
        <w:overflowPunct/>
        <w:topLinePunct w:val="0"/>
        <w:bidi w:val="0"/>
        <w:adjustRightInd w:val="0"/>
        <w:snapToGrid w:val="0"/>
        <w:spacing w:line="480" w:lineRule="exact"/>
        <w:ind w:left="0" w:leftChars="0" w:right="0" w:firstLine="176" w:firstLineChars="7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3.5转包与分包</w:t>
      </w:r>
    </w:p>
    <w:p w14:paraId="25B31E2A">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本项目严禁采取转包方式履行合同。本项项目所称转包，是指中标人将采购合同业务转让给第三人，并退出现有采购合同当事人双方权利业务关系，受让人（即第三人）成为采购合同的另一方当事人的行为。</w:t>
      </w:r>
    </w:p>
    <w:p w14:paraId="3018166C">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中标人转包的，视同拒绝履行采购合同业务，将依法追究法律责任。</w:t>
      </w:r>
    </w:p>
    <w:p w14:paraId="44FE35C3">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3.5.2本项目经采购人同意，可以将中标项目的部分非主体、非关键性工作分包给他人完成，</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b/>
          <w:bCs/>
          <w:color w:val="auto"/>
          <w:sz w:val="24"/>
          <w:szCs w:val="24"/>
          <w:highlight w:val="none"/>
        </w:rPr>
        <w:t>“主体和关键性工作”是指：</w:t>
      </w:r>
      <w:r>
        <w:rPr>
          <w:rFonts w:hint="eastAsia" w:ascii="宋体" w:hAnsi="宋体" w:eastAsia="宋体" w:cs="宋体"/>
          <w:b/>
          <w:bCs/>
          <w:color w:val="auto"/>
          <w:sz w:val="24"/>
          <w:szCs w:val="24"/>
          <w:highlight w:val="none"/>
          <w:lang w:eastAsia="zh-CN"/>
        </w:rPr>
        <w:t>本项目</w:t>
      </w:r>
      <w:r>
        <w:rPr>
          <w:rFonts w:hint="eastAsia" w:ascii="宋体" w:hAnsi="宋体" w:eastAsia="宋体" w:cs="宋体"/>
          <w:color w:val="auto"/>
          <w:sz w:val="24"/>
          <w:szCs w:val="24"/>
          <w:highlight w:val="none"/>
        </w:rPr>
        <w:t>全部内容，本项目不允许分包。</w:t>
      </w:r>
    </w:p>
    <w:p w14:paraId="1CA69070">
      <w:pPr>
        <w:pageBreakBefore w:val="0"/>
        <w:kinsoku/>
        <w:wordWrap/>
        <w:overflowPunct/>
        <w:topLinePunct w:val="0"/>
        <w:bidi w:val="0"/>
        <w:spacing w:line="480" w:lineRule="exact"/>
        <w:ind w:left="0" w:leftChars="0" w:right="0" w:firstLine="493"/>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接受分包的投标人应当具备相应的资格条件，并不得再次分包。</w:t>
      </w:r>
      <w:r>
        <w:rPr>
          <w:rFonts w:hint="eastAsia" w:ascii="宋体" w:hAnsi="宋体" w:eastAsia="宋体" w:cs="宋体"/>
          <w:color w:val="auto"/>
          <w:sz w:val="24"/>
          <w:szCs w:val="24"/>
          <w:highlight w:val="none"/>
        </w:rPr>
        <w:t>采购合同实行分包履行的，中标人就采购项目和分包项目向采购人负责，分包投标人就分包项目承担责任。</w:t>
      </w:r>
    </w:p>
    <w:p w14:paraId="02286EC4">
      <w:pPr>
        <w:pStyle w:val="12"/>
        <w:pageBreakBefore w:val="0"/>
        <w:kinsoku/>
        <w:wordWrap/>
        <w:overflowPunct/>
        <w:topLinePunct w:val="0"/>
        <w:bidi w:val="0"/>
        <w:adjustRightInd w:val="0"/>
        <w:snapToGrid w:val="0"/>
        <w:spacing w:line="480" w:lineRule="exact"/>
        <w:ind w:left="0" w:leftChars="0" w:right="0" w:firstLine="176" w:firstLineChars="7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3.6投标人的风险</w:t>
      </w:r>
    </w:p>
    <w:p w14:paraId="6872D8D2">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投标人应认真阅读和充分理解招标文件中所有的事项、格式条款和规范要求，任何对</w:t>
      </w:r>
      <w:r>
        <w:rPr>
          <w:rFonts w:hint="eastAsia" w:ascii="宋体" w:hAnsi="宋体" w:eastAsia="宋体" w:cs="宋体"/>
          <w:bCs/>
          <w:color w:val="auto"/>
          <w:sz w:val="24"/>
          <w:szCs w:val="24"/>
          <w:highlight w:val="none"/>
        </w:rPr>
        <w:t>招标</w:t>
      </w:r>
      <w:r>
        <w:rPr>
          <w:rFonts w:hint="eastAsia" w:ascii="宋体" w:hAnsi="宋体" w:eastAsia="宋体" w:cs="宋体"/>
          <w:color w:val="auto"/>
          <w:sz w:val="24"/>
          <w:szCs w:val="24"/>
          <w:highlight w:val="none"/>
        </w:rPr>
        <w:t>文件的忽略或误解不能作为投标文件存在缺陷或瑕疵的理由；投标人</w:t>
      </w:r>
      <w:r>
        <w:rPr>
          <w:rFonts w:hint="eastAsia" w:ascii="宋体" w:hAnsi="宋体" w:eastAsia="宋体" w:cs="宋体"/>
          <w:color w:val="auto"/>
          <w:kern w:val="0"/>
          <w:sz w:val="24"/>
          <w:szCs w:val="24"/>
          <w:highlight w:val="none"/>
        </w:rPr>
        <w:t>没有按照招标文件要求提供全部资料，</w:t>
      </w:r>
      <w:r>
        <w:rPr>
          <w:rFonts w:hint="eastAsia" w:ascii="宋体" w:hAnsi="宋体" w:eastAsia="宋体" w:cs="宋体"/>
          <w:color w:val="auto"/>
          <w:sz w:val="24"/>
          <w:szCs w:val="24"/>
          <w:highlight w:val="none"/>
        </w:rPr>
        <w:t>或对招标文件全面做出实质性响应是投标人的风险，</w:t>
      </w:r>
      <w:r>
        <w:rPr>
          <w:rFonts w:hint="eastAsia" w:ascii="宋体" w:hAnsi="宋体" w:eastAsia="宋体" w:cs="宋体"/>
          <w:color w:val="auto"/>
          <w:kern w:val="0"/>
          <w:sz w:val="24"/>
          <w:szCs w:val="24"/>
          <w:highlight w:val="none"/>
        </w:rPr>
        <w:t>并可能导致其投标文件被拒绝。</w:t>
      </w:r>
    </w:p>
    <w:p w14:paraId="6686698E">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3.7投标人的纪律要求</w:t>
      </w:r>
    </w:p>
    <w:p w14:paraId="119C2F0D">
      <w:pPr>
        <w:pStyle w:val="4"/>
        <w:pageBreakBefore w:val="0"/>
        <w:kinsoku/>
        <w:wordWrap/>
        <w:overflowPunct/>
        <w:topLinePunct w:val="0"/>
        <w:bidi w:val="0"/>
        <w:spacing w:line="480" w:lineRule="exact"/>
        <w:ind w:left="0" w:leftChars="0" w:right="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有下列情形之一的，属于不合格投标人，其投标或中标资格将被取消：</w:t>
      </w:r>
    </w:p>
    <w:p w14:paraId="62A335D9">
      <w:pPr>
        <w:pageBreakBefore w:val="0"/>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2C095F7A">
      <w:pPr>
        <w:pageBreakBefore w:val="0"/>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2D3386B2">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（3）与采购人、采购代理机构、其他投标人恶意串通；</w:t>
      </w:r>
    </w:p>
    <w:p w14:paraId="26F8F719">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（4）向采购人、采购代理机构、评标委员会成员行贿或者提供其他不正当利益；</w:t>
      </w:r>
    </w:p>
    <w:p w14:paraId="11D71932">
      <w:pPr>
        <w:pStyle w:val="14"/>
        <w:pageBreakBefore w:val="0"/>
        <w:tabs>
          <w:tab w:val="left" w:pos="720"/>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（5）在招标过程中与采购人、采购代理机构进行协商谈判；</w:t>
      </w:r>
    </w:p>
    <w:p w14:paraId="2BA0705E">
      <w:pPr>
        <w:pStyle w:val="14"/>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45D01F37">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3.7.2有下列情形之一的，视为投标人相互恶意串通投标，其投标无效：</w:t>
      </w:r>
    </w:p>
    <w:p w14:paraId="686E26E6">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7A6EA81E">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12C185C6">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（3）不同投标人的投标文件载明的项目管理成员为同一人；</w:t>
      </w:r>
    </w:p>
    <w:p w14:paraId="000C68A6">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16B6F20B">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34D96BA4">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14:paraId="67BFACFB">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（7）不同投标人的投标文件由同一投标人送达。</w:t>
      </w:r>
    </w:p>
    <w:p w14:paraId="5E7D5AD6">
      <w:pPr>
        <w:pageBreakBefore w:val="0"/>
        <w:tabs>
          <w:tab w:val="left" w:pos="7665"/>
        </w:tabs>
        <w:kinsoku/>
        <w:wordWrap/>
        <w:overflowPunct/>
        <w:topLinePunct w:val="0"/>
        <w:bidi w:val="0"/>
        <w:spacing w:line="480" w:lineRule="exact"/>
        <w:ind w:left="0" w:leftChars="0" w:right="0"/>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rPr>
        <w:t>4.投标文件</w:t>
      </w:r>
    </w:p>
    <w:p w14:paraId="44EB2F57">
      <w:pPr>
        <w:pageBreakBefore w:val="0"/>
        <w:kinsoku/>
        <w:wordWrap/>
        <w:overflowPunct/>
        <w:topLinePunct w:val="0"/>
        <w:bidi w:val="0"/>
        <w:snapToGrid w:val="0"/>
        <w:spacing w:line="480" w:lineRule="exact"/>
        <w:ind w:left="0" w:leftChars="0" w:right="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4.1投标文件的编写原则和要求</w:t>
      </w:r>
    </w:p>
    <w:p w14:paraId="1B5D1910">
      <w:pPr>
        <w:pageBreakBefore w:val="0"/>
        <w:tabs>
          <w:tab w:val="left" w:pos="720"/>
        </w:tabs>
        <w:kinsoku/>
        <w:wordWrap/>
        <w:overflowPunct/>
        <w:topLinePunct w:val="0"/>
        <w:bidi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w:t>
      </w:r>
      <w:r>
        <w:rPr>
          <w:rFonts w:hint="eastAsia" w:ascii="宋体" w:hAnsi="宋体" w:eastAsia="宋体" w:cs="宋体"/>
          <w:b/>
          <w:color w:val="auto"/>
          <w:sz w:val="24"/>
          <w:szCs w:val="24"/>
          <w:highlight w:val="none"/>
        </w:rPr>
        <w:t>投标人拟在中标后将中标项目的非主体、非关键性工作交由他人完成的，应当在投标文件中载明。</w:t>
      </w:r>
      <w:r>
        <w:rPr>
          <w:rFonts w:hint="eastAsia" w:ascii="宋体" w:hAnsi="宋体" w:eastAsia="宋体" w:cs="宋体"/>
          <w:color w:val="auto"/>
          <w:sz w:val="24"/>
          <w:szCs w:val="24"/>
          <w:highlight w:val="none"/>
        </w:rPr>
        <w:t>投标人对本招标文件的每一项要求所给予的响应必须是唯一的，否则将视为无效投标文件。</w:t>
      </w:r>
    </w:p>
    <w:p w14:paraId="68B8B7ED">
      <w:pPr>
        <w:pageBreakBefore w:val="0"/>
        <w:tabs>
          <w:tab w:val="left" w:pos="720"/>
        </w:tabs>
        <w:kinsoku/>
        <w:wordWrap/>
        <w:overflowPunct/>
        <w:topLinePunct w:val="0"/>
        <w:bidi w:val="0"/>
        <w:snapToGrid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4.1.2 真实性原则</w:t>
      </w:r>
    </w:p>
    <w:p w14:paraId="62065126">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 投标人应保证所提供的投标文件和所有资料的真实性、准确性和完整性。</w:t>
      </w:r>
    </w:p>
    <w:p w14:paraId="5049562C">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 投标人被认定为在采购活动中提供不真实材料的，无论其材料是否重要，采购人均有权拒绝，并取消其投标或中标资格，投标人需承担相应的法律后果。</w:t>
      </w:r>
    </w:p>
    <w:p w14:paraId="26809D23">
      <w:pPr>
        <w:pageBreakBefore w:val="0"/>
        <w:tabs>
          <w:tab w:val="left" w:pos="720"/>
        </w:tabs>
        <w:kinsoku/>
        <w:wordWrap/>
        <w:overflowPunct/>
        <w:topLinePunct w:val="0"/>
        <w:bidi w:val="0"/>
        <w:snapToGrid w:val="0"/>
        <w:spacing w:line="480" w:lineRule="exact"/>
        <w:ind w:left="0" w:leftChars="0" w:right="0"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4.1.3 投标货币</w:t>
      </w:r>
    </w:p>
    <w:p w14:paraId="5043C6B8">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本项目的投标均以人民币报价。</w:t>
      </w:r>
    </w:p>
    <w:p w14:paraId="489BDD66">
      <w:pPr>
        <w:pageBreakBefore w:val="0"/>
        <w:tabs>
          <w:tab w:val="left" w:pos="720"/>
        </w:tabs>
        <w:kinsoku/>
        <w:wordWrap/>
        <w:overflowPunct/>
        <w:topLinePunct w:val="0"/>
        <w:bidi w:val="0"/>
        <w:snapToGrid w:val="0"/>
        <w:spacing w:line="480" w:lineRule="exact"/>
        <w:ind w:left="0" w:leftChars="0" w:right="0"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4.1.4 投标文件形式</w:t>
      </w:r>
    </w:p>
    <w:p w14:paraId="4FDD76C5">
      <w:pPr>
        <w:pStyle w:val="12"/>
        <w:pageBreakBefore w:val="0"/>
        <w:kinsoku/>
        <w:wordWrap/>
        <w:overflowPunct/>
        <w:topLinePunct w:val="0"/>
        <w:bidi w:val="0"/>
        <w:adjustRightInd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本项目投标文件应采用</w:t>
      </w:r>
      <w:r>
        <w:rPr>
          <w:rFonts w:hint="eastAsia" w:ascii="宋体" w:hAnsi="宋体" w:eastAsia="宋体" w:cs="宋体"/>
          <w:color w:val="auto"/>
          <w:sz w:val="24"/>
          <w:szCs w:val="24"/>
          <w:highlight w:val="none"/>
          <w:lang w:eastAsia="zh-CN"/>
        </w:rPr>
        <w:t>软件</w:t>
      </w:r>
      <w:r>
        <w:rPr>
          <w:rFonts w:hint="eastAsia" w:ascii="宋体" w:hAnsi="宋体" w:eastAsia="宋体" w:cs="宋体"/>
          <w:color w:val="auto"/>
          <w:sz w:val="24"/>
          <w:szCs w:val="24"/>
          <w:highlight w:val="none"/>
        </w:rPr>
        <w:t>形式，电报、传真、电子邮件形式的投标文件不予接受。</w:t>
      </w:r>
    </w:p>
    <w:p w14:paraId="70250961">
      <w:pPr>
        <w:pageBreakBefore w:val="0"/>
        <w:tabs>
          <w:tab w:val="left" w:pos="720"/>
        </w:tabs>
        <w:kinsoku/>
        <w:wordWrap/>
        <w:overflowPunct/>
        <w:topLinePunct w:val="0"/>
        <w:bidi w:val="0"/>
        <w:snapToGrid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4.1.5 备选方案</w:t>
      </w:r>
    </w:p>
    <w:p w14:paraId="6F12CFEC">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4.1.5.1 除投标人须知前附表规定允许外，投标人不得递交备选投标方案，投标文件的报价只允许有一个报价，不接受具有附加条件的报价，否则，视为无效投标。</w:t>
      </w:r>
    </w:p>
    <w:p w14:paraId="2F71D616">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14:paraId="571B88D8">
      <w:pPr>
        <w:pageBreakBefore w:val="0"/>
        <w:tabs>
          <w:tab w:val="left" w:pos="720"/>
        </w:tabs>
        <w:kinsoku/>
        <w:wordWrap/>
        <w:overflowPunct/>
        <w:topLinePunct w:val="0"/>
        <w:bidi w:val="0"/>
        <w:snapToGrid w:val="0"/>
        <w:spacing w:line="480" w:lineRule="exact"/>
        <w:ind w:left="0" w:leftChars="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4.1.5.3 投标人提供两个或两个以上投标报价，或者在投标文件中提供一个报价，但同时提供两个或两个以上供货方案的，视为提供备选方案。</w:t>
      </w:r>
    </w:p>
    <w:bookmarkEnd w:id="109"/>
    <w:bookmarkEnd w:id="110"/>
    <w:bookmarkEnd w:id="111"/>
    <w:p w14:paraId="2338AB55">
      <w:pPr>
        <w:pageBreakBefore w:val="0"/>
        <w:tabs>
          <w:tab w:val="left" w:pos="720"/>
        </w:tabs>
        <w:kinsoku/>
        <w:wordWrap/>
        <w:overflowPunct/>
        <w:topLinePunct w:val="0"/>
        <w:bidi w:val="0"/>
        <w:snapToGrid w:val="0"/>
        <w:spacing w:line="480" w:lineRule="exact"/>
        <w:ind w:left="0" w:leftChars="0" w:right="0"/>
        <w:rPr>
          <w:rFonts w:hint="eastAsia" w:ascii="宋体" w:hAnsi="宋体" w:eastAsia="宋体" w:cs="宋体"/>
          <w:b/>
          <w:color w:val="auto"/>
          <w:sz w:val="24"/>
          <w:szCs w:val="24"/>
          <w:highlight w:val="none"/>
        </w:rPr>
      </w:pPr>
      <w:bookmarkStart w:id="115" w:name="_Toc183682354"/>
      <w:bookmarkStart w:id="116" w:name="_Toc217446048"/>
      <w:bookmarkStart w:id="117" w:name="_Toc183582217"/>
      <w:r>
        <w:rPr>
          <w:rFonts w:hint="eastAsia" w:ascii="宋体" w:hAnsi="宋体" w:eastAsia="宋体" w:cs="宋体"/>
          <w:b/>
          <w:color w:val="auto"/>
          <w:sz w:val="24"/>
          <w:szCs w:val="24"/>
          <w:highlight w:val="none"/>
        </w:rPr>
        <w:t>4.2 投标文件的组成</w:t>
      </w:r>
      <w:bookmarkEnd w:id="115"/>
      <w:bookmarkEnd w:id="116"/>
      <w:bookmarkEnd w:id="117"/>
    </w:p>
    <w:p w14:paraId="65292AB2">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4.2.1投标文件由下列文件组成：</w:t>
      </w:r>
    </w:p>
    <w:p w14:paraId="07B309DA">
      <w:pPr>
        <w:pageBreakBefore w:val="0"/>
        <w:tabs>
          <w:tab w:val="left" w:pos="2730"/>
        </w:tabs>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（1）资格审查文件</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14:paraId="28123A84">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lang w:eastAsia="zh-CN"/>
        </w:rPr>
        <w:t>）</w:t>
      </w:r>
    </w:p>
    <w:p w14:paraId="531000E5">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lang w:eastAsia="zh-CN"/>
        </w:rPr>
        <w:t>）</w:t>
      </w:r>
    </w:p>
    <w:p w14:paraId="42DA4952">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4.3投标报价</w:t>
      </w:r>
    </w:p>
    <w:p w14:paraId="6DF5067F">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 </w:t>
      </w:r>
      <w:r>
        <w:rPr>
          <w:rFonts w:hint="eastAsia" w:ascii="宋体" w:hAnsi="宋体" w:eastAsia="宋体" w:cs="宋体"/>
          <w:bCs/>
          <w:color w:val="auto"/>
          <w:sz w:val="24"/>
          <w:szCs w:val="24"/>
          <w:highlight w:val="none"/>
        </w:rPr>
        <w:t>投标人应当</w:t>
      </w:r>
      <w:r>
        <w:rPr>
          <w:rFonts w:hint="eastAsia" w:ascii="宋体" w:hAnsi="宋体" w:eastAsia="宋体" w:cs="宋体"/>
          <w:color w:val="auto"/>
          <w:sz w:val="24"/>
          <w:szCs w:val="24"/>
          <w:highlight w:val="none"/>
        </w:rPr>
        <w:t>按照招标文件要求填报投标报价，并充分了解该采购项目的总体情况以及影响投标报价的其他要素。</w:t>
      </w:r>
    </w:p>
    <w:p w14:paraId="6E1FE653">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 </w:t>
      </w:r>
      <w:r>
        <w:rPr>
          <w:rFonts w:hint="eastAsia" w:ascii="宋体" w:hAnsi="宋体" w:eastAsia="宋体" w:cs="宋体"/>
          <w:color w:val="auto"/>
          <w:spacing w:val="3"/>
          <w:sz w:val="24"/>
          <w:szCs w:val="24"/>
          <w:highlight w:val="none"/>
        </w:rPr>
        <w:t>投标报价应是完成招标内容所需</w:t>
      </w:r>
      <w:r>
        <w:rPr>
          <w:rFonts w:hint="eastAsia" w:ascii="宋体" w:hAnsi="宋体" w:eastAsia="宋体" w:cs="宋体"/>
          <w:color w:val="auto"/>
          <w:spacing w:val="3"/>
          <w:sz w:val="24"/>
          <w:szCs w:val="24"/>
          <w:highlight w:val="none"/>
          <w:lang w:val="en-US" w:eastAsia="zh-CN"/>
        </w:rPr>
        <w:t>产品</w:t>
      </w:r>
      <w:r>
        <w:rPr>
          <w:rFonts w:hint="eastAsia" w:ascii="宋体" w:hAnsi="宋体" w:eastAsia="宋体" w:cs="宋体"/>
          <w:color w:val="auto"/>
          <w:spacing w:val="3"/>
          <w:sz w:val="24"/>
          <w:szCs w:val="24"/>
          <w:highlight w:val="none"/>
        </w:rPr>
        <w:t>的全部费用，包括但不限于产品的报价及所发生</w:t>
      </w:r>
      <w:r>
        <w:rPr>
          <w:rFonts w:hint="eastAsia" w:ascii="宋体" w:hAnsi="宋体" w:eastAsia="宋体" w:cs="宋体"/>
          <w:color w:val="auto"/>
          <w:spacing w:val="-4"/>
          <w:sz w:val="24"/>
          <w:szCs w:val="24"/>
          <w:highlight w:val="none"/>
        </w:rPr>
        <w:t>的：</w:t>
      </w:r>
      <w:r>
        <w:rPr>
          <w:rFonts w:hint="eastAsia" w:ascii="宋体" w:hAnsi="宋体" w:eastAsia="宋体" w:cs="宋体"/>
          <w:b/>
          <w:bCs/>
          <w:color w:val="auto"/>
          <w:spacing w:val="-4"/>
          <w:sz w:val="24"/>
          <w:szCs w:val="24"/>
          <w:highlight w:val="none"/>
        </w:rPr>
        <w:t>包括采购代理服务费、货物价格、包装、运输、仓储、保管、保险、装卸（卸货至甲方指定地点）、利润、相关税费及市场价格风险在内等全部费用。</w:t>
      </w:r>
      <w:r>
        <w:rPr>
          <w:rFonts w:hint="eastAsia" w:ascii="宋体" w:hAnsi="宋体" w:eastAsia="宋体" w:cs="宋体"/>
          <w:color w:val="auto"/>
          <w:sz w:val="24"/>
          <w:szCs w:val="24"/>
          <w:highlight w:val="none"/>
        </w:rPr>
        <w:t>进口设备除应包括要向中华人民共和国政府缴纳的增值税和其它税，还应包括货物在制造或组装时使用的部件和原材料是从关境外进口的已交纳或应交纳的全部关税、增值税和其它税等一切费用。要求的其他相关费用以本招标文件的内容和要求作为投标依据。报价时单价所反映的内容同上，综合考虑在单价中。在供货、培训等工作中出现的任何遗漏，均由中标人免费提供，采购人将不再支付任何费用。</w:t>
      </w:r>
    </w:p>
    <w:p w14:paraId="76243C5C">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4.3.3 投标</w:t>
      </w:r>
      <w:r>
        <w:rPr>
          <w:rFonts w:hint="eastAsia" w:ascii="宋体" w:hAnsi="宋体" w:eastAsia="宋体" w:cs="宋体"/>
          <w:color w:val="auto"/>
          <w:kern w:val="0"/>
          <w:sz w:val="24"/>
          <w:szCs w:val="24"/>
          <w:highlight w:val="none"/>
        </w:rPr>
        <w:t>人应按</w:t>
      </w:r>
      <w:r>
        <w:rPr>
          <w:rFonts w:hint="eastAsia" w:ascii="宋体" w:hAnsi="宋体" w:eastAsia="宋体" w:cs="宋体"/>
          <w:color w:val="auto"/>
          <w:sz w:val="24"/>
          <w:szCs w:val="24"/>
          <w:highlight w:val="none"/>
        </w:rPr>
        <w:t>“开标一览表”及“货物（产品）分项报价表”</w:t>
      </w:r>
      <w:r>
        <w:rPr>
          <w:rFonts w:hint="eastAsia" w:ascii="宋体" w:hAnsi="宋体" w:eastAsia="宋体" w:cs="宋体"/>
          <w:color w:val="auto"/>
          <w:kern w:val="0"/>
          <w:sz w:val="24"/>
          <w:szCs w:val="24"/>
          <w:highlight w:val="none"/>
        </w:rPr>
        <w:t>的内容</w:t>
      </w:r>
      <w:r>
        <w:rPr>
          <w:rFonts w:hint="eastAsia" w:ascii="宋体" w:hAnsi="宋体" w:eastAsia="宋体" w:cs="宋体"/>
          <w:color w:val="auto"/>
          <w:sz w:val="24"/>
          <w:szCs w:val="24"/>
          <w:highlight w:val="none"/>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14:paraId="594BA0D1">
      <w:pPr>
        <w:pageBreakBefore w:val="0"/>
        <w:kinsoku/>
        <w:wordWrap/>
        <w:overflowPunct/>
        <w:topLinePunct w:val="0"/>
        <w:bidi w:val="0"/>
        <w:adjustRightInd w:val="0"/>
        <w:snapToGrid w:val="0"/>
        <w:spacing w:line="480" w:lineRule="exact"/>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4.3.4 </w:t>
      </w:r>
      <w:r>
        <w:rPr>
          <w:rFonts w:hint="eastAsia" w:ascii="宋体" w:hAnsi="宋体" w:eastAsia="宋体" w:cs="宋体"/>
          <w:color w:val="auto"/>
          <w:sz w:val="24"/>
          <w:szCs w:val="24"/>
          <w:highlight w:val="none"/>
        </w:rPr>
        <w:t>投标人每种产品只允许有一个报价，并且在合同履行过程中是固定不变的，任何有选择或可调整的报价将不予接受并按无效投标处理。</w:t>
      </w:r>
    </w:p>
    <w:p w14:paraId="581028B6">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 当评标委员会认为，某投标人的报价存在明显低于其他通过符合性审查投标人的报价，有可能影响货物质量和不能诚信履约的，应当要求其在评标现场规定时间内，提供必要的书面文件予以解释和说明，</w:t>
      </w:r>
      <w:r>
        <w:rPr>
          <w:rFonts w:hint="eastAsia" w:ascii="宋体" w:hAnsi="宋体" w:eastAsia="宋体" w:cs="宋体"/>
          <w:b/>
          <w:color w:val="auto"/>
          <w:sz w:val="24"/>
          <w:szCs w:val="24"/>
          <w:highlight w:val="none"/>
        </w:rPr>
        <w:t>必要时</w:t>
      </w:r>
      <w:r>
        <w:rPr>
          <w:rFonts w:hint="eastAsia" w:ascii="宋体" w:hAnsi="宋体" w:eastAsia="宋体" w:cs="宋体"/>
          <w:color w:val="auto"/>
          <w:sz w:val="24"/>
          <w:szCs w:val="24"/>
          <w:highlight w:val="none"/>
        </w:rPr>
        <w:t>提交相关证明材料；若投标人不能证明其报价合理性，评标委员会将其作无效投标处理。</w:t>
      </w:r>
    </w:p>
    <w:p w14:paraId="5186B882">
      <w:pPr>
        <w:pageBreakBefore w:val="0"/>
        <w:kinsoku/>
        <w:wordWrap/>
        <w:overflowPunct/>
        <w:topLinePunct w:val="0"/>
        <w:bidi w:val="0"/>
        <w:spacing w:line="480" w:lineRule="exact"/>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4.4投标有效期</w:t>
      </w:r>
    </w:p>
    <w:p w14:paraId="7309A2A5">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4.4.1投标有效期见投标人须知前附表。在此期间投标文件对投标人具有法律约束力，从</w:t>
      </w:r>
      <w:r>
        <w:rPr>
          <w:rFonts w:hint="eastAsia" w:ascii="宋体" w:hAnsi="宋体" w:eastAsia="宋体" w:cs="宋体"/>
          <w:b/>
          <w:color w:val="auto"/>
          <w:sz w:val="24"/>
          <w:szCs w:val="24"/>
          <w:highlight w:val="none"/>
        </w:rPr>
        <w:t>投标人须知前附表规定</w:t>
      </w:r>
      <w:r>
        <w:rPr>
          <w:rFonts w:hint="eastAsia" w:ascii="宋体" w:hAnsi="宋体" w:eastAsia="宋体" w:cs="宋体"/>
          <w:color w:val="auto"/>
          <w:sz w:val="24"/>
          <w:szCs w:val="24"/>
          <w:highlight w:val="none"/>
        </w:rPr>
        <w:t>的</w:t>
      </w:r>
      <w:r>
        <w:rPr>
          <w:rFonts w:hint="eastAsia" w:ascii="宋体" w:hAnsi="宋体" w:eastAsia="宋体" w:cs="宋体"/>
          <w:color w:val="auto"/>
          <w:kern w:val="0"/>
          <w:sz w:val="24"/>
          <w:szCs w:val="24"/>
          <w:highlight w:val="none"/>
        </w:rPr>
        <w:t>递交投标文件截止时间</w:t>
      </w:r>
      <w:r>
        <w:rPr>
          <w:rFonts w:hint="eastAsia" w:ascii="宋体" w:hAnsi="宋体" w:eastAsia="宋体" w:cs="宋体"/>
          <w:color w:val="auto"/>
          <w:sz w:val="24"/>
          <w:szCs w:val="24"/>
          <w:highlight w:val="none"/>
        </w:rPr>
        <w:t>之日起计算。投标有效期短于此规定期限的投标，属于非实质性响应，将按无效投标处理。</w:t>
      </w:r>
    </w:p>
    <w:p w14:paraId="0E681A63">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 出现特殊情况需要延长投标有效期的，采购代理机构或采购人可于投标有效期满之前，以书面形式或政采云平台通知所有投标人延长投标有效期。投标人应予书面答复，同意延长的，应相应延长其投标保证金有效期，但不得要求或被允许修改其投标文件；投标人拒绝延长的，其投标失效，但投标人有权收回其投标保证金。</w:t>
      </w:r>
    </w:p>
    <w:p w14:paraId="3431716C">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4.4.3 在投标有效期内，投标人撤销投标文件的，应承担招标文件和法律规定的责任。</w:t>
      </w:r>
    </w:p>
    <w:p w14:paraId="1F7454A2">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4.4.4 中标人的投标有效期自动延长至合同终止为止。</w:t>
      </w:r>
    </w:p>
    <w:p w14:paraId="68DE411F">
      <w:pPr>
        <w:pStyle w:val="4"/>
        <w:pageBreakBefore w:val="0"/>
        <w:kinsoku/>
        <w:wordWrap/>
        <w:overflowPunct/>
        <w:topLinePunct w:val="0"/>
        <w:bidi w:val="0"/>
        <w:spacing w:line="480" w:lineRule="exact"/>
        <w:ind w:left="0" w:leftChars="0" w:right="0" w:firstLine="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4.5 投标保证金</w:t>
      </w:r>
    </w:p>
    <w:p w14:paraId="24D4DB66">
      <w:pPr>
        <w:pageBreakBefore w:val="0"/>
        <w:kinsoku/>
        <w:wordWrap/>
        <w:overflowPunct/>
        <w:topLinePunct w:val="0"/>
        <w:bidi w:val="0"/>
        <w:spacing w:line="480" w:lineRule="exact"/>
        <w:ind w:left="0" w:leftChars="0" w:right="0"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4.5.1投标保证金的提交</w:t>
      </w:r>
    </w:p>
    <w:p w14:paraId="4F005DF0">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4.5.1.1 开标现场不办理投标保证金事宜。</w:t>
      </w:r>
    </w:p>
    <w:p w14:paraId="5FFAB5C9">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4.5.1.2 投标人应按投标人须知前附表规定的金额、形式和时间提交，作为其投标文件的一部分。联合投标的，</w:t>
      </w:r>
      <w:r>
        <w:rPr>
          <w:rFonts w:hint="eastAsia" w:ascii="宋体" w:hAnsi="宋体" w:eastAsia="宋体" w:cs="宋体"/>
          <w:color w:val="auto"/>
          <w:sz w:val="24"/>
          <w:szCs w:val="24"/>
          <w:highlight w:val="none"/>
          <w:shd w:val="clear" w:color="auto" w:fill="FFFFFF"/>
        </w:rPr>
        <w:t>应当以各方或者联合体中牵头人的名义提交投标保证金。</w:t>
      </w:r>
      <w:r>
        <w:rPr>
          <w:rFonts w:hint="eastAsia" w:ascii="宋体" w:hAnsi="宋体" w:eastAsia="宋体" w:cs="宋体"/>
          <w:color w:val="auto"/>
          <w:sz w:val="24"/>
          <w:szCs w:val="24"/>
          <w:highlight w:val="none"/>
        </w:rPr>
        <w:t>以联合体牵头单位提交投标保证金的，对联合体各方均具有约束力。</w:t>
      </w:r>
    </w:p>
    <w:p w14:paraId="598903FA">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4.5.1.3 采用支票、汇票、本票或者金融机构、担保机构出具的保函形式投标保证金的：</w:t>
      </w:r>
    </w:p>
    <w:p w14:paraId="3EC1A6AE">
      <w:pPr>
        <w:pageBreakBefore w:val="0"/>
        <w:kinsoku/>
        <w:wordWrap/>
        <w:overflowPunct/>
        <w:topLinePunct w:val="0"/>
        <w:bidi w:val="0"/>
        <w:spacing w:line="480" w:lineRule="exact"/>
        <w:ind w:left="0" w:leftChars="0" w:right="0" w:firstLine="590" w:firstLineChars="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在投标截止时间前，将所投项目对应的支票、汇票、本票、保函随响应文件一起上传到政采云平台(新疆政府采购电子保函操作流程:登录新疆政府采购网,进入“政采贷/电子保函”模块，即可在线完成电子保函的申请。若有任何问题，可以联系政采云金融服务专属客服，电话:</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77B0A0A6">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未按招标文件要求在规定时间前（以银行实际到账时间为准）提交投标保证金的投标将被拒绝。</w:t>
      </w:r>
    </w:p>
    <w:p w14:paraId="66E73C68">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注:投标人可以自主选择以上任意一种形式递交投标保证金，投标人应充分考虑跨行等因素导致的延迟到账情况，若未按招标文件要求缴纳投标保证金的，投标无效。</w:t>
      </w:r>
    </w:p>
    <w:p w14:paraId="5619135F">
      <w:pPr>
        <w:pageBreakBefore w:val="0"/>
        <w:kinsoku/>
        <w:wordWrap/>
        <w:overflowPunct/>
        <w:topLinePunct w:val="0"/>
        <w:bidi w:val="0"/>
        <w:spacing w:line="480" w:lineRule="exact"/>
        <w:ind w:left="0" w:leftChars="0" w:right="0"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4.5.2 投标保证金的退还</w:t>
      </w:r>
    </w:p>
    <w:p w14:paraId="38925BE0">
      <w:pPr>
        <w:pageBreakBefore w:val="0"/>
        <w:kinsoku/>
        <w:wordWrap/>
        <w:overflowPunct/>
        <w:topLinePunct w:val="0"/>
        <w:bidi w:val="0"/>
        <w:spacing w:line="480" w:lineRule="exact"/>
        <w:ind w:left="0" w:leftChars="0" w:right="0" w:firstLine="710" w:firstLineChars="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4.5.2.1未中标人的投标保证金，将在中标通知书发出之日起5个工作日内全额退还。中标人的投标保证金，在采购人与中标人签订合同后5个工作日内全额退还。</w:t>
      </w:r>
    </w:p>
    <w:p w14:paraId="40D9D642">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rPr>
      </w:pPr>
      <w:bookmarkStart w:id="118" w:name="_Toc217446051"/>
      <w:bookmarkStart w:id="119" w:name="_Toc183682361"/>
      <w:bookmarkStart w:id="120" w:name="_Toc183582224"/>
      <w:r>
        <w:rPr>
          <w:rFonts w:hint="eastAsia" w:ascii="宋体" w:hAnsi="宋体" w:eastAsia="宋体" w:cs="宋体"/>
          <w:color w:val="auto"/>
          <w:sz w:val="24"/>
          <w:szCs w:val="24"/>
          <w:highlight w:val="none"/>
        </w:rPr>
        <w:t>4.5.2.2有下列情形之一的，投标保证金将不予退还：</w:t>
      </w:r>
    </w:p>
    <w:p w14:paraId="3266DDDE">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96BB472">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（2）供应商在响应文件中提供虚假材料的；</w:t>
      </w:r>
    </w:p>
    <w:p w14:paraId="4606DD51">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（3）除因不可抗力或招标文件认可的情形以外，中标供应商不与采购人签订合同的；</w:t>
      </w:r>
    </w:p>
    <w:p w14:paraId="02940381">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（4）供应商与采购人、其他供应商或者采购代理机构恶意串通的；</w:t>
      </w:r>
    </w:p>
    <w:p w14:paraId="49A039C8">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（5）招标文件规定的其他情形。</w:t>
      </w:r>
    </w:p>
    <w:bookmarkEnd w:id="118"/>
    <w:bookmarkEnd w:id="119"/>
    <w:bookmarkEnd w:id="120"/>
    <w:p w14:paraId="507617C0">
      <w:pPr>
        <w:pageBreakBefore w:val="0"/>
        <w:kinsoku/>
        <w:wordWrap/>
        <w:overflowPunct/>
        <w:topLinePunct w:val="0"/>
        <w:bidi w:val="0"/>
        <w:spacing w:line="480" w:lineRule="exact"/>
        <w:ind w:left="0" w:leftChars="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商务文件</w:t>
      </w:r>
    </w:p>
    <w:p w14:paraId="1EAD8FF0">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4.6.1投标人应按照招标文件商务要求做出完全响应。未作出商务响应的，作为不实质性响应招标文件，按无效投标处理。</w:t>
      </w:r>
    </w:p>
    <w:p w14:paraId="1B7BE2B4">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4.6.2 </w:t>
      </w:r>
      <w:r>
        <w:rPr>
          <w:rFonts w:hint="eastAsia" w:ascii="宋体" w:hAnsi="宋体" w:eastAsia="宋体" w:cs="宋体"/>
          <w:bCs/>
          <w:color w:val="auto"/>
          <w:sz w:val="24"/>
          <w:szCs w:val="24"/>
          <w:highlight w:val="none"/>
        </w:rPr>
        <w:t>投标人应按照招标文件中售后服务要求作出积极响应。包括以下内容：</w:t>
      </w:r>
    </w:p>
    <w:p w14:paraId="6F98D290">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（1）产品制造商或投标人设立的售后服务机构网点清单、服务电话和维修人员名单（加盖单位章）；</w:t>
      </w:r>
    </w:p>
    <w:p w14:paraId="3066EC37">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（2）说明投标产品的保修时间、保修期内的保修内容与范围、维修响应时间等。分别提供产品制造商和投标人的服务承诺和保障措施；</w:t>
      </w:r>
    </w:p>
    <w:p w14:paraId="3D0E5CFA">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（3）培训措施：说明培训内容及培训的时间、地点、目标、培训人数、收费标准和办法。</w:t>
      </w:r>
    </w:p>
    <w:p w14:paraId="15239721">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4.6.3投标人应对以下（不限于）要求作出承诺：</w:t>
      </w:r>
    </w:p>
    <w:p w14:paraId="5C1DA206">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r>
        <w:rPr>
          <w:rFonts w:hint="eastAsia" w:ascii="宋体" w:hAnsi="宋体" w:eastAsia="宋体" w:cs="宋体"/>
          <w:bCs/>
          <w:color w:val="auto"/>
          <w:sz w:val="24"/>
          <w:szCs w:val="24"/>
          <w:highlight w:val="none"/>
        </w:rPr>
        <w:t>；</w:t>
      </w:r>
    </w:p>
    <w:p w14:paraId="5BEB3CED">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（2）产品质量承诺；</w:t>
      </w:r>
    </w:p>
    <w:p w14:paraId="74D7024C">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（3）利于用户的售后服务承诺；</w:t>
      </w:r>
    </w:p>
    <w:p w14:paraId="477AE95D">
      <w:pPr>
        <w:pageBreakBefore w:val="0"/>
        <w:kinsoku/>
        <w:wordWrap/>
        <w:overflowPunct/>
        <w:topLinePunct w:val="0"/>
        <w:bidi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（4）严格按招标文件对本项目的要求，组织生产、供货运输、服务培训；</w:t>
      </w:r>
    </w:p>
    <w:p w14:paraId="49AB80CD">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（5）未经采购人许可，不得将本采购项目采取转包实施的办法，一经发现，立即取消其中标资格，并承担由此产生的一切经济损失；</w:t>
      </w:r>
    </w:p>
    <w:p w14:paraId="2CDDEE74">
      <w:pPr>
        <w:pStyle w:val="4"/>
        <w:pageBreakBefore w:val="0"/>
        <w:kinsoku/>
        <w:wordWrap/>
        <w:overflowPunct/>
        <w:topLinePunct w:val="0"/>
        <w:bidi w:val="0"/>
        <w:spacing w:line="480" w:lineRule="exact"/>
        <w:ind w:left="0" w:leftChars="0" w:right="0"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（6）接受采购人或采购人委托相关单位对项目实施方案、生产进度、货物质量、售后服务、货款支付与结算审核等方面监督和管理;</w:t>
      </w:r>
    </w:p>
    <w:p w14:paraId="3F511F0F">
      <w:pPr>
        <w:pStyle w:val="4"/>
        <w:pageBreakBefore w:val="0"/>
        <w:kinsoku/>
        <w:wordWrap/>
        <w:overflowPunct/>
        <w:topLinePunct w:val="0"/>
        <w:bidi w:val="0"/>
        <w:spacing w:line="480" w:lineRule="exact"/>
        <w:ind w:left="0" w:leftChars="0" w:right="0"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（6）其它承诺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A8ABA5B">
      <w:pPr>
        <w:pStyle w:val="4"/>
        <w:pageBreakBefore w:val="0"/>
        <w:kinsoku/>
        <w:wordWrap/>
        <w:overflowPunct/>
        <w:topLinePunct w:val="0"/>
        <w:bidi w:val="0"/>
        <w:spacing w:line="480" w:lineRule="exact"/>
        <w:ind w:left="0" w:leftChars="0" w:right="0"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4.7 技术文件</w:t>
      </w:r>
    </w:p>
    <w:p w14:paraId="1FB427EF">
      <w:pPr>
        <w:pStyle w:val="4"/>
        <w:pageBreakBefore w:val="0"/>
        <w:kinsoku/>
        <w:wordWrap/>
        <w:overflowPunct/>
        <w:topLinePunct w:val="0"/>
        <w:bidi w:val="0"/>
        <w:spacing w:line="480" w:lineRule="exact"/>
        <w:ind w:left="0" w:leftChars="0" w:right="0"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4.7.1 </w:t>
      </w:r>
      <w:r>
        <w:rPr>
          <w:rFonts w:hint="eastAsia" w:ascii="宋体" w:hAnsi="宋体" w:eastAsia="宋体" w:cs="宋体"/>
          <w:bCs/>
          <w:color w:val="auto"/>
          <w:sz w:val="24"/>
          <w:szCs w:val="24"/>
          <w:highlight w:val="none"/>
        </w:rPr>
        <w:t>投标人应</w:t>
      </w:r>
      <w:r>
        <w:rPr>
          <w:rFonts w:hint="eastAsia" w:ascii="宋体" w:hAnsi="宋体" w:eastAsia="宋体" w:cs="宋体"/>
          <w:color w:val="auto"/>
          <w:sz w:val="24"/>
          <w:szCs w:val="24"/>
          <w:highlight w:val="none"/>
        </w:rPr>
        <w:t xml:space="preserve">按照招标文件要求做出的技术应答，主要是针对采购项目的技术指标、参数和技术服务要求做出的实质性响应和满足。 </w:t>
      </w:r>
    </w:p>
    <w:p w14:paraId="290931EF">
      <w:pPr>
        <w:pStyle w:val="4"/>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bookmarkStart w:id="121" w:name="_Toc217446049"/>
      <w:bookmarkStart w:id="122" w:name="_Toc183582218"/>
      <w:bookmarkStart w:id="123" w:name="_Toc183682355"/>
      <w:r>
        <w:rPr>
          <w:rFonts w:hint="eastAsia" w:ascii="宋体" w:hAnsi="宋体" w:eastAsia="宋体" w:cs="宋体"/>
          <w:b/>
          <w:color w:val="auto"/>
          <w:sz w:val="24"/>
          <w:szCs w:val="24"/>
          <w:highlight w:val="none"/>
        </w:rPr>
        <w:t>4.7.2 证明所投货物（产品）符合招标文件要求的相关文件，可以是文字资料、图纸、数据、宣传彩页等，所有证明文件，表达意思必须统一。如需投标人提供样品，证明文件的表述与投标人所提供样品必须完全符合，且是投标文件的组成部分，否则，按未实质响应招标文件予以拒绝。</w:t>
      </w:r>
      <w:bookmarkEnd w:id="121"/>
      <w:bookmarkEnd w:id="122"/>
      <w:bookmarkEnd w:id="123"/>
      <w:bookmarkStart w:id="124" w:name="_Toc217446050"/>
      <w:bookmarkStart w:id="125" w:name="_Toc183682360"/>
      <w:bookmarkStart w:id="126" w:name="_Toc183582223"/>
      <w:r>
        <w:rPr>
          <w:rFonts w:hint="eastAsia" w:ascii="宋体" w:hAnsi="宋体" w:eastAsia="宋体" w:cs="宋体"/>
          <w:b/>
          <w:color w:val="auto"/>
          <w:sz w:val="24"/>
          <w:szCs w:val="24"/>
          <w:highlight w:val="none"/>
        </w:rPr>
        <w:t xml:space="preserve"> </w:t>
      </w:r>
    </w:p>
    <w:bookmarkEnd w:id="124"/>
    <w:bookmarkEnd w:id="125"/>
    <w:bookmarkEnd w:id="126"/>
    <w:p w14:paraId="35A5214C">
      <w:pPr>
        <w:pageBreakBefore w:val="0"/>
        <w:tabs>
          <w:tab w:val="left" w:pos="7665"/>
        </w:tabs>
        <w:kinsoku/>
        <w:wordWrap/>
        <w:overflowPunct/>
        <w:topLinePunct w:val="0"/>
        <w:bidi w:val="0"/>
        <w:spacing w:line="480" w:lineRule="exact"/>
        <w:ind w:left="0" w:leftChars="0" w:right="0"/>
        <w:rPr>
          <w:rFonts w:hint="eastAsia" w:ascii="宋体" w:hAnsi="宋体" w:eastAsia="宋体" w:cs="宋体"/>
          <w:b/>
          <w:bCs/>
          <w:color w:val="auto"/>
          <w:sz w:val="24"/>
          <w:szCs w:val="24"/>
          <w:highlight w:val="none"/>
        </w:rPr>
      </w:pPr>
      <w:bookmarkStart w:id="127" w:name="_Toc183682362"/>
      <w:bookmarkStart w:id="128" w:name="_Toc183582225"/>
      <w:bookmarkStart w:id="129" w:name="_Toc217446052"/>
      <w:r>
        <w:rPr>
          <w:rFonts w:hint="eastAsia" w:ascii="宋体" w:hAnsi="宋体" w:eastAsia="宋体" w:cs="宋体"/>
          <w:b/>
          <w:bCs/>
          <w:color w:val="auto"/>
          <w:sz w:val="24"/>
          <w:szCs w:val="24"/>
          <w:highlight w:val="none"/>
        </w:rPr>
        <w:t>4.8 投标文件的制作和签署</w:t>
      </w:r>
      <w:bookmarkEnd w:id="127"/>
      <w:bookmarkEnd w:id="128"/>
      <w:bookmarkEnd w:id="129"/>
    </w:p>
    <w:p w14:paraId="089E419A">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 投标文件应根据招标文件的要求制作。投标人应填写全称，同时加盖单位章，签署、盖章和内容应完整，如有遗漏，将被视为无效投标。</w:t>
      </w:r>
    </w:p>
    <w:p w14:paraId="61A280E9">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4.8.2 投标文件格式。投标人应严格按照第六章提供的“投标文件格式”编写相关内容。除明确允许投标人可以自行编写外，投标人不得以“投标文件格式”规定之外的方式填写相关内容。否则，投标人提供的投标文件将作为无效投标处理。</w:t>
      </w:r>
    </w:p>
    <w:p w14:paraId="03758CE8">
      <w:pPr>
        <w:pageBreakBefore w:val="0"/>
        <w:tabs>
          <w:tab w:val="left" w:pos="7665"/>
        </w:tabs>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4.8.3 对于没有格式要求的投标文件由投标人自行编写。</w:t>
      </w:r>
    </w:p>
    <w:p w14:paraId="4247F611">
      <w:pPr>
        <w:pageBreakBefore w:val="0"/>
        <w:tabs>
          <w:tab w:val="left" w:pos="1080"/>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4.8.4 投标人应按“投标须知前附表”规定准备投标文件。</w:t>
      </w:r>
    </w:p>
    <w:p w14:paraId="52C8751A">
      <w:pPr>
        <w:pageBreakBefore w:val="0"/>
        <w:kinsoku/>
        <w:wordWrap/>
        <w:overflowPunct/>
        <w:topLinePunct w:val="0"/>
        <w:bidi w:val="0"/>
        <w:spacing w:line="480" w:lineRule="exact"/>
        <w:ind w:left="0" w:leftChars="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4.8.5 投标文件均需打印或用不褪色、不变质的墨水书写，并由投标人的法定代表人或其授权代表在规定签章处签字和盖章。</w:t>
      </w:r>
    </w:p>
    <w:p w14:paraId="472EF8E9">
      <w:pPr>
        <w:pageBreakBefore w:val="0"/>
        <w:tabs>
          <w:tab w:val="left" w:pos="1095"/>
        </w:tabs>
        <w:kinsoku/>
        <w:wordWrap/>
        <w:overflowPunct/>
        <w:topLinePunct w:val="0"/>
        <w:bidi w:val="0"/>
        <w:spacing w:line="480" w:lineRule="exact"/>
        <w:ind w:left="0" w:leftChars="0" w:right="0"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4.8.6 投标文件的书写应清楚工整，尽量避免行间插字、涂改或增删。如出现上述情况，改动之处应由投标人的法定代表人或其授权代表签字或盖单位章。字迹潦草、表达不清或可能导致非唯一理解的投标文件可能视为无效投标。</w:t>
      </w:r>
      <w:bookmarkStart w:id="130" w:name="_Toc183582226"/>
      <w:bookmarkStart w:id="131" w:name="_Toc89075877"/>
      <w:bookmarkStart w:id="132" w:name="_Toc183682363"/>
      <w:bookmarkStart w:id="133" w:name="_Toc217446053"/>
      <w:bookmarkStart w:id="134" w:name="_Toc77400781"/>
    </w:p>
    <w:p w14:paraId="2EC7C549">
      <w:pPr>
        <w:pageBreakBefore w:val="0"/>
        <w:tabs>
          <w:tab w:val="left" w:pos="1080"/>
        </w:tabs>
        <w:kinsoku/>
        <w:wordWrap/>
        <w:overflowPunct/>
        <w:topLinePunct w:val="0"/>
        <w:bidi w:val="0"/>
        <w:spacing w:line="480" w:lineRule="exact"/>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投标</w:t>
      </w:r>
    </w:p>
    <w:p w14:paraId="07070828">
      <w:pPr>
        <w:pageBreakBefore w:val="0"/>
        <w:tabs>
          <w:tab w:val="left" w:pos="1080"/>
        </w:tabs>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 投标内容要求</w:t>
      </w:r>
    </w:p>
    <w:p w14:paraId="336A5F90">
      <w:pPr>
        <w:pageBreakBefore w:val="0"/>
        <w:tabs>
          <w:tab w:val="left" w:pos="1080"/>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招标文件中的所有事项、格式、条款和要求，对招标文件的全部内容及要求作出实质性响应，提交相应资料。若分包，应以包为单位投标，不得在其中选项投标或将其中内容再行分解，否则投标无效。</w:t>
      </w:r>
    </w:p>
    <w:p w14:paraId="2585C2C6">
      <w:pPr>
        <w:pageBreakBefore w:val="0"/>
        <w:tabs>
          <w:tab w:val="left" w:pos="1080"/>
        </w:tabs>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5.2 </w:t>
      </w:r>
      <w:bookmarkEnd w:id="130"/>
      <w:bookmarkEnd w:id="131"/>
      <w:bookmarkEnd w:id="132"/>
      <w:bookmarkEnd w:id="133"/>
      <w:bookmarkEnd w:id="134"/>
      <w:r>
        <w:rPr>
          <w:rFonts w:hint="eastAsia" w:ascii="宋体" w:hAnsi="宋体" w:eastAsia="宋体" w:cs="宋体"/>
          <w:b/>
          <w:color w:val="auto"/>
          <w:sz w:val="24"/>
          <w:szCs w:val="24"/>
          <w:highlight w:val="none"/>
        </w:rPr>
        <w:t>投标文件的加密、递交</w:t>
      </w:r>
    </w:p>
    <w:p w14:paraId="29A836BD">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5.2.1</w:t>
      </w:r>
      <w:r>
        <w:rPr>
          <w:rFonts w:hint="eastAsia" w:ascii="宋体" w:hAnsi="宋体" w:eastAsia="宋体" w:cs="宋体"/>
          <w:color w:val="auto"/>
          <w:kern w:val="0"/>
          <w:sz w:val="24"/>
          <w:szCs w:val="24"/>
          <w:highlight w:val="none"/>
        </w:rPr>
        <w:t xml:space="preserve"> 加密的电子投标文件（.jmbs格式）应在投标文件递交截止时间前通过政采云平台上传完成。</w:t>
      </w:r>
    </w:p>
    <w:p w14:paraId="5AC61C7E">
      <w:pPr>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2逾期上传或者未上传指定地点的投标文件，采购人不予受理。</w:t>
      </w:r>
    </w:p>
    <w:p w14:paraId="284F49B9">
      <w:pPr>
        <w:pageBreakBefore w:val="0"/>
        <w:tabs>
          <w:tab w:val="left" w:pos="1080"/>
        </w:tabs>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bookmarkStart w:id="135" w:name="_Toc183582227"/>
      <w:bookmarkStart w:id="136" w:name="_Toc183682364"/>
      <w:bookmarkStart w:id="137" w:name="_Toc217446054"/>
      <w:r>
        <w:rPr>
          <w:rFonts w:hint="eastAsia" w:ascii="宋体" w:hAnsi="宋体" w:eastAsia="宋体" w:cs="宋体"/>
          <w:b/>
          <w:bCs/>
          <w:color w:val="auto"/>
          <w:sz w:val="24"/>
          <w:szCs w:val="24"/>
          <w:highlight w:val="none"/>
        </w:rPr>
        <w:t>5.3 投标文件的</w:t>
      </w:r>
      <w:bookmarkEnd w:id="135"/>
      <w:bookmarkEnd w:id="136"/>
      <w:r>
        <w:rPr>
          <w:rFonts w:hint="eastAsia" w:ascii="宋体" w:hAnsi="宋体" w:eastAsia="宋体" w:cs="宋体"/>
          <w:b/>
          <w:bCs/>
          <w:color w:val="auto"/>
          <w:sz w:val="24"/>
          <w:szCs w:val="24"/>
          <w:highlight w:val="none"/>
        </w:rPr>
        <w:t>递交</w:t>
      </w:r>
      <w:bookmarkEnd w:id="137"/>
    </w:p>
    <w:p w14:paraId="431842C9">
      <w:pPr>
        <w:pageBreakBefore w:val="0"/>
        <w:tabs>
          <w:tab w:val="left" w:pos="1095"/>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投标人应在投标人须知前附表规定的投标截止时间前递交投标文件。</w:t>
      </w:r>
    </w:p>
    <w:p w14:paraId="5BBC472B">
      <w:pPr>
        <w:pageBreakBefore w:val="0"/>
        <w:tabs>
          <w:tab w:val="left" w:pos="1095"/>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除投标人须知前附表另有规定外，投标人递交的投标文件不予退还。</w:t>
      </w:r>
    </w:p>
    <w:p w14:paraId="75B7417A">
      <w:pPr>
        <w:pageBreakBefore w:val="0"/>
        <w:tabs>
          <w:tab w:val="left" w:pos="851"/>
          <w:tab w:val="left" w:pos="1095"/>
        </w:tabs>
        <w:kinsoku/>
        <w:wordWrap/>
        <w:overflowPunct/>
        <w:topLinePunct w:val="0"/>
        <w:bidi w:val="0"/>
        <w:spacing w:line="480" w:lineRule="exact"/>
        <w:ind w:left="0" w:leftChars="0" w:right="0"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逾期送达的投标文件，采购代理机构将予以拒收。</w:t>
      </w:r>
    </w:p>
    <w:p w14:paraId="475340E4">
      <w:pPr>
        <w:pStyle w:val="4"/>
        <w:pageBreakBefore w:val="0"/>
        <w:kinsoku/>
        <w:wordWrap/>
        <w:overflowPunct/>
        <w:topLinePunct w:val="0"/>
        <w:bidi w:val="0"/>
        <w:spacing w:line="480" w:lineRule="exact"/>
        <w:ind w:left="0" w:leftChars="0" w:right="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本次招标不接受邮寄的投标文件。</w:t>
      </w:r>
    </w:p>
    <w:p w14:paraId="64ED7A93">
      <w:pPr>
        <w:pStyle w:val="4"/>
        <w:pageBreakBefore w:val="0"/>
        <w:kinsoku/>
        <w:wordWrap/>
        <w:overflowPunct/>
        <w:topLinePunct w:val="0"/>
        <w:bidi w:val="0"/>
        <w:spacing w:line="480" w:lineRule="exact"/>
        <w:ind w:left="0" w:leftChars="0" w:right="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需要投标人提供样品的，同投标文件一起递交。</w:t>
      </w:r>
      <w:bookmarkStart w:id="138" w:name="_Toc183682365"/>
      <w:bookmarkStart w:id="139" w:name="_Toc183582228"/>
      <w:bookmarkStart w:id="140" w:name="_Toc217446055"/>
    </w:p>
    <w:p w14:paraId="22E9DF55">
      <w:pPr>
        <w:pStyle w:val="4"/>
        <w:pageBreakBefore w:val="0"/>
        <w:kinsoku/>
        <w:wordWrap/>
        <w:overflowPunct/>
        <w:topLinePunct w:val="0"/>
        <w:bidi w:val="0"/>
        <w:spacing w:line="480" w:lineRule="exact"/>
        <w:ind w:left="0" w:leftChars="0" w:right="0" w:firstLine="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5.4 </w:t>
      </w:r>
      <w:r>
        <w:rPr>
          <w:rFonts w:hint="eastAsia" w:ascii="宋体" w:hAnsi="宋体" w:eastAsia="宋体" w:cs="宋体"/>
          <w:b/>
          <w:bCs/>
          <w:color w:val="auto"/>
          <w:spacing w:val="20"/>
          <w:sz w:val="24"/>
          <w:szCs w:val="24"/>
          <w:highlight w:val="none"/>
        </w:rPr>
        <w:t>投标文件的修改和撤</w:t>
      </w:r>
      <w:bookmarkEnd w:id="138"/>
      <w:bookmarkEnd w:id="139"/>
      <w:r>
        <w:rPr>
          <w:rFonts w:hint="eastAsia" w:ascii="宋体" w:hAnsi="宋体" w:eastAsia="宋体" w:cs="宋体"/>
          <w:b/>
          <w:bCs/>
          <w:color w:val="auto"/>
          <w:spacing w:val="20"/>
          <w:sz w:val="24"/>
          <w:szCs w:val="24"/>
          <w:highlight w:val="none"/>
        </w:rPr>
        <w:t>回</w:t>
      </w:r>
      <w:bookmarkEnd w:id="140"/>
    </w:p>
    <w:p w14:paraId="5FC83E70">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在本章第5.3.1项规定的投标截止时间前，投标人可以修改或撤回已递交的投标文件。</w:t>
      </w:r>
    </w:p>
    <w:p w14:paraId="30945DD2">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bookmarkStart w:id="141" w:name="_Toc77400782"/>
      <w:bookmarkStart w:id="142" w:name="_Toc217446056"/>
      <w:bookmarkStart w:id="143" w:name="_Toc183582231"/>
      <w:bookmarkStart w:id="144" w:name="_Toc89075878"/>
      <w:bookmarkStart w:id="145" w:name="_Toc183682368"/>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投标人撤回投标文件的，采购代理机构自收到投标人书面撤回通知之日起5个工作日内退还已收取的投标保证金。</w:t>
      </w:r>
    </w:p>
    <w:p w14:paraId="653171C4">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在投标截止时间之后，投标人不得对其递交的投标文件做任何修改或撤销投标。</w:t>
      </w:r>
    </w:p>
    <w:p w14:paraId="78A9AF8A">
      <w:pPr>
        <w:pStyle w:val="4"/>
        <w:pageBreakBefore w:val="0"/>
        <w:kinsoku/>
        <w:wordWrap/>
        <w:overflowPunct/>
        <w:topLinePunct w:val="0"/>
        <w:bidi w:val="0"/>
        <w:spacing w:line="480" w:lineRule="exact"/>
        <w:ind w:left="0" w:leftChars="0" w:right="0" w:firstLine="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6.开标</w:t>
      </w:r>
      <w:bookmarkEnd w:id="141"/>
      <w:bookmarkEnd w:id="142"/>
      <w:bookmarkEnd w:id="143"/>
      <w:bookmarkEnd w:id="144"/>
      <w:bookmarkEnd w:id="145"/>
    </w:p>
    <w:p w14:paraId="7E47DD43">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6.1开标时间和地点</w:t>
      </w:r>
    </w:p>
    <w:p w14:paraId="7E13FF88">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采购代理机构在投标人须知前附表中规定的投标截止时间（开标时间）和地点公开开标，并邀请采购人派代表准时参加并签到以证明其出席。</w:t>
      </w:r>
    </w:p>
    <w:p w14:paraId="3350FF4B">
      <w:pPr>
        <w:pageBreakBefore w:val="0"/>
        <w:kinsoku/>
        <w:wordWrap/>
        <w:overflowPunct/>
        <w:topLinePunct w:val="0"/>
        <w:bidi w:val="0"/>
        <w:spacing w:line="480" w:lineRule="exact"/>
        <w:ind w:left="0" w:leftChars="0" w:right="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6.1.2 投标人未参加开标的，视同认可开标结果。</w:t>
      </w:r>
    </w:p>
    <w:p w14:paraId="2C747AE9">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开标时，采购代理机构邀请有关监督管理机构对开标进行现场监督。</w:t>
      </w:r>
      <w:bookmarkStart w:id="146" w:name="_Toc217446058"/>
    </w:p>
    <w:p w14:paraId="791AA752">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投标人不足3家的，不得开标。</w:t>
      </w:r>
    </w:p>
    <w:p w14:paraId="723C2BEE">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 开标程序</w:t>
      </w:r>
      <w:bookmarkEnd w:id="146"/>
    </w:p>
    <w:p w14:paraId="4A74C56C">
      <w:pPr>
        <w:pStyle w:val="18"/>
        <w:pageBreakBefore w:val="0"/>
        <w:kinsoku/>
        <w:wordWrap/>
        <w:overflowPunct/>
        <w:topLinePunct w:val="0"/>
        <w:bidi w:val="0"/>
        <w:spacing w:line="480" w:lineRule="exact"/>
        <w:ind w:left="0" w:leftChars="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开标由采购代理机构主持。主持人按照招标文件规定的开标时间宣布开标，并按下列程序进行（但不限于）：</w:t>
      </w:r>
    </w:p>
    <w:p w14:paraId="6699DF8B">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（1）宣布开标开始和开启录音录像设备并致辞；</w:t>
      </w:r>
    </w:p>
    <w:p w14:paraId="7709A5FC">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（2）宣布开标纪律和有关注意事项；</w:t>
      </w:r>
    </w:p>
    <w:p w14:paraId="7E1AC0F5">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（3）公布在投标截止时间前递交投标文件的投标人名称；</w:t>
      </w:r>
    </w:p>
    <w:p w14:paraId="187AC19C">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（4）宣布开标人、唱标人、监标人、记录人等有关工作人员和现场监督人员姓名；</w:t>
      </w:r>
    </w:p>
    <w:p w14:paraId="2AD7D79B">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唱标：主持人宣布开标后，由唱标人对其中“开标一览表”的采购项目编号、投标人名称、投标总价、合同履行期限等内容进行宣读并做开标记录；所有投标唱标完毕，无异议后，由投标人法定代表人或委托代理人及监督管理机构代表签字确认唱标内容；</w:t>
      </w:r>
    </w:p>
    <w:p w14:paraId="5293367B">
      <w:pPr>
        <w:pageBreakBefore w:val="0"/>
        <w:kinsoku/>
        <w:wordWrap/>
        <w:overflowPunct/>
        <w:topLinePunct w:val="0"/>
        <w:bidi w:val="0"/>
        <w:spacing w:line="480" w:lineRule="exact"/>
        <w:ind w:left="0" w:leftChars="0" w:righ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（7）宣布开标结束：主持人宣布开标结束后，所有投标人应保持通讯设备的畅通，以方便在评标过程中评标委员会要求投标人对投标文件的必要澄清。</w:t>
      </w:r>
    </w:p>
    <w:p w14:paraId="3D68B44A">
      <w:pPr>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kern w:val="0"/>
          <w:sz w:val="24"/>
          <w:szCs w:val="24"/>
          <w:highlight w:val="none"/>
        </w:rPr>
      </w:pPr>
      <w:bookmarkStart w:id="147" w:name="_Toc217446059"/>
      <w:r>
        <w:rPr>
          <w:rFonts w:hint="eastAsia"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14:paraId="7DAE9EC9">
      <w:pPr>
        <w:pageBreakBefore w:val="0"/>
        <w:kinsoku/>
        <w:wordWrap/>
        <w:overflowPunct/>
        <w:topLinePunct w:val="0"/>
        <w:bidi w:val="0"/>
        <w:spacing w:line="480" w:lineRule="exact"/>
        <w:ind w:left="0" w:leftChars="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 投标人资格审查</w:t>
      </w:r>
    </w:p>
    <w:p w14:paraId="301C113F">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资格审查小组</w:t>
      </w:r>
    </w:p>
    <w:p w14:paraId="25E8E1D4">
      <w:pPr>
        <w:pageBreakBefore w:val="0"/>
        <w:kinsoku/>
        <w:wordWrap/>
        <w:overflowPunct/>
        <w:topLinePunct w:val="0"/>
        <w:bidi w:val="0"/>
        <w:spacing w:line="480" w:lineRule="exact"/>
        <w:ind w:left="0" w:leftChars="0" w:right="0" w:firstLine="354" w:firstLineChars="147"/>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7.1.1 采购人依法对投标人的资格进行审查。</w:t>
      </w:r>
    </w:p>
    <w:p w14:paraId="71CCDD91">
      <w:pPr>
        <w:pageBreakBefore w:val="0"/>
        <w:tabs>
          <w:tab w:val="left" w:pos="0"/>
        </w:tabs>
        <w:kinsoku/>
        <w:wordWrap/>
        <w:overflowPunct/>
        <w:topLinePunct w:val="0"/>
        <w:bidi w:val="0"/>
        <w:adjustRightInd w:val="0"/>
        <w:snapToGrid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资格审查小组，由采购人</w:t>
      </w:r>
      <w:r>
        <w:rPr>
          <w:rFonts w:hint="eastAsia" w:ascii="宋体" w:hAnsi="宋体" w:eastAsia="宋体" w:cs="宋体"/>
          <w:color w:val="auto"/>
          <w:sz w:val="24"/>
          <w:szCs w:val="24"/>
          <w:highlight w:val="none"/>
          <w:lang w:val="en-US" w:eastAsia="zh-CN"/>
        </w:rPr>
        <w:t>或授权委托人</w:t>
      </w:r>
      <w:r>
        <w:rPr>
          <w:rFonts w:hint="eastAsia" w:ascii="宋体" w:hAnsi="宋体" w:eastAsia="宋体" w:cs="宋体"/>
          <w:color w:val="auto"/>
          <w:sz w:val="24"/>
          <w:szCs w:val="24"/>
          <w:highlight w:val="none"/>
        </w:rPr>
        <w:t>完成。</w:t>
      </w:r>
    </w:p>
    <w:p w14:paraId="01F5EED2">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资格审查办法</w:t>
      </w:r>
    </w:p>
    <w:p w14:paraId="65BB240B">
      <w:pPr>
        <w:pageBreakBefore w:val="0"/>
        <w:tabs>
          <w:tab w:val="left" w:pos="0"/>
        </w:tabs>
        <w:kinsoku/>
        <w:wordWrap/>
        <w:overflowPunct/>
        <w:topLinePunct w:val="0"/>
        <w:bidi w:val="0"/>
        <w:adjustRightInd w:val="0"/>
        <w:snapToGrid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资格审查在开标结束之后评标开始之前进行。</w:t>
      </w:r>
    </w:p>
    <w:p w14:paraId="38E29ED3">
      <w:pPr>
        <w:pageBreakBefore w:val="0"/>
        <w:tabs>
          <w:tab w:val="left" w:pos="0"/>
        </w:tabs>
        <w:kinsoku/>
        <w:wordWrap/>
        <w:overflowPunct/>
        <w:topLinePunct w:val="0"/>
        <w:bidi w:val="0"/>
        <w:adjustRightInd w:val="0"/>
        <w:snapToGrid w:val="0"/>
        <w:spacing w:line="480" w:lineRule="exact"/>
        <w:ind w:left="0" w:leftChars="0" w:right="0"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7.2.2 资格审查小组将依据投标人投标文件之资格审查部分文件，按照本章第3.1.1项所述资格要求对投标人进行资格审查，以确定其是否具备相应资格。</w:t>
      </w:r>
      <w:r>
        <w:rPr>
          <w:rFonts w:hint="eastAsia" w:ascii="宋体" w:hAnsi="宋体" w:eastAsia="宋体" w:cs="宋体"/>
          <w:color w:val="auto"/>
          <w:kern w:val="0"/>
          <w:sz w:val="24"/>
          <w:szCs w:val="24"/>
          <w:highlight w:val="none"/>
        </w:rPr>
        <w:t>如果投标人不具备资格、不满足招标文件所规定的资格条件,将被视为未实质性响应招标文件,按无效投标处理。</w:t>
      </w:r>
    </w:p>
    <w:p w14:paraId="70A4ED8F">
      <w:pPr>
        <w:pageBreakBefore w:val="0"/>
        <w:tabs>
          <w:tab w:val="left" w:pos="0"/>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7.2.3 信用信息查询时间</w:t>
      </w:r>
      <w:r>
        <w:rPr>
          <w:rFonts w:hint="eastAsia" w:ascii="宋体" w:hAnsi="宋体" w:eastAsia="宋体" w:cs="宋体"/>
          <w:color w:val="auto"/>
          <w:kern w:val="0"/>
          <w:sz w:val="24"/>
          <w:szCs w:val="24"/>
          <w:highlight w:val="none"/>
          <w:lang w:eastAsia="zh-CN"/>
        </w:rPr>
        <w:t>截止</w:t>
      </w:r>
      <w:r>
        <w:rPr>
          <w:rFonts w:hint="eastAsia" w:ascii="宋体" w:hAnsi="宋体" w:eastAsia="宋体" w:cs="宋体"/>
          <w:color w:val="auto"/>
          <w:kern w:val="0"/>
          <w:sz w:val="24"/>
          <w:szCs w:val="24"/>
          <w:highlight w:val="none"/>
        </w:rPr>
        <w:t>时点，见投标人须知前附表，其查询结果在投标人限制性资格条件审查时使用。</w:t>
      </w:r>
    </w:p>
    <w:p w14:paraId="43A14AE1">
      <w:pPr>
        <w:pageBreakBefore w:val="0"/>
        <w:tabs>
          <w:tab w:val="left" w:pos="0"/>
        </w:tabs>
        <w:kinsoku/>
        <w:wordWrap/>
        <w:overflowPunct/>
        <w:topLinePunct w:val="0"/>
        <w:bidi w:val="0"/>
        <w:adjustRightInd w:val="0"/>
        <w:snapToGrid w:val="0"/>
        <w:spacing w:line="480" w:lineRule="exact"/>
        <w:ind w:left="0" w:leftChars="0" w:right="0"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7.2.4 资格审查小组按下列程序进行资格审查：</w:t>
      </w:r>
    </w:p>
    <w:p w14:paraId="0AEB11A5">
      <w:pPr>
        <w:pageBreakBefore w:val="0"/>
        <w:tabs>
          <w:tab w:val="left" w:pos="0"/>
        </w:tabs>
        <w:kinsoku/>
        <w:wordWrap/>
        <w:overflowPunct/>
        <w:topLinePunct w:val="0"/>
        <w:bidi w:val="0"/>
        <w:adjustRightInd w:val="0"/>
        <w:snapToGrid w:val="0"/>
        <w:spacing w:line="480" w:lineRule="exact"/>
        <w:ind w:left="0" w:leftChars="0" w:right="0" w:firstLine="588" w:firstLineChars="24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（1）投标人基本资格条件审查；</w:t>
      </w:r>
    </w:p>
    <w:p w14:paraId="08B9217A">
      <w:pPr>
        <w:pageBreakBefore w:val="0"/>
        <w:tabs>
          <w:tab w:val="left" w:pos="0"/>
        </w:tabs>
        <w:kinsoku/>
        <w:wordWrap/>
        <w:overflowPunct/>
        <w:topLinePunct w:val="0"/>
        <w:bidi w:val="0"/>
        <w:adjustRightInd w:val="0"/>
        <w:snapToGrid w:val="0"/>
        <w:spacing w:line="480" w:lineRule="exact"/>
        <w:ind w:left="0" w:leftChars="0" w:right="0" w:firstLine="588" w:firstLineChars="24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（2）投标人限制性资格条件审查；</w:t>
      </w:r>
    </w:p>
    <w:p w14:paraId="33568E6D">
      <w:pPr>
        <w:pageBreakBefore w:val="0"/>
        <w:tabs>
          <w:tab w:val="left" w:pos="0"/>
        </w:tabs>
        <w:kinsoku/>
        <w:wordWrap/>
        <w:overflowPunct/>
        <w:topLinePunct w:val="0"/>
        <w:bidi w:val="0"/>
        <w:adjustRightInd w:val="0"/>
        <w:snapToGrid w:val="0"/>
        <w:spacing w:line="480" w:lineRule="exact"/>
        <w:ind w:left="0" w:leftChars="0" w:right="0" w:firstLine="588" w:firstLineChars="24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（3）编写投标人资格审查报告。</w:t>
      </w:r>
    </w:p>
    <w:p w14:paraId="4799C3E8">
      <w:pPr>
        <w:pageBreakBefore w:val="0"/>
        <w:tabs>
          <w:tab w:val="left" w:pos="0"/>
        </w:tabs>
        <w:kinsoku/>
        <w:wordWrap/>
        <w:overflowPunct/>
        <w:topLinePunct w:val="0"/>
        <w:bidi w:val="0"/>
        <w:adjustRightInd w:val="0"/>
        <w:snapToGrid w:val="0"/>
        <w:spacing w:line="480" w:lineRule="exact"/>
        <w:ind w:left="0" w:leftChars="0" w:right="0" w:firstLine="487" w:firstLineChars="20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7.2.5 投标人基本资格条件的审查</w:t>
      </w:r>
    </w:p>
    <w:p w14:paraId="041A80C0">
      <w:pPr>
        <w:pageBreakBefore w:val="0"/>
        <w:tabs>
          <w:tab w:val="left" w:pos="0"/>
        </w:tabs>
        <w:kinsoku/>
        <w:wordWrap/>
        <w:overflowPunct/>
        <w:topLinePunct w:val="0"/>
        <w:bidi w:val="0"/>
        <w:adjustRightInd w:val="0"/>
        <w:snapToGrid w:val="0"/>
        <w:spacing w:line="480" w:lineRule="exact"/>
        <w:ind w:left="0" w:leftChars="0" w:right="0" w:firstLine="840" w:firstLineChars="3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7.2.5.1 审查方法：</w:t>
      </w:r>
    </w:p>
    <w:p w14:paraId="02EA1A12">
      <w:pPr>
        <w:pageBreakBefore w:val="0"/>
        <w:tabs>
          <w:tab w:val="left" w:pos="0"/>
        </w:tabs>
        <w:kinsoku/>
        <w:wordWrap/>
        <w:overflowPunct/>
        <w:topLinePunct w:val="0"/>
        <w:bidi w:val="0"/>
        <w:adjustRightInd w:val="0"/>
        <w:snapToGrid w:val="0"/>
        <w:spacing w:line="480" w:lineRule="exact"/>
        <w:ind w:left="0" w:leftChars="0" w:right="0" w:firstLine="840" w:firstLineChars="3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单独审查</w:t>
      </w:r>
    </w:p>
    <w:p w14:paraId="36ECE877">
      <w:pPr>
        <w:pageBreakBefore w:val="0"/>
        <w:tabs>
          <w:tab w:val="left" w:pos="0"/>
        </w:tabs>
        <w:kinsoku/>
        <w:wordWrap/>
        <w:overflowPunct/>
        <w:topLinePunct w:val="0"/>
        <w:bidi w:val="0"/>
        <w:adjustRightInd w:val="0"/>
        <w:snapToGrid w:val="0"/>
        <w:spacing w:line="480" w:lineRule="exact"/>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7.2.5.2 审查标准：</w:t>
      </w:r>
    </w:p>
    <w:p w14:paraId="70C9F401">
      <w:pPr>
        <w:pageBreakBefore w:val="0"/>
        <w:tabs>
          <w:tab w:val="left" w:pos="0"/>
        </w:tabs>
        <w:kinsoku/>
        <w:wordWrap/>
        <w:overflowPunct/>
        <w:topLinePunct w:val="0"/>
        <w:bidi w:val="0"/>
        <w:adjustRightInd w:val="0"/>
        <w:snapToGrid w:val="0"/>
        <w:spacing w:line="480" w:lineRule="exact"/>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资格审查小组将按下表所列举的审查标准对投标人基本资格条件进行</w:t>
      </w:r>
      <w:r>
        <w:rPr>
          <w:rFonts w:hint="eastAsia" w:ascii="宋体" w:hAnsi="宋体" w:eastAsia="宋体" w:cs="宋体"/>
          <w:bCs/>
          <w:color w:val="auto"/>
          <w:sz w:val="24"/>
          <w:szCs w:val="24"/>
          <w:highlight w:val="none"/>
        </w:rPr>
        <w:t>审查，投标人若</w:t>
      </w:r>
      <w:r>
        <w:rPr>
          <w:rFonts w:hint="eastAsia" w:ascii="宋体" w:hAnsi="宋体" w:eastAsia="宋体" w:cs="宋体"/>
          <w:color w:val="auto"/>
          <w:kern w:val="0"/>
          <w:sz w:val="24"/>
          <w:szCs w:val="24"/>
          <w:highlight w:val="none"/>
        </w:rPr>
        <w:t>有一项不合格，即判定其基本资格条件审查结果为不合格，将不具备投标资格，按无效投标处理。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6109"/>
        <w:gridCol w:w="1876"/>
        <w:gridCol w:w="786"/>
      </w:tblGrid>
      <w:tr w14:paraId="4ECF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5" w:type="dxa"/>
            <w:noWrap w:val="0"/>
            <w:vAlign w:val="center"/>
          </w:tcPr>
          <w:p w14:paraId="019E659D">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6109" w:type="dxa"/>
            <w:noWrap w:val="0"/>
            <w:vAlign w:val="center"/>
          </w:tcPr>
          <w:p w14:paraId="565EE5E3">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审查因素</w:t>
            </w:r>
          </w:p>
        </w:tc>
        <w:tc>
          <w:tcPr>
            <w:tcW w:w="1876" w:type="dxa"/>
            <w:noWrap w:val="0"/>
            <w:vAlign w:val="center"/>
          </w:tcPr>
          <w:p w14:paraId="228B4EC2">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审查标准</w:t>
            </w:r>
          </w:p>
        </w:tc>
        <w:tc>
          <w:tcPr>
            <w:tcW w:w="786" w:type="dxa"/>
            <w:noWrap w:val="0"/>
            <w:vAlign w:val="center"/>
          </w:tcPr>
          <w:p w14:paraId="0AB6DACD">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043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5" w:type="dxa"/>
            <w:noWrap w:val="0"/>
            <w:vAlign w:val="center"/>
          </w:tcPr>
          <w:p w14:paraId="64AE73E6">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6109" w:type="dxa"/>
            <w:noWrap w:val="0"/>
            <w:vAlign w:val="center"/>
          </w:tcPr>
          <w:p w14:paraId="029CE8A1">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为企业法人应提供合法有效的标识有统一社会信用代码的营业执照；事业法人应提供事业单位法人证书；其他组织应提供合法登记证明文件</w:t>
            </w:r>
            <w:r>
              <w:rPr>
                <w:rFonts w:hint="eastAsia" w:ascii="宋体" w:hAnsi="宋体" w:eastAsia="宋体" w:cs="宋体"/>
                <w:color w:val="auto"/>
                <w:kern w:val="0"/>
                <w:sz w:val="24"/>
                <w:szCs w:val="24"/>
                <w:highlight w:val="none"/>
                <w:lang w:eastAsia="zh-CN"/>
              </w:rPr>
              <w:t>；</w:t>
            </w:r>
          </w:p>
        </w:tc>
        <w:tc>
          <w:tcPr>
            <w:tcW w:w="1876" w:type="dxa"/>
            <w:noWrap w:val="0"/>
            <w:vAlign w:val="center"/>
          </w:tcPr>
          <w:p w14:paraId="58425369">
            <w:pPr>
              <w:pageBreakBefore w:val="0"/>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3864D841">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b/>
                <w:color w:val="auto"/>
                <w:kern w:val="0"/>
                <w:sz w:val="24"/>
                <w:szCs w:val="24"/>
                <w:highlight w:val="none"/>
              </w:rPr>
            </w:pPr>
          </w:p>
        </w:tc>
      </w:tr>
      <w:tr w14:paraId="41B6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5" w:type="dxa"/>
            <w:noWrap w:val="0"/>
            <w:vAlign w:val="center"/>
          </w:tcPr>
          <w:p w14:paraId="245B9E10">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6109" w:type="dxa"/>
            <w:noWrap w:val="0"/>
            <w:vAlign w:val="center"/>
          </w:tcPr>
          <w:p w14:paraId="6F2DD5BD">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法定代表人身份证或法定代表人授权委托书和委托代理人的身份证。法定代表人授权委托书应当与投标文件中所提供的相一致</w:t>
            </w:r>
            <w:r>
              <w:rPr>
                <w:rFonts w:hint="eastAsia" w:ascii="宋体" w:hAnsi="宋体" w:eastAsia="宋体" w:cs="宋体"/>
                <w:color w:val="auto"/>
                <w:kern w:val="0"/>
                <w:sz w:val="24"/>
                <w:szCs w:val="24"/>
                <w:highlight w:val="none"/>
                <w:lang w:eastAsia="zh-CN"/>
              </w:rPr>
              <w:t>；</w:t>
            </w:r>
          </w:p>
        </w:tc>
        <w:tc>
          <w:tcPr>
            <w:tcW w:w="1876" w:type="dxa"/>
            <w:noWrap w:val="0"/>
            <w:vAlign w:val="center"/>
          </w:tcPr>
          <w:p w14:paraId="49C5C088">
            <w:pPr>
              <w:pageBreakBefore w:val="0"/>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4CE2583A">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0D05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15" w:type="dxa"/>
            <w:noWrap w:val="0"/>
            <w:vAlign w:val="center"/>
          </w:tcPr>
          <w:p w14:paraId="0600346F">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6109" w:type="dxa"/>
            <w:noWrap w:val="0"/>
            <w:vAlign w:val="center"/>
          </w:tcPr>
          <w:p w14:paraId="212AC660">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须书面承诺自身商业信誉良好，投标截止时间前未在“信用中国”列入失信被执行人、重大税收违法失信主体，未在中国政府采购网存在政府采购严重违法失信记录，无法律法规禁止参与政府采购的其他违法失信情形（注：1.投标文件无需附信用查询截图，由资格审查小组及采购代理机构现场统一核验；2.承诺函格式自拟并加盖公章；3.现场查实存在上述失信记录的，投标无效，相关损失与法律责任由投标人自行承担。）；</w:t>
            </w:r>
          </w:p>
        </w:tc>
        <w:tc>
          <w:tcPr>
            <w:tcW w:w="1876" w:type="dxa"/>
            <w:noWrap w:val="0"/>
            <w:vAlign w:val="center"/>
          </w:tcPr>
          <w:p w14:paraId="752528D2">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0DBCD278">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7DF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15" w:type="dxa"/>
            <w:noWrap w:val="0"/>
            <w:vAlign w:val="center"/>
          </w:tcPr>
          <w:p w14:paraId="6B5FD23A">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6109" w:type="dxa"/>
            <w:noWrap w:val="0"/>
            <w:vAlign w:val="center"/>
          </w:tcPr>
          <w:p w14:paraId="3743E025">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投标人提供2026年1月至今已缴存的至少一个月的社会保障资金缴存单据或社保机构开具的社会保险参保缴费情况证明，依法不需要缴纳社会保障资金的投标人应提供相关文件证明；</w:t>
            </w:r>
          </w:p>
        </w:tc>
        <w:tc>
          <w:tcPr>
            <w:tcW w:w="1876" w:type="dxa"/>
            <w:noWrap w:val="0"/>
            <w:vAlign w:val="center"/>
          </w:tcPr>
          <w:p w14:paraId="73D63D5C">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2683B4C8">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32BF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915" w:type="dxa"/>
            <w:noWrap w:val="0"/>
            <w:vAlign w:val="center"/>
          </w:tcPr>
          <w:p w14:paraId="778E7CD3">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6109" w:type="dxa"/>
            <w:noWrap w:val="0"/>
            <w:vAlign w:val="center"/>
          </w:tcPr>
          <w:p w14:paraId="744EE0B6">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投标人提供会计师事务所出具的2025年的财务审计报告（报告中须包括资产负债表、利润表、现金流量表及财务报表附注）；如果</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为新成立单位，无法提供审计报告，则需提供新企业验资报告复印件并加盖提供报告单位的公章；如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无法提供上年度审计报告或新企业验资报告，则需提供开户银行出具的资信证明并附基本存款账户开户许可证或者基本户存款信息表；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银行出具的存款证明不能作为银行资信证明</w:t>
            </w:r>
            <w:r>
              <w:rPr>
                <w:rFonts w:hint="eastAsia" w:ascii="宋体" w:hAnsi="宋体" w:eastAsia="宋体" w:cs="宋体"/>
                <w:color w:val="auto"/>
                <w:kern w:val="0"/>
                <w:sz w:val="24"/>
                <w:szCs w:val="24"/>
                <w:highlight w:val="none"/>
                <w:lang w:eastAsia="zh-CN"/>
              </w:rPr>
              <w:t>；</w:t>
            </w:r>
          </w:p>
        </w:tc>
        <w:tc>
          <w:tcPr>
            <w:tcW w:w="1876" w:type="dxa"/>
            <w:noWrap w:val="0"/>
            <w:vAlign w:val="center"/>
          </w:tcPr>
          <w:p w14:paraId="53855009">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7AC3AAA3">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0778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15" w:type="dxa"/>
            <w:noWrap w:val="0"/>
            <w:vAlign w:val="center"/>
          </w:tcPr>
          <w:p w14:paraId="278D5970">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6109" w:type="dxa"/>
            <w:noWrap w:val="0"/>
            <w:vAlign w:val="center"/>
          </w:tcPr>
          <w:p w14:paraId="3356BC61">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提供2026年1月至今已缴纳的至少一个月的纳税证明或完税证明，纳税证明或完税证明上应有代收机构或税务机关的公章，依法免税的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应提供相关文件证明</w:t>
            </w:r>
            <w:r>
              <w:rPr>
                <w:rFonts w:hint="eastAsia" w:ascii="宋体" w:hAnsi="宋体" w:eastAsia="宋体" w:cs="宋体"/>
                <w:color w:val="auto"/>
                <w:kern w:val="0"/>
                <w:sz w:val="24"/>
                <w:szCs w:val="24"/>
                <w:highlight w:val="none"/>
                <w:lang w:eastAsia="zh-CN"/>
              </w:rPr>
              <w:t>；</w:t>
            </w:r>
          </w:p>
        </w:tc>
        <w:tc>
          <w:tcPr>
            <w:tcW w:w="1876" w:type="dxa"/>
            <w:noWrap w:val="0"/>
            <w:vAlign w:val="center"/>
          </w:tcPr>
          <w:p w14:paraId="5046DC2A">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27514989">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61CC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15" w:type="dxa"/>
            <w:noWrap w:val="0"/>
            <w:vAlign w:val="center"/>
          </w:tcPr>
          <w:p w14:paraId="0D7C4FEE">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6109" w:type="dxa"/>
            <w:noWrap w:val="0"/>
            <w:vAlign w:val="center"/>
          </w:tcPr>
          <w:p w14:paraId="09E7ED37">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应具备良好的商业信誉，提供参加政府采购活动前3年内在经营活动中没有重大违法记录的书面声明</w:t>
            </w:r>
            <w:r>
              <w:rPr>
                <w:rFonts w:hint="eastAsia" w:ascii="宋体" w:hAnsi="宋体" w:eastAsia="宋体" w:cs="宋体"/>
                <w:color w:val="auto"/>
                <w:kern w:val="0"/>
                <w:sz w:val="24"/>
                <w:szCs w:val="24"/>
                <w:highlight w:val="none"/>
                <w:lang w:eastAsia="zh-CN"/>
              </w:rPr>
              <w:t>；</w:t>
            </w:r>
          </w:p>
        </w:tc>
        <w:tc>
          <w:tcPr>
            <w:tcW w:w="1876" w:type="dxa"/>
            <w:noWrap w:val="0"/>
            <w:vAlign w:val="center"/>
          </w:tcPr>
          <w:p w14:paraId="50662E74">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0C4627FE">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2EF0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15" w:type="dxa"/>
            <w:noWrap w:val="0"/>
            <w:vAlign w:val="center"/>
          </w:tcPr>
          <w:p w14:paraId="4743B0F6">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6109" w:type="dxa"/>
            <w:noWrap w:val="0"/>
            <w:vAlign w:val="center"/>
          </w:tcPr>
          <w:p w14:paraId="4D9B6284">
            <w:pPr>
              <w:pageBreakBefore w:val="0"/>
              <w:numPr>
                <w:ilvl w:val="0"/>
                <w:numId w:val="0"/>
              </w:numPr>
              <w:kinsoku/>
              <w:wordWrap/>
              <w:overflowPunct/>
              <w:topLinePunct w:val="0"/>
              <w:bidi w:val="0"/>
              <w:spacing w:line="480" w:lineRule="exact"/>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投标保证金足额缴纳凭证或保函；</w:t>
            </w:r>
          </w:p>
        </w:tc>
        <w:tc>
          <w:tcPr>
            <w:tcW w:w="1876" w:type="dxa"/>
            <w:noWrap w:val="0"/>
            <w:vAlign w:val="center"/>
          </w:tcPr>
          <w:p w14:paraId="13FDAA30">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17CF7834">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r w14:paraId="159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5" w:type="dxa"/>
            <w:noWrap w:val="0"/>
            <w:vAlign w:val="center"/>
          </w:tcPr>
          <w:p w14:paraId="645933CA">
            <w:pPr>
              <w:pageBreakBefore w:val="0"/>
              <w:tabs>
                <w:tab w:val="left" w:pos="0"/>
              </w:tabs>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6109" w:type="dxa"/>
            <w:noWrap w:val="0"/>
            <w:vAlign w:val="center"/>
          </w:tcPr>
          <w:p w14:paraId="0562F1D0">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i w:val="0"/>
                <w:iCs w:val="0"/>
                <w:color w:val="auto"/>
                <w:sz w:val="24"/>
                <w:szCs w:val="24"/>
                <w:highlight w:val="none"/>
                <w:u w:val="none"/>
                <w:lang w:val="en-US" w:eastAsia="zh-CN"/>
              </w:rPr>
            </w:pPr>
            <w:r>
              <w:rPr>
                <w:rFonts w:hint="eastAsia" w:ascii="宋体" w:hAnsi="宋体" w:cs="宋体"/>
                <w:color w:val="auto"/>
                <w:kern w:val="0"/>
                <w:sz w:val="24"/>
                <w:szCs w:val="24"/>
                <w:highlight w:val="none"/>
                <w:lang w:eastAsia="zh-CN"/>
              </w:rPr>
              <w:t>投标人应为中小企业，需提供《中小企业声明函》</w:t>
            </w:r>
            <w:r>
              <w:rPr>
                <w:rFonts w:hint="eastAsia" w:ascii="宋体" w:hAnsi="宋体" w:eastAsia="宋体" w:cs="宋体"/>
                <w:i w:val="0"/>
                <w:iCs w:val="0"/>
                <w:color w:val="auto"/>
                <w:sz w:val="24"/>
                <w:szCs w:val="24"/>
                <w:highlight w:val="none"/>
                <w:u w:val="none"/>
                <w:lang w:eastAsia="zh-CN"/>
              </w:rPr>
              <w:t>；</w:t>
            </w:r>
          </w:p>
        </w:tc>
        <w:tc>
          <w:tcPr>
            <w:tcW w:w="1876" w:type="dxa"/>
            <w:noWrap w:val="0"/>
            <w:vAlign w:val="center"/>
          </w:tcPr>
          <w:p w14:paraId="09DEC53C">
            <w:pPr>
              <w:pageBreakBefore w:val="0"/>
              <w:kinsoku/>
              <w:wordWrap/>
              <w:overflowPunct/>
              <w:topLinePunct w:val="0"/>
              <w:bidi w:val="0"/>
              <w:adjustRightInd w:val="0"/>
              <w:snapToGrid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合法有效</w:t>
            </w:r>
          </w:p>
        </w:tc>
        <w:tc>
          <w:tcPr>
            <w:tcW w:w="786" w:type="dxa"/>
            <w:noWrap w:val="0"/>
            <w:vAlign w:val="center"/>
          </w:tcPr>
          <w:p w14:paraId="04B739C3">
            <w:pPr>
              <w:pageBreakBefore w:val="0"/>
              <w:tabs>
                <w:tab w:val="left" w:pos="0"/>
              </w:tabs>
              <w:kinsoku/>
              <w:wordWrap/>
              <w:overflowPunct/>
              <w:topLinePunct w:val="0"/>
              <w:bidi w:val="0"/>
              <w:adjustRightInd w:val="0"/>
              <w:snapToGrid w:val="0"/>
              <w:spacing w:line="480" w:lineRule="exact"/>
              <w:ind w:left="0" w:leftChars="0" w:right="0"/>
              <w:rPr>
                <w:rFonts w:hint="eastAsia" w:ascii="宋体" w:hAnsi="宋体" w:eastAsia="宋体" w:cs="宋体"/>
                <w:color w:val="auto"/>
                <w:kern w:val="0"/>
                <w:sz w:val="24"/>
                <w:szCs w:val="24"/>
                <w:highlight w:val="none"/>
              </w:rPr>
            </w:pPr>
          </w:p>
        </w:tc>
      </w:tr>
    </w:tbl>
    <w:p w14:paraId="71179863">
      <w:pPr>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7.2.6 投标人限制性资格条件审查</w:t>
      </w:r>
    </w:p>
    <w:p w14:paraId="3AC3567C">
      <w:pPr>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7.2.6.1 审查方法：</w:t>
      </w:r>
    </w:p>
    <w:p w14:paraId="7F3C283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（1）资格审查小组将通过信用中国网（http://www.creditchina.gov.cn/）和中国政府采购网（网址：http://www.ccgp.gov.cn/cr/list）对投标人的信用信息进行查询核实。</w:t>
      </w:r>
    </w:p>
    <w:p w14:paraId="511731D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（2）资格审查小组将通过投标人投标文件之资格审查部分文件和国家企业信用信息公示系统（http://www.gsxt.gov.cn/index.html）对投标人之间存在隶属关系或者其他利害关系进行相关信息的核实。</w:t>
      </w:r>
    </w:p>
    <w:p w14:paraId="72CAD3EF">
      <w:pPr>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7.2.6.2 审查标准：</w:t>
      </w:r>
    </w:p>
    <w:p w14:paraId="146DA99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投标人存在下列情形之一的，审查不予通过，即判定其限制性资格条件审查结果为不合格，将不具备投标资格，按无效投标处理：</w:t>
      </w:r>
    </w:p>
    <w:p w14:paraId="15BC7F8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（1）与采购人、采购代理机构存在隶属关系或者其他利害关系，且可能影响招标公正性；</w:t>
      </w:r>
    </w:p>
    <w:p w14:paraId="1F7ABDB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（2）与本采购项目其他投标人的法定代表人（或者负责人）为同一人；</w:t>
      </w:r>
    </w:p>
    <w:p w14:paraId="57FE801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（3）与本采购项目其他投标人存在控股、管理关系；</w:t>
      </w:r>
    </w:p>
    <w:p w14:paraId="770DC03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（4）为本项目采购代理机构；</w:t>
      </w:r>
    </w:p>
    <w:p w14:paraId="3F752CE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（5）为本项目代理投标的为其采购代理机构；</w:t>
      </w:r>
    </w:p>
    <w:p w14:paraId="61C4A29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（6）为本项目提供整体设计、规范编制或者项目管理、监理、检测、咨询服务；</w:t>
      </w:r>
    </w:p>
    <w:p w14:paraId="301B6B6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（7）近3年受到刑事处罚；</w:t>
      </w:r>
    </w:p>
    <w:p w14:paraId="6276EF0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（8）近3年内受到财政部门3万元以上罚款或其他行政部门较大数额罚款行政处罚（举行听证会的）；</w:t>
      </w:r>
    </w:p>
    <w:p w14:paraId="3E3DAAB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（9）近3年被责令停产停业、暂扣或者吊销许可证、暂扣或者吊销执照的行政处罚；</w:t>
      </w:r>
    </w:p>
    <w:p w14:paraId="63F8F77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（10）被列入严重失信被执行人名单；</w:t>
      </w:r>
    </w:p>
    <w:p w14:paraId="6C64794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（11）被列入</w:t>
      </w:r>
      <w:r>
        <w:rPr>
          <w:rFonts w:hint="eastAsia" w:ascii="宋体" w:hAnsi="宋体" w:eastAsia="宋体" w:cs="宋体"/>
          <w:color w:val="auto"/>
          <w:kern w:val="0"/>
          <w:sz w:val="24"/>
          <w:szCs w:val="24"/>
          <w:highlight w:val="none"/>
          <w:lang w:eastAsia="zh-CN"/>
        </w:rPr>
        <w:t>重大税收违法失信主体</w:t>
      </w:r>
      <w:r>
        <w:rPr>
          <w:rFonts w:hint="eastAsia" w:ascii="宋体" w:hAnsi="宋体" w:eastAsia="宋体" w:cs="宋体"/>
          <w:color w:val="auto"/>
          <w:kern w:val="0"/>
          <w:sz w:val="24"/>
          <w:szCs w:val="24"/>
          <w:highlight w:val="none"/>
        </w:rPr>
        <w:t>；</w:t>
      </w:r>
    </w:p>
    <w:p w14:paraId="04AA635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（12）被禁止在一至三年内参加政府采购活动或存在财政部门认定的其他重大违法记录；</w:t>
      </w:r>
    </w:p>
    <w:p w14:paraId="30D92DE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（13）法律法规规定的其他情形。</w:t>
      </w:r>
    </w:p>
    <w:p w14:paraId="4CCA44F3">
      <w:pPr>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7.2.7 资格审查报告</w:t>
      </w:r>
    </w:p>
    <w:p w14:paraId="2774B8A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7.2.7.1 资格审查报告由资格审查小组负责编制，以采购代理机构名义向采购人提交，其附表《投标人资格审查表》应当经资格审查小组全体成员签字确认。资格审查报告在采购人盖章确认后随采购文件一并存档。</w:t>
      </w:r>
    </w:p>
    <w:p w14:paraId="37155EC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7.2.7.2 信用查询结果的截屏资料，通过电子文件保存至光盘，作为资格审查报告附件随采购文件一起存档。</w:t>
      </w:r>
    </w:p>
    <w:p w14:paraId="074E8892">
      <w:pPr>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7.2.8 合格投标人不足3家的，不得评标。</w:t>
      </w:r>
    </w:p>
    <w:p w14:paraId="560E57B4">
      <w:pPr>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7.2.9 不合格的投标人，不得进入评标环节。</w:t>
      </w:r>
    </w:p>
    <w:p w14:paraId="0B2FBF4A">
      <w:pPr>
        <w:pageBreakBefore w:val="0"/>
        <w:kinsoku/>
        <w:wordWrap/>
        <w:overflowPunct/>
        <w:topLinePunct w:val="0"/>
        <w:bidi w:val="0"/>
        <w:spacing w:line="480" w:lineRule="exact"/>
        <w:ind w:left="0" w:leftChars="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8.评标</w:t>
      </w:r>
      <w:bookmarkEnd w:id="147"/>
    </w:p>
    <w:p w14:paraId="7A610FC1">
      <w:pPr>
        <w:pageBreakBefore w:val="0"/>
        <w:kinsoku/>
        <w:wordWrap/>
        <w:overflowPunct/>
        <w:topLinePunct w:val="0"/>
        <w:bidi w:val="0"/>
        <w:spacing w:line="480" w:lineRule="exact"/>
        <w:ind w:left="12" w:leftChars="0" w:right="0" w:hanging="12" w:hangingChars="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 评标委员会</w:t>
      </w:r>
    </w:p>
    <w:p w14:paraId="357EBC4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8.1.1 评标由采购代理机构依法组建的评标委员会负责。评标委员会由采购人代表和评审专家组成，成员由5人以上单数组成。其中评审专家不得少于成员总数的三分之二。采购预算金额在1000万元以上、技术复杂的项目或者社会影响较大的项目，评标委员会成员应当为7人以上。评审专家人选在省级</w:t>
      </w:r>
      <w:r>
        <w:rPr>
          <w:rFonts w:hint="eastAsia" w:ascii="宋体" w:hAnsi="宋体" w:eastAsia="宋体" w:cs="宋体"/>
          <w:color w:val="auto"/>
          <w:kern w:val="0"/>
          <w:sz w:val="24"/>
          <w:szCs w:val="24"/>
          <w:highlight w:val="none"/>
          <w:lang w:val="en-US" w:eastAsia="zh-CN"/>
        </w:rPr>
        <w:t>主管</w:t>
      </w:r>
      <w:r>
        <w:rPr>
          <w:rFonts w:hint="eastAsia" w:ascii="宋体" w:hAnsi="宋体" w:eastAsia="宋体" w:cs="宋体"/>
          <w:color w:val="auto"/>
          <w:kern w:val="0"/>
          <w:sz w:val="24"/>
          <w:szCs w:val="24"/>
          <w:highlight w:val="none"/>
        </w:rPr>
        <w:t>部门设立的采购评审专家库中随机抽取。</w:t>
      </w:r>
    </w:p>
    <w:p w14:paraId="558C82C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对技术复杂、专业性强的采购项目，通过随机方式难以确定合适评审专家的，经主管预算单位同意，采购人或采购代理机构可以自行选定相应专业领域的评审专家。</w:t>
      </w:r>
    </w:p>
    <w:p w14:paraId="728CD3B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8.1.2 评标委员会成员到位后，推荐一名评审专家担任评标组长，并由评标组长牵头组织该项目评标工作，采购人代表，不得担任评标组长。</w:t>
      </w:r>
    </w:p>
    <w:p w14:paraId="7BF79E0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8.1.3 评委会成员有下列情形之一的，应当回避：</w:t>
      </w:r>
    </w:p>
    <w:p w14:paraId="2EF16E8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（1）采购人或投标人主要负责人的近亲属；</w:t>
      </w:r>
    </w:p>
    <w:p w14:paraId="49DD41B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（2）项目主管部门或者行政监督部门的人员；</w:t>
      </w:r>
    </w:p>
    <w:p w14:paraId="76BD2B2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（3）与投标人有经济利益关系，可能影响对投标公正评审的；</w:t>
      </w:r>
    </w:p>
    <w:p w14:paraId="71237BE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）曾因在招标、评标以及其他与招标投标有关活动中从事违法行为而受过行政处罚或刑事处罚的。</w:t>
      </w:r>
    </w:p>
    <w:p w14:paraId="5275B05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eastAsia="宋体" w:cs="宋体"/>
          <w:color w:val="auto"/>
          <w:kern w:val="0"/>
          <w:sz w:val="24"/>
          <w:szCs w:val="24"/>
          <w:highlight w:val="none"/>
          <w:lang w:val="zh-CN"/>
        </w:rPr>
        <w:t>采购代理机构</w:t>
      </w:r>
      <w:r>
        <w:rPr>
          <w:rFonts w:hint="eastAsia" w:ascii="宋体" w:hAnsi="宋体" w:eastAsia="宋体" w:cs="宋体"/>
          <w:color w:val="auto"/>
          <w:kern w:val="0"/>
          <w:sz w:val="24"/>
          <w:szCs w:val="24"/>
          <w:highlight w:val="none"/>
        </w:rPr>
        <w:t>应当将变更、重新组建评标委员会的情况予以记录，并随采购文件一并存档。</w:t>
      </w:r>
    </w:p>
    <w:p w14:paraId="2D5F9C1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8.1.5 评委会成员名单在中标结果公告前，应当保密。</w:t>
      </w:r>
    </w:p>
    <w:p w14:paraId="08E5D412">
      <w:pPr>
        <w:pageBreakBefore w:val="0"/>
        <w:widowControl/>
        <w:kinsoku/>
        <w:wordWrap/>
        <w:overflowPunct/>
        <w:topLinePunct w:val="0"/>
        <w:autoSpaceDE w:val="0"/>
        <w:autoSpaceDN w:val="0"/>
        <w:bidi w:val="0"/>
        <w:spacing w:line="480" w:lineRule="exact"/>
        <w:ind w:left="0" w:leftChars="0" w:right="0" w:firstLine="482" w:firstLineChars="200"/>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8.1.6  评标委员会及其成员不得有下列行为：</w:t>
      </w:r>
    </w:p>
    <w:p w14:paraId="1022D2A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（1）确定参与评标至评标结束前私自接触投标人；</w:t>
      </w:r>
    </w:p>
    <w:p w14:paraId="0B2B6C1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（2）接受投标人提出的与投标文件不一致的澄清或者说明；</w:t>
      </w:r>
    </w:p>
    <w:p w14:paraId="51E2CD5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14:paraId="0243602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（4）对需要专业判断的主观评审因素协商评分；</w:t>
      </w:r>
    </w:p>
    <w:p w14:paraId="251B2FB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（5）在评标过程中擅离职守，影响评标程序正常进行的；</w:t>
      </w:r>
    </w:p>
    <w:p w14:paraId="60A1213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（6）记录、复制或者带走任何评标资料；</w:t>
      </w:r>
    </w:p>
    <w:p w14:paraId="209AE7F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（7）其他不遵守评标纪律的行为。</w:t>
      </w:r>
    </w:p>
    <w:p w14:paraId="788D0A1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评标委员会成员有前款第一至五项行为之一的，其评审意见无效，并不得获取评审劳务报酬和报销异地评审差旅费。</w:t>
      </w:r>
    </w:p>
    <w:p w14:paraId="0865A34A">
      <w:pPr>
        <w:pageBreakBefore w:val="0"/>
        <w:kinsoku/>
        <w:wordWrap/>
        <w:overflowPunct/>
        <w:topLinePunct w:val="0"/>
        <w:bidi w:val="0"/>
        <w:spacing w:line="480" w:lineRule="exact"/>
        <w:ind w:left="0" w:leftChars="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8.2 评标原则</w:t>
      </w:r>
    </w:p>
    <w:p w14:paraId="717AC74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8.2.1“客观、公正、审慎”为本次评标的基本原则，评标委员会按照这一原则的要求，公正、平等地对待各投标人。同时，在评审中恪守以下原则：</w:t>
      </w:r>
    </w:p>
    <w:p w14:paraId="6BAEA26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（1）统一性原则：评标委员会将按照统一的评标原则和评审方法，用统一标准进行评审。</w:t>
      </w:r>
    </w:p>
    <w:p w14:paraId="4D6CE14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（2）独立性原则：评标工作在评标委员会内部独立进行，不受外界任何因素的干扰和影响。评标委员会成员对其出具的意见承担个人责任。投标</w:t>
      </w:r>
      <w:r>
        <w:rPr>
          <w:rFonts w:hint="eastAsia" w:ascii="宋体" w:hAnsi="宋体" w:eastAsia="宋体" w:cs="宋体"/>
          <w:color w:val="auto"/>
          <w:kern w:val="0"/>
          <w:sz w:val="24"/>
          <w:szCs w:val="24"/>
          <w:highlight w:val="none"/>
        </w:rPr>
        <w:t>人试图影响或干预评审的任何行为，将导致其丧失投标的资格，并承担相应的法律责任。</w:t>
      </w:r>
    </w:p>
    <w:p w14:paraId="7FB4CA7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（3）客观性原则：评标委员会将严格按照招标文件要求，对投标人的投标文件进行认真评审；评标委员会对投标文件的评审仅依据投标文件本身，而不依据投标文件以外的任何因素。</w:t>
      </w:r>
    </w:p>
    <w:p w14:paraId="4BE5000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（4）保密性原则：采购代理机构应当采取必要的措施，保证评标在严格保密情况下进行。</w:t>
      </w:r>
    </w:p>
    <w:p w14:paraId="21DA62A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）综合性原则：评标委员会将综合分析、评审投标人的各项指标，而不以单项指标的优劣评定出中标人。</w:t>
      </w:r>
    </w:p>
    <w:p w14:paraId="07210D2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评标委员会有权对整个招标过程中出现的一切问题，根据《中华人民共和国政府采购法》及实施条例和《政府采购货物和服务招标投标管理办法》等相关规定进行处理。</w:t>
      </w:r>
    </w:p>
    <w:p w14:paraId="41975F12">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评标</w:t>
      </w:r>
    </w:p>
    <w:p w14:paraId="1EAA80A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8.3.1 评标委员会按照招标文件第三章“评标办法”规定的方法、评审因素、标准和程序对投标文件进行评审。第三章“评标办法”没有规定的方法、评审因素和标准，不作为评标依据。</w:t>
      </w:r>
    </w:p>
    <w:p w14:paraId="73DB172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8.3.2 评标委员会负责具体评标事务，并独立履行下列职责：</w:t>
      </w:r>
    </w:p>
    <w:p w14:paraId="1838740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（1）审查、评价投标文件是否符合招标文件的商务、技术、服务等实质性要求；</w:t>
      </w:r>
    </w:p>
    <w:p w14:paraId="607981B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（2）要求投标人对投标文件有关事项作出澄清或者说明；</w:t>
      </w:r>
    </w:p>
    <w:p w14:paraId="595D126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（3）对投标文件进行比较和评价；</w:t>
      </w:r>
    </w:p>
    <w:p w14:paraId="22C80AA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（4）确定中标候选人名单，以及根据采购人委托直接确定中标人；</w:t>
      </w:r>
    </w:p>
    <w:p w14:paraId="3568EA2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（5）向采购人、采购代理机构或者有关部门报告评标中发现的违法行为。</w:t>
      </w:r>
    </w:p>
    <w:p w14:paraId="639A1FD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8.3.3评标委员会成员应当履行下列义务：</w:t>
      </w:r>
    </w:p>
    <w:p w14:paraId="7556BE8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（1）遵纪守法，客观、公正、廉洁地履行职责；</w:t>
      </w:r>
    </w:p>
    <w:p w14:paraId="3A53DF4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（2）根据采购文件的规定独立进行评审，对个人的评审意见承担法律责任；</w:t>
      </w:r>
    </w:p>
    <w:p w14:paraId="20B2C91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（3）参与评标报告的起草；</w:t>
      </w:r>
    </w:p>
    <w:p w14:paraId="15A5388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（4）配合采购人、采购代理机构答复投标人提出的质疑；</w:t>
      </w:r>
    </w:p>
    <w:p w14:paraId="0265C47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（5）配合财政部门的投诉处理和监督检查工作。</w:t>
      </w:r>
    </w:p>
    <w:p w14:paraId="5A353F0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8.3.4 采购代理机构负责组织评标工作并履行下列职责：</w:t>
      </w:r>
    </w:p>
    <w:p w14:paraId="1F6FAA8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（1）核对评审专家身份和采购人代表授权函，对评审专家在采购活动中的职责履行情况予以记录，并及时将有关违法违规行为向财政部门报告；</w:t>
      </w:r>
    </w:p>
    <w:p w14:paraId="0D8367F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（2）宣布评标纪律和开启录音录像设备；</w:t>
      </w:r>
    </w:p>
    <w:p w14:paraId="24867B2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（3）公布投标人名单，告知评标专家应当回避的情形；</w:t>
      </w:r>
    </w:p>
    <w:p w14:paraId="27D77C8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（4）组织评标委员会推选评标组长，采购人代表不得担任组长；</w:t>
      </w:r>
    </w:p>
    <w:p w14:paraId="6EECB0D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w:t>
      </w:r>
    </w:p>
    <w:p w14:paraId="3F97B46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（6）根据评标委员会的要求介绍采购相关政策法规、招标文件；</w:t>
      </w:r>
    </w:p>
    <w:p w14:paraId="01AD8D34">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（7）维护评标秩序，监督评标委员会依照评标文件规定的评审程序、方法和标准进行独立评审，及时制止和纠正采购人代表、评审专家的倾向性言论或违法违规行为； </w:t>
      </w:r>
    </w:p>
    <w:p w14:paraId="43A43C4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（8）核对评标结果，有《政府采购货物和服务招标投标管理办法》第六十四条规定情形的，要求评标委员会复核或书面说明理由，评标委员会拒绝的，应予记录并向本级财政部门报告；</w:t>
      </w:r>
    </w:p>
    <w:p w14:paraId="74DB1C1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6A03D6B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083B41A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8.3.5 采购人可以在评标前介绍项目背景和采购需求，介绍内容不得含有歧视性、倾向性意见，不得超出招标文件所述范围。介绍应当提交书面介绍材料，并随采购文件一并存档。</w:t>
      </w:r>
    </w:p>
    <w:p w14:paraId="676D060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8.3.6评标过程严格保密</w:t>
      </w:r>
    </w:p>
    <w:p w14:paraId="256BD92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8.3.6.1 采购人、采购代理机构应当采取必要措施，保证评标在严格保密的情况下进行。除采购人代表、评标现场组织人员外，采购人的其他工作人员以及与评标工作无关的人员不得进入评标现场。</w:t>
      </w:r>
    </w:p>
    <w:p w14:paraId="6B69026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8.3.6.2 有关人员对评标情况以及在评标过程中获悉的国家秘密、商业秘密负有保密责任。开标后，直至授予中标人合同为止，凡属于对投标文件的审查、澄清、评价和比较的有关资料以及中标候选人的推荐情况，与评标有关的其他任何情况均严格保密。</w:t>
      </w:r>
    </w:p>
    <w:p w14:paraId="72B9F82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8.3.7 投标人对评标委员会的评标过程或合同授予决定施加影响的任何行为都可能导致其投标被拒绝。</w:t>
      </w:r>
      <w:bookmarkStart w:id="148" w:name="_Toc217446060"/>
    </w:p>
    <w:p w14:paraId="15BBD27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8.3.8 评标完成后，评标委员会应当向采购人提交书面评标报告，并由采购代理机构转送。</w:t>
      </w:r>
    </w:p>
    <w:p w14:paraId="24131E06">
      <w:pPr>
        <w:pageBreakBefore w:val="0"/>
        <w:kinsoku/>
        <w:wordWrap/>
        <w:overflowPunct/>
        <w:topLinePunct w:val="0"/>
        <w:bidi w:val="0"/>
        <w:spacing w:line="480" w:lineRule="exact"/>
        <w:ind w:left="0" w:leftChars="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9.定标</w:t>
      </w:r>
      <w:bookmarkEnd w:id="148"/>
      <w:bookmarkStart w:id="149" w:name="_Toc217446061"/>
    </w:p>
    <w:p w14:paraId="1601FE49">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定标原则</w:t>
      </w:r>
      <w:bookmarkEnd w:id="149"/>
    </w:p>
    <w:p w14:paraId="7F3FBCCB">
      <w:pPr>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采购人或其授权的评标委员会按照评标报告中推荐的中标候选人名单，按顺序确定中标人。</w:t>
      </w:r>
      <w:bookmarkStart w:id="150" w:name="_Toc217446062"/>
    </w:p>
    <w:p w14:paraId="457C74BE">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定标程序</w:t>
      </w:r>
      <w:bookmarkEnd w:id="150"/>
    </w:p>
    <w:p w14:paraId="5AC3B24A">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9.2.1评标委员会将评标情况写出书面报告，推荐3个中标候选人，并按照综合得分高低标明排列顺序。得分相同的，按投标报价由低到高顺序排列。</w:t>
      </w:r>
    </w:p>
    <w:p w14:paraId="74F6E85A">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9.2.2 采购代理机构在评标结束后2个工作日内将评标报告送采购人。</w:t>
      </w:r>
    </w:p>
    <w:p w14:paraId="3806559C">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9.2.3 采购人应当在收到评标报告后5个工作日内，按照评标报告中推荐的中标候选人顺序和有关规定确定中标人，第一名中标候选人并列的，由采购人根据</w:t>
      </w:r>
      <w:r>
        <w:rPr>
          <w:rFonts w:hint="eastAsia" w:ascii="宋体" w:hAnsi="宋体" w:eastAsia="宋体" w:cs="宋体"/>
          <w:color w:val="auto"/>
          <w:sz w:val="24"/>
          <w:szCs w:val="24"/>
          <w:highlight w:val="none"/>
          <w:u w:val="single"/>
        </w:rPr>
        <w:t>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eastAsia="宋体" w:cs="宋体"/>
          <w:color w:val="auto"/>
          <w:sz w:val="24"/>
          <w:szCs w:val="24"/>
          <w:highlight w:val="none"/>
        </w:rPr>
        <w:t>。同时，将中标结果复函至采购代理机构。</w:t>
      </w:r>
    </w:p>
    <w:p w14:paraId="184B45F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采购人在收到评标报告5个工作日内未按评标报告推荐的中标候选人顺序确定中标人，又不能说明合法理由的，视同按评标报告推荐的顺序确定排名第一的中标候选人为中标人。</w:t>
      </w:r>
    </w:p>
    <w:p w14:paraId="0D92C7F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9.2.4 采购代理机构应当在接到采购人“定标”复函之日起2个工作日内，根据采购人确定的中标人，在省级以上财政部门指定的媒体上发布中标公告，同时向中标人发出《中标通知书》。</w:t>
      </w:r>
    </w:p>
    <w:p w14:paraId="0818B4EE">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9.2.5 采购代理机构，应当</w:t>
      </w:r>
      <w:r>
        <w:rPr>
          <w:rFonts w:hint="eastAsia" w:ascii="宋体" w:hAnsi="宋体" w:eastAsia="宋体" w:cs="宋体"/>
          <w:color w:val="auto"/>
          <w:kern w:val="0"/>
          <w:sz w:val="24"/>
          <w:szCs w:val="24"/>
          <w:highlight w:val="none"/>
        </w:rPr>
        <w:t>对未通过资格审查或未通符合性审查的投标人，告知其未通过的原因；采用综合评分法评审的，还应当告知未中标人本身的评审得分与排序。</w:t>
      </w:r>
    </w:p>
    <w:p w14:paraId="230B953F">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bookmarkStart w:id="151" w:name="_Toc183582238"/>
      <w:bookmarkStart w:id="152" w:name="_Toc183682375"/>
      <w:bookmarkStart w:id="153" w:name="_Toc217446063"/>
      <w:r>
        <w:rPr>
          <w:rFonts w:hint="eastAsia" w:ascii="宋体" w:hAnsi="宋体" w:eastAsia="宋体" w:cs="宋体"/>
          <w:b/>
          <w:bCs/>
          <w:color w:val="auto"/>
          <w:sz w:val="24"/>
          <w:szCs w:val="24"/>
          <w:highlight w:val="none"/>
        </w:rPr>
        <w:t>9.3 中标通知</w:t>
      </w:r>
      <w:bookmarkEnd w:id="151"/>
      <w:bookmarkEnd w:id="152"/>
      <w:r>
        <w:rPr>
          <w:rFonts w:hint="eastAsia" w:ascii="宋体" w:hAnsi="宋体" w:eastAsia="宋体" w:cs="宋体"/>
          <w:b/>
          <w:bCs/>
          <w:color w:val="auto"/>
          <w:sz w:val="24"/>
          <w:szCs w:val="24"/>
          <w:highlight w:val="none"/>
        </w:rPr>
        <w:t>书</w:t>
      </w:r>
      <w:bookmarkEnd w:id="153"/>
    </w:p>
    <w:p w14:paraId="5EC3A09C">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9.3.1 中标通知书为签订采购合同的依据之一，是合同的有效组成部分。</w:t>
      </w:r>
    </w:p>
    <w:p w14:paraId="1CBDB6B9">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9.3.2 中标通知书对采购人和中标人均具有法律效力。中标通知书发出后，采购人不得违法改变中标结果，中标人无正当理由不得放弃中标。否则，应当承担相应的法律责任。</w:t>
      </w:r>
    </w:p>
    <w:p w14:paraId="61483113">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 中标人应当在接到采购代理机构通知之日起2个工作日内领取《中标通知书》。</w:t>
      </w:r>
    </w:p>
    <w:p w14:paraId="3172A12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9.3.4 在《中标通知书》发出后，发现中标人有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7C7836B5">
      <w:pPr>
        <w:pageBreakBefore w:val="0"/>
        <w:tabs>
          <w:tab w:val="left" w:pos="7665"/>
        </w:tabs>
        <w:kinsoku/>
        <w:wordWrap/>
        <w:overflowPunct/>
        <w:topLinePunct w:val="0"/>
        <w:bidi w:val="0"/>
        <w:spacing w:line="480" w:lineRule="exact"/>
        <w:ind w:left="0" w:leftChars="0" w:right="0"/>
        <w:jc w:val="center"/>
        <w:rPr>
          <w:rFonts w:hint="eastAsia" w:ascii="宋体" w:hAnsi="宋体" w:eastAsia="宋体" w:cs="宋体"/>
          <w:b/>
          <w:bCs/>
          <w:color w:val="auto"/>
          <w:sz w:val="28"/>
          <w:szCs w:val="28"/>
          <w:highlight w:val="none"/>
        </w:rPr>
      </w:pPr>
      <w:bookmarkStart w:id="154" w:name="_Toc217446064"/>
      <w:bookmarkStart w:id="155" w:name="_Toc183682377"/>
      <w:bookmarkStart w:id="156" w:name="_Toc183582240"/>
      <w:r>
        <w:rPr>
          <w:rFonts w:hint="eastAsia" w:ascii="宋体" w:hAnsi="宋体" w:eastAsia="宋体" w:cs="宋体"/>
          <w:b/>
          <w:bCs/>
          <w:color w:val="auto"/>
          <w:sz w:val="28"/>
          <w:szCs w:val="28"/>
          <w:highlight w:val="none"/>
        </w:rPr>
        <w:t>10.合同</w:t>
      </w:r>
      <w:bookmarkEnd w:id="154"/>
      <w:r>
        <w:rPr>
          <w:rFonts w:hint="eastAsia" w:ascii="宋体" w:hAnsi="宋体" w:eastAsia="宋体" w:cs="宋体"/>
          <w:b/>
          <w:bCs/>
          <w:color w:val="auto"/>
          <w:sz w:val="28"/>
          <w:szCs w:val="28"/>
          <w:highlight w:val="none"/>
        </w:rPr>
        <w:t>授予</w:t>
      </w:r>
      <w:bookmarkStart w:id="157" w:name="_Toc217446065"/>
    </w:p>
    <w:p w14:paraId="768C50A7">
      <w:pPr>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10.1 履约保证金</w:t>
      </w:r>
    </w:p>
    <w:p w14:paraId="6B8AF62E">
      <w:pPr>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本项目需要提交履约保证金的，适用本条。</w:t>
      </w:r>
    </w:p>
    <w:p w14:paraId="38BD4B8E">
      <w:pPr>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中标人在收到采购代理机构的中标通知书后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日内，应按照</w:t>
      </w:r>
      <w:r>
        <w:rPr>
          <w:rFonts w:hint="eastAsia" w:ascii="宋体" w:hAnsi="宋体" w:eastAsia="宋体" w:cs="宋体"/>
          <w:b/>
          <w:color w:val="auto"/>
          <w:sz w:val="24"/>
          <w:szCs w:val="24"/>
          <w:highlight w:val="none"/>
        </w:rPr>
        <w:t>投标人须知前附表</w:t>
      </w:r>
      <w:r>
        <w:rPr>
          <w:rFonts w:hint="eastAsia" w:ascii="宋体" w:hAnsi="宋体" w:eastAsia="宋体" w:cs="宋体"/>
          <w:color w:val="auto"/>
          <w:sz w:val="24"/>
          <w:szCs w:val="24"/>
          <w:highlight w:val="none"/>
        </w:rPr>
        <w:t>规定的形式、金额，向采购人提交履约担保。联合体中标的，履约保证金或履约担保由联合体各方或者联合体中牵头人的名义提交。</w:t>
      </w:r>
    </w:p>
    <w:p w14:paraId="77CE40F1">
      <w:pPr>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10.1.3 中标人</w:t>
      </w:r>
      <w:r>
        <w:rPr>
          <w:rFonts w:hint="eastAsia" w:ascii="宋体" w:hAnsi="宋体" w:eastAsia="宋体" w:cs="宋体"/>
          <w:color w:val="auto"/>
          <w:spacing w:val="4"/>
          <w:sz w:val="24"/>
          <w:szCs w:val="24"/>
          <w:highlight w:val="none"/>
        </w:rPr>
        <w:t>不能按照本章第10.1.2项规定</w:t>
      </w:r>
      <w:r>
        <w:rPr>
          <w:rFonts w:hint="eastAsia" w:ascii="宋体" w:hAnsi="宋体" w:eastAsia="宋体" w:cs="宋体"/>
          <w:color w:val="auto"/>
          <w:sz w:val="24"/>
          <w:szCs w:val="24"/>
          <w:highlight w:val="none"/>
        </w:rPr>
        <w:t>提交履约保证金或履约担保的</w:t>
      </w:r>
      <w:r>
        <w:rPr>
          <w:rFonts w:hint="eastAsia" w:ascii="宋体" w:hAnsi="宋体" w:eastAsia="宋体" w:cs="宋体"/>
          <w:color w:val="auto"/>
          <w:spacing w:val="4"/>
          <w:sz w:val="24"/>
          <w:szCs w:val="24"/>
          <w:highlight w:val="none"/>
        </w:rPr>
        <w:t>，视为放弃</w:t>
      </w:r>
      <w:r>
        <w:rPr>
          <w:rFonts w:hint="eastAsia" w:ascii="宋体" w:hAnsi="宋体" w:eastAsia="宋体" w:cs="宋体"/>
          <w:color w:val="auto"/>
          <w:sz w:val="24"/>
          <w:szCs w:val="24"/>
          <w:highlight w:val="none"/>
        </w:rPr>
        <w:t>中标资格</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其投标保证金不予退还，给采购人造成的损失超过投标保证金金额的，中标人应当对超过部分予以赔偿。</w:t>
      </w:r>
    </w:p>
    <w:p w14:paraId="6423BF9B">
      <w:pPr>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 签订合同</w:t>
      </w:r>
      <w:bookmarkEnd w:id="157"/>
    </w:p>
    <w:p w14:paraId="572F037B">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 中标人应在《中标通知书》发出之日起30日内与采购人签订采购合同。中标人无正当理由拒签合同，或者在签订合同时向采购人提出附件条件，采购人有权取消其中标资格，其投标保证金不予退还，给采购人造成的损失超过投标保证金数额的，中标人应当对超过部分予以赔偿。采购人可以与排在中标人之后第一位的候选人签订采购合同，或者重新开展采购活动。拒绝签订采购合同的中标人不得参加对该项目重新开展的采购活动。</w:t>
      </w:r>
    </w:p>
    <w:p w14:paraId="48484365">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发出中标通知书后，采购人不得向中标人提出任何不合理要求，作为签订合的条件，不得与中标人私下订立背离合同实质性内容的任何协议，所签订的合同不得对招标文件确定的事项和中标人投标文件做实质性修改。</w:t>
      </w:r>
    </w:p>
    <w:p w14:paraId="217FDD0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10.2.3中标人因不可抗力原因不能履行采购合同或放弃中标的，采购人可以与排在中标人之后第一位的中标候选人签订采购合同，以此类推。</w:t>
      </w:r>
      <w:bookmarkStart w:id="158" w:name="_Toc217446066"/>
    </w:p>
    <w:p w14:paraId="5EC7A7A6">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 联合体中标的，联合体各方应当与采购人签订采购合同，就中标项目向采购人承担连带责任。</w:t>
      </w:r>
    </w:p>
    <w:p w14:paraId="7BA6CB6F">
      <w:pPr>
        <w:pageBreakBefore w:val="0"/>
        <w:kinsoku/>
        <w:wordWrap/>
        <w:overflowPunct/>
        <w:topLinePunct w:val="0"/>
        <w:bidi w:val="0"/>
        <w:snapToGrid w:val="0"/>
        <w:spacing w:line="480" w:lineRule="exact"/>
        <w:ind w:left="0" w:leftChars="0" w:right="0"/>
        <w:rPr>
          <w:rFonts w:hint="eastAsia" w:ascii="宋体" w:hAnsi="宋体" w:eastAsia="宋体" w:cs="宋体"/>
          <w:b/>
          <w:bCs/>
          <w:color w:val="auto"/>
          <w:sz w:val="24"/>
          <w:szCs w:val="24"/>
          <w:highlight w:val="none"/>
        </w:rPr>
      </w:pPr>
      <w:bookmarkStart w:id="159" w:name="_Toc322606648"/>
      <w:r>
        <w:rPr>
          <w:rFonts w:hint="eastAsia" w:ascii="宋体" w:hAnsi="宋体" w:eastAsia="宋体" w:cs="宋体"/>
          <w:b/>
          <w:bCs/>
          <w:color w:val="auto"/>
          <w:sz w:val="24"/>
          <w:szCs w:val="24"/>
          <w:highlight w:val="none"/>
        </w:rPr>
        <w:t>10.3 合同履行</w:t>
      </w:r>
      <w:bookmarkEnd w:id="159"/>
    </w:p>
    <w:p w14:paraId="0ED860DC">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 采购合同的履行、违约责任和解决争议的方法等适用《</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w:t>
      </w:r>
    </w:p>
    <w:p w14:paraId="310C8198">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10.3.2 </w:t>
      </w:r>
      <w:r>
        <w:rPr>
          <w:rFonts w:hint="eastAsia" w:ascii="宋体" w:hAnsi="宋体" w:eastAsia="宋体" w:cs="宋体"/>
          <w:color w:val="auto"/>
          <w:sz w:val="24"/>
          <w:szCs w:val="24"/>
          <w:highlight w:val="none"/>
          <w:lang w:eastAsia="zh-TW"/>
        </w:rPr>
        <w:t>采购合同订立后，合同各方不得擅自变更</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TW"/>
        </w:rPr>
        <w:t>中止或者终止合同。采购合同需要变更的，采购人应将有关合同变更内容，以书面形式</w:t>
      </w:r>
      <w:r>
        <w:rPr>
          <w:rFonts w:hint="eastAsia" w:ascii="宋体" w:hAnsi="宋体" w:eastAsia="宋体" w:cs="宋体"/>
          <w:color w:val="auto"/>
          <w:sz w:val="24"/>
          <w:szCs w:val="24"/>
          <w:highlight w:val="none"/>
          <w:lang w:val="zh-CN" w:eastAsia="zh-TW"/>
        </w:rPr>
        <w:t>或政采云平台</w:t>
      </w:r>
      <w:r>
        <w:rPr>
          <w:rFonts w:hint="eastAsia" w:ascii="宋体" w:hAnsi="宋体" w:eastAsia="宋体" w:cs="宋体"/>
          <w:color w:val="auto"/>
          <w:sz w:val="24"/>
          <w:szCs w:val="24"/>
          <w:highlight w:val="none"/>
          <w:lang w:eastAsia="zh-TW"/>
        </w:rPr>
        <w:t>报采购监督管理</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lang w:eastAsia="zh-TW"/>
        </w:rPr>
        <w:t>备案；因特殊情况需要中止或终止合同的，采购人应将中止或终止合同的理由以及相应措施，以书面形式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lang w:eastAsia="zh-TW"/>
        </w:rPr>
        <w:t>报监督管理</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lang w:eastAsia="zh-TW"/>
        </w:rPr>
        <w:t>备案。</w:t>
      </w:r>
    </w:p>
    <w:p w14:paraId="0BC6E6D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10.3.3 </w:t>
      </w:r>
      <w:r>
        <w:rPr>
          <w:rFonts w:hint="eastAsia" w:ascii="宋体" w:hAnsi="宋体" w:eastAsia="宋体" w:cs="宋体"/>
          <w:color w:val="auto"/>
          <w:sz w:val="24"/>
          <w:szCs w:val="24"/>
          <w:highlight w:val="none"/>
          <w:lang w:eastAsia="zh-TW"/>
        </w:rPr>
        <w:t>采购合同履行中，采购人需追加与合同标的相同的货物的，在不改变合同其他条款的前提下，可以与</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TW"/>
        </w:rPr>
        <w:t>签订补充合同，但所补充合同的采购金额不得超过原</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TW"/>
        </w:rPr>
        <w:t>采购金额的百分之十。签订补充合同的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eastAsia="zh-TW"/>
        </w:rPr>
        <w:t>按规定备案。</w:t>
      </w:r>
    </w:p>
    <w:bookmarkEnd w:id="155"/>
    <w:bookmarkEnd w:id="156"/>
    <w:bookmarkEnd w:id="158"/>
    <w:p w14:paraId="425494E1">
      <w:pPr>
        <w:pageBreakBefore w:val="0"/>
        <w:kinsoku/>
        <w:wordWrap/>
        <w:overflowPunct/>
        <w:topLinePunct w:val="0"/>
        <w:bidi w:val="0"/>
        <w:spacing w:line="480" w:lineRule="exact"/>
        <w:ind w:left="0" w:leftChars="0" w:right="0"/>
        <w:jc w:val="center"/>
        <w:rPr>
          <w:rFonts w:hint="eastAsia" w:ascii="宋体" w:hAnsi="宋体" w:eastAsia="宋体" w:cs="宋体"/>
          <w:b/>
          <w:color w:val="auto"/>
          <w:sz w:val="28"/>
          <w:szCs w:val="28"/>
          <w:highlight w:val="none"/>
        </w:rPr>
      </w:pPr>
      <w:bookmarkStart w:id="160" w:name="_Toc217446081"/>
      <w:r>
        <w:rPr>
          <w:rFonts w:hint="eastAsia" w:ascii="宋体" w:hAnsi="宋体" w:eastAsia="宋体" w:cs="宋体"/>
          <w:b/>
          <w:color w:val="auto"/>
          <w:sz w:val="28"/>
          <w:szCs w:val="28"/>
          <w:highlight w:val="none"/>
        </w:rPr>
        <w:t>11.废标或变更采购方式</w:t>
      </w:r>
      <w:bookmarkStart w:id="161" w:name="_Toc217446072"/>
    </w:p>
    <w:p w14:paraId="41CD26CD">
      <w:pPr>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11.1废标的情形</w:t>
      </w:r>
      <w:bookmarkEnd w:id="161"/>
    </w:p>
    <w:p w14:paraId="29F185D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招标采购中，出现下列情形之一的，应予以废标：</w:t>
      </w:r>
    </w:p>
    <w:p w14:paraId="0D5EC32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（1）符合专业条件的投标人或者对招标文件作实质响应的投标人不足3家的；</w:t>
      </w:r>
    </w:p>
    <w:p w14:paraId="4C71FE83">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527E8A5">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（3）投标人的报价均超过了采购预算或最高限价，采购人不能支付的；</w:t>
      </w:r>
    </w:p>
    <w:p w14:paraId="17EDD808">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6D94201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废标后，采购代理机构应在财政部门指定采购网上公告，并公告废标的详细理由。</w:t>
      </w:r>
    </w:p>
    <w:p w14:paraId="3C9D8DD0">
      <w:pPr>
        <w:pStyle w:val="4"/>
        <w:pageBreakBefore w:val="0"/>
        <w:kinsoku/>
        <w:wordWrap/>
        <w:overflowPunct/>
        <w:topLinePunct w:val="0"/>
        <w:bidi w:val="0"/>
        <w:spacing w:line="480" w:lineRule="exact"/>
        <w:ind w:left="0" w:leftChars="0" w:right="0"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 变更采购方式</w:t>
      </w:r>
    </w:p>
    <w:p w14:paraId="7B8A55E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存在下列情形之一的，除采购任务取消情形外，采购人经</w:t>
      </w:r>
      <w:r>
        <w:rPr>
          <w:rFonts w:hint="eastAsia" w:ascii="宋体" w:hAnsi="宋体" w:eastAsia="宋体" w:cs="宋体"/>
          <w:color w:val="auto"/>
          <w:sz w:val="24"/>
          <w:szCs w:val="24"/>
          <w:highlight w:val="none"/>
          <w:lang w:val="en-US" w:eastAsia="zh-CN"/>
        </w:rPr>
        <w:t>主管</w:t>
      </w:r>
      <w:r>
        <w:rPr>
          <w:rFonts w:hint="eastAsia" w:ascii="宋体" w:hAnsi="宋体" w:eastAsia="宋体" w:cs="宋体"/>
          <w:color w:val="auto"/>
          <w:sz w:val="24"/>
          <w:szCs w:val="24"/>
          <w:highlight w:val="none"/>
        </w:rPr>
        <w:t>部门同意后，可以</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按《政府采购货物和服务招标投标管理办法》（财政部87号令）第四十三条规定的方式处理：</w:t>
      </w:r>
    </w:p>
    <w:p w14:paraId="6444215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（1）投标截止后参加投标的人不足3家的；</w:t>
      </w:r>
    </w:p>
    <w:p w14:paraId="1EF9C20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（2）通过资格审查的投标人不足3家的；</w:t>
      </w:r>
    </w:p>
    <w:p w14:paraId="43B88E74">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（3）通过符合性审查的投标人不足3家的。</w:t>
      </w:r>
    </w:p>
    <w:p w14:paraId="5565667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通过符合性审查的投标人只有2家时，采购人经</w:t>
      </w:r>
      <w:r>
        <w:rPr>
          <w:rFonts w:hint="eastAsia" w:ascii="宋体" w:hAnsi="宋体" w:eastAsia="宋体" w:cs="宋体"/>
          <w:color w:val="auto"/>
          <w:sz w:val="24"/>
          <w:szCs w:val="24"/>
          <w:highlight w:val="none"/>
          <w:lang w:val="en-US" w:eastAsia="zh-CN"/>
        </w:rPr>
        <w:t>主管</w:t>
      </w:r>
      <w:r>
        <w:rPr>
          <w:rFonts w:hint="eastAsia" w:ascii="宋体" w:hAnsi="宋体" w:eastAsia="宋体" w:cs="宋体"/>
          <w:color w:val="auto"/>
          <w:sz w:val="24"/>
          <w:szCs w:val="24"/>
          <w:highlight w:val="none"/>
        </w:rPr>
        <w:t>门同意后，可以</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按《政府采购非招标采购方式管理办法》（财政部第74号令）的规定与该2家投标人进行竞争性谈判采购。</w:t>
      </w:r>
    </w:p>
    <w:p w14:paraId="52BCF89D">
      <w:pPr>
        <w:pageBreakBefore w:val="0"/>
        <w:kinsoku/>
        <w:wordWrap/>
        <w:overflowPunct/>
        <w:topLinePunct w:val="0"/>
        <w:bidi w:val="0"/>
        <w:spacing w:line="480" w:lineRule="exact"/>
        <w:ind w:left="0" w:leftChars="0" w:righ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12.招标代理服务费</w:t>
      </w:r>
    </w:p>
    <w:p w14:paraId="1E6C6C49">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中标人在领取《中标通知书》之前，向采购代理机构交纳招标代理服务费。</w:t>
      </w:r>
    </w:p>
    <w:p w14:paraId="2E9C525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代理报酬的计算方法</w:t>
      </w:r>
      <w:r>
        <w:rPr>
          <w:rFonts w:hint="eastAsia" w:ascii="宋体" w:hAnsi="宋体" w:eastAsia="宋体" w:cs="宋体"/>
          <w:color w:val="auto"/>
          <w:sz w:val="24"/>
          <w:szCs w:val="24"/>
          <w:highlight w:val="none"/>
          <w:lang w:eastAsia="zh-CN"/>
        </w:rPr>
        <w:t>：参照发改价格【2015】299号文收取，向新疆长润泽建设工程管理有限公司交纳招标服务费。</w:t>
      </w:r>
      <w:r>
        <w:rPr>
          <w:rFonts w:hint="eastAsia" w:ascii="宋体" w:hAnsi="宋体" w:eastAsia="宋体" w:cs="宋体"/>
          <w:color w:val="auto"/>
          <w:sz w:val="24"/>
          <w:szCs w:val="24"/>
          <w:highlight w:val="none"/>
        </w:rPr>
        <w:t>代理服务收费具体标准如下：</w:t>
      </w:r>
    </w:p>
    <w:tbl>
      <w:tblPr>
        <w:tblStyle w:val="22"/>
        <w:tblW w:w="4743" w:type="pct"/>
        <w:jc w:val="center"/>
        <w:tblCellSpacing w:w="7" w:type="dxa"/>
        <w:shd w:val="clear" w:color="auto" w:fill="89B0D8"/>
        <w:tblLayout w:type="fixed"/>
        <w:tblCellMar>
          <w:top w:w="0" w:type="dxa"/>
          <w:left w:w="0" w:type="dxa"/>
          <w:bottom w:w="0" w:type="dxa"/>
          <w:right w:w="0" w:type="dxa"/>
        </w:tblCellMar>
      </w:tblPr>
      <w:tblGrid>
        <w:gridCol w:w="2377"/>
        <w:gridCol w:w="1884"/>
        <w:gridCol w:w="1884"/>
        <w:gridCol w:w="1898"/>
      </w:tblGrid>
      <w:tr w14:paraId="1A18078B">
        <w:tblPrEx>
          <w:shd w:val="clear" w:color="auto" w:fill="89B0D8"/>
          <w:tblCellMar>
            <w:top w:w="0" w:type="dxa"/>
            <w:left w:w="0" w:type="dxa"/>
            <w:bottom w:w="0" w:type="dxa"/>
            <w:right w:w="0" w:type="dxa"/>
          </w:tblCellMar>
        </w:tblPrEx>
        <w:trPr>
          <w:trHeight w:val="148" w:hRule="atLeast"/>
          <w:tblCellSpacing w:w="7" w:type="dxa"/>
          <w:jc w:val="center"/>
        </w:trPr>
        <w:tc>
          <w:tcPr>
            <w:tcW w:w="1461" w:type="pct"/>
            <w:vMerge w:val="restart"/>
            <w:shd w:val="clear" w:color="auto" w:fill="FFFFFF"/>
            <w:noWrap w:val="0"/>
            <w:vAlign w:val="center"/>
          </w:tcPr>
          <w:p w14:paraId="1345078F">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中标金额（万元）</w:t>
            </w:r>
          </w:p>
        </w:tc>
        <w:tc>
          <w:tcPr>
            <w:tcW w:w="3506" w:type="pct"/>
            <w:gridSpan w:val="3"/>
            <w:shd w:val="clear" w:color="auto" w:fill="FFFFFF"/>
            <w:noWrap w:val="0"/>
            <w:vAlign w:val="center"/>
          </w:tcPr>
          <w:p w14:paraId="01F7AE54">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 务 类 型</w:t>
            </w:r>
          </w:p>
        </w:tc>
      </w:tr>
      <w:tr w14:paraId="2483F60D">
        <w:tblPrEx>
          <w:shd w:val="clear" w:color="auto" w:fill="89B0D8"/>
          <w:tblCellMar>
            <w:top w:w="0" w:type="dxa"/>
            <w:left w:w="0" w:type="dxa"/>
            <w:bottom w:w="0" w:type="dxa"/>
            <w:right w:w="0" w:type="dxa"/>
          </w:tblCellMar>
        </w:tblPrEx>
        <w:trPr>
          <w:trHeight w:val="286" w:hRule="atLeast"/>
          <w:tblCellSpacing w:w="7" w:type="dxa"/>
          <w:jc w:val="center"/>
        </w:trPr>
        <w:tc>
          <w:tcPr>
            <w:tcW w:w="1461" w:type="pct"/>
            <w:vMerge w:val="continue"/>
            <w:shd w:val="clear" w:color="auto" w:fill="FFFFFF"/>
            <w:noWrap w:val="0"/>
            <w:vAlign w:val="center"/>
          </w:tcPr>
          <w:p w14:paraId="30B8B42A">
            <w:pPr>
              <w:pageBreakBefore w:val="0"/>
              <w:widowControl/>
              <w:kinsoku/>
              <w:wordWrap/>
              <w:overflowPunct/>
              <w:topLinePunct w:val="0"/>
              <w:bidi w:val="0"/>
              <w:spacing w:line="480" w:lineRule="exact"/>
              <w:ind w:left="0" w:leftChars="0" w:right="0"/>
              <w:jc w:val="left"/>
              <w:rPr>
                <w:rFonts w:hint="eastAsia" w:ascii="宋体" w:hAnsi="宋体" w:eastAsia="宋体" w:cs="宋体"/>
                <w:color w:val="auto"/>
                <w:kern w:val="0"/>
                <w:sz w:val="24"/>
                <w:szCs w:val="24"/>
                <w:highlight w:val="none"/>
              </w:rPr>
            </w:pPr>
          </w:p>
        </w:tc>
        <w:tc>
          <w:tcPr>
            <w:tcW w:w="1160" w:type="pct"/>
            <w:shd w:val="clear" w:color="auto" w:fill="FFFFFF"/>
            <w:noWrap w:val="0"/>
            <w:vAlign w:val="center"/>
          </w:tcPr>
          <w:p w14:paraId="49B3DDBA">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货物招标</w:t>
            </w:r>
          </w:p>
        </w:tc>
        <w:tc>
          <w:tcPr>
            <w:tcW w:w="1160" w:type="pct"/>
            <w:shd w:val="clear" w:color="auto" w:fill="FFFFFF"/>
            <w:noWrap w:val="0"/>
            <w:vAlign w:val="center"/>
          </w:tcPr>
          <w:p w14:paraId="640038E3">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服务招标</w:t>
            </w:r>
          </w:p>
        </w:tc>
        <w:tc>
          <w:tcPr>
            <w:tcW w:w="1163" w:type="pct"/>
            <w:shd w:val="clear" w:color="auto" w:fill="FFFFFF"/>
            <w:noWrap w:val="0"/>
            <w:vAlign w:val="center"/>
          </w:tcPr>
          <w:p w14:paraId="40845534">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工程招标</w:t>
            </w:r>
          </w:p>
        </w:tc>
      </w:tr>
      <w:tr w14:paraId="0897DC3C">
        <w:tblPrEx>
          <w:shd w:val="clear" w:color="auto" w:fill="89B0D8"/>
          <w:tblCellMar>
            <w:top w:w="0" w:type="dxa"/>
            <w:left w:w="0" w:type="dxa"/>
            <w:bottom w:w="0" w:type="dxa"/>
            <w:right w:w="0" w:type="dxa"/>
          </w:tblCellMar>
        </w:tblPrEx>
        <w:trPr>
          <w:trHeight w:val="145" w:hRule="atLeast"/>
          <w:tblCellSpacing w:w="7" w:type="dxa"/>
          <w:jc w:val="center"/>
        </w:trPr>
        <w:tc>
          <w:tcPr>
            <w:tcW w:w="1461" w:type="pct"/>
            <w:shd w:val="clear" w:color="auto" w:fill="FFFFFF"/>
            <w:noWrap w:val="0"/>
            <w:vAlign w:val="center"/>
          </w:tcPr>
          <w:p w14:paraId="1FD95672">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100以下</w:t>
            </w:r>
          </w:p>
        </w:tc>
        <w:tc>
          <w:tcPr>
            <w:tcW w:w="1160" w:type="pct"/>
            <w:shd w:val="clear" w:color="auto" w:fill="FFFFFF"/>
            <w:noWrap w:val="0"/>
            <w:vAlign w:val="center"/>
          </w:tcPr>
          <w:p w14:paraId="702B4BB6">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0" w:type="pct"/>
            <w:shd w:val="clear" w:color="auto" w:fill="FFFFFF"/>
            <w:noWrap w:val="0"/>
            <w:vAlign w:val="center"/>
          </w:tcPr>
          <w:p w14:paraId="6488BC3B">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3" w:type="pct"/>
            <w:shd w:val="clear" w:color="auto" w:fill="FFFFFF"/>
            <w:noWrap w:val="0"/>
            <w:vAlign w:val="center"/>
          </w:tcPr>
          <w:p w14:paraId="3836641A">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14:paraId="34753E37">
        <w:tblPrEx>
          <w:tblCellMar>
            <w:top w:w="0" w:type="dxa"/>
            <w:left w:w="0" w:type="dxa"/>
            <w:bottom w:w="0" w:type="dxa"/>
            <w:right w:w="0" w:type="dxa"/>
          </w:tblCellMar>
        </w:tblPrEx>
        <w:trPr>
          <w:trHeight w:val="145" w:hRule="atLeast"/>
          <w:tblCellSpacing w:w="7" w:type="dxa"/>
          <w:jc w:val="center"/>
        </w:trPr>
        <w:tc>
          <w:tcPr>
            <w:tcW w:w="1461" w:type="pct"/>
            <w:shd w:val="clear" w:color="auto" w:fill="FFFFFF"/>
            <w:noWrap w:val="0"/>
            <w:vAlign w:val="center"/>
          </w:tcPr>
          <w:p w14:paraId="386D7D0E">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100-500</w:t>
            </w:r>
          </w:p>
        </w:tc>
        <w:tc>
          <w:tcPr>
            <w:tcW w:w="1160" w:type="pct"/>
            <w:shd w:val="clear" w:color="auto" w:fill="FFFFFF"/>
            <w:noWrap w:val="0"/>
            <w:vAlign w:val="center"/>
          </w:tcPr>
          <w:p w14:paraId="1CFF1678">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0" w:type="pct"/>
            <w:shd w:val="clear" w:color="auto" w:fill="FFFFFF"/>
            <w:noWrap w:val="0"/>
            <w:vAlign w:val="center"/>
          </w:tcPr>
          <w:p w14:paraId="368AE2F9">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w:t>
            </w:r>
          </w:p>
        </w:tc>
        <w:tc>
          <w:tcPr>
            <w:tcW w:w="1163" w:type="pct"/>
            <w:shd w:val="clear" w:color="auto" w:fill="FFFFFF"/>
            <w:noWrap w:val="0"/>
            <w:vAlign w:val="center"/>
          </w:tcPr>
          <w:p w14:paraId="1CA290B9">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w:t>
            </w:r>
          </w:p>
        </w:tc>
      </w:tr>
      <w:tr w14:paraId="720E93DD">
        <w:tblPrEx>
          <w:tblCellMar>
            <w:top w:w="0" w:type="dxa"/>
            <w:left w:w="0" w:type="dxa"/>
            <w:bottom w:w="0" w:type="dxa"/>
            <w:right w:w="0" w:type="dxa"/>
          </w:tblCellMar>
        </w:tblPrEx>
        <w:trPr>
          <w:trHeight w:val="145" w:hRule="atLeast"/>
          <w:tblCellSpacing w:w="7" w:type="dxa"/>
          <w:jc w:val="center"/>
        </w:trPr>
        <w:tc>
          <w:tcPr>
            <w:tcW w:w="1461" w:type="pct"/>
            <w:shd w:val="clear" w:color="auto" w:fill="FFFFFF"/>
            <w:noWrap w:val="0"/>
            <w:vAlign w:val="center"/>
          </w:tcPr>
          <w:p w14:paraId="107DF49E">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500-1000</w:t>
            </w:r>
          </w:p>
        </w:tc>
        <w:tc>
          <w:tcPr>
            <w:tcW w:w="1160" w:type="pct"/>
            <w:shd w:val="clear" w:color="auto" w:fill="FFFFFF"/>
            <w:noWrap w:val="0"/>
            <w:vAlign w:val="center"/>
          </w:tcPr>
          <w:p w14:paraId="7B676F78">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w:t>
            </w:r>
          </w:p>
        </w:tc>
        <w:tc>
          <w:tcPr>
            <w:tcW w:w="1160" w:type="pct"/>
            <w:shd w:val="clear" w:color="auto" w:fill="FFFFFF"/>
            <w:noWrap w:val="0"/>
            <w:vAlign w:val="center"/>
          </w:tcPr>
          <w:p w14:paraId="1712F08F">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0.45%</w:t>
            </w:r>
          </w:p>
        </w:tc>
        <w:tc>
          <w:tcPr>
            <w:tcW w:w="1163" w:type="pct"/>
            <w:shd w:val="clear" w:color="auto" w:fill="FFFFFF"/>
            <w:noWrap w:val="0"/>
            <w:vAlign w:val="center"/>
          </w:tcPr>
          <w:p w14:paraId="0B73374C">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0.55%</w:t>
            </w:r>
          </w:p>
        </w:tc>
      </w:tr>
      <w:tr w14:paraId="5C2BB80B">
        <w:tblPrEx>
          <w:shd w:val="clear" w:color="auto" w:fill="89B0D8"/>
          <w:tblCellMar>
            <w:top w:w="0" w:type="dxa"/>
            <w:left w:w="0" w:type="dxa"/>
            <w:bottom w:w="0" w:type="dxa"/>
            <w:right w:w="0" w:type="dxa"/>
          </w:tblCellMar>
        </w:tblPrEx>
        <w:trPr>
          <w:trHeight w:val="286" w:hRule="atLeast"/>
          <w:tblCellSpacing w:w="7" w:type="dxa"/>
          <w:jc w:val="center"/>
        </w:trPr>
        <w:tc>
          <w:tcPr>
            <w:tcW w:w="1461" w:type="pct"/>
            <w:shd w:val="clear" w:color="auto" w:fill="FFFFFF"/>
            <w:noWrap w:val="0"/>
            <w:vAlign w:val="center"/>
          </w:tcPr>
          <w:p w14:paraId="00F9DE6C">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1000-5000</w:t>
            </w:r>
          </w:p>
        </w:tc>
        <w:tc>
          <w:tcPr>
            <w:tcW w:w="1160" w:type="pct"/>
            <w:shd w:val="clear" w:color="auto" w:fill="FFFFFF"/>
            <w:noWrap w:val="0"/>
            <w:vAlign w:val="center"/>
          </w:tcPr>
          <w:p w14:paraId="348914AC">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w:t>
            </w:r>
          </w:p>
        </w:tc>
        <w:tc>
          <w:tcPr>
            <w:tcW w:w="1160" w:type="pct"/>
            <w:shd w:val="clear" w:color="auto" w:fill="FFFFFF"/>
            <w:noWrap w:val="0"/>
            <w:vAlign w:val="center"/>
          </w:tcPr>
          <w:p w14:paraId="76EC5845">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0.25%</w:t>
            </w:r>
          </w:p>
        </w:tc>
        <w:tc>
          <w:tcPr>
            <w:tcW w:w="1163" w:type="pct"/>
            <w:shd w:val="clear" w:color="auto" w:fill="FFFFFF"/>
            <w:noWrap w:val="0"/>
            <w:vAlign w:val="center"/>
          </w:tcPr>
          <w:p w14:paraId="275A125A">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0.35%</w:t>
            </w:r>
          </w:p>
        </w:tc>
      </w:tr>
      <w:tr w14:paraId="396801A5">
        <w:tblPrEx>
          <w:shd w:val="clear" w:color="auto" w:fill="89B0D8"/>
          <w:tblCellMar>
            <w:top w:w="0" w:type="dxa"/>
            <w:left w:w="0" w:type="dxa"/>
            <w:bottom w:w="0" w:type="dxa"/>
            <w:right w:w="0" w:type="dxa"/>
          </w:tblCellMar>
        </w:tblPrEx>
        <w:trPr>
          <w:trHeight w:val="286" w:hRule="atLeast"/>
          <w:tblCellSpacing w:w="7" w:type="dxa"/>
          <w:jc w:val="center"/>
        </w:trPr>
        <w:tc>
          <w:tcPr>
            <w:tcW w:w="1461" w:type="pct"/>
            <w:shd w:val="clear" w:color="auto" w:fill="FFFFFF"/>
            <w:noWrap w:val="0"/>
            <w:vAlign w:val="center"/>
          </w:tcPr>
          <w:p w14:paraId="485CAE95">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5000-10000</w:t>
            </w:r>
          </w:p>
        </w:tc>
        <w:tc>
          <w:tcPr>
            <w:tcW w:w="1160" w:type="pct"/>
            <w:shd w:val="clear" w:color="auto" w:fill="FFFFFF"/>
            <w:noWrap w:val="0"/>
            <w:vAlign w:val="center"/>
          </w:tcPr>
          <w:p w14:paraId="508B73DA">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0.25%</w:t>
            </w:r>
          </w:p>
        </w:tc>
        <w:tc>
          <w:tcPr>
            <w:tcW w:w="1160" w:type="pct"/>
            <w:shd w:val="clear" w:color="auto" w:fill="FFFFFF"/>
            <w:noWrap w:val="0"/>
            <w:vAlign w:val="center"/>
          </w:tcPr>
          <w:p w14:paraId="78EC55DD">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0.1%</w:t>
            </w:r>
          </w:p>
        </w:tc>
        <w:tc>
          <w:tcPr>
            <w:tcW w:w="1163" w:type="pct"/>
            <w:shd w:val="clear" w:color="auto" w:fill="FFFFFF"/>
            <w:noWrap w:val="0"/>
            <w:vAlign w:val="center"/>
          </w:tcPr>
          <w:p w14:paraId="6173EEB9">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w:t>
            </w:r>
          </w:p>
        </w:tc>
      </w:tr>
      <w:tr w14:paraId="4FDF4641">
        <w:tblPrEx>
          <w:tblCellMar>
            <w:top w:w="0" w:type="dxa"/>
            <w:left w:w="0" w:type="dxa"/>
            <w:bottom w:w="0" w:type="dxa"/>
            <w:right w:w="0" w:type="dxa"/>
          </w:tblCellMar>
        </w:tblPrEx>
        <w:trPr>
          <w:trHeight w:val="145" w:hRule="atLeast"/>
          <w:tblCellSpacing w:w="7" w:type="dxa"/>
          <w:jc w:val="center"/>
        </w:trPr>
        <w:tc>
          <w:tcPr>
            <w:tcW w:w="1461" w:type="pct"/>
            <w:shd w:val="clear" w:color="auto" w:fill="FFFFFF"/>
            <w:noWrap w:val="0"/>
            <w:vAlign w:val="center"/>
          </w:tcPr>
          <w:p w14:paraId="37ACCCC7">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10000-100000</w:t>
            </w:r>
          </w:p>
        </w:tc>
        <w:tc>
          <w:tcPr>
            <w:tcW w:w="1160" w:type="pct"/>
            <w:shd w:val="clear" w:color="auto" w:fill="FFFFFF"/>
            <w:noWrap w:val="0"/>
            <w:vAlign w:val="center"/>
          </w:tcPr>
          <w:p w14:paraId="53561F15">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0.05%</w:t>
            </w:r>
          </w:p>
        </w:tc>
        <w:tc>
          <w:tcPr>
            <w:tcW w:w="1160" w:type="pct"/>
            <w:shd w:val="clear" w:color="auto" w:fill="FFFFFF"/>
            <w:noWrap w:val="0"/>
            <w:vAlign w:val="center"/>
          </w:tcPr>
          <w:p w14:paraId="1DCA2160">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0.05%</w:t>
            </w:r>
          </w:p>
        </w:tc>
        <w:tc>
          <w:tcPr>
            <w:tcW w:w="1163" w:type="pct"/>
            <w:shd w:val="clear" w:color="auto" w:fill="FFFFFF"/>
            <w:noWrap w:val="0"/>
            <w:vAlign w:val="center"/>
          </w:tcPr>
          <w:p w14:paraId="06D13719">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0.05%</w:t>
            </w:r>
          </w:p>
        </w:tc>
      </w:tr>
      <w:tr w14:paraId="48D3B54B">
        <w:tblPrEx>
          <w:shd w:val="clear" w:color="auto" w:fill="89B0D8"/>
          <w:tblCellMar>
            <w:top w:w="0" w:type="dxa"/>
            <w:left w:w="0" w:type="dxa"/>
            <w:bottom w:w="0" w:type="dxa"/>
            <w:right w:w="0" w:type="dxa"/>
          </w:tblCellMar>
        </w:tblPrEx>
        <w:trPr>
          <w:trHeight w:val="288" w:hRule="atLeast"/>
          <w:tblCellSpacing w:w="7" w:type="dxa"/>
          <w:jc w:val="center"/>
        </w:trPr>
        <w:tc>
          <w:tcPr>
            <w:tcW w:w="1461" w:type="pct"/>
            <w:shd w:val="clear" w:color="auto" w:fill="FFFFFF"/>
            <w:noWrap w:val="0"/>
            <w:vAlign w:val="center"/>
          </w:tcPr>
          <w:p w14:paraId="364D3A60">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100000以上</w:t>
            </w:r>
          </w:p>
        </w:tc>
        <w:tc>
          <w:tcPr>
            <w:tcW w:w="1160" w:type="pct"/>
            <w:shd w:val="clear" w:color="auto" w:fill="FFFFFF"/>
            <w:noWrap w:val="0"/>
            <w:vAlign w:val="center"/>
          </w:tcPr>
          <w:p w14:paraId="61D00794">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0.01%</w:t>
            </w:r>
          </w:p>
        </w:tc>
        <w:tc>
          <w:tcPr>
            <w:tcW w:w="1160" w:type="pct"/>
            <w:shd w:val="clear" w:color="auto" w:fill="FFFFFF"/>
            <w:noWrap w:val="0"/>
            <w:vAlign w:val="center"/>
          </w:tcPr>
          <w:p w14:paraId="2D449E3C">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0.01%</w:t>
            </w:r>
          </w:p>
        </w:tc>
        <w:tc>
          <w:tcPr>
            <w:tcW w:w="1163" w:type="pct"/>
            <w:shd w:val="clear" w:color="auto" w:fill="FFFFFF"/>
            <w:noWrap w:val="0"/>
            <w:vAlign w:val="center"/>
          </w:tcPr>
          <w:p w14:paraId="23D584AD">
            <w:pPr>
              <w:pageBreakBefore w:val="0"/>
              <w:widowControl/>
              <w:kinsoku/>
              <w:wordWrap/>
              <w:overflowPunct/>
              <w:topLinePunct w:val="0"/>
              <w:bidi w:val="0"/>
              <w:spacing w:line="480" w:lineRule="exact"/>
              <w:ind w:left="0" w:leftChars="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0.01%</w:t>
            </w:r>
          </w:p>
        </w:tc>
      </w:tr>
    </w:tbl>
    <w:p w14:paraId="17F6FAC8">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招标代理服务费不得用投标保证金冲抵。</w:t>
      </w:r>
    </w:p>
    <w:p w14:paraId="10C6A841">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中标人未按本章第12.1项规定交纳招标代理服务费的，其投标保证金将被采购代理机构全额没收。</w:t>
      </w:r>
    </w:p>
    <w:p w14:paraId="30ABBDDB">
      <w:pPr>
        <w:keepNext w:val="0"/>
        <w:keepLines w:val="0"/>
        <w:pageBreakBefore w:val="0"/>
        <w:kinsoku/>
        <w:wordWrap/>
        <w:overflowPunct/>
        <w:topLinePunct w:val="0"/>
        <w:autoSpaceDE/>
        <w:autoSpaceDN/>
        <w:bidi w:val="0"/>
        <w:adjustRightInd/>
        <w:snapToGrid/>
        <w:spacing w:line="480" w:lineRule="exact"/>
        <w:ind w:left="0" w:leftChars="0" w:right="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13.质疑与投诉</w:t>
      </w:r>
    </w:p>
    <w:p w14:paraId="5AADD400">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13.1质疑</w:t>
      </w:r>
    </w:p>
    <w:p w14:paraId="0BA53221">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3.1.1 投标人认</w:t>
      </w:r>
      <w:r>
        <w:rPr>
          <w:rFonts w:hint="eastAsia" w:ascii="宋体" w:hAnsi="宋体" w:eastAsia="宋体" w:cs="宋体"/>
          <w:color w:val="auto"/>
          <w:sz w:val="24"/>
          <w:szCs w:val="24"/>
          <w:highlight w:val="none"/>
        </w:rPr>
        <w:t>为招标文件、招标过程和中标结果使自己的权益受到损害的，当在知道或者应知其权益受到损害之日起七个工作日内根据《中华人民共和国政府采购法》、《中华人民共和国政府采购法实施条例》和《政府采购质疑和投诉办法》的有关规定，依法向采购人或其委托的采购代理机构一次性</w:t>
      </w:r>
      <w:r>
        <w:rPr>
          <w:rFonts w:hint="eastAsia" w:ascii="宋体" w:hAnsi="宋体" w:eastAsia="宋体" w:cs="宋体"/>
          <w:color w:val="auto"/>
          <w:sz w:val="24"/>
          <w:szCs w:val="24"/>
          <w:highlight w:val="none"/>
          <w:lang w:eastAsia="zh-CN"/>
        </w:rPr>
        <w:t>以书面形式提出质疑。</w:t>
      </w:r>
    </w:p>
    <w:p w14:paraId="14E556A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13.1.2 质疑投标人应按照财政部制定的《政府采购质疑函范本》格式（可从</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采购人或其委托的采购代理机构</w:t>
      </w:r>
      <w:r>
        <w:rPr>
          <w:rFonts w:hint="eastAsia" w:ascii="宋体" w:hAnsi="宋体" w:eastAsia="宋体" w:cs="宋体"/>
          <w:color w:val="auto"/>
          <w:sz w:val="24"/>
          <w:szCs w:val="24"/>
          <w:highlight w:val="none"/>
          <w:lang w:val="en-US" w:eastAsia="zh-CN"/>
        </w:rPr>
        <w:t>将不予受理，</w:t>
      </w:r>
      <w:r>
        <w:rPr>
          <w:rFonts w:hint="eastAsia" w:ascii="宋体" w:hAnsi="宋体" w:eastAsia="宋体" w:cs="宋体"/>
          <w:color w:val="auto"/>
          <w:sz w:val="24"/>
          <w:szCs w:val="24"/>
          <w:highlight w:val="none"/>
          <w:lang w:eastAsia="zh-CN"/>
        </w:rPr>
        <w:t>质疑投标人将依法承担不利后果。</w:t>
      </w:r>
    </w:p>
    <w:p w14:paraId="764E85A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13.1.3 投标人提出质疑应当提交质疑函和必要的证明材料。质疑函应当包括下列内容：</w:t>
      </w:r>
    </w:p>
    <w:p w14:paraId="11C89CD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（1）投标人的姓名或者名称、地址、邮编、联系人及联系电话；</w:t>
      </w:r>
    </w:p>
    <w:p w14:paraId="239F773A">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（2）质疑项目的名称、编号；</w:t>
      </w:r>
    </w:p>
    <w:p w14:paraId="2BFCAAB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（3）具体、明确的质疑事项和与质疑事项相关的请求；</w:t>
      </w:r>
    </w:p>
    <w:p w14:paraId="20D53CF6">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（4）事实依据；</w:t>
      </w:r>
    </w:p>
    <w:p w14:paraId="6084264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（5）必要的法律依据；</w:t>
      </w:r>
    </w:p>
    <w:p w14:paraId="5561CF53">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（6）提出质疑的日期。</w:t>
      </w:r>
    </w:p>
    <w:p w14:paraId="61CCEFBB">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13.1.4</w:t>
      </w:r>
      <w:r>
        <w:rPr>
          <w:rFonts w:hint="eastAsia" w:ascii="宋体" w:hAnsi="宋体" w:eastAsia="宋体" w:cs="宋体"/>
          <w:color w:val="auto"/>
          <w:sz w:val="24"/>
          <w:szCs w:val="24"/>
          <w:highlight w:val="none"/>
          <w:lang w:eastAsia="zh-CN"/>
        </w:rPr>
        <w:t>质疑投标人为自然人的，质疑函应由本人签字（并附自然人身份证正反面）；质疑投标人为法人或者其他组织的，质疑函应由法定代表人、主要负责人，或者其授权代表签字或者签章，并加盖公章（另附法人（或主要负责人）身份证正反面和其授权代表身份证正反面及营业执照）。</w:t>
      </w:r>
      <w:r>
        <w:rPr>
          <w:rFonts w:hint="eastAsia" w:ascii="宋体" w:hAnsi="宋体" w:eastAsia="宋体" w:cs="宋体"/>
          <w:color w:val="auto"/>
          <w:sz w:val="24"/>
          <w:szCs w:val="24"/>
          <w:highlight w:val="none"/>
          <w:lang w:val="en-US" w:eastAsia="zh-CN"/>
        </w:rPr>
        <w:t xml:space="preserve">  </w:t>
      </w:r>
    </w:p>
    <w:p w14:paraId="20899313">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13.1.5 质疑函范本格式</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在中国政府采购网站（http://www.ccgp.gov.cn/）自行下载。</w:t>
      </w:r>
    </w:p>
    <w:p w14:paraId="7C958CA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13.1.6 </w:t>
      </w:r>
      <w:r>
        <w:rPr>
          <w:rFonts w:hint="eastAsia" w:ascii="宋体" w:hAnsi="宋体" w:eastAsia="宋体" w:cs="宋体"/>
          <w:color w:val="auto"/>
          <w:sz w:val="24"/>
          <w:szCs w:val="24"/>
          <w:highlight w:val="none"/>
          <w:lang w:eastAsia="zh-CN"/>
        </w:rPr>
        <w:t>采购代理机构质疑函接收部门、联系电话和通讯地址, 见投标人须知资料表</w:t>
      </w:r>
      <w:r>
        <w:rPr>
          <w:rFonts w:hint="eastAsia" w:ascii="宋体" w:hAnsi="宋体" w:eastAsia="宋体" w:cs="宋体"/>
          <w:color w:val="auto"/>
          <w:sz w:val="24"/>
          <w:szCs w:val="24"/>
          <w:highlight w:val="none"/>
        </w:rPr>
        <w:t>。</w:t>
      </w:r>
    </w:p>
    <w:p w14:paraId="37C6FA14">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13.1.7 有下列情形之一的，属于无效质疑，采购代理机构和采购人不予受理：</w:t>
      </w:r>
    </w:p>
    <w:p w14:paraId="142C8E2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（1）质疑人不是参与本次采购项目的投标人；</w:t>
      </w:r>
    </w:p>
    <w:p w14:paraId="5AEAE0EA">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14:paraId="0491E4E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14:paraId="04B1666C">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（4）质疑未以书面形式提出，以传真、电子邮件、移动通信等形式即时收悉提交的质疑材料；</w:t>
      </w:r>
    </w:p>
    <w:p w14:paraId="6CA30D79">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（5）质疑未按质疑函范本格式提出的；</w:t>
      </w:r>
    </w:p>
    <w:p w14:paraId="510C3ECB">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（6）质疑书主要内容构成不完整的；</w:t>
      </w:r>
    </w:p>
    <w:p w14:paraId="016C19F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（7）质疑投标人是自然人，个体工商户未提交个体工商户营业执照和本人身份证明或非个体工商户未提供本人身份证明的；</w:t>
      </w:r>
    </w:p>
    <w:p w14:paraId="4F6300D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（8）质疑投标人是法人，未提交法人营业执照或者事业法人证书和法定代表人身份证明的；</w:t>
      </w:r>
    </w:p>
    <w:p w14:paraId="2FA873B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（9）质疑投标人是其他组织，未提交其他组织有效证明文件和主要负责人身份证明的；</w:t>
      </w:r>
    </w:p>
    <w:p w14:paraId="6F9CBD97">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（10）质疑投标人委托代理人进行质疑，未提交法定代表人授权委托书、授权代表身份证明的；</w:t>
      </w:r>
    </w:p>
    <w:p w14:paraId="40B8A698">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（11）质疑函未签字或未加盖公章的；</w:t>
      </w:r>
    </w:p>
    <w:p w14:paraId="40DB82F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（12）以非法手段取得证据、材料的；</w:t>
      </w:r>
    </w:p>
    <w:p w14:paraId="7B534F1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（13）质疑答复后，同一质疑人就同一事项再次提出质疑的；</w:t>
      </w:r>
    </w:p>
    <w:p w14:paraId="27E778A6">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（14）不符合法律、法规、规章和采购监管机构规定的其他条件的。</w:t>
      </w:r>
    </w:p>
    <w:p w14:paraId="7522238B">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13.1.8 采购代理机构或采购人将在收到书面质疑后7个工作日内做出答复，并以书面形式通知质疑人和其他有关投标人。</w:t>
      </w:r>
    </w:p>
    <w:p w14:paraId="1A5EC539">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 投诉</w:t>
      </w:r>
    </w:p>
    <w:p w14:paraId="3BD0B41F">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质疑人对采购代理机构或采购人的答复不满意，或者采购人、采购代理机构未在规定时间内作出答复的，可以在答复期满后15个工作日内向</w:t>
      </w:r>
      <w:r>
        <w:rPr>
          <w:rFonts w:hint="eastAsia" w:ascii="宋体" w:hAnsi="宋体" w:eastAsia="宋体" w:cs="宋体"/>
          <w:b/>
          <w:bCs/>
          <w:color w:val="auto"/>
          <w:sz w:val="24"/>
          <w:szCs w:val="24"/>
          <w:highlight w:val="none"/>
          <w:u w:val="single"/>
          <w:lang w:val="en-US" w:eastAsia="zh-CN"/>
        </w:rPr>
        <w:t>伊宁市财</w:t>
      </w:r>
      <w:r>
        <w:rPr>
          <w:rFonts w:hint="eastAsia" w:ascii="宋体" w:hAnsi="宋体" w:eastAsia="宋体" w:cs="宋体"/>
          <w:b/>
          <w:bCs/>
          <w:color w:val="auto"/>
          <w:sz w:val="24"/>
          <w:szCs w:val="24"/>
          <w:highlight w:val="none"/>
          <w:u w:val="single"/>
          <w:lang w:eastAsia="zh-CN"/>
        </w:rPr>
        <w:t>政局</w:t>
      </w:r>
      <w:r>
        <w:rPr>
          <w:rFonts w:hint="eastAsia" w:ascii="宋体" w:hAnsi="宋体" w:eastAsia="宋体" w:cs="宋体"/>
          <w:color w:val="auto"/>
          <w:sz w:val="24"/>
          <w:szCs w:val="24"/>
          <w:highlight w:val="none"/>
        </w:rPr>
        <w:t>提起投诉。</w:t>
      </w:r>
    </w:p>
    <w:p w14:paraId="720B2FE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 投诉人投诉时,应当提交投诉书和必要的证明材料，并按照被投诉采购人、采购代理机构（以下简称被投诉人）和与投诉事项有关的投标人数量提供投诉书的副本。投诉书应当包括下列内容：</w:t>
      </w:r>
    </w:p>
    <w:p w14:paraId="129FB42B">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（1）投诉人和被投诉人的姓名或者名称、通讯地址、邮编、联系人及联系电话；</w:t>
      </w:r>
    </w:p>
    <w:p w14:paraId="7C5288F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（2）质疑和质疑答复情况说明及相关证明材料；</w:t>
      </w:r>
    </w:p>
    <w:p w14:paraId="3A2BC214">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（3）具体、明确的投诉事项和与投诉事项相关的投诉请求；</w:t>
      </w:r>
    </w:p>
    <w:p w14:paraId="1B81ABCD">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188DF1C5">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（5）法律依据；</w:t>
      </w:r>
    </w:p>
    <w:p w14:paraId="074AA8F1">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（6）提起投诉的日期。</w:t>
      </w:r>
    </w:p>
    <w:p w14:paraId="6E69D725">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投诉人为自然人的，应当由本人签字；投诉人为法人或者其他组织的，应当由法定代表人、主要负责人，或者其授权代表签字或者盖章，并加盖单位章。</w:t>
      </w:r>
    </w:p>
    <w:p w14:paraId="7A86D10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13.2.3 投诉书范本格式在中国政府采购网站（http://www.ccgp.gov.cn/）自行下载。</w:t>
      </w:r>
    </w:p>
    <w:p w14:paraId="5ACA17AE">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13.2.4 投诉人提起投诉应当符合下列条件：</w:t>
      </w:r>
    </w:p>
    <w:p w14:paraId="39097494">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（1）提起投诉前已依法进行质疑；</w:t>
      </w:r>
    </w:p>
    <w:p w14:paraId="3CA9D78C">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（2）投诉书内容符合财政部94号令的规定；</w:t>
      </w:r>
    </w:p>
    <w:p w14:paraId="71C71D2A">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（3）在投诉有效期限内提起投诉；</w:t>
      </w:r>
    </w:p>
    <w:p w14:paraId="42F87102">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（4）同一投诉事项未经财政部门投诉处理；</w:t>
      </w:r>
    </w:p>
    <w:p w14:paraId="3D4834C1">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（5）财政部规定的其他条件。</w:t>
      </w:r>
    </w:p>
    <w:p w14:paraId="567A0BA5">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投诉人投诉的事项不得超出已质疑事项的范围，但基于质疑答复内容提出的投诉事项除外。</w:t>
      </w:r>
    </w:p>
    <w:p w14:paraId="6B877795">
      <w:pPr>
        <w:keepNext w:val="0"/>
        <w:keepLines w:val="0"/>
        <w:pageBreakBefore w:val="0"/>
        <w:kinsoku/>
        <w:wordWrap/>
        <w:overflowPunct/>
        <w:topLinePunct w:val="0"/>
        <w:autoSpaceDE/>
        <w:autoSpaceDN/>
        <w:bidi w:val="0"/>
        <w:adjustRightInd/>
        <w:snapToGrid/>
        <w:spacing w:line="480" w:lineRule="exact"/>
        <w:ind w:left="0" w:leftChars="0" w:right="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14.其他</w:t>
      </w:r>
    </w:p>
    <w:p w14:paraId="390FDF60">
      <w:pPr>
        <w:keepNext w:val="0"/>
        <w:keepLines w:val="0"/>
        <w:pageBreakBefore w:val="0"/>
        <w:kinsoku/>
        <w:wordWrap/>
        <w:overflowPunct/>
        <w:topLinePunct w:val="0"/>
        <w:autoSpaceDE/>
        <w:autoSpaceDN/>
        <w:bidi w:val="0"/>
        <w:adjustRightInd/>
        <w:snapToGrid/>
        <w:spacing w:line="480" w:lineRule="exact"/>
        <w:ind w:left="0" w:leftChars="0" w:right="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 录音录像</w:t>
      </w:r>
    </w:p>
    <w:p w14:paraId="70EAB339">
      <w:pPr>
        <w:keepNext w:val="0"/>
        <w:keepLines w:val="0"/>
        <w:pageBreakBefore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采购代理机构对开标、投标人资格审查和评标过程进行全程录音录像、文字记录，并存档备查。</w:t>
      </w:r>
    </w:p>
    <w:p w14:paraId="22DA47FE">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44"/>
          <w:szCs w:val="44"/>
          <w:highlight w:val="none"/>
        </w:rPr>
        <w:t>第三章</w:t>
      </w:r>
      <w:bookmarkStart w:id="162" w:name="_Toc217446093"/>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评标办法</w:t>
      </w:r>
    </w:p>
    <w:p w14:paraId="47B2362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根据《中华人民共和国政府采购法》及其实施条例和《政府采购货物和服务招标投标管理办法》（财政部87号令）等法律法规规定，结合采购项目特点，制定本评标办法。</w:t>
      </w:r>
    </w:p>
    <w:p w14:paraId="3464F5A3">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color w:val="auto"/>
          <w:sz w:val="24"/>
          <w:szCs w:val="24"/>
          <w:highlight w:val="none"/>
        </w:rPr>
        <w:t>评标程序</w:t>
      </w:r>
    </w:p>
    <w:p w14:paraId="3FFB2CB3">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评标按照下列程序进行：</w:t>
      </w:r>
    </w:p>
    <w:p w14:paraId="118F5E49">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（1）投标文件符合性审查；</w:t>
      </w:r>
    </w:p>
    <w:p w14:paraId="4D7B5CF7">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（2）投标文件澄清或说明；</w:t>
      </w:r>
    </w:p>
    <w:p w14:paraId="1D4B3E82">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（3）投标文件比较与评价；</w:t>
      </w:r>
    </w:p>
    <w:p w14:paraId="24232912">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（4）复核与核对评标结果；</w:t>
      </w:r>
    </w:p>
    <w:p w14:paraId="5AF7D0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（5）确定中标候选人名单；</w:t>
      </w:r>
    </w:p>
    <w:p w14:paraId="7BB1732E">
      <w:pPr>
        <w:keepNext w:val="0"/>
        <w:keepLines w:val="0"/>
        <w:pageBreakBefore w:val="0"/>
        <w:widowControl w:val="0"/>
        <w:kinsoku/>
        <w:wordWrap/>
        <w:overflowPunct/>
        <w:topLinePunct w:val="0"/>
        <w:autoSpaceDE/>
        <w:autoSpaceDN/>
        <w:bidi w:val="0"/>
        <w:adjustRightInd/>
        <w:snapToGrid/>
        <w:spacing w:line="480" w:lineRule="exact"/>
        <w:ind w:left="0" w:leftChars="0" w:right="0"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（6）编写评标报告。</w:t>
      </w:r>
    </w:p>
    <w:p w14:paraId="3E2D2963">
      <w:pPr>
        <w:keepNext w:val="0"/>
        <w:keepLines w:val="0"/>
        <w:pageBreakBefore w:val="0"/>
        <w:widowControl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投标文件符合性审查</w:t>
      </w:r>
    </w:p>
    <w:p w14:paraId="26806D05">
      <w:pPr>
        <w:keepNext w:val="0"/>
        <w:keepLines w:val="0"/>
        <w:pageBreakBefore w:val="0"/>
        <w:widowControl w:val="0"/>
        <w:kinsoku/>
        <w:wordWrap/>
        <w:overflowPunct/>
        <w:topLinePunct w:val="0"/>
        <w:autoSpaceDE/>
        <w:autoSpaceDN/>
        <w:bidi w:val="0"/>
        <w:adjustRightInd/>
        <w:snapToGrid/>
        <w:spacing w:line="480" w:lineRule="exact"/>
        <w:ind w:left="0" w:leftChars="0" w:right="0"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评标委员会依法对符合资格条件的投标人的投标文件进行符合性审查。评标委员会从投标文件的有效性、完整性和对招标文件的响应程度进行审查，以确定其是否对招标文件实质性内容作出响应</w:t>
      </w:r>
      <w:r>
        <w:rPr>
          <w:rFonts w:hint="eastAsia" w:ascii="宋体" w:hAnsi="宋体" w:eastAsia="宋体" w:cs="宋体"/>
          <w:color w:val="auto"/>
          <w:kern w:val="0"/>
          <w:sz w:val="24"/>
          <w:szCs w:val="24"/>
          <w:highlight w:val="none"/>
        </w:rPr>
        <w:t>（采购人可根据具体项目的情况对实质性要求作特别的具体规定）</w:t>
      </w:r>
      <w:r>
        <w:rPr>
          <w:rFonts w:hint="eastAsia" w:ascii="宋体" w:hAnsi="宋体" w:eastAsia="宋体" w:cs="宋体"/>
          <w:color w:val="auto"/>
          <w:sz w:val="24"/>
          <w:szCs w:val="24"/>
          <w:highlight w:val="none"/>
        </w:rPr>
        <w:t>。</w:t>
      </w:r>
    </w:p>
    <w:p w14:paraId="3B533872">
      <w:pPr>
        <w:keepNext w:val="0"/>
        <w:keepLines w:val="0"/>
        <w:pageBreakBefore w:val="0"/>
        <w:widowControl w:val="0"/>
        <w:kinsoku/>
        <w:wordWrap/>
        <w:overflowPunct/>
        <w:topLinePunct w:val="0"/>
        <w:autoSpaceDE/>
        <w:autoSpaceDN/>
        <w:bidi w:val="0"/>
        <w:adjustRightInd/>
        <w:snapToGrid/>
        <w:spacing w:line="480" w:lineRule="exact"/>
        <w:ind w:left="0" w:leftChars="0" w:right="0"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1.2.2评标委员会按下列评审标准进行符合性审查：</w:t>
      </w:r>
    </w:p>
    <w:tbl>
      <w:tblPr>
        <w:tblStyle w:val="22"/>
        <w:tblW w:w="98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7"/>
        <w:gridCol w:w="2328"/>
        <w:gridCol w:w="5012"/>
        <w:gridCol w:w="1361"/>
      </w:tblGrid>
      <w:tr w14:paraId="63EF8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exact"/>
          <w:jc w:val="center"/>
        </w:trPr>
        <w:tc>
          <w:tcPr>
            <w:tcW w:w="1167" w:type="dxa"/>
            <w:tcBorders>
              <w:top w:val="single" w:color="auto" w:sz="4" w:space="0"/>
              <w:left w:val="single" w:color="auto" w:sz="4" w:space="0"/>
              <w:right w:val="single" w:color="auto" w:sz="4" w:space="0"/>
            </w:tcBorders>
            <w:noWrap w:val="0"/>
            <w:vAlign w:val="center"/>
          </w:tcPr>
          <w:p w14:paraId="4D7C2A5F">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2328" w:type="dxa"/>
            <w:tcBorders>
              <w:top w:val="single" w:color="auto" w:sz="4" w:space="0"/>
              <w:left w:val="single" w:color="auto" w:sz="4" w:space="0"/>
              <w:bottom w:val="single" w:color="auto" w:sz="4" w:space="0"/>
              <w:right w:val="single" w:color="auto" w:sz="4" w:space="0"/>
            </w:tcBorders>
            <w:noWrap w:val="0"/>
            <w:vAlign w:val="center"/>
          </w:tcPr>
          <w:p w14:paraId="44EEBCC1">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审查要求</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481FF6D6">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要求说明</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A0C8ADD">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是否通过</w:t>
            </w:r>
          </w:p>
        </w:tc>
      </w:tr>
      <w:tr w14:paraId="54316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167" w:type="dxa"/>
            <w:vMerge w:val="restart"/>
            <w:tcBorders>
              <w:top w:val="single" w:color="auto" w:sz="4" w:space="0"/>
              <w:right w:val="single" w:color="auto" w:sz="4" w:space="0"/>
            </w:tcBorders>
            <w:noWrap w:val="0"/>
            <w:vAlign w:val="center"/>
          </w:tcPr>
          <w:p w14:paraId="23456551">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2328" w:type="dxa"/>
            <w:tcBorders>
              <w:top w:val="single" w:color="auto" w:sz="4" w:space="0"/>
              <w:left w:val="single" w:color="auto" w:sz="4" w:space="0"/>
              <w:right w:val="single" w:color="auto" w:sz="4" w:space="0"/>
            </w:tcBorders>
            <w:noWrap w:val="0"/>
            <w:vAlign w:val="center"/>
          </w:tcPr>
          <w:p w14:paraId="1D13E75E">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5012" w:type="dxa"/>
            <w:tcBorders>
              <w:top w:val="single" w:color="auto" w:sz="4" w:space="0"/>
              <w:left w:val="single" w:color="auto" w:sz="4" w:space="0"/>
              <w:right w:val="single" w:color="auto" w:sz="4" w:space="0"/>
            </w:tcBorders>
            <w:noWrap w:val="0"/>
            <w:vAlign w:val="center"/>
          </w:tcPr>
          <w:p w14:paraId="1CC83079">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D68678">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009D6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1167" w:type="dxa"/>
            <w:vMerge w:val="continue"/>
            <w:tcBorders>
              <w:right w:val="single" w:color="auto" w:sz="4" w:space="0"/>
            </w:tcBorders>
            <w:noWrap w:val="0"/>
            <w:vAlign w:val="center"/>
          </w:tcPr>
          <w:p w14:paraId="232F8C38">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233AB910">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文件签署</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5ACE9AAC">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按规定签字盖章、且签字</w:t>
            </w:r>
            <w:r>
              <w:rPr>
                <w:rFonts w:hint="eastAsia" w:ascii="宋体" w:hAnsi="宋体" w:eastAsia="宋体" w:cs="宋体"/>
                <w:color w:val="auto"/>
                <w:sz w:val="24"/>
                <w:szCs w:val="24"/>
                <w:highlight w:val="none"/>
              </w:rPr>
              <w:t>盖章齐全</w:t>
            </w:r>
          </w:p>
        </w:tc>
        <w:tc>
          <w:tcPr>
            <w:tcW w:w="1361" w:type="dxa"/>
            <w:tcBorders>
              <w:top w:val="single" w:color="auto" w:sz="4" w:space="0"/>
              <w:left w:val="single" w:color="auto" w:sz="4" w:space="0"/>
              <w:bottom w:val="single" w:color="auto" w:sz="4" w:space="0"/>
              <w:right w:val="single" w:color="auto" w:sz="4" w:space="0"/>
            </w:tcBorders>
            <w:noWrap w:val="0"/>
            <w:vAlign w:val="top"/>
          </w:tcPr>
          <w:p w14:paraId="261FE995">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314DB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1167" w:type="dxa"/>
            <w:vMerge w:val="continue"/>
            <w:tcBorders>
              <w:right w:val="single" w:color="auto" w:sz="4" w:space="0"/>
            </w:tcBorders>
            <w:noWrap w:val="0"/>
            <w:vAlign w:val="center"/>
          </w:tcPr>
          <w:p w14:paraId="0DC588A2">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50CFA120">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63ECC87C">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按规定交纳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或保函</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51BBB85">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588CA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exact"/>
          <w:jc w:val="center"/>
        </w:trPr>
        <w:tc>
          <w:tcPr>
            <w:tcW w:w="1167" w:type="dxa"/>
            <w:vMerge w:val="continue"/>
            <w:tcBorders>
              <w:right w:val="single" w:color="auto" w:sz="4" w:space="0"/>
            </w:tcBorders>
            <w:noWrap w:val="0"/>
            <w:vAlign w:val="center"/>
          </w:tcPr>
          <w:p w14:paraId="257E71CE">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234CA5B4">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投标有效期</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185ADD9A">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5CF66A8">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3BB8D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exact"/>
          <w:jc w:val="center"/>
        </w:trPr>
        <w:tc>
          <w:tcPr>
            <w:tcW w:w="1167" w:type="dxa"/>
            <w:vMerge w:val="continue"/>
            <w:tcBorders>
              <w:right w:val="single" w:color="auto" w:sz="4" w:space="0"/>
            </w:tcBorders>
            <w:noWrap w:val="0"/>
            <w:vAlign w:val="center"/>
          </w:tcPr>
          <w:p w14:paraId="618FA753">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5B1414A2">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采购需求</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09ADFC76">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出现漏项或数量与要求</w:t>
            </w:r>
            <w:r>
              <w:rPr>
                <w:rFonts w:hint="eastAsia" w:ascii="宋体" w:hAnsi="宋体" w:eastAsia="宋体" w:cs="宋体"/>
                <w:color w:val="auto"/>
                <w:sz w:val="24"/>
                <w:szCs w:val="24"/>
                <w:highlight w:val="none"/>
                <w:lang w:eastAsia="zh-CN"/>
              </w:rPr>
              <w:t>不符</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E6396D6">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56119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exact"/>
          <w:jc w:val="center"/>
        </w:trPr>
        <w:tc>
          <w:tcPr>
            <w:tcW w:w="1167" w:type="dxa"/>
            <w:vMerge w:val="continue"/>
            <w:tcBorders>
              <w:right w:val="single" w:color="auto" w:sz="4" w:space="0"/>
            </w:tcBorders>
            <w:noWrap w:val="0"/>
            <w:vAlign w:val="center"/>
          </w:tcPr>
          <w:p w14:paraId="3E41C0D6">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52530C73">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rPr>
              <w:t>等商务条款</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2DF3E17F">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eastAsia="zh-CN"/>
              </w:rPr>
              <w:t>、付款方式</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C0BC6D">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731E8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4" w:hRule="exact"/>
          <w:jc w:val="center"/>
        </w:trPr>
        <w:tc>
          <w:tcPr>
            <w:tcW w:w="1167" w:type="dxa"/>
            <w:vMerge w:val="continue"/>
            <w:tcBorders>
              <w:right w:val="single" w:color="auto" w:sz="4" w:space="0"/>
            </w:tcBorders>
            <w:noWrap w:val="0"/>
            <w:vAlign w:val="center"/>
          </w:tcPr>
          <w:p w14:paraId="19BF76A3">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23076951">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报价唯一性</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74857DCA">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报价具有唯一性，报价未超过</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中规定的预算总金额或者最高限价的；本项目不接受选择性报价，对于出现的政采云平台开标唱标环节经投标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确认的投标报价与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中开标一览表的报价不一致的现象，视作选择性报价，将被作为无效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6CA345C">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r w14:paraId="1C36A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8" w:hRule="exact"/>
          <w:jc w:val="center"/>
        </w:trPr>
        <w:tc>
          <w:tcPr>
            <w:tcW w:w="1167" w:type="dxa"/>
            <w:vMerge w:val="continue"/>
            <w:tcBorders>
              <w:right w:val="single" w:color="auto" w:sz="4" w:space="0"/>
            </w:tcBorders>
            <w:noWrap w:val="0"/>
            <w:vAlign w:val="center"/>
          </w:tcPr>
          <w:p w14:paraId="6E6DC919">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p>
        </w:tc>
        <w:tc>
          <w:tcPr>
            <w:tcW w:w="2328" w:type="dxa"/>
            <w:tcBorders>
              <w:top w:val="single" w:color="auto" w:sz="4" w:space="0"/>
              <w:left w:val="single" w:color="auto" w:sz="4" w:space="0"/>
              <w:bottom w:val="single" w:color="auto" w:sz="4" w:space="0"/>
              <w:right w:val="single" w:color="auto" w:sz="4" w:space="0"/>
            </w:tcBorders>
            <w:noWrap w:val="0"/>
            <w:vAlign w:val="center"/>
          </w:tcPr>
          <w:p w14:paraId="62C40DC9">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012" w:type="dxa"/>
            <w:tcBorders>
              <w:top w:val="single" w:color="auto" w:sz="4" w:space="0"/>
              <w:left w:val="single" w:color="auto" w:sz="4" w:space="0"/>
              <w:bottom w:val="single" w:color="auto" w:sz="4" w:space="0"/>
              <w:right w:val="single" w:color="auto" w:sz="4" w:space="0"/>
            </w:tcBorders>
            <w:noWrap w:val="0"/>
            <w:vAlign w:val="center"/>
          </w:tcPr>
          <w:p w14:paraId="4F68F33C">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未附有采购人不能接受的条件或不符合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的其他要求</w:t>
            </w:r>
          </w:p>
          <w:p w14:paraId="23169845">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、符合国家、行业技术标准的要求</w:t>
            </w:r>
          </w:p>
          <w:p w14:paraId="37FED8CE">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、未发现串通投标</w:t>
            </w:r>
          </w:p>
          <w:p w14:paraId="2CC45D87">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不属于法律、法规、规章规定无效投标的其他情形。</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18EF458">
            <w:pPr>
              <w:keepNext w:val="0"/>
              <w:keepLines w:val="0"/>
              <w:pageBreakBefore w:val="0"/>
              <w:widowControl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rPr>
            </w:pPr>
          </w:p>
        </w:tc>
      </w:tr>
    </w:tbl>
    <w:p w14:paraId="32C5B5C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说明：以上各项有1项不合格，评审不予通过，作为未实质性响应招标文件。</w:t>
      </w:r>
    </w:p>
    <w:p w14:paraId="217EA3E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未通过符合性检查的投标文件，不得进入后续评标环节。</w:t>
      </w:r>
    </w:p>
    <w:p w14:paraId="0AAB1E01">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投标文件的澄清</w:t>
      </w:r>
    </w:p>
    <w:p w14:paraId="55AF0FC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1.3.1为有助于投标文件的审查、比较和评价，评标委员会可以书面形式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要求投标人对其投标文件中含义不明确、同类问题表述不一致或者有明显文字和计算错误的内容作必要的澄清、说明或者补正。有关澄清、说明或者补正应以书面形式</w:t>
      </w:r>
      <w:r>
        <w:rPr>
          <w:rFonts w:hint="eastAsia" w:ascii="宋体" w:hAnsi="宋体" w:eastAsia="宋体" w:cs="宋体"/>
          <w:color w:val="auto"/>
          <w:sz w:val="24"/>
          <w:szCs w:val="24"/>
          <w:highlight w:val="none"/>
          <w:lang w:val="zh-CN"/>
        </w:rPr>
        <w:t>或政采云平台</w:t>
      </w:r>
      <w:r>
        <w:rPr>
          <w:rFonts w:hint="eastAsia" w:ascii="宋体" w:hAnsi="宋体" w:eastAsia="宋体" w:cs="宋体"/>
          <w:color w:val="auto"/>
          <w:sz w:val="24"/>
          <w:szCs w:val="24"/>
          <w:highlight w:val="none"/>
        </w:rPr>
        <w:t>提交，并由其法定代表人或委托代理人签字。评标委员会不接受投标人主动提出的澄清、说明或者补正。</w:t>
      </w:r>
    </w:p>
    <w:p w14:paraId="5C915B0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投标人的澄清、说明或者补正不得超出投标文件的范围或者改变投标文件的实质性内容，并构成为投标文件的组成部分。</w:t>
      </w:r>
    </w:p>
    <w:p w14:paraId="632388C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评标委员会对投标人提交的澄清、说明或者补正有疑问的，可以要求投标人进一步澄清、说明或者补正，直至满足评标委员会的要求。</w:t>
      </w:r>
    </w:p>
    <w:p w14:paraId="15E0CBA3">
      <w:pPr>
        <w:keepNext w:val="0"/>
        <w:keepLines w:val="0"/>
        <w:pageBreakBefore w:val="0"/>
        <w:kinsoku/>
        <w:wordWrap/>
        <w:overflowPunct/>
        <w:topLinePunct w:val="0"/>
        <w:bidi w:val="0"/>
        <w:spacing w:line="480" w:lineRule="exact"/>
        <w:ind w:left="0" w:leftChars="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投标文件比较与评价</w:t>
      </w:r>
    </w:p>
    <w:p w14:paraId="38A2825B">
      <w:pPr>
        <w:keepNext w:val="0"/>
        <w:keepLines w:val="0"/>
        <w:pageBreakBefore w:val="0"/>
        <w:tabs>
          <w:tab w:val="left" w:pos="0"/>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bCs/>
          <w:color w:val="auto"/>
          <w:sz w:val="24"/>
          <w:szCs w:val="24"/>
          <w:highlight w:val="none"/>
        </w:rPr>
        <w:t>评标委员会应按照招标文件中规定的评标方法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符合性检查</w:t>
      </w:r>
      <w:r>
        <w:rPr>
          <w:rFonts w:hint="eastAsia" w:ascii="宋体" w:hAnsi="宋体" w:eastAsia="宋体" w:cs="宋体"/>
          <w:bCs/>
          <w:color w:val="auto"/>
          <w:sz w:val="24"/>
          <w:szCs w:val="24"/>
          <w:highlight w:val="none"/>
        </w:rPr>
        <w:t>通过的投标文件进行商务和技术评估，综合比较与评价。</w:t>
      </w:r>
    </w:p>
    <w:p w14:paraId="7AD182AB">
      <w:pPr>
        <w:keepNext w:val="0"/>
        <w:keepLines w:val="0"/>
        <w:pageBreakBefore w:val="0"/>
        <w:kinsoku/>
        <w:wordWrap/>
        <w:overflowPunct/>
        <w:topLinePunct w:val="0"/>
        <w:bidi w:val="0"/>
        <w:spacing w:line="480" w:lineRule="exact"/>
        <w:ind w:left="0" w:leftChars="0" w:right="0"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如果投标文件没有实质性响应招标文件的要求，评标委员会将予以拒绝。投标人不得通过修正或撤销不合要求的偏离或保留，从而使其投标成为实质性响应的投标。</w:t>
      </w:r>
    </w:p>
    <w:p w14:paraId="5ED1B2D3">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复核与核对评标结果</w:t>
      </w:r>
    </w:p>
    <w:p w14:paraId="6253A8A2">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评分汇总结束后，评标委员会应当进行复核，特别要对拟推荐中标候选人的、报价最低的、投标文件被认定无效的进行重点复核。</w:t>
      </w:r>
    </w:p>
    <w:p w14:paraId="2C42C0FD">
      <w:pPr>
        <w:pStyle w:val="33"/>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评标结果汇总完成后，评标报告签署前，采购代理机构应当</w:t>
      </w:r>
      <w:r>
        <w:rPr>
          <w:rFonts w:hint="eastAsia" w:ascii="宋体" w:hAnsi="宋体" w:eastAsia="宋体" w:cs="宋体"/>
          <w:bCs/>
          <w:color w:val="auto"/>
          <w:sz w:val="24"/>
          <w:szCs w:val="24"/>
          <w:highlight w:val="none"/>
        </w:rPr>
        <w:t>核对评标结果，</w:t>
      </w:r>
      <w:r>
        <w:rPr>
          <w:rFonts w:hint="eastAsia" w:ascii="宋体" w:hAnsi="宋体" w:eastAsia="宋体" w:cs="宋体"/>
          <w:color w:val="auto"/>
          <w:sz w:val="24"/>
          <w:szCs w:val="24"/>
          <w:highlight w:val="none"/>
        </w:rPr>
        <w:t>除下列情形外，任何人不得修改评标结果：</w:t>
      </w:r>
    </w:p>
    <w:p w14:paraId="4EE7B274">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582D8A97">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67E5203C">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（3）评标委员会对客观评审因素评分不一致的；</w:t>
      </w:r>
    </w:p>
    <w:p w14:paraId="2ACFA2D4">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（4）经评标委员会认定评分畸高、畸低的。</w:t>
      </w:r>
    </w:p>
    <w:p w14:paraId="1ACB99D4">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经复核发现存在以上情形之一的，评标委员会应当当场修改评标结果，并在评标报告中记载。</w:t>
      </w:r>
    </w:p>
    <w:p w14:paraId="77B00E32">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确定中标候选人名单</w:t>
      </w:r>
    </w:p>
    <w:p w14:paraId="0B613893">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定标及定标程序祥见第二章第9.1、9.2条款。</w:t>
      </w:r>
    </w:p>
    <w:p w14:paraId="4A2D3738">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编写评标报告</w:t>
      </w:r>
    </w:p>
    <w:p w14:paraId="0D45F373">
      <w:pPr>
        <w:keepNext w:val="0"/>
        <w:keepLines w:val="0"/>
        <w:pageBreakBefore w:val="0"/>
        <w:kinsoku/>
        <w:wordWrap/>
        <w:overflowPunct/>
        <w:topLinePunct w:val="0"/>
        <w:bidi w:val="0"/>
        <w:spacing w:line="480" w:lineRule="exact"/>
        <w:ind w:left="0" w:leftChars="0" w:right="0"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评标委员会在确定中标候选人名单后，应当编写评标报告并向采购人出具。评标报告应当包括以下内容：</w:t>
      </w:r>
    </w:p>
    <w:p w14:paraId="5EDB41DF">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（1）招标公告刊登的媒体名称、开标日期和地点；</w:t>
      </w:r>
    </w:p>
    <w:p w14:paraId="27AC3390">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（2）投标人名单和评标委员会成员名单；</w:t>
      </w:r>
    </w:p>
    <w:p w14:paraId="10C51F8C">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（3）评标方法和标准；</w:t>
      </w:r>
    </w:p>
    <w:p w14:paraId="6FFAD3C7">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（4）开标记录和评标情况及说明，包括无效投标人名单及原因；</w:t>
      </w:r>
    </w:p>
    <w:p w14:paraId="6801E281">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（5）评标结果，确定的中标候选人名单；</w:t>
      </w:r>
    </w:p>
    <w:p w14:paraId="2A5E0A00">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（6）其他需要说明的情况，包括评标过程中投标人根据评标委员会要求进行的澄清、说明或者补正，评标委员会成员的更换等，报价最高的投标人为第一中标候选人的，对其报价合理性予以特别书面。</w:t>
      </w:r>
    </w:p>
    <w:p w14:paraId="72EBE258">
      <w:pPr>
        <w:keepNext w:val="0"/>
        <w:keepLines w:val="0"/>
        <w:pageBreakBefore w:val="0"/>
        <w:widowControl/>
        <w:kinsoku/>
        <w:wordWrap/>
        <w:overflowPunct/>
        <w:topLinePunct w:val="0"/>
        <w:bidi w:val="0"/>
        <w:spacing w:line="480" w:lineRule="exact"/>
        <w:ind w:left="0" w:leftChars="0" w:righ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14:paraId="79405FE6">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评标方法</w:t>
      </w:r>
    </w:p>
    <w:p w14:paraId="2D396CC8">
      <w:pPr>
        <w:pStyle w:val="4"/>
        <w:keepNext w:val="0"/>
        <w:keepLines w:val="0"/>
        <w:pageBreakBefore w:val="0"/>
        <w:kinsoku/>
        <w:wordWrap/>
        <w:overflowPunct/>
        <w:topLinePunct w:val="0"/>
        <w:bidi w:val="0"/>
        <w:spacing w:line="480" w:lineRule="exact"/>
        <w:ind w:left="0" w:leftChars="0" w:right="0"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2.1综合评分法</w:t>
      </w:r>
    </w:p>
    <w:p w14:paraId="74CEC2E3">
      <w:pPr>
        <w:keepNext w:val="0"/>
        <w:keepLines w:val="0"/>
        <w:pageBreakBefore w:val="0"/>
        <w:widowControl/>
        <w:kinsoku/>
        <w:wordWrap/>
        <w:overflowPunct/>
        <w:topLinePunct w:val="0"/>
        <w:bidi w:val="0"/>
        <w:spacing w:line="480" w:lineRule="exact"/>
        <w:ind w:left="0" w:leftChars="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本采购项目评标方法采用综合评分法。即</w:t>
      </w:r>
      <w:r>
        <w:rPr>
          <w:rFonts w:hint="eastAsia" w:ascii="宋体" w:hAnsi="宋体" w:eastAsia="宋体" w:cs="宋体"/>
          <w:color w:val="auto"/>
          <w:kern w:val="0"/>
          <w:sz w:val="24"/>
          <w:szCs w:val="24"/>
          <w:highlight w:val="none"/>
        </w:rPr>
        <w:t>投标文件满足招标文件全部实质性要求，且按照评审因素的量化指标评审得分最高的投标人为中标候选人的评标方法。</w:t>
      </w:r>
    </w:p>
    <w:p w14:paraId="28896C91">
      <w:pPr>
        <w:keepNext w:val="0"/>
        <w:keepLines w:val="0"/>
        <w:pageBreakBefore w:val="0"/>
        <w:widowControl/>
        <w:kinsoku/>
        <w:wordWrap/>
        <w:overflowPunct/>
        <w:topLinePunct w:val="0"/>
        <w:autoSpaceDE w:val="0"/>
        <w:autoSpaceDN w:val="0"/>
        <w:bidi w:val="0"/>
        <w:spacing w:line="480" w:lineRule="exact"/>
        <w:ind w:left="0" w:leftChars="0" w:right="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评标细则及标准</w:t>
      </w:r>
    </w:p>
    <w:p w14:paraId="7E979695">
      <w:pPr>
        <w:pStyle w:val="12"/>
        <w:keepNext w:val="0"/>
        <w:keepLines w:val="0"/>
        <w:pageBreakBefore w:val="0"/>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eastAsia="宋体" w:cs="宋体"/>
          <w:bCs/>
          <w:color w:val="auto"/>
          <w:sz w:val="24"/>
          <w:szCs w:val="24"/>
          <w:highlight w:val="none"/>
        </w:rPr>
        <w:t>评标委员会将综合分析投标人的各项评审因素，而不以单项评审因素的优劣评选出中标人。对所有投标人的投标评估，都采用相同的程序和标准，严格按照招标文件的要求和条件进行。</w:t>
      </w:r>
    </w:p>
    <w:p w14:paraId="561E22AF">
      <w:pPr>
        <w:keepNext w:val="0"/>
        <w:keepLines w:val="0"/>
        <w:pageBreakBefore w:val="0"/>
        <w:tabs>
          <w:tab w:val="left" w:pos="0"/>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评审因素包括：</w:t>
      </w:r>
      <w:r>
        <w:rPr>
          <w:rFonts w:hint="eastAsia" w:ascii="宋体" w:hAnsi="宋体" w:eastAsia="宋体" w:cs="宋体"/>
          <w:b/>
          <w:bCs/>
          <w:color w:val="auto"/>
          <w:sz w:val="24"/>
          <w:szCs w:val="24"/>
          <w:highlight w:val="none"/>
        </w:rPr>
        <w:t>投标报价、技术评审、商务评审</w:t>
      </w:r>
      <w:r>
        <w:rPr>
          <w:rFonts w:hint="eastAsia" w:ascii="宋体" w:hAnsi="宋体" w:eastAsia="宋体" w:cs="宋体"/>
          <w:color w:val="auto"/>
          <w:kern w:val="0"/>
          <w:sz w:val="24"/>
          <w:szCs w:val="24"/>
          <w:highlight w:val="none"/>
        </w:rPr>
        <w:t>等</w:t>
      </w:r>
      <w:r>
        <w:rPr>
          <w:rFonts w:hint="eastAsia" w:ascii="宋体" w:hAnsi="宋体" w:eastAsia="宋体" w:cs="宋体"/>
          <w:color w:val="auto"/>
          <w:sz w:val="24"/>
          <w:szCs w:val="24"/>
          <w:highlight w:val="none"/>
        </w:rPr>
        <w:t>对招标文件的响应程度，以及相应的比重或者权值等，但不包括“投标人须知”第3.1条</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规定的投标人资格条件。</w:t>
      </w:r>
    </w:p>
    <w:p w14:paraId="7905E80F">
      <w:pPr>
        <w:pStyle w:val="12"/>
        <w:keepNext w:val="0"/>
        <w:keepLines w:val="0"/>
        <w:pageBreakBefore w:val="0"/>
        <w:kinsoku/>
        <w:wordWrap/>
        <w:overflowPunct/>
        <w:topLinePunct w:val="0"/>
        <w:bidi w:val="0"/>
        <w:adjustRightInd w:val="0"/>
        <w:snapToGrid w:val="0"/>
        <w:spacing w:line="480" w:lineRule="exact"/>
        <w:ind w:left="439" w:leftChars="0" w:right="0" w:hanging="439" w:hangingChars="18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 评标委员会按以下操作程序对投标人的投标文件进行综合评分：</w:t>
      </w:r>
    </w:p>
    <w:p w14:paraId="4EBC1BE2">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2.2.3.1 根据招标文件和评标原则，按《综合评分明细表》所列评分因素和各评分因素的权重进行评标。</w:t>
      </w:r>
    </w:p>
    <w:p w14:paraId="5E224574">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2.2.3.2 参照财政部87号令第五十五条和财库【2020】46号文件的规定，以本次满足投标文件要求的</w:t>
      </w:r>
      <w:r>
        <w:rPr>
          <w:rFonts w:hint="eastAsia" w:ascii="宋体" w:hAnsi="宋体" w:eastAsia="宋体" w:cs="宋体"/>
          <w:b/>
          <w:bCs/>
          <w:color w:val="auto"/>
          <w:sz w:val="24"/>
          <w:szCs w:val="24"/>
          <w:highlight w:val="none"/>
        </w:rPr>
        <w:t>最低投标评审价</w:t>
      </w:r>
      <w:r>
        <w:rPr>
          <w:rFonts w:hint="eastAsia" w:ascii="宋体" w:hAnsi="宋体" w:eastAsia="宋体" w:cs="宋体"/>
          <w:color w:val="auto"/>
          <w:sz w:val="24"/>
          <w:szCs w:val="24"/>
          <w:highlight w:val="none"/>
        </w:rPr>
        <w:t>为评标基准价，其价格为满分。</w:t>
      </w:r>
    </w:p>
    <w:p w14:paraId="4DF36DC2">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如果同一包为单一产品，或同一包为多种产品，全部符合中小企业政策优惠条件的（即小微企业自身生产或中小企业代理的小微企业生产的产品），对总报价进行调整，调整后的报价作为投标评审价。投标评审价按下列公示计算：</w:t>
      </w:r>
    </w:p>
    <w:p w14:paraId="117ABA2F">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投标评审价=投标报价×（1-投标报价折扣幅度）</w:t>
      </w:r>
    </w:p>
    <w:p w14:paraId="7A30E43C">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）投标人的价格得分按下列公式计算:</w:t>
      </w:r>
    </w:p>
    <w:p w14:paraId="42EEAD81">
      <w:pPr>
        <w:keepNext w:val="0"/>
        <w:keepLines w:val="0"/>
        <w:pageBreakBefore w:val="0"/>
        <w:kinsoku/>
        <w:wordWrap/>
        <w:overflowPunct/>
        <w:topLinePunct w:val="0"/>
        <w:bidi w:val="0"/>
        <w:spacing w:line="480" w:lineRule="exact"/>
        <w:ind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投标报价得分=(评标基准价／投标评审价)×100×价格分值*100%</w:t>
      </w:r>
    </w:p>
    <w:p w14:paraId="4ACF8419">
      <w:pPr>
        <w:pStyle w:val="14"/>
        <w:keepNext w:val="0"/>
        <w:keepLines w:val="0"/>
        <w:pageBreakBefore w:val="0"/>
        <w:widowControl/>
        <w:tabs>
          <w:tab w:val="left" w:pos="1506"/>
        </w:tabs>
        <w:kinsoku/>
        <w:wordWrap/>
        <w:overflowPunct/>
        <w:topLinePunct w:val="0"/>
        <w:bidi w:val="0"/>
        <w:adjustRightInd w:val="0"/>
        <w:snapToGrid w:val="0"/>
        <w:spacing w:line="480" w:lineRule="exact"/>
        <w:ind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2.2.3.3 由评标委员会成员独立地根据各项因素的评分标准，结合每个投标人的实际情况，分别就投标报价以外的各项评审因素对每个投标人独立打分。</w:t>
      </w:r>
    </w:p>
    <w:p w14:paraId="4FD2DB4E">
      <w:pPr>
        <w:pStyle w:val="14"/>
        <w:keepNext w:val="0"/>
        <w:keepLines w:val="0"/>
        <w:pageBreakBefore w:val="0"/>
        <w:widowControl/>
        <w:tabs>
          <w:tab w:val="left" w:pos="1506"/>
        </w:tabs>
        <w:kinsoku/>
        <w:wordWrap/>
        <w:overflowPunct/>
        <w:topLinePunct w:val="0"/>
        <w:bidi w:val="0"/>
        <w:adjustRightInd w:val="0"/>
        <w:snapToGrid w:val="0"/>
        <w:spacing w:line="480" w:lineRule="exact"/>
        <w:ind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2.2.3.4 将所有评审因素所得实际评审分数相加，即为该投标人的评审总得分。评审总得分按下例公式计算：</w:t>
      </w:r>
    </w:p>
    <w:p w14:paraId="0729306E">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评审总得分＝F1＋F2＋……＋Fn</w:t>
      </w:r>
    </w:p>
    <w:p w14:paraId="31209629">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F1、F2……Fn分别为各项评审因素的汇总得分</w:t>
      </w:r>
    </w:p>
    <w:p w14:paraId="371255D4">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2.2.3.5 评审过程中，不得去掉报价中的最高报价和最低报价。</w:t>
      </w:r>
    </w:p>
    <w:p w14:paraId="7082AC51">
      <w:pPr>
        <w:keepNext w:val="0"/>
        <w:keepLines w:val="0"/>
        <w:pageBreakBefore w:val="0"/>
        <w:kinsoku/>
        <w:wordWrap/>
        <w:overflowPunct/>
        <w:topLinePunct w:val="0"/>
        <w:bidi w:val="0"/>
        <w:spacing w:line="48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2.2.4 小型和微型企业货物（产品）的报价折扣幅度标准：</w:t>
      </w:r>
    </w:p>
    <w:p w14:paraId="74A5F650">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2.2.4.1 对小型、微型企业生产的货物（产品）投标价格给予</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0%）的折扣。</w:t>
      </w:r>
    </w:p>
    <w:p w14:paraId="5B5DA8D4">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2.2.4.2 参加联合体投标的</w:t>
      </w:r>
      <w:r>
        <w:rPr>
          <w:rFonts w:hint="eastAsia" w:ascii="宋体" w:hAnsi="宋体" w:eastAsia="宋体" w:cs="宋体"/>
          <w:color w:val="auto"/>
          <w:sz w:val="24"/>
          <w:szCs w:val="24"/>
          <w:highlight w:val="none"/>
        </w:rPr>
        <w:t>小型、微型企业，</w:t>
      </w:r>
      <w:r>
        <w:rPr>
          <w:rFonts w:hint="eastAsia" w:ascii="宋体" w:hAnsi="宋体" w:eastAsia="宋体" w:cs="宋体"/>
          <w:color w:val="auto"/>
          <w:kern w:val="0"/>
          <w:sz w:val="24"/>
          <w:szCs w:val="24"/>
          <w:highlight w:val="none"/>
        </w:rPr>
        <w:t>联合协议中约定，小型、微型企业的协议合同金额占到联合体协议合同总金额30%以上的，可给予联合体</w:t>
      </w:r>
      <w:r>
        <w:rPr>
          <w:rFonts w:hint="eastAsia" w:ascii="宋体" w:hAnsi="宋体" w:eastAsia="宋体" w:cs="宋体"/>
          <w:color w:val="auto"/>
          <w:kern w:val="0"/>
          <w:sz w:val="24"/>
          <w:szCs w:val="24"/>
          <w:highlight w:val="none"/>
          <w:u w:val="single"/>
        </w:rPr>
        <w:t>2%</w:t>
      </w:r>
      <w:r>
        <w:rPr>
          <w:rFonts w:hint="eastAsia" w:ascii="宋体" w:hAnsi="宋体" w:eastAsia="宋体" w:cs="宋体"/>
          <w:color w:val="auto"/>
          <w:kern w:val="0"/>
          <w:sz w:val="24"/>
          <w:szCs w:val="24"/>
          <w:highlight w:val="none"/>
        </w:rPr>
        <w:t>（2%-3%）的价格折扣。</w:t>
      </w:r>
    </w:p>
    <w:p w14:paraId="1212CFE3">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2.2.4.3小、微企业提供本企业生产的产品或中小型企业（代理商）代理的小、微企业生产的产品可享受报价折扣条件；中小型企业（代理商）代理的中型及以上企业生产的产品不享受报价折扣条件。</w:t>
      </w:r>
    </w:p>
    <w:p w14:paraId="0C5C5CBC">
      <w:pPr>
        <w:keepNext w:val="0"/>
        <w:keepLines w:val="0"/>
        <w:pageBreakBefore w:val="0"/>
        <w:kinsoku/>
        <w:wordWrap/>
        <w:overflowPunct/>
        <w:topLinePunct w:val="0"/>
        <w:bidi w:val="0"/>
        <w:spacing w:line="480" w:lineRule="exact"/>
        <w:ind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2.2.5</w:t>
      </w:r>
      <w:r>
        <w:rPr>
          <w:rFonts w:hint="eastAsia" w:ascii="宋体" w:hAnsi="宋体" w:eastAsia="宋体" w:cs="宋体"/>
          <w:b/>
          <w:bCs/>
          <w:color w:val="auto"/>
          <w:sz w:val="24"/>
          <w:szCs w:val="24"/>
          <w:highlight w:val="none"/>
        </w:rPr>
        <w:t>在政府采购活动中，给予本国产品相对于非本国产品的价格评审优惠报价折扣幅度标准：</w:t>
      </w:r>
    </w:p>
    <w:p w14:paraId="77A95DDD">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国务院办公厅关于在政府采购中实施本国产品标准及相关政策的通知》（国办发〔2025〕34号）三、政府采购活动中既有本国产品又有非本国产品参与竞争的，依法对本国产品给予价格评审优惠，对本国产品的报价给予</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lang w:val="en-US" w:eastAsia="zh-CN"/>
        </w:rPr>
        <w:t>的价格扣除，用扣除后的价格参与评审。</w:t>
      </w:r>
    </w:p>
    <w:p w14:paraId="698655CB">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lang w:val="en-US" w:eastAsia="zh-CN"/>
        </w:rPr>
        <w:t>的价格扣除，用扣除后的价格参与评审。</w:t>
      </w:r>
    </w:p>
    <w:p w14:paraId="59A12E34">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符合以上政策价格评审优惠政策的，需按以下要求提供证明文件，否则不予享受价格评审优惠政策： </w:t>
      </w:r>
    </w:p>
    <w:p w14:paraId="31617947">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具《关于符合本国产品标准的声明函》（样式见第六章投标文件格式）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17CECCC3">
      <w:pPr>
        <w:keepNext w:val="0"/>
        <w:keepLines w:val="0"/>
        <w:pageBreakBefore w:val="0"/>
        <w:kinsoku/>
        <w:wordWrap/>
        <w:overflowPunct/>
        <w:topLinePunct w:val="0"/>
        <w:bidi w:val="0"/>
        <w:spacing w:line="480" w:lineRule="exact"/>
        <w:ind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125DDF70">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（1）文字表述的内容含义不明确；</w:t>
      </w:r>
    </w:p>
    <w:p w14:paraId="39E06C3F">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（2）同类问题表述不一致；</w:t>
      </w:r>
    </w:p>
    <w:p w14:paraId="36839366">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（3）有明显文字和计算错误；</w:t>
      </w:r>
    </w:p>
    <w:p w14:paraId="57DB391F">
      <w:pPr>
        <w:keepNext w:val="0"/>
        <w:keepLines w:val="0"/>
        <w:pageBreakBefore w:val="0"/>
        <w:kinsoku/>
        <w:wordWrap/>
        <w:overflowPunct/>
        <w:topLinePunct w:val="0"/>
        <w:bidi w:val="0"/>
        <w:spacing w:line="48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）评标委员会认定的其他非实质性偏离。</w:t>
      </w:r>
    </w:p>
    <w:p w14:paraId="48CFB69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14:paraId="516399FD">
      <w:pPr>
        <w:pStyle w:val="10"/>
        <w:keepNext w:val="0"/>
        <w:keepLines w:val="0"/>
        <w:pageBreakBefore w:val="0"/>
        <w:widowControl w:val="0"/>
        <w:tabs>
          <w:tab w:val="left" w:pos="600"/>
        </w:tabs>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highlight w:val="none"/>
        </w:rPr>
      </w:pPr>
      <w:r>
        <w:rPr>
          <w:rFonts w:hint="eastAsia" w:ascii="宋体" w:hAnsi="宋体" w:eastAsia="宋体" w:cs="宋体"/>
          <w:b/>
          <w:color w:val="auto"/>
          <w:szCs w:val="32"/>
          <w:highlight w:val="none"/>
        </w:rPr>
        <w:t>综合评分明细表</w:t>
      </w:r>
    </w:p>
    <w:tbl>
      <w:tblPr>
        <w:tblStyle w:val="22"/>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35"/>
        <w:gridCol w:w="2292"/>
        <w:gridCol w:w="5419"/>
      </w:tblGrid>
      <w:tr w14:paraId="0E75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0" w:type="dxa"/>
            <w:noWrap w:val="0"/>
            <w:vAlign w:val="center"/>
          </w:tcPr>
          <w:p w14:paraId="0B02EE22">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235" w:type="dxa"/>
            <w:noWrap w:val="0"/>
            <w:vAlign w:val="center"/>
          </w:tcPr>
          <w:p w14:paraId="1DAF3674">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评审因素</w:t>
            </w:r>
          </w:p>
        </w:tc>
        <w:tc>
          <w:tcPr>
            <w:tcW w:w="2292" w:type="dxa"/>
            <w:noWrap w:val="0"/>
            <w:vAlign w:val="center"/>
          </w:tcPr>
          <w:p w14:paraId="3967318E">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分值</w:t>
            </w:r>
          </w:p>
        </w:tc>
        <w:tc>
          <w:tcPr>
            <w:tcW w:w="5419" w:type="dxa"/>
            <w:noWrap w:val="0"/>
            <w:vAlign w:val="center"/>
          </w:tcPr>
          <w:p w14:paraId="1B03854E">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评审标准</w:t>
            </w:r>
          </w:p>
        </w:tc>
      </w:tr>
      <w:tr w14:paraId="3933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720" w:type="dxa"/>
            <w:noWrap w:val="0"/>
            <w:vAlign w:val="center"/>
          </w:tcPr>
          <w:p w14:paraId="53E95859">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35" w:type="dxa"/>
            <w:noWrap w:val="0"/>
            <w:vAlign w:val="center"/>
          </w:tcPr>
          <w:p w14:paraId="7BA0A097">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p w14:paraId="66D39B92">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w:t>
            </w:r>
          </w:p>
        </w:tc>
        <w:tc>
          <w:tcPr>
            <w:tcW w:w="2292" w:type="dxa"/>
            <w:noWrap w:val="0"/>
            <w:vAlign w:val="center"/>
          </w:tcPr>
          <w:p w14:paraId="0119FE09">
            <w:pPr>
              <w:keepNext w:val="0"/>
              <w:keepLines w:val="0"/>
              <w:pageBreakBefore w:val="0"/>
              <w:widowControl w:val="0"/>
              <w:tabs>
                <w:tab w:val="left" w:pos="600"/>
              </w:tabs>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r>
              <w:rPr>
                <w:rFonts w:hint="eastAsia" w:ascii="宋体" w:hAnsi="宋体" w:eastAsia="宋体" w:cs="宋体"/>
                <w:i w:val="0"/>
                <w:color w:val="auto"/>
                <w:kern w:val="2"/>
                <w:sz w:val="24"/>
                <w:szCs w:val="24"/>
                <w:highlight w:val="none"/>
                <w:lang w:val="en-US" w:eastAsia="zh-CN" w:bidi="ar-SA"/>
              </w:rPr>
              <w:t>（30分）</w:t>
            </w:r>
          </w:p>
        </w:tc>
        <w:tc>
          <w:tcPr>
            <w:tcW w:w="5419" w:type="dxa"/>
            <w:noWrap w:val="0"/>
            <w:vAlign w:val="center"/>
          </w:tcPr>
          <w:p w14:paraId="4104040A">
            <w:pPr>
              <w:keepNext w:val="0"/>
              <w:keepLines w:val="0"/>
              <w:pageBreakBefore w:val="0"/>
              <w:widowControl w:val="0"/>
              <w:tabs>
                <w:tab w:val="left" w:pos="600"/>
              </w:tabs>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价格分统一采用低价优先法计算，即满足招标文件要求且投标价格最低的投标报价为评标基准价，其价格分为满分。其他投标人的价格分统一按照下列公式计算：</w:t>
            </w:r>
          </w:p>
          <w:p w14:paraId="14148D6D">
            <w:pPr>
              <w:keepNext w:val="0"/>
              <w:keepLines w:val="0"/>
              <w:pageBreakBefore w:val="0"/>
              <w:widowControl w:val="0"/>
              <w:tabs>
                <w:tab w:val="left" w:pos="600"/>
              </w:tabs>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投标报价得分=(评标基准价／投标评审价)×100×价格分值*100%。</w:t>
            </w:r>
          </w:p>
          <w:p w14:paraId="63EBDA59">
            <w:pPr>
              <w:keepNext w:val="0"/>
              <w:keepLines w:val="0"/>
              <w:pageBreakBefore w:val="0"/>
              <w:widowControl w:val="0"/>
              <w:tabs>
                <w:tab w:val="left" w:pos="600"/>
              </w:tabs>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计算分数时四舍五入取小数点后两位（本项目专门面向中小企业采购，不再执行价格评审优惠的扶持政策）</w:t>
            </w:r>
          </w:p>
        </w:tc>
      </w:tr>
      <w:tr w14:paraId="0D6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0" w:type="dxa"/>
            <w:vMerge w:val="restart"/>
            <w:noWrap w:val="0"/>
            <w:vAlign w:val="center"/>
          </w:tcPr>
          <w:p w14:paraId="59CB512C">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235" w:type="dxa"/>
            <w:vMerge w:val="restart"/>
            <w:noWrap w:val="0"/>
            <w:vAlign w:val="center"/>
          </w:tcPr>
          <w:p w14:paraId="6078A53F">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技术评审</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rPr>
              <w:t>%</w:t>
            </w:r>
          </w:p>
        </w:tc>
        <w:tc>
          <w:tcPr>
            <w:tcW w:w="2292" w:type="dxa"/>
            <w:noWrap w:val="0"/>
            <w:vAlign w:val="center"/>
          </w:tcPr>
          <w:p w14:paraId="67B4E98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采购需求响应程度 </w:t>
            </w:r>
            <w:r>
              <w:rPr>
                <w:rFonts w:hint="eastAsia" w:ascii="宋体" w:hAnsi="宋体" w:eastAsia="宋体" w:cs="宋体"/>
                <w:i w:val="0"/>
                <w:color w:val="auto"/>
                <w:kern w:val="2"/>
                <w:sz w:val="24"/>
                <w:szCs w:val="24"/>
                <w:highlight w:val="none"/>
                <w:lang w:val="en-US" w:eastAsia="zh-CN" w:bidi="ar-SA"/>
              </w:rPr>
              <w:t>（30分）</w:t>
            </w:r>
          </w:p>
        </w:tc>
        <w:tc>
          <w:tcPr>
            <w:tcW w:w="5419" w:type="dxa"/>
            <w:noWrap w:val="0"/>
            <w:vAlign w:val="top"/>
          </w:tcPr>
          <w:p w14:paraId="262F999D">
            <w:pPr>
              <w:keepNext w:val="0"/>
              <w:keepLines w:val="0"/>
              <w:pageBreakBefore w:val="0"/>
              <w:widowControl/>
              <w:suppressLineNumbers w:val="0"/>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投标人所投产品的技术参数要求完全满足招标文件要求没有负偏离的得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分，标注“▲”的技术参数有一项负偏离扣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分，非“▲”号技术指标参数一项不满足扣</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分扣完为止。</w:t>
            </w:r>
          </w:p>
          <w:p w14:paraId="4EF6D31D">
            <w:pPr>
              <w:keepNext w:val="0"/>
              <w:keepLines w:val="0"/>
              <w:pageBreakBefore w:val="0"/>
              <w:widowControl/>
              <w:suppressLineNumbers w:val="0"/>
              <w:kinsoku/>
              <w:wordWrap/>
              <w:overflowPunct/>
              <w:topLinePunct w:val="0"/>
              <w:bidi w:val="0"/>
              <w:spacing w:line="36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标注“▲”</w:t>
            </w:r>
            <w:r>
              <w:rPr>
                <w:rFonts w:hint="eastAsia" w:ascii="宋体" w:hAnsi="宋体" w:eastAsia="宋体" w:cs="宋体"/>
                <w:color w:val="auto"/>
                <w:sz w:val="24"/>
                <w:szCs w:val="24"/>
                <w:highlight w:val="none"/>
                <w:lang w:val="en-US" w:eastAsia="zh-CN"/>
              </w:rPr>
              <w:t>参数须提供技术支持资料，技术支持资料指（</w:t>
            </w:r>
            <w:r>
              <w:rPr>
                <w:rFonts w:hint="eastAsia" w:ascii="宋体" w:hAnsi="宋体" w:eastAsia="宋体" w:cs="宋体"/>
                <w:b/>
                <w:bCs/>
                <w:color w:val="auto"/>
                <w:sz w:val="24"/>
                <w:szCs w:val="24"/>
                <w:highlight w:val="none"/>
                <w:lang w:val="en-US" w:eastAsia="zh-CN"/>
              </w:rPr>
              <w:t>提供公安部相关检验机构出具的承检范围包括本投标产品的检验报告（复印件加盖厂家公章），复印件加盖厂家公章</w:t>
            </w:r>
            <w:r>
              <w:rPr>
                <w:rFonts w:hint="eastAsia" w:ascii="宋体" w:hAnsi="宋体" w:eastAsia="宋体" w:cs="宋体"/>
                <w:color w:val="auto"/>
                <w:sz w:val="24"/>
                <w:szCs w:val="24"/>
                <w:highlight w:val="none"/>
                <w:lang w:val="en-US" w:eastAsia="zh-CN"/>
              </w:rPr>
              <w:t>可以证明满足本项目的技术</w:t>
            </w:r>
            <w:r>
              <w:rPr>
                <w:rFonts w:hint="eastAsia" w:ascii="宋体" w:hAnsi="宋体" w:eastAsia="宋体" w:cs="宋体"/>
                <w:color w:val="auto"/>
                <w:sz w:val="24"/>
                <w:szCs w:val="24"/>
                <w:highlight w:val="none"/>
              </w:rPr>
              <w:t>指标参数</w:t>
            </w:r>
            <w:r>
              <w:rPr>
                <w:rFonts w:hint="eastAsia" w:ascii="宋体" w:hAnsi="宋体" w:eastAsia="宋体" w:cs="宋体"/>
                <w:color w:val="auto"/>
                <w:sz w:val="24"/>
                <w:szCs w:val="24"/>
                <w:highlight w:val="none"/>
                <w:lang w:val="en-US" w:eastAsia="zh-CN"/>
              </w:rPr>
              <w:t>，在技术参数偏离表</w:t>
            </w: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color w:val="auto"/>
                <w:sz w:val="24"/>
                <w:szCs w:val="24"/>
                <w:highlight w:val="none"/>
                <w:lang w:val="en-US" w:eastAsia="zh-CN"/>
              </w:rPr>
              <w:t>栏中标明页码），未提供有效支持依据的可按负偏离扣分处理。其他</w:t>
            </w:r>
            <w:r>
              <w:rPr>
                <w:rFonts w:hint="eastAsia" w:ascii="宋体" w:hAnsi="宋体" w:eastAsia="宋体" w:cs="宋体"/>
                <w:color w:val="auto"/>
                <w:sz w:val="24"/>
                <w:szCs w:val="24"/>
                <w:highlight w:val="none"/>
              </w:rPr>
              <w:t>非“▲”号</w:t>
            </w:r>
            <w:r>
              <w:rPr>
                <w:rFonts w:hint="eastAsia" w:ascii="宋体" w:hAnsi="宋体" w:eastAsia="宋体" w:cs="宋体"/>
                <w:color w:val="auto"/>
                <w:sz w:val="24"/>
                <w:szCs w:val="24"/>
                <w:highlight w:val="none"/>
                <w:lang w:val="en-US" w:eastAsia="zh-CN"/>
              </w:rPr>
              <w:t>技术参数在偏离表中承诺满足参数即可。</w:t>
            </w:r>
          </w:p>
        </w:tc>
      </w:tr>
      <w:tr w14:paraId="1EE9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09CB6F30">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p>
        </w:tc>
        <w:tc>
          <w:tcPr>
            <w:tcW w:w="1235" w:type="dxa"/>
            <w:vMerge w:val="continue"/>
            <w:noWrap w:val="0"/>
            <w:vAlign w:val="center"/>
          </w:tcPr>
          <w:p w14:paraId="300CA28B">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4"/>
                <w:szCs w:val="24"/>
                <w:highlight w:val="none"/>
              </w:rPr>
            </w:pPr>
          </w:p>
        </w:tc>
        <w:tc>
          <w:tcPr>
            <w:tcW w:w="2292" w:type="dxa"/>
            <w:noWrap w:val="0"/>
            <w:vAlign w:val="center"/>
          </w:tcPr>
          <w:p w14:paraId="56FA393E">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color w:val="auto"/>
                <w:kern w:val="2"/>
                <w:sz w:val="24"/>
                <w:szCs w:val="24"/>
                <w:highlight w:val="none"/>
                <w:lang w:val="en-US" w:eastAsia="zh-CN" w:bidi="ar-SA"/>
              </w:rPr>
              <w:t>售后服务方案（15分）</w:t>
            </w:r>
          </w:p>
        </w:tc>
        <w:tc>
          <w:tcPr>
            <w:tcW w:w="5419" w:type="dxa"/>
            <w:noWrap w:val="0"/>
            <w:vAlign w:val="top"/>
          </w:tcPr>
          <w:p w14:paraId="045079CB">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提供的售后服务方案进行综合评分，包含：（1）售后服务承诺及保障措施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）售后服务响应时间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）产品维护方案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）售后服人员及人员分配方案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）应急处理方案</w:t>
            </w:r>
            <w:r>
              <w:rPr>
                <w:rFonts w:hint="eastAsia" w:ascii="宋体" w:hAnsi="宋体" w:eastAsia="宋体" w:cs="宋体"/>
                <w:color w:val="auto"/>
                <w:sz w:val="24"/>
                <w:szCs w:val="24"/>
                <w:highlight w:val="none"/>
                <w:lang w:eastAsia="zh-CN"/>
              </w:rPr>
              <w:t>。</w:t>
            </w:r>
          </w:p>
          <w:p w14:paraId="5DB7AEBB">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以上方案</w:t>
            </w:r>
            <w:r>
              <w:rPr>
                <w:rFonts w:hint="eastAsia" w:ascii="宋体" w:hAnsi="宋体" w:eastAsia="宋体" w:cs="宋体"/>
                <w:color w:val="auto"/>
                <w:sz w:val="24"/>
                <w:szCs w:val="24"/>
                <w:highlight w:val="none"/>
              </w:rPr>
              <w:t>全面完整符合项目需求的得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分，每有一项缺失扣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有一项要求的方案内容有一处缺陷的（缺陷是指：非专门针对本项目或不适用本项目实际情况的情形（与项目实际不匹配、不符合项目特点）、逻辑或原理错误、内容不完整或缺少关键节点、套用其他项目方案、内容前后矛盾、涉及的规范及标准错误、不利于项目实施、不可能实现的情形等任意一种情形。）一处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tc>
      </w:tr>
      <w:tr w14:paraId="3C1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5F831DB5">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p>
        </w:tc>
        <w:tc>
          <w:tcPr>
            <w:tcW w:w="1235" w:type="dxa"/>
            <w:vMerge w:val="continue"/>
            <w:noWrap w:val="0"/>
            <w:vAlign w:val="center"/>
          </w:tcPr>
          <w:p w14:paraId="2C2DAF1B">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4"/>
                <w:szCs w:val="24"/>
                <w:highlight w:val="none"/>
              </w:rPr>
            </w:pPr>
          </w:p>
        </w:tc>
        <w:tc>
          <w:tcPr>
            <w:tcW w:w="2292" w:type="dxa"/>
            <w:noWrap w:val="0"/>
            <w:vAlign w:val="center"/>
          </w:tcPr>
          <w:p w14:paraId="5779E2B0">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实施方案</w:t>
            </w:r>
            <w:r>
              <w:rPr>
                <w:rFonts w:hint="eastAsia" w:ascii="宋体" w:hAnsi="宋体" w:eastAsia="宋体" w:cs="宋体"/>
                <w:i w:val="0"/>
                <w:color w:val="auto"/>
                <w:kern w:val="2"/>
                <w:sz w:val="24"/>
                <w:szCs w:val="24"/>
                <w:highlight w:val="none"/>
                <w:lang w:val="en-US" w:eastAsia="zh-CN" w:bidi="ar-SA"/>
              </w:rPr>
              <w:t>（18分）</w:t>
            </w:r>
          </w:p>
        </w:tc>
        <w:tc>
          <w:tcPr>
            <w:tcW w:w="5419" w:type="dxa"/>
            <w:noWrap w:val="0"/>
            <w:vAlign w:val="top"/>
          </w:tcPr>
          <w:p w14:paraId="607FB782">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根据投标人针对本项目制定的实施方案进行综合评分：实施方案包含：（1）制定总体技术方案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）项目进度计划安排；（</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）实施人员配置；（</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）运输配送方案；（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）质量保障措施等。（</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）培训及技术指导方案</w:t>
            </w:r>
            <w:r>
              <w:rPr>
                <w:rFonts w:hint="eastAsia" w:ascii="宋体" w:hAnsi="宋体" w:eastAsia="宋体" w:cs="宋体"/>
                <w:color w:val="auto"/>
                <w:sz w:val="24"/>
                <w:szCs w:val="24"/>
                <w:highlight w:val="none"/>
                <w:lang w:val="en-US" w:eastAsia="zh-CN"/>
              </w:rPr>
              <w:t>等。</w:t>
            </w:r>
          </w:p>
          <w:p w14:paraId="1F9C3C4B">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szCs w:val="24"/>
                <w:highlight w:val="none"/>
                <w:lang w:val="en-US" w:eastAsia="zh-CN"/>
              </w:rPr>
              <w:t>以上方案</w:t>
            </w:r>
            <w:r>
              <w:rPr>
                <w:rFonts w:hint="eastAsia" w:ascii="宋体" w:hAnsi="宋体" w:eastAsia="宋体" w:cs="宋体"/>
                <w:color w:val="auto"/>
                <w:sz w:val="24"/>
                <w:szCs w:val="24"/>
                <w:highlight w:val="none"/>
                <w:lang w:val="en-US" w:eastAsia="zh-CN"/>
              </w:rPr>
              <w:t>全面完整符合项目需求的得18分，每有一项缺失扣3分，每有一项要求的方案内容有一处缺陷的（缺陷是指：非专门针对本项目或不适用本项目实际情况的情形（与项目实际不匹配、不符合项目特点）、逻辑或原理错误、内容不完整或缺少关键节点、套用其他项目方案、内容前后矛盾、涉及的规范及标准错误、不利于项目实施、不可能实现的情形等任意一种情形。）一处扣1分，扣完为止。</w:t>
            </w:r>
          </w:p>
        </w:tc>
      </w:tr>
      <w:tr w14:paraId="3A4F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0" w:type="dxa"/>
            <w:vMerge w:val="continue"/>
            <w:noWrap w:val="0"/>
            <w:vAlign w:val="center"/>
          </w:tcPr>
          <w:p w14:paraId="6FC30394">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p>
        </w:tc>
        <w:tc>
          <w:tcPr>
            <w:tcW w:w="1235" w:type="dxa"/>
            <w:vMerge w:val="continue"/>
            <w:noWrap w:val="0"/>
            <w:vAlign w:val="center"/>
          </w:tcPr>
          <w:p w14:paraId="0F50686B">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4"/>
                <w:szCs w:val="24"/>
                <w:highlight w:val="none"/>
              </w:rPr>
            </w:pPr>
          </w:p>
        </w:tc>
        <w:tc>
          <w:tcPr>
            <w:tcW w:w="2292" w:type="dxa"/>
            <w:noWrap w:val="0"/>
            <w:vAlign w:val="center"/>
          </w:tcPr>
          <w:p w14:paraId="6F63BCB6">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退货、换货方案（4分）</w:t>
            </w:r>
          </w:p>
        </w:tc>
        <w:tc>
          <w:tcPr>
            <w:tcW w:w="5419" w:type="dxa"/>
            <w:noWrap w:val="0"/>
            <w:vAlign w:val="top"/>
          </w:tcPr>
          <w:p w14:paraId="112114E5">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制定针对产品问题产生的退换货方案，包括（但不限于）：①制定退货换货要求、②退货换货流程、③退货换货检查与考核、④退货换货责任划分、退货换货处理等内容；</w:t>
            </w:r>
          </w:p>
          <w:p w14:paraId="031785F5">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全部提供以上方案得4分；每缺少1方面内容扣1分，每有1处内容存在不足之处(指内容不全面或不完善、与项目实际不匹配或存在偏差、内容缺乏逻辑性等)扣0.5分，扣完为止。 </w:t>
            </w:r>
          </w:p>
        </w:tc>
      </w:tr>
      <w:tr w14:paraId="0A45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20" w:type="dxa"/>
            <w:vMerge w:val="continue"/>
            <w:noWrap w:val="0"/>
            <w:vAlign w:val="center"/>
          </w:tcPr>
          <w:p w14:paraId="57514F54">
            <w:pPr>
              <w:keepNext w:val="0"/>
              <w:keepLines w:val="0"/>
              <w:pageBreakBefore w:val="0"/>
              <w:widowControl w:val="0"/>
              <w:tabs>
                <w:tab w:val="left" w:pos="600"/>
              </w:tabs>
              <w:kinsoku/>
              <w:wordWrap/>
              <w:overflowPunct/>
              <w:topLinePunct w:val="0"/>
              <w:bidi w:val="0"/>
              <w:spacing w:line="360" w:lineRule="auto"/>
              <w:ind w:left="0" w:right="0" w:firstLine="0"/>
              <w:jc w:val="center"/>
              <w:textAlignment w:val="auto"/>
              <w:rPr>
                <w:rFonts w:hint="default" w:ascii="宋体" w:hAnsi="宋体" w:eastAsia="宋体" w:cs="宋体"/>
                <w:color w:val="auto"/>
                <w:kern w:val="2"/>
                <w:sz w:val="24"/>
                <w:szCs w:val="24"/>
                <w:highlight w:val="none"/>
                <w:lang w:val="en-US" w:eastAsia="zh-CN" w:bidi="ar-SA"/>
              </w:rPr>
            </w:pPr>
          </w:p>
        </w:tc>
        <w:tc>
          <w:tcPr>
            <w:tcW w:w="1235" w:type="dxa"/>
            <w:shd w:val="clear" w:color="auto" w:fill="auto"/>
            <w:noWrap w:val="0"/>
            <w:vAlign w:val="center"/>
          </w:tcPr>
          <w:p w14:paraId="529766AA">
            <w:pPr>
              <w:keepNext w:val="0"/>
              <w:keepLines w:val="0"/>
              <w:pageBreakBefore w:val="0"/>
              <w:widowControl w:val="0"/>
              <w:tabs>
                <w:tab w:val="left" w:pos="600"/>
              </w:tabs>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商务评审   </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p>
        </w:tc>
        <w:tc>
          <w:tcPr>
            <w:tcW w:w="2292" w:type="dxa"/>
            <w:shd w:val="clear" w:color="auto" w:fill="auto"/>
            <w:noWrap w:val="0"/>
            <w:vAlign w:val="center"/>
          </w:tcPr>
          <w:p w14:paraId="527169B3">
            <w:pPr>
              <w:keepNext w:val="0"/>
              <w:keepLines w:val="0"/>
              <w:pageBreakBefore w:val="0"/>
              <w:widowControl w:val="0"/>
              <w:kinsoku/>
              <w:wordWrap/>
              <w:overflowPunct/>
              <w:topLinePunct w:val="0"/>
              <w:bidi w:val="0"/>
              <w:spacing w:line="360" w:lineRule="auto"/>
              <w:ind w:left="0" w:right="0" w:firstLine="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9"/>
                <w:kern w:val="2"/>
                <w:sz w:val="24"/>
                <w:szCs w:val="24"/>
                <w:highlight w:val="none"/>
                <w:lang w:val="en-US" w:eastAsia="zh-CN" w:bidi="ar-SA"/>
              </w:rPr>
              <w:t>类似</w:t>
            </w:r>
            <w:r>
              <w:rPr>
                <w:rFonts w:hint="eastAsia" w:ascii="宋体" w:hAnsi="宋体" w:eastAsia="宋体" w:cs="宋体"/>
                <w:color w:val="auto"/>
                <w:spacing w:val="-9"/>
                <w:kern w:val="2"/>
                <w:sz w:val="24"/>
                <w:szCs w:val="24"/>
                <w:highlight w:val="none"/>
                <w:lang w:val="en-US" w:eastAsia="en-US" w:bidi="ar-SA"/>
              </w:rPr>
              <w:t>项目</w:t>
            </w:r>
            <w:r>
              <w:rPr>
                <w:rFonts w:hint="eastAsia" w:ascii="宋体" w:hAnsi="宋体" w:eastAsia="宋体" w:cs="宋体"/>
                <w:color w:val="auto"/>
                <w:spacing w:val="-6"/>
                <w:kern w:val="2"/>
                <w:sz w:val="24"/>
                <w:szCs w:val="24"/>
                <w:highlight w:val="none"/>
                <w:lang w:val="en-US" w:eastAsia="zh-CN" w:bidi="ar-SA"/>
              </w:rPr>
              <w:t>业绩</w:t>
            </w:r>
          </w:p>
          <w:p w14:paraId="113FF1AC">
            <w:pPr>
              <w:keepNext w:val="0"/>
              <w:keepLines w:val="0"/>
              <w:pageBreakBefore w:val="0"/>
              <w:widowControl w:val="0"/>
              <w:kinsoku/>
              <w:wordWrap/>
              <w:overflowPunct/>
              <w:topLinePunct w:val="0"/>
              <w:bidi w:val="0"/>
              <w:spacing w:line="36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9"/>
                <w:kern w:val="2"/>
                <w:sz w:val="24"/>
                <w:szCs w:val="24"/>
                <w:highlight w:val="none"/>
                <w:lang w:val="en-US" w:eastAsia="en-US" w:bidi="ar-SA"/>
              </w:rPr>
              <w:t>（</w:t>
            </w:r>
            <w:r>
              <w:rPr>
                <w:rFonts w:hint="eastAsia" w:ascii="宋体" w:hAnsi="宋体" w:eastAsia="宋体" w:cs="宋体"/>
                <w:color w:val="auto"/>
                <w:spacing w:val="-9"/>
                <w:kern w:val="2"/>
                <w:sz w:val="24"/>
                <w:szCs w:val="24"/>
                <w:highlight w:val="none"/>
                <w:lang w:val="en-US" w:eastAsia="zh-CN" w:bidi="ar-SA"/>
              </w:rPr>
              <w:t>3</w:t>
            </w:r>
            <w:r>
              <w:rPr>
                <w:rFonts w:hint="eastAsia" w:ascii="宋体" w:hAnsi="宋体" w:eastAsia="宋体" w:cs="宋体"/>
                <w:color w:val="auto"/>
                <w:spacing w:val="-9"/>
                <w:kern w:val="2"/>
                <w:sz w:val="24"/>
                <w:szCs w:val="24"/>
                <w:highlight w:val="none"/>
                <w:lang w:val="en-US" w:eastAsia="en-US" w:bidi="ar-SA"/>
              </w:rPr>
              <w:t>分）</w:t>
            </w:r>
          </w:p>
        </w:tc>
        <w:tc>
          <w:tcPr>
            <w:tcW w:w="5419" w:type="dxa"/>
            <w:shd w:val="clear" w:color="auto" w:fill="auto"/>
            <w:noWrap w:val="0"/>
            <w:vAlign w:val="center"/>
          </w:tcPr>
          <w:p w14:paraId="3B5FB8B0">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投标人提供近三年（202</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年</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zh-CN" w:eastAsia="zh-CN" w:bidi="ar-SA"/>
              </w:rPr>
              <w:t>月1日至</w:t>
            </w:r>
            <w:r>
              <w:rPr>
                <w:rFonts w:hint="eastAsia" w:ascii="宋体" w:hAnsi="宋体" w:eastAsia="宋体" w:cs="宋体"/>
                <w:color w:val="auto"/>
                <w:kern w:val="2"/>
                <w:sz w:val="24"/>
                <w:szCs w:val="24"/>
                <w:highlight w:val="none"/>
                <w:lang w:val="en-US" w:eastAsia="zh-CN" w:bidi="ar-SA"/>
              </w:rPr>
              <w:t>投标截止时间</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spacing w:val="-9"/>
                <w:sz w:val="24"/>
                <w:szCs w:val="24"/>
                <w:highlight w:val="none"/>
                <w:lang w:val="en-US" w:eastAsia="zh-CN"/>
              </w:rPr>
              <w:t>类似</w:t>
            </w:r>
            <w:r>
              <w:rPr>
                <w:rFonts w:hint="eastAsia" w:ascii="宋体" w:hAnsi="宋体" w:eastAsia="宋体" w:cs="宋体"/>
                <w:color w:val="auto"/>
                <w:kern w:val="2"/>
                <w:sz w:val="24"/>
                <w:szCs w:val="24"/>
                <w:highlight w:val="none"/>
                <w:lang w:val="zh-CN" w:eastAsia="zh-CN" w:bidi="ar-SA"/>
              </w:rPr>
              <w:t>项目业绩，（须提供中标（成交）通知书或合同复印件，未提供不得分），每项业绩加</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分，最高</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无提供不得分。</w:t>
            </w:r>
          </w:p>
          <w:p w14:paraId="62A29E31">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注：所提供业绩为投标企业本单位业绩。</w:t>
            </w:r>
          </w:p>
        </w:tc>
      </w:tr>
    </w:tbl>
    <w:p w14:paraId="55DE75D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734AC0B">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2.评委需要严格按照以上方法赋分，不得超过分数界限赋分。</w:t>
      </w:r>
    </w:p>
    <w:p w14:paraId="255BB2F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3.最低报价不是中标的唯一依据。</w:t>
      </w:r>
    </w:p>
    <w:p w14:paraId="1F794147">
      <w:pPr>
        <w:pStyle w:val="10"/>
        <w:keepNext w:val="0"/>
        <w:keepLines w:val="0"/>
        <w:pageBreakBefore w:val="0"/>
        <w:tabs>
          <w:tab w:val="left" w:pos="600"/>
        </w:tabs>
        <w:kinsoku/>
        <w:wordWrap/>
        <w:overflowPunct/>
        <w:topLinePunct w:val="0"/>
        <w:bidi w:val="0"/>
        <w:adjustRightInd/>
        <w:snapToGrid/>
        <w:spacing w:line="480" w:lineRule="exact"/>
        <w:ind w:right="0" w:firstLine="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2.3无效投标的认定</w:t>
      </w:r>
    </w:p>
    <w:p w14:paraId="4073D4B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在评标过程中，出现下列情形之一的，投标无效：</w:t>
      </w:r>
    </w:p>
    <w:p w14:paraId="2E86C77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（1）投标文件未按照招标文件要求签署、盖章的；</w:t>
      </w:r>
    </w:p>
    <w:p w14:paraId="69B3316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（2）投标文件未按照招标文件规定的格式要求编制的；</w:t>
      </w:r>
    </w:p>
    <w:p w14:paraId="569D0B0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（3）不具备招标文件中规定的资格要求的；</w:t>
      </w:r>
    </w:p>
    <w:p w14:paraId="33895AA0">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（4）投标报价超过了招标文件中规定的预算金额或者最高限价的；</w:t>
      </w:r>
    </w:p>
    <w:p w14:paraId="2CF8E7A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（5）投标内容出现漏项或数量与要求不符的；</w:t>
      </w:r>
    </w:p>
    <w:p w14:paraId="646FE71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（6）投标有效期、合同履行期限、质保期、售后服务等商务条款不能满足招标文件要求的；</w:t>
      </w:r>
    </w:p>
    <w:p w14:paraId="74584A48">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（7）投标文件中附有采购人不能接受的附加条件的；</w:t>
      </w:r>
    </w:p>
    <w:p w14:paraId="4C2690E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（8）投标产品的技术规格、技术标准明显不符合招标项目的要求的；</w:t>
      </w:r>
    </w:p>
    <w:p w14:paraId="5CF00D3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（9）投标货物（产品）不符合强制执行的国家标准、行业标准的；</w:t>
      </w:r>
    </w:p>
    <w:p w14:paraId="0D6338E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（10）投标货物（产品）不是国家强制节能产品品目清单中的产品（如有）；</w:t>
      </w:r>
    </w:p>
    <w:p w14:paraId="3254CDC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（11）进口货物（产品）未办理正常进口手续的（如有）；</w:t>
      </w:r>
    </w:p>
    <w:p w14:paraId="509426F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（12）投标文件的关键内容字迹模糊和无法辨认的；</w:t>
      </w:r>
    </w:p>
    <w:p w14:paraId="5EF4E75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（13）法律法规和招标文件规定的其他情形的。</w:t>
      </w:r>
    </w:p>
    <w:p w14:paraId="2BF1E249">
      <w:pPr>
        <w:keepNext w:val="0"/>
        <w:keepLines w:val="0"/>
        <w:pageBreakBefore w:val="0"/>
        <w:widowControl/>
        <w:kinsoku/>
        <w:wordWrap/>
        <w:overflowPunct/>
        <w:topLinePunct w:val="0"/>
        <w:autoSpaceDE w:val="0"/>
        <w:autoSpaceDN w:val="0"/>
        <w:bidi w:val="0"/>
        <w:adjustRightInd/>
        <w:snapToGrid/>
        <w:spacing w:line="480" w:lineRule="exact"/>
        <w:ind w:right="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特殊情况的处理</w:t>
      </w:r>
    </w:p>
    <w:p w14:paraId="403FF5E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投标文件中如果出现计算错误，可按以下原则进行修正：</w:t>
      </w:r>
    </w:p>
    <w:p w14:paraId="3B1FE2F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6CB806B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（2）投标文件中的总价金额与按单价计算的汇总金额不一致的，以单价计算的汇总金额为准；</w:t>
      </w:r>
    </w:p>
    <w:p w14:paraId="283D334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（3）投标文件中的单价金额有明显小数点错误的，以总价为准，并修改单价；</w:t>
      </w:r>
    </w:p>
    <w:p w14:paraId="50A883A5">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（4）投标文件中有关分项表内容与“开标一览表”不一致的，以“开标一览表”为准；</w:t>
      </w:r>
    </w:p>
    <w:p w14:paraId="47E4A2B7">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（5）投标文件中图表与文字表述不一致的，以文字表述为准；</w:t>
      </w:r>
    </w:p>
    <w:p w14:paraId="37423B8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）对不同文字文本投标文件的解释发生异议的，以中文文本为准。</w:t>
      </w:r>
    </w:p>
    <w:p w14:paraId="22720A2A">
      <w:pPr>
        <w:keepNext w:val="0"/>
        <w:keepLines w:val="0"/>
        <w:pageBreakBefore w:val="0"/>
        <w:widowControl/>
        <w:kinsoku/>
        <w:wordWrap/>
        <w:overflowPunct/>
        <w:topLinePunct w:val="0"/>
        <w:autoSpaceDE w:val="0"/>
        <w:autoSpaceDN w:val="0"/>
        <w:bidi w:val="0"/>
        <w:adjustRightInd/>
        <w:snapToGrid/>
        <w:spacing w:line="480" w:lineRule="exact"/>
        <w:ind w:right="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按上述修正错误的方法调整的投标报价应对投标人具有约束力。如果投标人不接受修正后的价格，其投标将被拒绝。</w:t>
      </w:r>
    </w:p>
    <w:p w14:paraId="3372C159">
      <w:pPr>
        <w:keepNext w:val="0"/>
        <w:keepLines w:val="0"/>
        <w:pageBreakBefore w:val="0"/>
        <w:widowControl/>
        <w:kinsoku/>
        <w:wordWrap/>
        <w:overflowPunct/>
        <w:topLinePunct w:val="0"/>
        <w:autoSpaceDE w:val="0"/>
        <w:autoSpaceDN w:val="0"/>
        <w:bidi w:val="0"/>
        <w:adjustRightInd/>
        <w:snapToGrid/>
        <w:spacing w:line="480" w:lineRule="exact"/>
        <w:ind w:right="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投标文件中，若某项有不合理报价（或零报价、漏报价）的，经评标委员会评审后，此项得分为零，不参与投标报价分值的计算。</w:t>
      </w:r>
    </w:p>
    <w:p w14:paraId="03BFF1F2">
      <w:pPr>
        <w:keepNext w:val="0"/>
        <w:keepLines w:val="0"/>
        <w:pageBreakBefore w:val="0"/>
        <w:widowControl/>
        <w:kinsoku/>
        <w:wordWrap/>
        <w:overflowPunct/>
        <w:topLinePunct w:val="0"/>
        <w:autoSpaceDE w:val="0"/>
        <w:autoSpaceDN w:val="0"/>
        <w:bidi w:val="0"/>
        <w:adjustRightInd/>
        <w:snapToGrid/>
        <w:spacing w:line="480" w:lineRule="exact"/>
        <w:ind w:right="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评标委员会成员打分超过得分界限或未按本办法赋分时，该评标委员会成员的打分，按废票处理。</w:t>
      </w:r>
    </w:p>
    <w:p w14:paraId="31306402">
      <w:pPr>
        <w:keepNext w:val="0"/>
        <w:keepLines w:val="0"/>
        <w:pageBreakBefore w:val="0"/>
        <w:widowControl/>
        <w:kinsoku/>
        <w:wordWrap/>
        <w:overflowPunct/>
        <w:topLinePunct w:val="0"/>
        <w:autoSpaceDE w:val="0"/>
        <w:autoSpaceDN w:val="0"/>
        <w:bidi w:val="0"/>
        <w:adjustRightInd/>
        <w:snapToGrid/>
        <w:spacing w:line="480" w:lineRule="exact"/>
        <w:ind w:right="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评标过程中，各种数字的计算结果，均保留两位小数，第三位“四舍五入”，但计算百分数时应精确到千分位，万分位“四舍五入”。</w:t>
      </w:r>
    </w:p>
    <w:p w14:paraId="150A853D">
      <w:pPr>
        <w:keepNext w:val="0"/>
        <w:keepLines w:val="0"/>
        <w:pageBreakBefore w:val="0"/>
        <w:widowControl/>
        <w:kinsoku/>
        <w:wordWrap/>
        <w:overflowPunct/>
        <w:topLinePunct w:val="0"/>
        <w:bidi w:val="0"/>
        <w:adjustRightInd/>
        <w:snapToGrid/>
        <w:spacing w:line="480" w:lineRule="exact"/>
        <w:ind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2.4.5 相同品牌的处理</w:t>
      </w:r>
    </w:p>
    <w:p w14:paraId="763202F5">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2.4.5.1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8908E5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2.4.5.2 非单一产品采购项目中，多家投标人提供的核心产品品牌相同的，视为提供相同品牌产品。采购人根据采购项目技术构成、产品价格比重等合理确定核心产品。核心产品的名称见第四章第2.2条款。</w:t>
      </w:r>
    </w:p>
    <w:p w14:paraId="32AE563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 评标过程中，若出现本评标办法以外的特殊情况时，将暂停评标，待评委会商榷后，再进行评定。</w:t>
      </w:r>
    </w:p>
    <w:p w14:paraId="42420B83">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2.4.7 评标报告签署后，采购人或者采购代理机构发现存在本章第1.5.2条款情形之一的，应当组织原评标委员会进行重新评审，重新评审改变中标结果的，书面报告本级财政部门。</w:t>
      </w:r>
    </w:p>
    <w:p w14:paraId="60F9E1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投标人对本章第1.5.2条（1）情形提出质疑的，采购代理机构应当组织原评标委员会进行重新评审，重新评审改变中标结果的，应当书面报告本级财政部门。</w:t>
      </w:r>
    </w:p>
    <w:p w14:paraId="172C90AF">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2.4.8 评标过程中，若出现合格投标人只有2家时，采购人可以选择以下其中一种方式：</w:t>
      </w:r>
    </w:p>
    <w:p w14:paraId="50F33DB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（1）本次招标按废标处理；</w:t>
      </w:r>
    </w:p>
    <w:p w14:paraId="4F28A26E">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（2）按照财政部《货物和服务招标投标管理办法》（87号令）第43条规定，改作竞争性谈判采购方式，继续采购活动。</w:t>
      </w:r>
    </w:p>
    <w:p w14:paraId="593D5441">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2.4.9 采购人若选择竞争性谈判采购方式继续采购活动时，应当按下列程序进行：</w:t>
      </w:r>
    </w:p>
    <w:p w14:paraId="5F99F40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（1）由评标委员会出具招标文件没有不合理条款、招标程序符合规定的书面意见并签署；</w:t>
      </w:r>
    </w:p>
    <w:p w14:paraId="219D369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（2）由采购人按规定向财政部门提出申请变更采购方式；</w:t>
      </w:r>
    </w:p>
    <w:p w14:paraId="00956D29">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（3）采购代理机构根据财政部门批准的竞争性谈判采购方式，编制竞争性谈判文件，并直接向这2家合格投标人提供竞争性谈判文件；</w:t>
      </w:r>
    </w:p>
    <w:p w14:paraId="6BC32604">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（4）采购代理机构将根据竞争性谈判文件规定的时间、地点组织竞争性谈判小组直接与这2家合格投标人进行竞争性谈判。</w:t>
      </w:r>
    </w:p>
    <w:p w14:paraId="3E91096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2.4.10 评标争议处理原则</w:t>
      </w:r>
    </w:p>
    <w:p w14:paraId="53C21BDC">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6395C2D9">
      <w:pPr>
        <w:pStyle w:val="4"/>
        <w:pageBreakBefore w:val="0"/>
        <w:widowControl w:val="0"/>
        <w:kinsoku/>
        <w:wordWrap/>
        <w:overflowPunct/>
        <w:topLinePunct w:val="0"/>
        <w:bidi w:val="0"/>
        <w:snapToGrid/>
        <w:spacing w:line="480" w:lineRule="exact"/>
        <w:ind w:firstLine="0"/>
        <w:jc w:val="center"/>
        <w:textAlignment w:val="auto"/>
        <w:rPr>
          <w:rFonts w:hint="eastAsia" w:ascii="宋体" w:hAnsi="宋体" w:eastAsia="宋体" w:cs="宋体"/>
          <w:b/>
          <w:color w:val="auto"/>
          <w:kern w:val="44"/>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kern w:val="44"/>
          <w:sz w:val="44"/>
          <w:szCs w:val="44"/>
          <w:highlight w:val="none"/>
          <w:lang w:val="en-US" w:eastAsia="zh-CN"/>
        </w:rPr>
        <w:t xml:space="preserve">第四章 </w:t>
      </w:r>
      <w:r>
        <w:rPr>
          <w:rFonts w:hint="eastAsia" w:ascii="宋体" w:hAnsi="宋体" w:eastAsia="宋体" w:cs="宋体"/>
          <w:b/>
          <w:color w:val="auto"/>
          <w:kern w:val="44"/>
          <w:sz w:val="44"/>
          <w:szCs w:val="44"/>
          <w:highlight w:val="none"/>
        </w:rPr>
        <w:t>采购内容及要求</w:t>
      </w:r>
      <w:bookmarkEnd w:id="162"/>
    </w:p>
    <w:p w14:paraId="123A2A9C">
      <w:pPr>
        <w:pStyle w:val="4"/>
        <w:pageBreakBefore w:val="0"/>
        <w:widowControl w:val="0"/>
        <w:kinsoku/>
        <w:wordWrap/>
        <w:overflowPunct/>
        <w:topLinePunct w:val="0"/>
        <w:bidi w:val="0"/>
        <w:snapToGrid/>
        <w:spacing w:line="480" w:lineRule="exact"/>
        <w:ind w:firstLine="0"/>
        <w:jc w:val="center"/>
        <w:textAlignment w:val="auto"/>
        <w:rPr>
          <w:rFonts w:hint="eastAsia" w:ascii="宋体" w:hAnsi="宋体" w:eastAsia="宋体" w:cs="宋体"/>
          <w:b/>
          <w:color w:val="auto"/>
          <w:kern w:val="44"/>
          <w:sz w:val="32"/>
          <w:szCs w:val="32"/>
          <w:highlight w:val="none"/>
        </w:rPr>
      </w:pPr>
      <w:bookmarkStart w:id="163" w:name="_Toc217446094"/>
      <w:r>
        <w:rPr>
          <w:rFonts w:hint="eastAsia" w:ascii="宋体" w:hAnsi="宋体" w:eastAsia="宋体" w:cs="宋体"/>
          <w:b/>
          <w:color w:val="auto"/>
          <w:kern w:val="44"/>
          <w:sz w:val="32"/>
          <w:szCs w:val="32"/>
          <w:highlight w:val="none"/>
          <w:lang w:val="en-US" w:eastAsia="zh-CN"/>
        </w:rPr>
        <w:t>一、</w:t>
      </w:r>
      <w:r>
        <w:rPr>
          <w:rFonts w:hint="eastAsia" w:ascii="宋体" w:hAnsi="宋体" w:eastAsia="宋体" w:cs="宋体"/>
          <w:b/>
          <w:color w:val="auto"/>
          <w:kern w:val="44"/>
          <w:sz w:val="32"/>
          <w:szCs w:val="32"/>
          <w:highlight w:val="none"/>
        </w:rPr>
        <w:t>采购货物清单及技术参数</w:t>
      </w:r>
    </w:p>
    <w:tbl>
      <w:tblPr>
        <w:tblStyle w:val="22"/>
        <w:tblpPr w:leftFromText="180" w:rightFromText="180" w:vertAnchor="text" w:horzAnchor="page" w:tblpXSpec="center" w:tblpY="310"/>
        <w:tblOverlap w:val="never"/>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33"/>
        <w:gridCol w:w="6139"/>
        <w:gridCol w:w="851"/>
        <w:gridCol w:w="689"/>
      </w:tblGrid>
      <w:tr w14:paraId="52A3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98" w:type="dxa"/>
            <w:noWrap w:val="0"/>
            <w:vAlign w:val="center"/>
          </w:tcPr>
          <w:p w14:paraId="0B5A77F4">
            <w:pPr>
              <w:widowControl w:val="0"/>
              <w:spacing w:line="360" w:lineRule="auto"/>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序号</w:t>
            </w:r>
          </w:p>
        </w:tc>
        <w:tc>
          <w:tcPr>
            <w:tcW w:w="1533" w:type="dxa"/>
            <w:noWrap w:val="0"/>
            <w:vAlign w:val="center"/>
          </w:tcPr>
          <w:p w14:paraId="3BC0A1F9">
            <w:pPr>
              <w:widowControl w:val="0"/>
              <w:spacing w:line="360" w:lineRule="auto"/>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名称</w:t>
            </w:r>
          </w:p>
        </w:tc>
        <w:tc>
          <w:tcPr>
            <w:tcW w:w="6139" w:type="dxa"/>
            <w:noWrap w:val="0"/>
            <w:vAlign w:val="center"/>
          </w:tcPr>
          <w:p w14:paraId="6FE1B12B">
            <w:pPr>
              <w:widowControl w:val="0"/>
              <w:spacing w:line="360" w:lineRule="auto"/>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主要参数</w:t>
            </w:r>
          </w:p>
        </w:tc>
        <w:tc>
          <w:tcPr>
            <w:tcW w:w="851" w:type="dxa"/>
            <w:noWrap w:val="0"/>
            <w:vAlign w:val="center"/>
          </w:tcPr>
          <w:p w14:paraId="1618B6DD">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数量</w:t>
            </w:r>
          </w:p>
        </w:tc>
        <w:tc>
          <w:tcPr>
            <w:tcW w:w="689" w:type="dxa"/>
            <w:noWrap w:val="0"/>
            <w:vAlign w:val="center"/>
          </w:tcPr>
          <w:p w14:paraId="32DF2E49">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单位</w:t>
            </w:r>
          </w:p>
        </w:tc>
      </w:tr>
      <w:tr w14:paraId="74A3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26675383">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1533" w:type="dxa"/>
            <w:noWrap w:val="0"/>
            <w:vAlign w:val="center"/>
          </w:tcPr>
          <w:p w14:paraId="566562A3">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泪喷射器（竖喷）</w:t>
            </w:r>
          </w:p>
        </w:tc>
        <w:tc>
          <w:tcPr>
            <w:tcW w:w="6139" w:type="dxa"/>
            <w:noWrap w:val="0"/>
            <w:vAlign w:val="center"/>
          </w:tcPr>
          <w:p w14:paraId="555A774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1、结构：由保险盖、扭簧、转轴、喷嘴、压套、支撑套、支撑盖、内罐、囊袋组件、催泪剂溶液、外罐等零部件组成；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2、尺寸：罐体外径Φ40mm±0.5mm，高度188.5mm±2mm；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3、质量：≤180g；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4、催泪剂溶液装填量：70ml±3ml；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▲5、连续喷射性能：喷射状态为定向射流状，喷射距离≥5m，有效喷射时间≥8.4s，完全喷射后剩余溶液量≤1.5ml；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6、间断喷射性能：催泪喷射器有效喷射3s后，放置8h后再次进行喷射，喷射距离≥4m，喷射距离达到4m的时间≥4s，完全喷射后剩余溶液量≤2ml；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7、承压安全性：催泪喷射器经1080N承压试验后，应不解体、不泄漏、不爆裂，能正常使用，且符合喷射性能的要求，喷射为定向射流状，喷射距离应≥5m，有效喷射时间应≥8.5s，完全喷射后剩余溶液量应≤1.5ml；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保险盖可靠性：催泪喷射器应配有安全可靠的防止误喷的保护帽，保护帽应装配平滑、复位顺畅，按钮开关松紧适度，有足够的回复力，保险盖重复启闭230次应可正常使用，喷射为定向射流状，喷射距离应≥5m，有效喷射时间应≥8.5s，完全喷射后剩余溶液量应≤1.5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▲9、跌落可靠性：经振动试验后的催泪喷射器以正立、倒置和横放三种姿态，从1.5m高度自由跌落至水泥地面上，各试验4次，应不解体、不泄露、不爆裂，且应符合连续喷射性能的要求；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10、温度适应性：-30℃~+55℃；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11、执行标准《GA 884-2018 公安单警装备 催泪喷射器》。</w:t>
            </w:r>
          </w:p>
        </w:tc>
        <w:tc>
          <w:tcPr>
            <w:tcW w:w="851" w:type="dxa"/>
            <w:noWrap w:val="0"/>
            <w:vAlign w:val="center"/>
          </w:tcPr>
          <w:p w14:paraId="699D1847">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689" w:type="dxa"/>
            <w:noWrap w:val="0"/>
            <w:vAlign w:val="center"/>
          </w:tcPr>
          <w:p w14:paraId="12346358">
            <w:pPr>
              <w:widowControl/>
              <w:spacing w:line="360" w:lineRule="auto"/>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个</w:t>
            </w:r>
          </w:p>
        </w:tc>
      </w:tr>
      <w:tr w14:paraId="4EEC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noWrap w:val="0"/>
            <w:vAlign w:val="center"/>
          </w:tcPr>
          <w:p w14:paraId="723178AC">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533" w:type="dxa"/>
            <w:noWrap w:val="0"/>
            <w:vAlign w:val="center"/>
          </w:tcPr>
          <w:p w14:paraId="7A5F929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泪喷射器（横喷）</w:t>
            </w:r>
          </w:p>
        </w:tc>
        <w:tc>
          <w:tcPr>
            <w:tcW w:w="6139" w:type="dxa"/>
            <w:noWrap w:val="0"/>
            <w:vAlign w:val="center"/>
          </w:tcPr>
          <w:p w14:paraId="4CDCFD3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1、结构：催泪喷射器由保险盖、横梁、压柄、喷嘴、支撑盖、锥形弹簧、内罐、囊袋组件、催泪剂溶液、外罐等零部件组成；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2、催泪剂中有效成分：合成辣椒素（0C）；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3、尺寸：筒身最大外径39mm±1mm，外罐外径37.5mm±0.5mm,高度176mm±2mm；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4、质量：195±15g；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5、催泪剂溶液装填量：70ml±3ml；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6、喷射性能：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▲6-1、连续喷射性能：喷射状态为定向射流状，喷射距离≥4m，有效喷射时间≥7s，完全喷射后剩余溶液量≤7ml；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6-2、间断喷射性能：催泪喷射器有效喷射3s后，放置8h后再次进行喷射，喷射距离≥3m，喷射距离达到3m的时间≥4s，完全喷射后剩余溶液量≤7ml；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7、适用温度：-30℃-55℃的环境下，应不解体、不泄露、不爆裂，并且符合连续喷射性能的要求。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8、执行标准：《GA884-2018 公安单警装备 催泪喷射器》。</w:t>
            </w:r>
          </w:p>
        </w:tc>
        <w:tc>
          <w:tcPr>
            <w:tcW w:w="851" w:type="dxa"/>
            <w:noWrap w:val="0"/>
            <w:vAlign w:val="center"/>
          </w:tcPr>
          <w:p w14:paraId="56918912">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689" w:type="dxa"/>
            <w:noWrap w:val="0"/>
            <w:vAlign w:val="center"/>
          </w:tcPr>
          <w:p w14:paraId="06823FF1">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1E1A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5E41E001">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533" w:type="dxa"/>
            <w:noWrap w:val="0"/>
            <w:vAlign w:val="center"/>
          </w:tcPr>
          <w:p w14:paraId="72F1CC59">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伸缩式警棍</w:t>
            </w:r>
          </w:p>
        </w:tc>
        <w:tc>
          <w:tcPr>
            <w:tcW w:w="6139" w:type="dxa"/>
            <w:noWrap w:val="0"/>
            <w:vAlign w:val="center"/>
          </w:tcPr>
          <w:p w14:paraId="47A5CDC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技术参数：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1、结构：由小管组件、中管组件、握把组件和开关组件组成。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▲2、尺寸：伸展长度508±1mm，收回长度224±1.5mm，握把外径26.5±0.05mm；中管外径20.5±0.05mm，小管外径16±0.05mm；；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3、颜色：金属件为亚光黑色，握把橡胶套为黑色；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4、重量：≤315g；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5、伸缩性能：能通过手拉或甩动的方式顺畅伸展，各节棍体锁定稳固，按压解锁按键回推，能顺畅收回；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6、防脱出性能：在收回状态下，对棍头施加5N轴向拉力，不应被拉出；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7、伸缩可靠性：伸缩警棍伸展、收回为一个循环，分别用拉出伸展和甩动伸展循环≥6000次，能正常伸展和收回；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8、轴向抗拉性能：伸缩警棍完全伸展并锁定状态下，对棍头施加轴向拉力至≥2500N,并保持1min后，应符合伸缩性能的要求；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9、抗弯性能：伸缩警棍完全伸展并锁定状态下，对伸缩警棍的中管施加≥5000N 压力，并保持1min后，应能正常伸展和收回；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▲10、耐击打性能：伸缩警棍完全伸展并锁定状态下，固定在专用击打试验机上，基础型伸缩警棍以3000N 击打力连续击打≥5000次，伸缩警棍不应断裂，棍头不脱落，应能正常伸展和收回；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▲11、耐极限击打：伸缩警棍完全伸展并锁定状态下，固定在专用击打试验机上，对钢制刀具进行击打，按10000N±200N 击打力值进行试验，击打≥42次后伸缩警棍不断裂，棍头不应脱落，应能正常伸展和收回；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▲12、握把橡胶套防脱性能：伸缩警棍在收回状态下，在警棍套中进行插拔试验＞20005次后，握把橡胶套应无卷边、翘起、鼓包、龟裂、移位等现象；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▲13、跌落可靠性：伸缩警棍在完全伸展并锁定和收回状态下，以水平、正立、倒立3种姿态，从≥2m 高度自由跌落至水泥地面上，各试验8次，应符合伸缩性能的要求；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14、耐腐蚀性：＞9级；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15、执行标准：《GA 886-2018公安单警装备  伸缩警棍》。</w:t>
            </w:r>
          </w:p>
        </w:tc>
        <w:tc>
          <w:tcPr>
            <w:tcW w:w="851" w:type="dxa"/>
            <w:noWrap w:val="0"/>
            <w:vAlign w:val="center"/>
          </w:tcPr>
          <w:p w14:paraId="178EE58D">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689" w:type="dxa"/>
            <w:noWrap w:val="0"/>
            <w:vAlign w:val="center"/>
          </w:tcPr>
          <w:p w14:paraId="220D66A0">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088B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5A3C1D90">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1533" w:type="dxa"/>
            <w:noWrap w:val="0"/>
            <w:vAlign w:val="center"/>
          </w:tcPr>
          <w:p w14:paraId="206B952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战术防刺服</w:t>
            </w:r>
          </w:p>
        </w:tc>
        <w:tc>
          <w:tcPr>
            <w:tcW w:w="6139" w:type="dxa"/>
            <w:noWrap w:val="0"/>
            <w:vAlign w:val="center"/>
          </w:tcPr>
          <w:p w14:paraId="1BBD98F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战术背心参数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1、面料：650D考杜拉面料；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2、主体面料撕力≥6000N，经向≥3500N，纬向≥3700N；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3、附件包可配换：新标手铐包，快拔伸缩警棍套，快拔强光手电套，快拔催泪喷射器套，工作包，每个单元模块可快拨，可互换位置，使用便捷；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4、有软体减震层设计，可取携；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5、腰部可以调节大小；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6、肩部可以调节长短；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7、配备molle系统，附件包可任意挂扣；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8、采用一秒快折模块，快折模块便用稳定；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9、可根据身材不同相应调节，穿戴舒适；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防刺层参数：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1、防刺层结构：为不小于4层0.1mm合金钢片；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▲2、防刺层保护套材料的抗静水压：≥90kPa，5级；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3、防护面积：≥0.25㎡；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4、质量：≤1.5kg；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▲5、防刺层厚度：≤1mm；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6、弯曲度：在外力作用下弯曲20mm时的作用力应≤80N；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▲7、防刺性能：A类；以32J±0.5J撞击能量对防刺服进行穿刺，在有效穿刺情况下，防刺服不应出现穿透。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▲8、耐浸水性能：常温条件下，将防刺服浸入在0.5m深的水中，静置30min，取出垂吊滴水5min，然后进行防刺性能试验,试验应在10min内完成，结果应符合防刺性能要求（32J±0.5J撞击能量不应穿透）；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▲9、温度适应性：-20℃±2℃~55℃±2℃，符合防刺性能要求（32J±0.5J撞击能量不应穿透）；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▲10、抗高速粒子冲击性能：常温条件下，防刺服应能承受1g铅弹以200m/s±10m/s速度冲击，试验后无洞穿；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11、执行标准： GA 68-2024《警用防刺服》。</w:t>
            </w:r>
          </w:p>
        </w:tc>
        <w:tc>
          <w:tcPr>
            <w:tcW w:w="851" w:type="dxa"/>
            <w:noWrap w:val="0"/>
            <w:vAlign w:val="center"/>
          </w:tcPr>
          <w:p w14:paraId="5D8BAFA0">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689" w:type="dxa"/>
            <w:noWrap w:val="0"/>
            <w:vAlign w:val="center"/>
          </w:tcPr>
          <w:p w14:paraId="68A6875D">
            <w:pPr>
              <w:widowControl/>
              <w:spacing w:line="360" w:lineRule="auto"/>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套</w:t>
            </w:r>
          </w:p>
        </w:tc>
      </w:tr>
      <w:tr w14:paraId="6920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1D56A0DE">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w:t>
            </w:r>
          </w:p>
        </w:tc>
        <w:tc>
          <w:tcPr>
            <w:tcW w:w="1533" w:type="dxa"/>
            <w:noWrap w:val="0"/>
            <w:vAlign w:val="center"/>
          </w:tcPr>
          <w:p w14:paraId="7151FD01">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手铐</w:t>
            </w:r>
          </w:p>
        </w:tc>
        <w:tc>
          <w:tcPr>
            <w:tcW w:w="6139" w:type="dxa"/>
            <w:noWrap w:val="0"/>
            <w:vAlign w:val="center"/>
          </w:tcPr>
          <w:p w14:paraId="57938E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1、结构：由左、右铐体和三排齿的扇梁、链座、链环、钥匙等组成；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2、质量：≤255g；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3、尺寸：铐体间距L：52mm~56mm、啮合三齿状态下最小孔径H：55mm±2mm、最大孔径：82mm±2mm；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4、颜色：铐体为铄金色；扇梁为亚光银色；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5、灵活性：钥匙能从正、反两面插入锁孔解除反锁和开启手铐；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6、能插入反锁定位锁孔实现手铐反锁，反锁定位拨片运行灵活、顺畅；扇梁转动灵活、无阻滞；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7、反锁定位：施加1500N静压力，不出现啮合松动货失效现象；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8、防拨净工作时间：≥2min；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9、强度：金属手铐在锁闭状态下，施加2200N的纵向静拉力并保持30s，手铐不应被拉开，不应有永久性变形或裂纹；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10、金属手铐在锁闭状态下，施加2200N的横向静拉力并保持30s，手铐不应被拉开，不应有永久性变形或裂纹；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11、对金属手铐的扇梁铆钉强度2940N的静压力，保持30s，试验后固定连接件不应松脱；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12、对金属手铐的钥匙施加3Nm的扭矩，保持30s,试验后钥匙不应出现变形、断裂；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13、金属手铐在锁闭状态下，对铐体施加15Nm的扭矩，保持30s，试验后铐体与扇梁不应脱离；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14、耐用度：≥7000次循环；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15、跌落可靠性：将金属手铐分别以水平横放、链环朝上两只铐体垂直向下、链环垂直向下两只铐体朝上3种状态，自1.5 m高度处自由跌落至水泥地面后，应符合灵活性的要求；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16、耐腐蚀性：≥6级；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17、执行标准：《GA 1512-2018 公安单警装备 金属手铐》。</w:t>
            </w:r>
          </w:p>
        </w:tc>
        <w:tc>
          <w:tcPr>
            <w:tcW w:w="851" w:type="dxa"/>
            <w:noWrap w:val="0"/>
            <w:vAlign w:val="center"/>
          </w:tcPr>
          <w:p w14:paraId="64F0EB4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689" w:type="dxa"/>
            <w:noWrap w:val="0"/>
            <w:vAlign w:val="center"/>
          </w:tcPr>
          <w:p w14:paraId="69D84C1A">
            <w:pPr>
              <w:widowControl/>
              <w:spacing w:line="360" w:lineRule="auto"/>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个</w:t>
            </w:r>
          </w:p>
        </w:tc>
      </w:tr>
      <w:tr w14:paraId="16E0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65582E18">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w:t>
            </w:r>
          </w:p>
        </w:tc>
        <w:tc>
          <w:tcPr>
            <w:tcW w:w="1533" w:type="dxa"/>
            <w:noWrap w:val="0"/>
            <w:vAlign w:val="center"/>
          </w:tcPr>
          <w:p w14:paraId="00628055">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强光手电</w:t>
            </w:r>
          </w:p>
        </w:tc>
        <w:tc>
          <w:tcPr>
            <w:tcW w:w="6139" w:type="dxa"/>
            <w:noWrap w:val="0"/>
            <w:vAlign w:val="center"/>
          </w:tcPr>
          <w:p w14:paraId="134D16B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采用前置开关(照明键、爆闪键)、外壳防滚动圆柱形结构，由头盖组件（包括头盖、攻击头等）、筒身组件（包括筒身、隐蔽式USB充电接口、开关部件、4格电量提示灯等）、电池、尾盖组件及手绳（包括调节扣）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2、质量：＜200g(含18650电池和手绳)；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3、尺寸：长度为154.6mm±2mm；握柄直径φ28.5mm±1mm；头盖外径φ35mm±1mm；挂绳长度155mm土5mm；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▲4、强光初始光通量：≥400 lm；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5、强光初始照度：≥550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6、弱光初始照度：弱光模式下，距光源1m处光斑中心初始照度为120 lx~180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▲7、外壳温升：＜5K；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▲8、外壳强度：≥1600N；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9、手绳强度：≥80N；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10、开关耐久性：对照明键、爆闪键分别触压48000次后，开关按键正常，能正常使用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▲11、跌落可靠性：以水平状态，头部向下状态和尾部向下三种姿态，从3m的高度自由跌落到水泥地面上，各试验10次，手电无裂纹，破碎，氮化硅球不摔落，能正常使用；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▲12、湿热性能：在温度45℃±2℃，湿度95%±2%RH的环境下，持续放置≥90h，能正常使用；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13、执行标准：《GA 883-2018公安单警装备 强光手电》。</w:t>
            </w:r>
          </w:p>
        </w:tc>
        <w:tc>
          <w:tcPr>
            <w:tcW w:w="851" w:type="dxa"/>
            <w:noWrap w:val="0"/>
            <w:vAlign w:val="center"/>
          </w:tcPr>
          <w:p w14:paraId="18860CDE">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689" w:type="dxa"/>
            <w:noWrap w:val="0"/>
            <w:vAlign w:val="center"/>
          </w:tcPr>
          <w:p w14:paraId="756B50A6">
            <w:pPr>
              <w:widowControl/>
              <w:spacing w:line="360" w:lineRule="auto"/>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个</w:t>
            </w:r>
          </w:p>
        </w:tc>
      </w:tr>
      <w:tr w14:paraId="65B5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66B64281">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w:t>
            </w:r>
          </w:p>
        </w:tc>
        <w:tc>
          <w:tcPr>
            <w:tcW w:w="1533" w:type="dxa"/>
            <w:noWrap w:val="0"/>
            <w:vAlign w:val="center"/>
          </w:tcPr>
          <w:p w14:paraId="2D0EF855">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急救包</w:t>
            </w:r>
          </w:p>
        </w:tc>
        <w:tc>
          <w:tcPr>
            <w:tcW w:w="6139" w:type="dxa"/>
            <w:noWrap w:val="0"/>
            <w:vAlign w:val="center"/>
          </w:tcPr>
          <w:p w14:paraId="26F8095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1、材质：移模皮革；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3、尺寸：长220mm±5mm、宽125mm±3mm；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4、耐摩擦色牢度：干摩≥4级，湿摩≥4级；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5、撕裂强度：≥45N/mm；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▲6、拉链平拉强力：≥870N；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▲7、拉链拉头拉片结合力：≥320N；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8、配置：硝酸甘油片、创可贴、橡胶止血带、无菌纱布片、带垫急救绷带、口对口呼吸膜、酒精消毒片、抗菌湿巾纸、小剪刀、别针；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9、执行标准：《GA 891-2010 警用急救包》。</w:t>
            </w:r>
          </w:p>
        </w:tc>
        <w:tc>
          <w:tcPr>
            <w:tcW w:w="851" w:type="dxa"/>
            <w:noWrap w:val="0"/>
            <w:vAlign w:val="center"/>
          </w:tcPr>
          <w:p w14:paraId="543C611D">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689" w:type="dxa"/>
            <w:noWrap w:val="0"/>
            <w:vAlign w:val="center"/>
          </w:tcPr>
          <w:p w14:paraId="12AAF2DF">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4F0D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56B8FF51">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p>
        </w:tc>
        <w:tc>
          <w:tcPr>
            <w:tcW w:w="1533" w:type="dxa"/>
            <w:noWrap w:val="0"/>
            <w:vAlign w:val="center"/>
          </w:tcPr>
          <w:p w14:paraId="440C72D1">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多功能腰带</w:t>
            </w:r>
          </w:p>
        </w:tc>
        <w:tc>
          <w:tcPr>
            <w:tcW w:w="6139" w:type="dxa"/>
            <w:noWrap w:val="0"/>
            <w:vAlign w:val="center"/>
          </w:tcPr>
          <w:p w14:paraId="12BE4CD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1、结构：由主腰带、内带、斜挂带、手电套、催泪喷射器套、警棍套、手铐套、工作包、水壶套、弹夹套等组成；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▲2、侧推快拨催泪喷射器套、手电套、警棍套：采用同一快拆平台，360°旋转固定，以金属卡钳和橡胶滚轴对装备进行固定，侧推式取出，采用防脱卡扣设计，有锁定结构；背板可以挂腰带、背心、MOLLE系统；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3、甲醛含量：未检出；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4、耐盐雾性能：腰带钎子和塑钢套经过48h后，表面无腐蚀斑点；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5、插拔性能：腰带钎子≥3000次；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6、抗拉性能：斜挂带卡扣≥500N，腰带钎子≥750N；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▲7、连接强度：手电套、催泪喷射器套、警棍套与背板之间应能承受≥400N的拉力，手电、催泪喷射器、警棍与手电套、催泪喷射器套、警棍套之间能承受横向≥220N的拉力；手铐套于背板连接强度≥300N；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▲8、耐疲劳度：手电套、催泪喷射器套、警棍套旋转≥5000次后，能正常使用；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▲9、手铐套：可360°旋转，16个角度固定，可装载传统管铐，新式环链板铐，铰链板铐及塑料约束带；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▲10、工作包：容积≥1.5L，面料断裂强力≥600N，魔术贴剪切强度≥10 N/c㎡，主面料耐磨性能≥20000次，工作包上“警察”字逆反射系数≥40cd/(1x·㎡)；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12、执行标准：《GA 890-2018 公安单警装备 多功能腰带》。</w:t>
            </w:r>
          </w:p>
        </w:tc>
        <w:tc>
          <w:tcPr>
            <w:tcW w:w="851" w:type="dxa"/>
            <w:noWrap w:val="0"/>
            <w:vAlign w:val="center"/>
          </w:tcPr>
          <w:p w14:paraId="78F2156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689" w:type="dxa"/>
            <w:noWrap w:val="0"/>
            <w:vAlign w:val="center"/>
          </w:tcPr>
          <w:p w14:paraId="425F26DD">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5AE1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3FEF4084">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9</w:t>
            </w:r>
          </w:p>
        </w:tc>
        <w:tc>
          <w:tcPr>
            <w:tcW w:w="1533" w:type="dxa"/>
            <w:noWrap w:val="0"/>
            <w:vAlign w:val="center"/>
          </w:tcPr>
          <w:p w14:paraId="3CEF14DB">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最小作战单元快反装备模块</w:t>
            </w:r>
          </w:p>
        </w:tc>
        <w:tc>
          <w:tcPr>
            <w:tcW w:w="6139" w:type="dxa"/>
            <w:noWrap w:val="0"/>
            <w:vAlign w:val="center"/>
          </w:tcPr>
          <w:p w14:paraId="2025307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反装备模块集成了防护、封控、约束制服警械、救援四项功能，实现了突发警情快反处置的要求。配置：战术背包、可卷曲柔性防刺服、超轻防暴臂盾、头套、一次性警戒带、可解锁塑料约束带、警用约束叉、自充气快反救生圈、急救包、警用气溶胶灭火器、战术防割手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快反战术背包：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1、尺寸：≥58cm×32cm×7.8cm。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2、重量：（单个背包、不含腰带等附件）：≤2.01kg。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2、标识：有“警察”或警徽标志。背包背面有警徽和警察字样，前面有POLICE；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▲4、结构要求：背包肩带可与快反防刺模块组合使用，组合后形成前防刺防护，后战术装备包。背包底部配备可撕式魔术贴，可快速取出臂盾等器械。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功能要求：具有MOLLE模块功能，主包具有多样组合挂载搭配使用。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▲5、防护功能：背包胸前可配备防刺芯片。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▲6、挂载拓展：外部、侧面及仓袋有魔术贴和MOLLE系统，具有可粘贴标识牌，可悬挂单警及户外防护装备。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性能：牛津布断裂强力（N）经向≥1600纬向≥840，网眼布耐摩擦色牢度（级）干摩≥4 级湿摩≥4 级，网眼布耐酸汗渍色牢度（级）变色：≥ 4沾色：≥ 4，耐碱汗渍色牢度（级）变色：≥ 4沾色：≥ 4，缝合部位强度（N）≥550，耐磨性能5000次（名义压力9kPa,机织羊毛毡底衬1400+5）无破损，拉链平拉强力≥950N，拉链拉头拉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片结合力≥280N。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装具性能检验：快反战术背包可装下以下装具：快反碳纤维防暴臂盾或铝合金臂盾、50米布基警戒带、碳纤维棍、战术防割手套、救生绳、便携式灭火器、腰带充气救生衣、快反防刺背心（含防刺芯片）便携款破玻器、肩灯、约束叉，和可重复约束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▲8、激光切割腰带：腰带具有调节系统，适用不同体型，腰带内置缓冲垫；采用MOLLE系统，尼龙织带和挂点可自由组合装备；可粘贴固定战术背心，防止移位或上窜；快拆扣便于紧急脱卸，腰带设有通风孔。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▲9、快反防刺背心：具有磁吸快拆肩带，应可与快反背包背带组合使用。正面采用激光切割工艺，MOLLE系统系统，应可挂载单警装备、枪套等警用装备。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可卷曲柔性防刺服：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1、防刺层结构：为不小于4层0.1mm合金钢片；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▲2、防刺层保护套材料的抗静水压：≥90kPa，5级；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3、防护面积：≥0.25㎡；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4、质量：≤1.5kg；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▲5、防刺层厚度：≤1mm；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6、弯曲度：在外力作用下弯曲20mm时的作用力应≤80N；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▲7、防刺性能：A类；以32J±0.5J撞击能量对防刺服进行穿刺，在有效穿刺情况下，防刺服不应出现穿透。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▲8、耐浸水性能：常温条件下，将防刺服浸入在0.5m深的水中，静置30min，取出垂吊滴水5min，然后进行防刺性能试验,试验应在10min内完成，结果应符合防刺性能要求（32J±0.5J撞击能量不应穿透）；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▲9、温度适应性：-20℃±2℃~55℃±2℃，符合防刺性能要求（32J±0.5J撞击能量不应穿透）；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▲10、抗高速粒子冲击性能：常温条件下，防刺服应能承受1g铅弹以200m/s±10m/s速度冲击，试验后无洞穿；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11、执行标准： GA 68-2024《警用防刺服》。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超轻防暴臂盾：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▲1、盾体碳纤维、握持装置（PC）和缓冲层（塑胶海绵）、LED灯组组成，握把可折叠。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2、尺寸：臂盾盾体厚度≥4mm。长度（不含破窗头）：515mm±10mm。投影最大部分宽度：280mm±10mm。投影最小部分宽度185mm±10mm。织带宽度：65mm±10mm。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3、防护面积：防护面积应大于或等于0.14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4、连接强度：握持装置的连接部件、握持装置与盾体的连接部位能承受500 N的拉力，试验后，不脱落、松动、脱扣或断裂现象。握持装置上的臂带在搭扣扣合状态下能承受500 N的拉力，不松动、脱扣或断裂等现象。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▲5、耐冲击强度：参照GA 422-2019的6.10方法，防暴臂盾盾体能承受147J动能的冲击，冲击后受力点没有穿洞或在受力点半径50mm之外出现贯穿性开裂。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▲6、耐穿刺性能：参照GA 422-2019的6.11方法，防暴臂盾盾体防暴臂盾能承受147J动能的穿刺，穿刺后受力点不大于直径6mm的穿洞或在受力点半径20mm之外出现贯穿性开裂。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▲7、耐刀砍性能：盾体外表面能承受线速度为8.5 m/s±0.5 m/s、能量为100 J±5 J的刀砍。刀砍后盾体不出现开裂现象，臂盾完整无破碎。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▲8、耐击打性能：臂盾能承受线速度为18 m/s±0.3 m/s、能量为342 J±13 J的击打。击打后盾体不出现破碎现象，不出现长度大于50 mm的贯穿性开裂，盾体的投影长度不低于击打前最大长度尺寸的99%。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温度适应性：将臂盾放入温度为-30℃±2℃的恒温箱内，保持4h，然后进行耐击打性能试验，试验在5min完成，结果符合耐击打性能要求。将臂盾放入温度为55℃±2℃的恒温箱内，保持4h，然后进行耐击打性能试验，试验在5min完成，结果符合耐击打性能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10、阻燃性能：盾体外表面未续燃。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▲11、抗高速冲击性能：常温状态下，使用质量1.0g±0.1g、直径6.0mm±0.1mm的钢珠以280m/s±10m/s的速度对盾体正面进行抗高速冲击性能试验，射击1发，盾体不出现穿透现象。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▲12、频闪性能：一键进入红蓝爆闪模式(红灯闪9下，蓝灯闪9下)，再按一次关闭，以此顺序循环操作。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13、充电口：充电口应为TYPE-C。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14、照明模式：键进入强光照明模式，再按一次进入弱光模式，再按一次进入爆闪模式，再按一次关闭，以此顺序循环操作。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15、碎玻璃功能：盾体前端安装有两个破窗锥,参照标准GA 883-2018 的6.8.15方法，可击碎置于专业框架与地面悬空的钢化玻璃，玻璃尺寸为5mm×300mm×300mm。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16、频闪连续工作：在完全充电状态下进入频闪模式，频闪连续工作≥8h。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▲17、强光初始照度：在完全充电状态下进入强光照明模式，距光源5m处光斑中心初始照度≥260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▲18、照明功能连续工作时间：在完全充电状态下，LED灯进入强光照明模式，连续工作60min后，距光源5m处光斑中心初始照度≥220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19、执行标准：GA 2139-2024《警用防暴臂盾》。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头套：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1、款式：三孔头套。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一次性警戒带：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1、尺寸：宽 5.8±0.5㎝*长 50±1m；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2、材质：布基胶带。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可解锁塑料约束带：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1、由壳体和2条带锁牙的扎带组成，采用进口PA66高韧性尼龙材料注塑而成，适应气温-20℃到60℃的的执法环境。壳体上有对应的扎带插入孔以及钥匙孔。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使用时，将嫌疑人双手分别套入两个扎带圈内拉动拉环即可实现自动锁紧。需要解锁时，将2018式单警手铐钥匙插入解锁孔内，当钥匙顶端从对向小孔露出2mm左右时，钥匙插入到位。此时，右侧孔往右旋转钥匙45°解除锁定，左侧孔往左旋转钥匙45°解除锁定。解锁时，拧动钥匙旋转45°角后，钥匙位置不变，另一只手向上提起扎带完成解锁过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3、不小于80kg的动态承载拉力，配套金属加强环，可以实现130kg以上的动态承载拉力。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4、长度：壳体尺寸（30*21mm），扎带尺寸（400*12mm）。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5、重量：25g。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6、拉力：23℃ 时大于1100N；-30℃时大于1400N； 50℃ 时大于1100N。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7、材质：壳体90%PA66+10%GS,扎带100%PA66。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警用约束叉：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1、叉头尺寸540mm±5mm。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2、警用约束叉的叉头闭合缝隙应小于或等于1mm。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3、快速约束功能：通过触碰方式叉套被约束对象，当叉头触碰约束部位时，叉头应能迅速叉套并闭合。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4、自锁功能:警用约束叉叉头闭合后，叉头自内向外应不能自由开启。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5、状态转换时间:警用约束叉的携行状态与工作状态应能快速有效的转换，转换时间应小于或等于10s。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6、叉头在闭合状态下，沿叉头开启、闭合方向承受500N的静拉力作用时，叉头部件、叉头与叉杆连接部件等不应出现裂纹、断裂或拉脱，叉头横向开口尺寸应不大于20mm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7、警用约束叉经过1500次开启、闭合循环后，应能正常使用。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自充气快反救生圈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1、颜色：橙色；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2、质量：≤0.3kg；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3、型状：长条形；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4、材料：TPU复合材料；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5、充气时间：≤5s；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6、浮力：≥74N；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7、承重：≥120kg。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急救包：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1、材质：移模皮革；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3、尺寸：长220mm±5mm、宽125mm±3mm；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4、耐摩擦色牢度：干摩≥4级，湿摩≥4级；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▲5、撕裂强度：≥45N/mm；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▲6、拉链平拉强力：≥870N；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▲7、拉链拉头拉片结合力：≥320N；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8、配置：硝酸甘油片、创可贴、橡胶止血带、无菌纱布片、带垫急救绷带、口对口呼吸膜、酒精消毒片、抗菌湿巾纸、小剪刀、别针；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9、执行标准：《GA 891-2010 警用急救包》。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警用气溶胶灭火器：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1、灭火器筒体外径：≤75mm；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2、有效喷射时间：≥9s；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3、有效喷射距离：≥4m；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4、喷射滞后时间：≤1s；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5、执行标准：XF 86-2009《简易式灭火器》。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战术防割手套：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外观：颜色黑色；结构为柔性耐磨纤维材料包覆金属钢丝；手背和手指外侧设计抗冲击橡胶块，手掌和手指内侧表面敷有耐磨防刺涂层；手背位置有白色的“警察”、“POLICE”字样；手指内侧的涂层可操作触摸式屏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2、尺寸：≥总长240mm×掌宽100mm；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3、性能：耐摩擦性≥8000次未破损；耐撕裂性≥175N；耐穿刺≥85N，防割性能：常温条件下，符合GA 614-2006性能，防割手套掌部垂直手指；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4、耐酸性能：将防割手套浸入煮沸的≥0.5%含量乙酸溶液中，然后在常温条件下持续放置≥720h。试验后，防割手套不应有严重腐蚀，不影响正常使用；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5、耐碱性能：将防割手套浸入煮沸的≥0.5%含量碳酸钠溶液中，然后在常温条件下持续放置≥720h。试验后，防割手套不应有严重腐蚀，不影响正常使用。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6、防切割性能：2级；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7、防耐摩擦性能：4级；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8、防撕裂性能：2级，≥25N；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9、防穿刺性能：2级，≥60N；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10、环境适应性：在环境温度-20℃~+55℃条件下，防割性能应能达到《GA614-2006警用防割手套》的要求。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11、颜色：黑色；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12、质量：≤0.2KG；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13、功能特点：方便携带、防切割、耐磨、耐酸碱、抗撕拉透气性好、触感好、手感好、不影响关节弯曲、防滑、手背防撞和接触热性能，佩戴后可直接操作触屏智能设备。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14、执行标准：GA 614-2006《警用防割手套》、GB 24541-2022 《手部防护机械危害防护手套》。</w:t>
            </w:r>
          </w:p>
        </w:tc>
        <w:tc>
          <w:tcPr>
            <w:tcW w:w="851" w:type="dxa"/>
            <w:noWrap w:val="0"/>
            <w:vAlign w:val="center"/>
          </w:tcPr>
          <w:p w14:paraId="4A1489ED">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689" w:type="dxa"/>
            <w:noWrap w:val="0"/>
            <w:vAlign w:val="center"/>
          </w:tcPr>
          <w:p w14:paraId="669A383B">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44C9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70BDE49D">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10</w:t>
            </w:r>
          </w:p>
        </w:tc>
        <w:tc>
          <w:tcPr>
            <w:tcW w:w="1533" w:type="dxa"/>
            <w:noWrap w:val="0"/>
            <w:vAlign w:val="center"/>
          </w:tcPr>
          <w:p w14:paraId="7F71EF6E">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轻型战术防割手套</w:t>
            </w:r>
          </w:p>
        </w:tc>
        <w:tc>
          <w:tcPr>
            <w:tcW w:w="6139" w:type="dxa"/>
            <w:noWrap w:val="0"/>
            <w:vAlign w:val="center"/>
          </w:tcPr>
          <w:p w14:paraId="4DFA3FE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1、材质：采用超高分子量聚乙烯纤维包覆不锈钢丝的包芯纱织成，掌心外表浸触屏胶外贴防撞硅胶；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3、功能特点：方便携带、防切割、耐磨、耐酸碱、抗撕拉透气性好、触感好、手感好、不影响关节弯曲、防滑、手背防撞和接触热性能，佩戴后可直接操作触屏智能设备。</w:t>
            </w:r>
          </w:p>
        </w:tc>
        <w:tc>
          <w:tcPr>
            <w:tcW w:w="851" w:type="dxa"/>
            <w:noWrap w:val="0"/>
            <w:vAlign w:val="center"/>
          </w:tcPr>
          <w:p w14:paraId="0C5F20C8">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689" w:type="dxa"/>
            <w:noWrap w:val="0"/>
            <w:vAlign w:val="center"/>
          </w:tcPr>
          <w:p w14:paraId="03293F50">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0F50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68807B81">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11</w:t>
            </w:r>
          </w:p>
        </w:tc>
        <w:tc>
          <w:tcPr>
            <w:tcW w:w="1533" w:type="dxa"/>
            <w:noWrap w:val="0"/>
            <w:vAlign w:val="center"/>
          </w:tcPr>
          <w:p w14:paraId="223D980D">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战术头盔（无护耳）</w:t>
            </w:r>
          </w:p>
        </w:tc>
        <w:tc>
          <w:tcPr>
            <w:tcW w:w="6139" w:type="dxa"/>
            <w:noWrap w:val="0"/>
            <w:vAlign w:val="center"/>
          </w:tcPr>
          <w:p w14:paraId="7525213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1、结构：A型警用防暴头盔由壳体、缓冲层、衬垫、面罩、佩戴装置(包括系带、下颏托、佩藏扣和盔顶悬挂系统等)、护颈、战术导轨组成；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2、颜色：防暴头盔的壳体外表面为藏蓝色哑光，护颈外表面颜色应为藏蓝色，战术导轨、面罩锁止机构外表面应为藏蓝色哑光；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3、材质：PC复合材质；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4、质量：不含护颈≤0.965kg；不含面罩、护颈≤0.695kg；可拆卸护颈质量≤200g；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▲5、面罩：透光率≥86%，面罩的光畸变最大量≤2.6′；面罩内表面应有防雾性能；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6、佩戴装置：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（1）系带宽度15mm±2mm；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（2）佩戴扣的开启闭合功能应方便可靠,能有效调节系带松紧程度；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（3）系带应能承受500N的拉伸负载，加载过程中系带不应出现撕裂、撕断、连接件脱落、佩戴扣松脱的现象，系带伸长量应≤22mm，卸载后佩戴扣应能正常使用；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（4）下颏带应具备紧急脱扣功能，且在受到大于500N且小于1000N的外力时，应通过解脱或断裂的方式实现紧急脱扣；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（5）盔顶悬挂系统应保证通风透气、便于调节，散热时间差≤4.5min；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（6）应采用旋钮式头围调节方式；佩戴装置应牢固舒适，可单手快速释放解脱；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7、护颈：应使用软质防割阻燃材料制成，与壳体连接可靠，外形尺寸应符合 GA 294-2023中附录A的规定；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8、战术导轨：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（1）战术导轨外形尺寸和配合尺寸应符合GA294-2023中附录A的规定；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（2）战术导轨装载额定重量范围内的配件应牢固可靠，且拆装方便；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9、防渗漏性能：防暴头盔在面罩闭合后，与壳体面部接合部位应能防液体流入。防暴头盔应能承受试验液体的喷洒，试验头模不应被着色；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10、抗撞击防护性能：防暴头盔应能承受对面罩4.9J动能的冲击,冲击后面罩与试验头模的鼻子不应接触,且面罩应能正常开合；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▲11、抗冲击强度性能：防暴头盔的面罩应能承受l g铅弹以250m/s±10m/s速度冲击，冲击后面罩不应被击穿或破碎。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▲12、吸收碰撞能量性能：防暴头盔能承受49J能量的冲击，冲击时传递到试验头模上的力＜4300N，且壳体不破裂；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13、耐穿透性能：防暴头盔应能承受88.2J能量的穿刺，穿刺时落锤不应穿透警用防暴头盔与试验头模产生接触；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14、防割性能：使用专用的防割手套切割试验机，设定刀口压力为20N，刀片转速为 20r/min,在被检测的护颈颈部中间垂直方向进行5次切割，每次割穿发生时，切割周数不少于8周；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15、阻燃性能：防暴头盔外表面(面罩、战术导轨和壳体的外表面及护颈主体面料的外表面)续燃时间≤10s；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16、气候环境适应性：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（1）将防暴头盔放入温度为-20℃±2℃的恒温箱内保持 4h，盔壳符合吸收碰撞能量性能的要求，面罩符合抗撞击防护性能的要求。(试验在 10min内完成)。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（2）将防暴头盔放入温度为+55℃±2℃的恒温箱内保持 4h，盔壳符合吸收碰撞能量性能的要求，面罩符合抗撞击防护性能的要求。(试验在 10min内完成)。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（3）将防暴头盔在常温条件下进行淋雨处理(喷水量15L/min)1h，处理后放置 5min，盔壳符合吸收碰撞能量性能的要求，面罩符合抗撞击防护性能的要求。(试验在 10min内完成)。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（4）护颈放入温度为-20℃±2℃的恒温箱内保持4h，然后用专用切割试验机试验，符合防割性能的要求。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（5）护颈放入温度为+55℃±2℃的恒温箱内保持4h，然后用专用切割试验机试验，符合防割性能的要求。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17、涂层附着力：壳体外表面涂层附着力≥GB/T 9286-2021中2级的规定。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▲18、防霰弹性能：常温状态下，使用霰弹枪和12号猎枪弹（装填直径1.75mm的10#弹丸）对警用防暴头盔正面进行防弹性能试验，枪口距离样品8m，射击1发，防暴头盔盔壳及面罩不应有穿透现象；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▲19、盔壳侧向刚性：430N压力条件下，最大变形量≤40mm，残余变形量≤5mm。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▲20、耐燃烧性能：续燃时间≤5s；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▲21、护颈面料：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（1）耐摩擦强度：200次磨后无断纱、破洞；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（2）顶破强力：≥800N；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（3）抗撕裂性能：径向≥40N，纬向≥20N；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22、执行标准：《GA 294-2023 警用防暴头盔》。</w:t>
            </w:r>
          </w:p>
        </w:tc>
        <w:tc>
          <w:tcPr>
            <w:tcW w:w="851" w:type="dxa"/>
            <w:noWrap w:val="0"/>
            <w:vAlign w:val="center"/>
          </w:tcPr>
          <w:p w14:paraId="0D187CD3">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689" w:type="dxa"/>
            <w:noWrap w:val="0"/>
            <w:vAlign w:val="center"/>
          </w:tcPr>
          <w:p w14:paraId="7062C7B6">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0875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613E28F5">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12</w:t>
            </w:r>
          </w:p>
        </w:tc>
        <w:tc>
          <w:tcPr>
            <w:tcW w:w="1533" w:type="dxa"/>
            <w:noWrap w:val="0"/>
            <w:vAlign w:val="center"/>
          </w:tcPr>
          <w:p w14:paraId="2A59D7AE">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三合一多功能制暴器</w:t>
            </w:r>
          </w:p>
        </w:tc>
        <w:tc>
          <w:tcPr>
            <w:tcW w:w="6139" w:type="dxa"/>
            <w:noWrap w:val="0"/>
            <w:vAlign w:val="center"/>
          </w:tcPr>
          <w:p w14:paraId="1D430E3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1、整体重量(含电池和电击弹)：≤500g；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2、尺寸（含电池和电击弹）：≤210mm(长）x115mm（高）x45mm（厚）；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▲3、结构组成：具有电击弹、催泪弹、约束弹等三种弹匣的发射功能，可同时装填2发弹；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3、电击输出电流: ≤ 1.50mA；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4、开口输出电压:60KV±5KV；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▲5、推射动力：压缩气体;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6、耐低温、耐高温性能：－30℃~+55℃环境下可正常工作。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▲7、激光瞄准：电击器主体带有红绿两色激光，绿色瞄准点对应上飞针，红色瞄准点对应下飞针；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▲8、整机防水性：将防暴器处于关机状态置于水面1m以下，持续30min,取出后防暴器各功能工作正常，防水等级为IPX7；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9、辅助照明功能：电击器主体带有辅助照明功能，通过按压辅助功能开关可关闭/开启绿激光瞄准灯；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▲10、飞针穿透性能：距离复合牛皮-明胶靶板5m处射击，靶标外着厚棉服，飞针应插入明胶≥3mm；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▲11、单颗电池放电次数：≥430次（单次5s完整电击）；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12、最大单次电击控制时间：≤5秒；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▲13、数码显示屏功能：自带显示屏，可显示工作状态、电击状态、激光灯状态、电池电量、低电提醒状态、弹种“未击发”、“已击发”、“未安装”、“已安装”等状态；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▲14、失能等级：3-4级；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▲15、弹匣切换功能：保险开关打开状态下，关闭保险然后在3秒内重启保险开关，可切换拟发射弹匣，显示屏有箭头显示拟发射弹匣；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▲16、电击警示功能：防暴器设置有单独的电击按键，在不发射弹匣的情况下，按压一次可实现持续5S电击警示功能；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17、握把两侧均设有保险开关，防止意外发射，配有专用快拔套，具有防抢功能；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▲18、跌落可靠性：跌落高度≥1.5m，跌落后样品无明显裂纹、破碎、各功能工作正常；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19、失去探针的后备：如果两枚发射探针未击中目标，在电击器的前部有两个电极能作为电击功能使用；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20、射击目标的恢复时间：短时电击的，停电即可恢复，全过程 5 秒电击，实现最长持续电击15S，2分钟后可站立行走，完全恢复常态约为 10 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▲21、具有电击数据记录和下载功能。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三、电击弹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1、电击弹弹头应有保护盖，有效防止存储和运输过程的意外爆弹误射；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2、电击弹最大射击距离5-6米，5米有效率100%；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四、催泪弹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▲1、喷射距离不小于6米；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2、5m处着靶率≥75%；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3、催泪剂辣度：≥25万SHU；</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五、捆绑弹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1、发射初速度：≥50m/s；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▲2、有效作用距离：在3m,5m,7m朝模型发射约束弹，约束弹可瞬间缠绕捆绑目标。</w:t>
            </w:r>
          </w:p>
        </w:tc>
        <w:tc>
          <w:tcPr>
            <w:tcW w:w="851" w:type="dxa"/>
            <w:noWrap w:val="0"/>
            <w:vAlign w:val="center"/>
          </w:tcPr>
          <w:p w14:paraId="2A2584B6">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89" w:type="dxa"/>
            <w:noWrap w:val="0"/>
            <w:vAlign w:val="center"/>
          </w:tcPr>
          <w:p w14:paraId="084ABF63">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1E1B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25CA1234">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w:t>
            </w:r>
          </w:p>
        </w:tc>
        <w:tc>
          <w:tcPr>
            <w:tcW w:w="1533" w:type="dxa"/>
            <w:noWrap w:val="0"/>
            <w:vAlign w:val="center"/>
          </w:tcPr>
          <w:p w14:paraId="7DF59575">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激光测距仪</w:t>
            </w:r>
          </w:p>
        </w:tc>
        <w:tc>
          <w:tcPr>
            <w:tcW w:w="6139" w:type="dxa"/>
            <w:noWrap w:val="0"/>
            <w:vAlign w:val="center"/>
          </w:tcPr>
          <w:p w14:paraId="211190B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1、放大倍率：8倍；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2、物镜直径：26mm；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3、产品量程：0-1000m；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4、测量单位：米(m)、码(Yd)、度（°）；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5、测距误差：±0.2m；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6、角度范围：-90°~90°；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7、弹道补偿角度范围：-20°~40°；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8、测高精度：0.2m；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9、测高最小高度：0.5m；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10、测角误差：±1°；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11、激光波长：905nm；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12、视力安全：FDA（CFR21）；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13、出瞳直径：3.2mm；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14、屈 光 度：±5D；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15、操作温度：-20℃~+50℃；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16、三脚架孔：有；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17、测速范围：18~300km/h；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18、对焦方式： 目镜调焦；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19、液晶显示器：透过式LCD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20、屈光度调整：目镜调整；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21、使用电池：CR2-3v锂电池；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22、尺寸：123*38*64mm±5mm；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23、重量：≤200g（不含电池）。</w:t>
            </w:r>
          </w:p>
        </w:tc>
        <w:tc>
          <w:tcPr>
            <w:tcW w:w="851" w:type="dxa"/>
            <w:noWrap w:val="0"/>
            <w:vAlign w:val="center"/>
          </w:tcPr>
          <w:p w14:paraId="09014FA4">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89" w:type="dxa"/>
            <w:noWrap w:val="0"/>
            <w:vAlign w:val="center"/>
          </w:tcPr>
          <w:p w14:paraId="353B75C5">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1C93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598" w:type="dxa"/>
            <w:noWrap w:val="0"/>
            <w:vAlign w:val="center"/>
          </w:tcPr>
          <w:p w14:paraId="1A479AA9">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14</w:t>
            </w:r>
          </w:p>
        </w:tc>
        <w:tc>
          <w:tcPr>
            <w:tcW w:w="1533" w:type="dxa"/>
            <w:noWrap w:val="0"/>
            <w:vAlign w:val="center"/>
          </w:tcPr>
          <w:p w14:paraId="3CF6F557">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搜索灯</w:t>
            </w:r>
          </w:p>
        </w:tc>
        <w:tc>
          <w:tcPr>
            <w:tcW w:w="6139" w:type="dxa"/>
            <w:noWrap w:val="0"/>
            <w:vAlign w:val="center"/>
          </w:tcPr>
          <w:p w14:paraId="2B23DBB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1、功率：3X3W；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2、亮度：≥1080 lm；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3、电压：11.1V；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4、放电时间：强光≥8h，工作光≥16h，频闪≥32h；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5、充电时间：≥6h（正常使用后）/ 8h（电池耗尽后）；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6、电池容量：≥4400mAh；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7、尺寸：68mm×161mm（直径×长）±10mm；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8、重量：≤0.8kg；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9、外壳防护等级：≥IP68；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10、具有工作光、强光、频闪三种光设计，第一次按动按钮是强光，第二次按动按钮是工作光，第三次长按3秒是频闪光；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11、人性化的电量指示和低电压警示功能设计，可随时查询电池电量。</w:t>
            </w:r>
          </w:p>
        </w:tc>
        <w:tc>
          <w:tcPr>
            <w:tcW w:w="851" w:type="dxa"/>
            <w:noWrap w:val="0"/>
            <w:vAlign w:val="center"/>
          </w:tcPr>
          <w:p w14:paraId="2D41AEC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689" w:type="dxa"/>
            <w:noWrap w:val="0"/>
            <w:vAlign w:val="center"/>
          </w:tcPr>
          <w:p w14:paraId="598973A9">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5058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7866E9B0">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15</w:t>
            </w:r>
          </w:p>
        </w:tc>
        <w:tc>
          <w:tcPr>
            <w:tcW w:w="1533" w:type="dxa"/>
            <w:noWrap w:val="0"/>
            <w:vAlign w:val="center"/>
          </w:tcPr>
          <w:p w14:paraId="26C28D12">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金属盾牌</w:t>
            </w:r>
          </w:p>
        </w:tc>
        <w:tc>
          <w:tcPr>
            <w:tcW w:w="6139" w:type="dxa"/>
            <w:noWrap w:val="0"/>
            <w:vAlign w:val="center"/>
          </w:tcPr>
          <w:p w14:paraId="38044F2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1、材质：铝合金，盾体上沿有金属防砍包边；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2、厚度：≥2.0mm；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3、尺寸：≥900mm*500mm；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4、防护面积：≥0.45㎡；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5、质量：≤4.5kg；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6、连接强度：握持装置的连接部件、握持装置与盾体的连接部件可承受的拉力≥500N；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7、观察窗透光率：≥88%；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▲8、耐刀砍性能：以8.5m/s±0.5m/s、能量100J±5J击打，刀砍痕迹深度≤1.2mm；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9、耐冲击强度：能承受≥147J动能的冲击，冲击试验后，未穿洞或贯穿性开裂；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▲10、耐击打强度：能承受线速度18m/s±0.3m/s，能量342J±13J击打，盾体最大凹陷深度≤12mm；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▲11、耐穿刺性能：能承受≥147J动能的穿刺，受力点最大穿洞直径≤2.5mm；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12、涂层附着力：≥3级；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13、阻燃性能：未燃烧；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14、温度适应性：（-30℃~55℃）±2℃；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15、执行标准：《GA 422-2019 警用防暴盾牌》。</w:t>
            </w:r>
          </w:p>
        </w:tc>
        <w:tc>
          <w:tcPr>
            <w:tcW w:w="851" w:type="dxa"/>
            <w:noWrap w:val="0"/>
            <w:vAlign w:val="center"/>
          </w:tcPr>
          <w:p w14:paraId="481B34C7">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689" w:type="dxa"/>
            <w:noWrap w:val="0"/>
            <w:vAlign w:val="center"/>
          </w:tcPr>
          <w:p w14:paraId="308EEBE5">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1501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0325641A">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16</w:t>
            </w:r>
          </w:p>
        </w:tc>
        <w:tc>
          <w:tcPr>
            <w:tcW w:w="1533" w:type="dxa"/>
            <w:noWrap w:val="0"/>
            <w:vAlign w:val="center"/>
          </w:tcPr>
          <w:p w14:paraId="3F9408BC">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组合式警棍</w:t>
            </w:r>
          </w:p>
        </w:tc>
        <w:tc>
          <w:tcPr>
            <w:tcW w:w="6139" w:type="dxa"/>
            <w:noWrap w:val="0"/>
            <w:vAlign w:val="center"/>
          </w:tcPr>
          <w:p w14:paraId="04C51F1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1、结构：由攻击部件和警棍组成，攻击部件由三棱钢刺刀、止锁器、螺纹保护套、连接螺纹、圆柱钝刺及破碎玻璃合金体构成；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2、颜色：黑色；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3、尺寸：棍体长度700mm±10mm、与三棱钢刺刀攻击头组合长度860mm±10mm与圆柱钝刺攻击头组合长度800mm±10mm、握把直径31mm±5mm、两支警棍组合后长度1420mm±20mm；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4、重量：1.4kg±0.1kg；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▲5、抗弯曲性能：施加≥1000N的静压力，保持30s，不应出现断裂；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▲6、抗击打性能：以1500N的力连续击打≥2000次后，不应出现断裂或裂纹；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7、连接装置可靠性：连接、拆卸≥500次；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▲8、耐腐蚀性：≥9级；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9、环境适应性：-25℃~+55℃；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10、执行标准：GA 1124-2013《长警棍》。</w:t>
            </w:r>
          </w:p>
        </w:tc>
        <w:tc>
          <w:tcPr>
            <w:tcW w:w="851" w:type="dxa"/>
            <w:noWrap w:val="0"/>
            <w:vAlign w:val="center"/>
          </w:tcPr>
          <w:p w14:paraId="2D7375D6">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689" w:type="dxa"/>
            <w:noWrap w:val="0"/>
            <w:vAlign w:val="center"/>
          </w:tcPr>
          <w:p w14:paraId="499892FB">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7A29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noWrap w:val="0"/>
            <w:vAlign w:val="center"/>
          </w:tcPr>
          <w:p w14:paraId="5ED5D22D">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17</w:t>
            </w:r>
          </w:p>
        </w:tc>
        <w:tc>
          <w:tcPr>
            <w:tcW w:w="1533" w:type="dxa"/>
            <w:noWrap w:val="0"/>
            <w:vAlign w:val="center"/>
          </w:tcPr>
          <w:p w14:paraId="61061540">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电子脚扣</w:t>
            </w:r>
          </w:p>
        </w:tc>
        <w:tc>
          <w:tcPr>
            <w:tcW w:w="6139" w:type="dxa"/>
            <w:noWrap w:val="0"/>
            <w:vAlign w:val="center"/>
          </w:tcPr>
          <w:p w14:paraId="4117B08F">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1、电子脚扣组成检验：电子脚扣由发射器和接收器组成。发射器为遥控装置，接收器由声音报警装置、电击装置和固定脚带构成。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2、外观检验：a）机壳外形尺寸应符合图纸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b）非金属外壳表面应无裂纹、褪色及永久性污渍，无明显变形和划痕。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c）金属外壳表面涂覆不能露出底层金属，并无起泡、腐蚀、划痕、涂层脱落和沙孔等。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3、锁扣检验：锁扣应灵活、可靠；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4、接收器固定装置牢固度检验：接收器的外壳装置和固定脚带之间能承受800N的静拉力，连接处不应开脱，脚带不应断裂；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5、发射器检验：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a）载频频率：315±1MHz；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b）电源容量：连续发射工作时间大于72h；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6、接收器检验：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a）工作频率：315±1MHz；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 报警声压：报警的声压级别应不小于80dB；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 电击输出脉冲电压：15kv~25kv（脉冲峰值电压）；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▲d) 连续电击时间：2s~3s；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▲e) 电击间隔时间 ：3s~5s；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f) 电源容量：不小于8.4V*200 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7、报警电击功能检验：电子脚扣应具有手动报警、电击和解除功能；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8、外壳防护等级检验：接收器外壳防护应符合GB4208中IP43的要求；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9、高温试验：温度55土2℃、持续时间2h,样机处于工作状态。试验后功能应正常；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10、温度-10+3℃、持续时间2h,样机处于工作状态。试验后功能应正常；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11、恒定湿热试验：RH93%，温度40土2℃持续时间48h,样机处于工作状态。试验后功能应正常；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12、振动试验：正弦扫描，频率10-55Hz, 振幅0. 35mm频率变化为1倍频程/min, X、Y、Z方向各30min.试验后无损坏，功能应正常；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13、自由跌落试验：跌落高度1米，地面为水泥地面，四个面各跌落1次，跌落时带包装，试验后功能应正常；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14、静电放电试验：静电放电仪接地线接到样机电源的安全接地线上，放电探头充电到-8000V,对系统上任选3点进行静电放电，试验中允许其基本功能暂时降低或丧失，但在试验后应能自行恢复正常；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15、辐射敏感度试验：系统放于橫电磁波室，在场强为10V/m,调制频率1kHz, 调制度80%的条辐射敏感度件 下，从频率80-1000MHz进行扫频干扰试验，试验过程中允许其基本功能暂时降低或丧失，但在试验后应能自行恢复正常；</w:t>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851" w:type="dxa"/>
            <w:noWrap w:val="0"/>
            <w:vAlign w:val="center"/>
          </w:tcPr>
          <w:p w14:paraId="48DED2FE">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689" w:type="dxa"/>
            <w:noWrap w:val="0"/>
            <w:vAlign w:val="center"/>
          </w:tcPr>
          <w:p w14:paraId="48F95891">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1B5B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75A1E60D">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18</w:t>
            </w:r>
          </w:p>
        </w:tc>
        <w:tc>
          <w:tcPr>
            <w:tcW w:w="1533" w:type="dxa"/>
            <w:noWrap w:val="0"/>
            <w:vAlign w:val="center"/>
          </w:tcPr>
          <w:p w14:paraId="5E8AC7E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肩灯</w:t>
            </w:r>
          </w:p>
        </w:tc>
        <w:tc>
          <w:tcPr>
            <w:tcW w:w="6139" w:type="dxa"/>
            <w:noWrap w:val="0"/>
            <w:vAlign w:val="center"/>
          </w:tcPr>
          <w:p w14:paraId="3561E38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1、结构：由发光单元、外壳、内置可充电电池、开关、肩袢挂扣、充电器等组成，具有照明模式和频闪模式两种工作模式；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2、组成：频闪发光单元及照明发光单元均应使用发光二极管（LED）制成；肩袢挂扣应可进行旋转以配合调整佩戴方向；应设置遮光板或防止闪光影响警员的装置或部件；警用肩灯宜使用USB Type-C接口或提供USB Type-C接口转换器；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3、质量：（不含充电器）应≤60g；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功能：警用肩灯应具有照明模式及频闪模式，通过单一控制按钮进行开关及模式切换；照明模式与频闪模式应独立工作；开启警用肩灯后应直接进入频闪模式，在频闪模式中任意时间按压一次开关即可切换到照明模式；警用肩灯应具有电量提示功能，欠压及充满电状况均应有提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5、频闪模式：全部频闪发光单元同时点亮时的最大发光强度应为2cd～4cd； 单一LED灯珠频闪频率应在4 Hz～6 Hz范围内；完全充电状态进入频闪模式,连续工作时间应≥10 h，期间警用肩灯不应自动变换发光状态或熄灭；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▲6、照明模式时：据光源300 mm处光斑中心初始照度应为80 lx～110 lx。完全充电状态进入照明模式，连续工作2 h，期间警用肩灯不应自动变换发光状态或熄灭，距光源300 mm处光斑中心照度应≥80 lx；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7、开关耐久性：以（20次～30次）/ min频率触压开关10000次，开关功能应正常；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跌落可靠性：受试样品经高温试验后，在5min内以肩袢挂扣向下及肩袢挂扣向上两种状态，自1.8m高度分别跌落到水泥地面上，每种状态跌落两次，各组成部件应无松动脱落、开裂、破碎，且应符合功能的检测项目要求。受试样品经低温试验后，在5min内以肩袢挂扣向下及肩袢挂扣向上两种状态，自1.8m高度分别跌落到水泥地面上，每种状态跌落两次，各组成部件应无松动脱落、开裂、破碎，且应符合功能的检测项目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9、外壳防护等级：≥IP56；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▲10、外壳温升：≤7K；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11、温度适应性：-20℃±3℃~55℃±3℃；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12、电量提示功能：在关机状态下，短按按键，绿灯指示灯闪烁显示，闪烁三下表示满电量，闪烁两下表示有三分之二的电量，闪烁一下表示有三分之一的电量。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耐盐雾：电池处于完全充电状态且关闭电源状态的警用肩灯以水平位置放置在盐雾试验箱内，试验温度为35℃±2℃，盐雾溶液质量百分比浓度为5%±0.1%，盐雾沉降率为1.0mL/（h·80cm2）～2.0mL/（h·80cm2），在48h内每隔45min喷雾15min。试验后，在室温下放置1h，然后用流水洗掉试样表面的沉积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试验后应能正常启动，金属件应无锈蚀现象，壳体不应出现变形或裂纹。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▲14、充电时长：≤3h；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▲15、频闪模式：完全充电状态进入频闪模式,连续工作时间应≥22h，期间警用肩灯不应自动变换发光状态或熄灭。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16、照明模式：完全充电状态进入照明模式，连续工作12h，期间警用肩灯不应自动变换发光状态或熄灭。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17、执行标准：GA/T 2140-2024《警用肩灯》。</w:t>
            </w:r>
          </w:p>
        </w:tc>
        <w:tc>
          <w:tcPr>
            <w:tcW w:w="851" w:type="dxa"/>
            <w:noWrap w:val="0"/>
            <w:vAlign w:val="center"/>
          </w:tcPr>
          <w:p w14:paraId="61B2DE84">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689" w:type="dxa"/>
            <w:noWrap w:val="0"/>
            <w:vAlign w:val="center"/>
          </w:tcPr>
          <w:p w14:paraId="19A5C7A4">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r w14:paraId="024B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98" w:type="dxa"/>
            <w:noWrap w:val="0"/>
            <w:vAlign w:val="center"/>
          </w:tcPr>
          <w:p w14:paraId="31CEA4A0">
            <w:pPr>
              <w:widowControl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19</w:t>
            </w:r>
          </w:p>
        </w:tc>
        <w:tc>
          <w:tcPr>
            <w:tcW w:w="1533" w:type="dxa"/>
            <w:noWrap w:val="0"/>
            <w:vAlign w:val="center"/>
          </w:tcPr>
          <w:p w14:paraId="62709EE1">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催泪击发器</w:t>
            </w:r>
          </w:p>
        </w:tc>
        <w:tc>
          <w:tcPr>
            <w:tcW w:w="6139" w:type="dxa"/>
            <w:noWrap w:val="0"/>
            <w:vAlign w:val="center"/>
          </w:tcPr>
          <w:p w14:paraId="1FA043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1、击发器主体和快拔套材料采用进口杜邦PA66注塑成型；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2、快速催泪击发器尺寸（不含快拔套，催泪器）为长190*宽155*高45mm±2mm；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3、重量：160g±5g；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4、有效使用范围：≤5m；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5、快拔套采用防抢设计，可以360度调整角度；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6、连接快拔套的板都是采用新设计的快拆卸板，可以直接快速扣在腰带和背心上。</w:t>
            </w:r>
          </w:p>
        </w:tc>
        <w:tc>
          <w:tcPr>
            <w:tcW w:w="851" w:type="dxa"/>
            <w:noWrap w:val="0"/>
            <w:vAlign w:val="center"/>
          </w:tcPr>
          <w:p w14:paraId="68242F0A">
            <w:pPr>
              <w:keepNext w:val="0"/>
              <w:keepLines w:val="0"/>
              <w:widowControl/>
              <w:suppressLineNumbers w:val="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689" w:type="dxa"/>
            <w:noWrap w:val="0"/>
            <w:vAlign w:val="center"/>
          </w:tcPr>
          <w:p w14:paraId="1B7022A1">
            <w:pPr>
              <w:widowControl/>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个</w:t>
            </w:r>
          </w:p>
        </w:tc>
      </w:tr>
    </w:tbl>
    <w:p w14:paraId="543365F5">
      <w:pPr>
        <w:pStyle w:val="10"/>
        <w:tabs>
          <w:tab w:val="left" w:pos="60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、通过篡改数据响应的按照无效标处理并追究法律责任。在交货后，发现部分不能实现，甲方有权退货并索取赔偿。</w:t>
      </w:r>
    </w:p>
    <w:p w14:paraId="0D13608A">
      <w:pPr>
        <w:pStyle w:val="10"/>
        <w:tabs>
          <w:tab w:val="left" w:pos="60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、产品中标后验收过程中如果发现有不满足招标要求的、篡改参数，投标产品与交货产品不一致的，用户可以拒绝付款。</w:t>
      </w:r>
    </w:p>
    <w:bookmarkEnd w:id="163"/>
    <w:p w14:paraId="74F86AAD">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5E52CC67">
      <w:pPr>
        <w:pStyle w:val="30"/>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lang w:val="en-US" w:eastAsia="zh-CN" w:bidi="ar-SA"/>
        </w:rPr>
        <w:t>二、</w:t>
      </w:r>
      <w:r>
        <w:rPr>
          <w:rFonts w:hint="eastAsia" w:ascii="宋体" w:hAnsi="宋体" w:eastAsia="宋体" w:cs="宋体"/>
          <w:b/>
          <w:bCs/>
          <w:color w:val="auto"/>
          <w:sz w:val="32"/>
          <w:szCs w:val="32"/>
          <w:highlight w:val="none"/>
        </w:rPr>
        <w:t>商务条款</w:t>
      </w:r>
    </w:p>
    <w:p w14:paraId="0B8E6F9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一、合同履行期限及地点：</w:t>
      </w:r>
      <w:bookmarkStart w:id="164" w:name="_Toc167714037"/>
      <w:bookmarkStart w:id="165" w:name="_Toc167715234"/>
      <w:bookmarkStart w:id="166" w:name="_Toc167712839"/>
    </w:p>
    <w:p w14:paraId="328D4376">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1</w:t>
      </w:r>
      <w:r>
        <w:rPr>
          <w:rFonts w:hint="eastAsia" w:ascii="宋体" w:hAnsi="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合同履行期限：</w:t>
      </w:r>
      <w:bookmarkEnd w:id="164"/>
      <w:bookmarkEnd w:id="165"/>
      <w:bookmarkEnd w:id="166"/>
      <w:r>
        <w:rPr>
          <w:rFonts w:hint="eastAsia" w:ascii="宋体" w:hAnsi="宋体" w:eastAsia="宋体" w:cs="宋体"/>
          <w:color w:val="auto"/>
          <w:spacing w:val="3"/>
          <w:sz w:val="24"/>
          <w:szCs w:val="24"/>
          <w:highlight w:val="none"/>
          <w:lang w:eastAsia="zh-CN"/>
        </w:rPr>
        <w:t>自合同签订之日起15个日历日内完成供货及验收</w:t>
      </w:r>
      <w:r>
        <w:rPr>
          <w:rFonts w:hint="eastAsia" w:ascii="宋体" w:hAnsi="宋体" w:cs="宋体"/>
          <w:color w:val="auto"/>
          <w:spacing w:val="3"/>
          <w:sz w:val="24"/>
          <w:szCs w:val="24"/>
          <w:highlight w:val="none"/>
          <w:lang w:eastAsia="zh-CN"/>
        </w:rPr>
        <w:t>。</w:t>
      </w:r>
    </w:p>
    <w:p w14:paraId="387D026A">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2、地点：采购人指定。</w:t>
      </w:r>
    </w:p>
    <w:p w14:paraId="1E06598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二、付款方式：</w:t>
      </w:r>
    </w:p>
    <w:p w14:paraId="5AC7D7CF">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签订合同后产品到货并完成设备安装完毕、调试合格、试运行达标支付合同总价的100%。（具体要求以签订合同为准）</w:t>
      </w:r>
    </w:p>
    <w:p w14:paraId="1A19846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三、报价要求：</w:t>
      </w:r>
    </w:p>
    <w:p w14:paraId="2D39F121">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3"/>
          <w:sz w:val="24"/>
          <w:szCs w:val="24"/>
          <w:highlight w:val="none"/>
        </w:rPr>
        <w:t>投标报价应是完成招标内容所需</w:t>
      </w:r>
      <w:r>
        <w:rPr>
          <w:rFonts w:hint="eastAsia" w:ascii="宋体" w:hAnsi="宋体" w:eastAsia="宋体" w:cs="宋体"/>
          <w:color w:val="auto"/>
          <w:spacing w:val="3"/>
          <w:sz w:val="24"/>
          <w:szCs w:val="24"/>
          <w:highlight w:val="none"/>
          <w:lang w:val="en-US" w:eastAsia="zh-CN"/>
        </w:rPr>
        <w:t>产品</w:t>
      </w:r>
      <w:r>
        <w:rPr>
          <w:rFonts w:hint="eastAsia" w:ascii="宋体" w:hAnsi="宋体" w:eastAsia="宋体" w:cs="宋体"/>
          <w:color w:val="auto"/>
          <w:spacing w:val="3"/>
          <w:sz w:val="24"/>
          <w:szCs w:val="24"/>
          <w:highlight w:val="none"/>
        </w:rPr>
        <w:t>的全部费用，包括但不限于产品的报价及所发生</w:t>
      </w:r>
      <w:r>
        <w:rPr>
          <w:rFonts w:hint="eastAsia" w:ascii="宋体" w:hAnsi="宋体" w:eastAsia="宋体" w:cs="宋体"/>
          <w:color w:val="auto"/>
          <w:spacing w:val="-4"/>
          <w:sz w:val="24"/>
          <w:szCs w:val="24"/>
          <w:highlight w:val="none"/>
        </w:rPr>
        <w:t>的：</w:t>
      </w:r>
      <w:r>
        <w:rPr>
          <w:rFonts w:hint="eastAsia" w:ascii="宋体" w:hAnsi="宋体" w:eastAsia="宋体" w:cs="宋体"/>
          <w:b/>
          <w:bCs/>
          <w:color w:val="auto"/>
          <w:spacing w:val="-4"/>
          <w:sz w:val="24"/>
          <w:szCs w:val="24"/>
          <w:highlight w:val="none"/>
        </w:rPr>
        <w:t>包括采购代理服务费、货物价格、包装、运输、仓储、保管、保险、装卸（卸货至甲方指定地点）、利润、相关税费及市场价格风险在内等全部费用。</w:t>
      </w:r>
    </w:p>
    <w:p w14:paraId="1FB8F1C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四、验收</w:t>
      </w:r>
    </w:p>
    <w:p w14:paraId="205248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167" w:name="_Toc167715241"/>
      <w:bookmarkStart w:id="168" w:name="_Toc167714044"/>
      <w:bookmarkStart w:id="169" w:name="_Toc167712846"/>
      <w:r>
        <w:rPr>
          <w:rFonts w:hint="eastAsia" w:ascii="宋体" w:hAnsi="宋体" w:eastAsia="宋体" w:cs="宋体"/>
          <w:color w:val="auto"/>
          <w:sz w:val="24"/>
          <w:szCs w:val="24"/>
          <w:highlight w:val="none"/>
        </w:rPr>
        <w:t>1、项目验收分初验和终验:</w:t>
      </w:r>
    </w:p>
    <w:p w14:paraId="2347B5E6">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初验：货物</w:t>
      </w:r>
      <w:r>
        <w:rPr>
          <w:rFonts w:hint="eastAsia" w:ascii="宋体" w:hAnsi="宋体" w:eastAsia="宋体" w:cs="宋体"/>
          <w:color w:val="auto"/>
          <w:spacing w:val="3"/>
          <w:sz w:val="24"/>
          <w:szCs w:val="24"/>
          <w:highlight w:val="none"/>
          <w:lang w:val="en-US" w:eastAsia="zh-CN"/>
        </w:rPr>
        <w:t>到货</w:t>
      </w:r>
      <w:r>
        <w:rPr>
          <w:rFonts w:hint="eastAsia" w:ascii="宋体" w:hAnsi="宋体" w:eastAsia="宋体" w:cs="宋体"/>
          <w:color w:val="auto"/>
          <w:spacing w:val="3"/>
          <w:sz w:val="24"/>
          <w:szCs w:val="24"/>
          <w:highlight w:val="none"/>
        </w:rPr>
        <w:t>后由甲方行政执法部门进行抽检，检测费用</w:t>
      </w:r>
      <w:r>
        <w:rPr>
          <w:rFonts w:hint="eastAsia" w:ascii="宋体" w:hAnsi="宋体" w:eastAsia="宋体" w:cs="宋体"/>
          <w:color w:val="auto"/>
          <w:spacing w:val="3"/>
          <w:sz w:val="24"/>
          <w:szCs w:val="24"/>
          <w:highlight w:val="none"/>
          <w:lang w:eastAsia="zh-CN"/>
        </w:rPr>
        <w:t>投标人</w:t>
      </w:r>
      <w:r>
        <w:rPr>
          <w:rFonts w:hint="eastAsia" w:ascii="宋体" w:hAnsi="宋体" w:eastAsia="宋体" w:cs="宋体"/>
          <w:color w:val="auto"/>
          <w:spacing w:val="3"/>
          <w:sz w:val="24"/>
          <w:szCs w:val="24"/>
          <w:highlight w:val="none"/>
        </w:rPr>
        <w:t>承担</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货物到达交货地点后，由使用单位根据合同对货物的名称、品牌、规格、型号、产地、数量</w:t>
      </w:r>
      <w:r>
        <w:rPr>
          <w:rFonts w:hint="eastAsia" w:ascii="宋体" w:hAnsi="宋体" w:eastAsia="宋体" w:cs="宋体"/>
          <w:color w:val="auto"/>
          <w:spacing w:val="3"/>
          <w:sz w:val="24"/>
          <w:szCs w:val="24"/>
          <w:highlight w:val="none"/>
          <w:lang w:val="en-US" w:eastAsia="zh-CN"/>
        </w:rPr>
        <w:t>等</w:t>
      </w:r>
      <w:r>
        <w:rPr>
          <w:rFonts w:hint="eastAsia" w:ascii="宋体" w:hAnsi="宋体" w:eastAsia="宋体" w:cs="宋体"/>
          <w:color w:val="auto"/>
          <w:spacing w:val="3"/>
          <w:sz w:val="24"/>
          <w:szCs w:val="24"/>
          <w:highlight w:val="none"/>
        </w:rPr>
        <w:t>进行检查。</w:t>
      </w:r>
    </w:p>
    <w:p w14:paraId="43149EEE">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终验：所有货物</w:t>
      </w:r>
      <w:r>
        <w:rPr>
          <w:rFonts w:hint="eastAsia" w:ascii="宋体" w:hAnsi="宋体" w:eastAsia="宋体" w:cs="宋体"/>
          <w:color w:val="auto"/>
          <w:spacing w:val="3"/>
          <w:sz w:val="24"/>
          <w:szCs w:val="24"/>
          <w:highlight w:val="none"/>
          <w:lang w:val="en-US" w:eastAsia="zh-CN"/>
        </w:rPr>
        <w:t>验收</w:t>
      </w:r>
      <w:r>
        <w:rPr>
          <w:rFonts w:hint="eastAsia" w:ascii="宋体" w:hAnsi="宋体" w:eastAsia="宋体" w:cs="宋体"/>
          <w:color w:val="auto"/>
          <w:spacing w:val="3"/>
          <w:sz w:val="24"/>
          <w:szCs w:val="24"/>
          <w:highlight w:val="none"/>
        </w:rPr>
        <w:t>完毕，由采购人进行终验（最终验收），合格后签发《终验合格单》。</w:t>
      </w:r>
    </w:p>
    <w:p w14:paraId="174DBD85">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验收不合格的中标单位，必须在接到通知后7个日历日内确保货物通过验收。如接到通知后7个日历日内验收仍不合格，采购人可提出索赔或取消其供货合同。采购代理机构将把中标资格授予评审排序下一名的中标单位。</w:t>
      </w:r>
    </w:p>
    <w:p w14:paraId="25F3150B">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3、验收依据</w:t>
      </w:r>
      <w:bookmarkEnd w:id="167"/>
      <w:bookmarkEnd w:id="168"/>
      <w:bookmarkEnd w:id="169"/>
      <w:bookmarkStart w:id="170" w:name="_Toc167712847"/>
      <w:bookmarkStart w:id="171" w:name="_Toc167714045"/>
      <w:bookmarkStart w:id="172" w:name="_Toc167715242"/>
    </w:p>
    <w:p w14:paraId="1A8FD50B">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（1）合同文本及合同补充文件（条款）</w:t>
      </w:r>
      <w:bookmarkEnd w:id="170"/>
      <w:bookmarkEnd w:id="171"/>
      <w:bookmarkEnd w:id="172"/>
      <w:r>
        <w:rPr>
          <w:rFonts w:hint="eastAsia" w:ascii="宋体" w:hAnsi="宋体" w:eastAsia="宋体" w:cs="宋体"/>
          <w:color w:val="auto"/>
          <w:spacing w:val="3"/>
          <w:sz w:val="24"/>
          <w:szCs w:val="24"/>
          <w:highlight w:val="none"/>
        </w:rPr>
        <w:t>；</w:t>
      </w:r>
    </w:p>
    <w:p w14:paraId="2BBEF724">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2）产品的合法来源渠道证明文件、响应功能证明材料；</w:t>
      </w:r>
    </w:p>
    <w:p w14:paraId="31A03E95">
      <w:pPr>
        <w:keepNext w:val="0"/>
        <w:keepLines w:val="0"/>
        <w:pageBreakBefore w:val="0"/>
        <w:widowControl w:val="0"/>
        <w:kinsoku/>
        <w:wordWrap/>
        <w:overflowPunct/>
        <w:topLinePunct w:val="0"/>
        <w:autoSpaceDE/>
        <w:autoSpaceDN/>
        <w:bidi w:val="0"/>
        <w:adjustRightInd/>
        <w:snapToGrid/>
        <w:spacing w:line="480" w:lineRule="exact"/>
        <w:ind w:firstLine="492"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3"/>
          <w:sz w:val="24"/>
          <w:szCs w:val="24"/>
          <w:highlight w:val="none"/>
          <w:lang w:val="en-US" w:eastAsia="zh-CN"/>
        </w:rPr>
        <w:t>招标</w:t>
      </w:r>
      <w:r>
        <w:rPr>
          <w:rFonts w:hint="eastAsia" w:ascii="宋体" w:hAnsi="宋体" w:eastAsia="宋体" w:cs="宋体"/>
          <w:color w:val="auto"/>
          <w:spacing w:val="3"/>
          <w:sz w:val="24"/>
          <w:szCs w:val="24"/>
          <w:highlight w:val="none"/>
        </w:rPr>
        <w:t>文件；</w:t>
      </w:r>
    </w:p>
    <w:p w14:paraId="7FDB02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p>
    <w:p w14:paraId="70C007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（5）合同货物清单；</w:t>
      </w:r>
    </w:p>
    <w:p w14:paraId="75424B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（6）生产厂家的企业资质、货物的执行标准。</w:t>
      </w:r>
    </w:p>
    <w:p w14:paraId="3247A6D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五、质量保证</w:t>
      </w:r>
    </w:p>
    <w:p w14:paraId="034696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所有产品的质保期为终验合格后</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年，</w:t>
      </w:r>
      <w:r>
        <w:rPr>
          <w:rFonts w:hint="eastAsia" w:ascii="宋体" w:hAnsi="宋体" w:eastAsia="宋体" w:cs="宋体"/>
          <w:b w:val="0"/>
          <w:bCs/>
          <w:color w:val="auto"/>
          <w:sz w:val="24"/>
          <w:szCs w:val="24"/>
          <w:highlight w:val="none"/>
          <w:lang w:val="en-US" w:eastAsia="zh-CN"/>
        </w:rPr>
        <w:t>质保期内无明显外力损坏的均须免费更换。投标人承诺的质保时间超过招标文件要求的，按其承诺时间质保。</w:t>
      </w:r>
    </w:p>
    <w:p w14:paraId="622E46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中标单位承诺的质保期起始时间为终验合格之日。</w:t>
      </w:r>
    </w:p>
    <w:p w14:paraId="6E4F50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3、所有产品质量必须符合国家有关规范和相关政策。所有产品必须是未使用过的新产品，质量优良、渠道正当。</w:t>
      </w:r>
    </w:p>
    <w:p w14:paraId="328776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4、质保期出现的质量问题由中标单位负责解决并承担所有费用。</w:t>
      </w:r>
    </w:p>
    <w:p w14:paraId="55CEA0F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5、售后服务响应时间在接到通知2小时内响应，24小时内解决问题。</w:t>
      </w:r>
    </w:p>
    <w:p w14:paraId="046F4BB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、合同实施：</w:t>
      </w:r>
      <w:bookmarkStart w:id="173" w:name="_Toc167715264"/>
      <w:bookmarkStart w:id="174" w:name="_Toc167712869"/>
      <w:bookmarkStart w:id="175" w:name="_Toc167714067"/>
    </w:p>
    <w:p w14:paraId="7A8595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bookmarkEnd w:id="173"/>
      <w:bookmarkEnd w:id="174"/>
      <w:bookmarkEnd w:id="175"/>
      <w:r>
        <w:rPr>
          <w:rFonts w:hint="eastAsia" w:ascii="宋体" w:hAnsi="宋体" w:eastAsia="宋体" w:cs="宋体"/>
          <w:color w:val="auto"/>
          <w:sz w:val="24"/>
          <w:szCs w:val="24"/>
          <w:highlight w:val="none"/>
        </w:rPr>
        <w:t>、中标单位应在合同签订后安排人员（项目组成人员简历表所列）与使用单位就送货等工作进行安排、部署。</w:t>
      </w:r>
      <w:bookmarkStart w:id="176" w:name="_Toc167715265"/>
      <w:bookmarkStart w:id="177" w:name="_Toc167714068"/>
      <w:bookmarkStart w:id="178" w:name="_Toc167712870"/>
    </w:p>
    <w:p w14:paraId="3493DA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176"/>
      <w:bookmarkEnd w:id="177"/>
      <w:bookmarkEnd w:id="178"/>
      <w:r>
        <w:rPr>
          <w:rFonts w:hint="eastAsia" w:ascii="宋体" w:hAnsi="宋体" w:eastAsia="宋体" w:cs="宋体"/>
          <w:color w:val="auto"/>
          <w:sz w:val="24"/>
          <w:szCs w:val="24"/>
          <w:highlight w:val="none"/>
        </w:rPr>
        <w:t xml:space="preserve"> 、若因中标单位原因未能在工期内完成合同规定的义务，由此对采购人造成的延误和一切损失，由中标单位人承担和赔偿。</w:t>
      </w:r>
    </w:p>
    <w:p w14:paraId="2E4916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72BBA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1、按《中华人民共和国民法典》中的相关条款执行。</w:t>
      </w:r>
    </w:p>
    <w:p w14:paraId="6EA9E1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2、未按合同要求提供产品或产品质量不能满足技术要求，采购人有权终止合同，并对供方违约行为进行追究，同时按《政府采购法》的有关规定进行处罚。</w:t>
      </w:r>
    </w:p>
    <w:p w14:paraId="3021AEA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注：1、本项目商务条款全部为重要指标（实质性要求），不得负偏离，</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在</w:t>
      </w:r>
      <w:r>
        <w:rPr>
          <w:rFonts w:hint="eastAsia" w:ascii="宋体" w:hAnsi="宋体" w:eastAsia="宋体" w:cs="宋体"/>
          <w:b/>
          <w:color w:val="auto"/>
          <w:sz w:val="24"/>
          <w:szCs w:val="24"/>
          <w:highlight w:val="none"/>
          <w:lang w:eastAsia="zh-CN"/>
        </w:rPr>
        <w:t>投标文件</w:t>
      </w:r>
      <w:r>
        <w:rPr>
          <w:rFonts w:hint="eastAsia" w:ascii="宋体" w:hAnsi="宋体" w:eastAsia="宋体" w:cs="宋体"/>
          <w:b/>
          <w:color w:val="auto"/>
          <w:sz w:val="24"/>
          <w:szCs w:val="24"/>
          <w:highlight w:val="none"/>
        </w:rPr>
        <w:t>中必须对商务条款进行一一正面响应，若不响应、逃避响应或模糊混淆概念响应，按照负偏离处理（不符合</w:t>
      </w:r>
      <w:r>
        <w:rPr>
          <w:rFonts w:hint="eastAsia" w:ascii="宋体" w:hAnsi="宋体" w:eastAsia="宋体" w:cs="宋体"/>
          <w:b/>
          <w:color w:val="auto"/>
          <w:sz w:val="24"/>
          <w:szCs w:val="24"/>
          <w:highlight w:val="none"/>
          <w:lang w:eastAsia="zh-CN"/>
        </w:rPr>
        <w:t>招标文件</w:t>
      </w:r>
      <w:r>
        <w:rPr>
          <w:rFonts w:hint="eastAsia" w:ascii="宋体" w:hAnsi="宋体" w:eastAsia="宋体" w:cs="宋体"/>
          <w:b/>
          <w:color w:val="auto"/>
          <w:sz w:val="24"/>
          <w:szCs w:val="24"/>
          <w:highlight w:val="none"/>
        </w:rPr>
        <w:t>实质性要求），不能提供证明文件的不予认可。在交货后，发现部分不能实现，甲方有权退货并索取赔偿。</w:t>
      </w:r>
    </w:p>
    <w:p w14:paraId="490A8D10">
      <w:pPr>
        <w:pStyle w:val="29"/>
        <w:keepNext w:val="0"/>
        <w:keepLines w:val="0"/>
        <w:pageBreakBefore w:val="0"/>
        <w:widowControl w:val="0"/>
        <w:kinsoku/>
        <w:wordWrap/>
        <w:overflowPunct/>
        <w:topLinePunct w:val="0"/>
        <w:autoSpaceDE/>
        <w:autoSpaceDN/>
        <w:bidi w:val="0"/>
        <w:adjustRightInd/>
        <w:snapToGrid/>
        <w:spacing w:beforeLines="0" w:afterLines="0"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2、产品中标后签订合同、验收过程中如果发现有不满足招标要求的、篡改商务条款的，用户可以拒绝付款。</w:t>
      </w:r>
    </w:p>
    <w:p w14:paraId="4F094E6D">
      <w:pPr>
        <w:widowControl/>
        <w:spacing w:after="240" w:afterLines="100" w:line="400" w:lineRule="atLeast"/>
        <w:jc w:val="center"/>
        <w:rPr>
          <w:rFonts w:hint="eastAsia" w:ascii="宋体" w:hAnsi="宋体" w:eastAsia="宋体" w:cs="宋体"/>
          <w:b/>
          <w:color w:val="auto"/>
          <w:sz w:val="44"/>
          <w:szCs w:val="44"/>
          <w:highlight w:val="none"/>
        </w:rPr>
      </w:pPr>
    </w:p>
    <w:p w14:paraId="5D214FDF">
      <w:pPr>
        <w:widowControl/>
        <w:spacing w:after="240" w:afterLines="100" w:line="400" w:lineRule="atLeast"/>
        <w:jc w:val="center"/>
        <w:rPr>
          <w:rFonts w:hint="eastAsia" w:ascii="宋体" w:hAnsi="宋体" w:eastAsia="宋体" w:cs="宋体"/>
          <w:b/>
          <w:color w:val="auto"/>
          <w:sz w:val="44"/>
          <w:szCs w:val="44"/>
          <w:highlight w:val="none"/>
        </w:rPr>
      </w:pPr>
    </w:p>
    <w:p w14:paraId="676294E5">
      <w:pPr>
        <w:widowControl/>
        <w:spacing w:after="240" w:afterLines="100" w:line="400" w:lineRule="atLeast"/>
        <w:jc w:val="center"/>
        <w:rPr>
          <w:rFonts w:hint="eastAsia" w:ascii="宋体" w:hAnsi="宋体" w:eastAsia="宋体" w:cs="宋体"/>
          <w:b/>
          <w:color w:val="auto"/>
          <w:sz w:val="44"/>
          <w:szCs w:val="44"/>
          <w:highlight w:val="none"/>
        </w:rPr>
      </w:pPr>
    </w:p>
    <w:p w14:paraId="52694659">
      <w:pPr>
        <w:pageBreakBefore w:val="0"/>
        <w:widowControl/>
        <w:kinsoku/>
        <w:wordWrap/>
        <w:overflowPunct/>
        <w:topLinePunct w:val="0"/>
        <w:autoSpaceDE/>
        <w:autoSpaceDN/>
        <w:bidi w:val="0"/>
        <w:adjustRightInd/>
        <w:spacing w:line="480" w:lineRule="exact"/>
        <w:ind w:left="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第五章  采购合同格式</w:t>
      </w:r>
    </w:p>
    <w:p w14:paraId="28530566">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3C46322B">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4E7F7908">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5215C64B">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p>
    <w:p w14:paraId="5DE9BA3D">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70F40B0B">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投标人（乙方）：</w:t>
      </w:r>
    </w:p>
    <w:p w14:paraId="0796752C">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》和甲方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）的招标文件、投标文件等有关规定，为确保甲方采购项目的顺利实施，甲、乙双方在平等自愿原则下签订本合同，并共同遵守如下条款：</w:t>
      </w:r>
    </w:p>
    <w:p w14:paraId="0044E6C2">
      <w:pPr>
        <w:pStyle w:val="34"/>
        <w:pageBreakBefore w:val="0"/>
        <w:kinsoku/>
        <w:wordWrap/>
        <w:overflowPunct/>
        <w:topLinePunct w:val="0"/>
        <w:autoSpaceDE/>
        <w:autoSpaceDN/>
        <w:bidi w:val="0"/>
        <w:adjustRightInd/>
        <w:spacing w:line="480" w:lineRule="exact"/>
        <w:ind w:left="0" w:firstLine="452" w:firstLineChars="1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第一条 合同标的及数量</w:t>
      </w:r>
    </w:p>
    <w:p w14:paraId="664FE539">
      <w:pPr>
        <w:pStyle w:val="34"/>
        <w:pageBreakBefore w:val="0"/>
        <w:kinsoku/>
        <w:wordWrap/>
        <w:overflowPunct/>
        <w:topLinePunct w:val="0"/>
        <w:autoSpaceDE/>
        <w:autoSpaceDN/>
        <w:bidi w:val="0"/>
        <w:adjustRightInd/>
        <w:spacing w:line="480" w:lineRule="exact"/>
        <w:ind w:left="0"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乙方向甲方提供下列货物（产品）：</w:t>
      </w:r>
    </w:p>
    <w:p w14:paraId="67D2CA5A">
      <w:pPr>
        <w:pStyle w:val="4"/>
        <w:pageBreakBefore w:val="0"/>
        <w:kinsoku/>
        <w:wordWrap/>
        <w:overflowPunct/>
        <w:topLinePunct w:val="0"/>
        <w:autoSpaceDE/>
        <w:autoSpaceDN/>
        <w:bidi w:val="0"/>
        <w:adjustRightInd/>
        <w:spacing w:line="480" w:lineRule="exact"/>
        <w:ind w:left="0"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供货一览表</w:t>
      </w:r>
    </w:p>
    <w:tbl>
      <w:tblPr>
        <w:tblStyle w:val="22"/>
        <w:tblpPr w:leftFromText="180" w:rightFromText="180" w:vertAnchor="text" w:horzAnchor="margin" w:tblpXSpec="center" w:tblpY="30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71"/>
        <w:gridCol w:w="1311"/>
        <w:gridCol w:w="909"/>
        <w:gridCol w:w="791"/>
        <w:gridCol w:w="800"/>
        <w:gridCol w:w="5"/>
        <w:gridCol w:w="1170"/>
        <w:gridCol w:w="1608"/>
        <w:gridCol w:w="4"/>
      </w:tblGrid>
      <w:tr w14:paraId="185E5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06" w:type="dxa"/>
            <w:noWrap w:val="0"/>
            <w:vAlign w:val="center"/>
          </w:tcPr>
          <w:p w14:paraId="1C9FD0CC">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79" w:name="_Toc5193"/>
            <w:r>
              <w:rPr>
                <w:rFonts w:hint="eastAsia" w:ascii="宋体" w:hAnsi="宋体" w:eastAsia="宋体" w:cs="宋体"/>
                <w:color w:val="auto"/>
                <w:sz w:val="24"/>
                <w:szCs w:val="24"/>
                <w:highlight w:val="none"/>
              </w:rPr>
              <w:t>序号</w:t>
            </w:r>
            <w:bookmarkEnd w:id="179"/>
          </w:p>
        </w:tc>
        <w:tc>
          <w:tcPr>
            <w:tcW w:w="1471" w:type="dxa"/>
            <w:noWrap w:val="0"/>
            <w:vAlign w:val="center"/>
          </w:tcPr>
          <w:p w14:paraId="7B495FAC">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0" w:name="_Toc14204"/>
            <w:r>
              <w:rPr>
                <w:rFonts w:hint="eastAsia" w:ascii="宋体" w:hAnsi="宋体" w:eastAsia="宋体" w:cs="宋体"/>
                <w:color w:val="auto"/>
                <w:sz w:val="24"/>
                <w:szCs w:val="24"/>
                <w:highlight w:val="none"/>
              </w:rPr>
              <w:t>货物名称</w:t>
            </w:r>
            <w:bookmarkEnd w:id="180"/>
          </w:p>
        </w:tc>
        <w:tc>
          <w:tcPr>
            <w:tcW w:w="1311" w:type="dxa"/>
            <w:noWrap w:val="0"/>
            <w:vAlign w:val="center"/>
          </w:tcPr>
          <w:p w14:paraId="3809B153">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1" w:name="_Toc5424"/>
            <w:r>
              <w:rPr>
                <w:rFonts w:hint="eastAsia" w:ascii="宋体" w:hAnsi="宋体" w:eastAsia="宋体" w:cs="宋体"/>
                <w:color w:val="auto"/>
                <w:sz w:val="24"/>
                <w:szCs w:val="24"/>
                <w:highlight w:val="none"/>
              </w:rPr>
              <w:t>品牌/型号</w:t>
            </w:r>
            <w:bookmarkEnd w:id="181"/>
          </w:p>
        </w:tc>
        <w:tc>
          <w:tcPr>
            <w:tcW w:w="909" w:type="dxa"/>
            <w:noWrap w:val="0"/>
            <w:vAlign w:val="center"/>
          </w:tcPr>
          <w:p w14:paraId="35A2DC69">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2" w:name="_Toc10718"/>
            <w:r>
              <w:rPr>
                <w:rFonts w:hint="eastAsia" w:ascii="宋体" w:hAnsi="宋体" w:eastAsia="宋体" w:cs="宋体"/>
                <w:color w:val="auto"/>
                <w:sz w:val="24"/>
                <w:szCs w:val="24"/>
                <w:highlight w:val="none"/>
              </w:rPr>
              <w:t>规格</w:t>
            </w:r>
            <w:bookmarkEnd w:id="182"/>
          </w:p>
        </w:tc>
        <w:tc>
          <w:tcPr>
            <w:tcW w:w="791" w:type="dxa"/>
            <w:noWrap w:val="0"/>
            <w:vAlign w:val="center"/>
          </w:tcPr>
          <w:p w14:paraId="14AF1456">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3" w:name="_Toc5994"/>
            <w:r>
              <w:rPr>
                <w:rFonts w:hint="eastAsia" w:ascii="宋体" w:hAnsi="宋体" w:eastAsia="宋体" w:cs="宋体"/>
                <w:color w:val="auto"/>
                <w:sz w:val="24"/>
                <w:szCs w:val="24"/>
                <w:highlight w:val="none"/>
              </w:rPr>
              <w:t>计量单位</w:t>
            </w:r>
            <w:bookmarkEnd w:id="183"/>
          </w:p>
        </w:tc>
        <w:tc>
          <w:tcPr>
            <w:tcW w:w="805" w:type="dxa"/>
            <w:gridSpan w:val="2"/>
            <w:noWrap w:val="0"/>
            <w:vAlign w:val="center"/>
          </w:tcPr>
          <w:p w14:paraId="1A2E3DFA">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4" w:name="_Toc27953"/>
            <w:r>
              <w:rPr>
                <w:rFonts w:hint="eastAsia" w:ascii="宋体" w:hAnsi="宋体" w:eastAsia="宋体" w:cs="宋体"/>
                <w:color w:val="auto"/>
                <w:sz w:val="24"/>
                <w:szCs w:val="24"/>
                <w:highlight w:val="none"/>
              </w:rPr>
              <w:t>数量</w:t>
            </w:r>
            <w:bookmarkEnd w:id="184"/>
          </w:p>
        </w:tc>
        <w:tc>
          <w:tcPr>
            <w:tcW w:w="1170" w:type="dxa"/>
            <w:noWrap w:val="0"/>
            <w:vAlign w:val="center"/>
          </w:tcPr>
          <w:p w14:paraId="1DA6089C">
            <w:pPr>
              <w:pStyle w:val="3"/>
              <w:pageBreakBefore w:val="0"/>
              <w:kinsoku/>
              <w:wordWrap/>
              <w:overflowPunct/>
              <w:topLinePunct w:val="0"/>
              <w:autoSpaceDE/>
              <w:autoSpaceDN/>
              <w:bidi w:val="0"/>
              <w:adjustRightInd/>
              <w:spacing w:before="0" w:after="0" w:line="480" w:lineRule="exact"/>
              <w:ind w:left="0"/>
              <w:jc w:val="center"/>
              <w:rPr>
                <w:rFonts w:hint="eastAsia" w:ascii="宋体" w:hAnsi="宋体" w:eastAsia="宋体" w:cs="宋体"/>
                <w:color w:val="auto"/>
                <w:sz w:val="24"/>
                <w:szCs w:val="24"/>
                <w:highlight w:val="none"/>
              </w:rPr>
            </w:pPr>
            <w:bookmarkStart w:id="185" w:name="_Toc27912"/>
            <w:r>
              <w:rPr>
                <w:rFonts w:hint="eastAsia" w:ascii="宋体" w:hAnsi="宋体" w:eastAsia="宋体" w:cs="宋体"/>
                <w:color w:val="auto"/>
                <w:sz w:val="24"/>
                <w:szCs w:val="24"/>
                <w:highlight w:val="none"/>
              </w:rPr>
              <w:t>单价（元）</w:t>
            </w:r>
            <w:bookmarkEnd w:id="185"/>
          </w:p>
        </w:tc>
        <w:tc>
          <w:tcPr>
            <w:tcW w:w="1612" w:type="dxa"/>
            <w:gridSpan w:val="2"/>
            <w:noWrap w:val="0"/>
            <w:vAlign w:val="center"/>
          </w:tcPr>
          <w:p w14:paraId="157423E2">
            <w:pPr>
              <w:pStyle w:val="3"/>
              <w:pageBreakBefore w:val="0"/>
              <w:kinsoku/>
              <w:wordWrap/>
              <w:overflowPunct/>
              <w:topLinePunct w:val="0"/>
              <w:autoSpaceDE/>
              <w:autoSpaceDN/>
              <w:bidi w:val="0"/>
              <w:adjustRightInd/>
              <w:spacing w:before="0" w:after="0" w:line="480" w:lineRule="exact"/>
              <w:ind w:left="0" w:hanging="235" w:hangingChars="98"/>
              <w:jc w:val="center"/>
              <w:rPr>
                <w:rFonts w:hint="eastAsia" w:ascii="宋体" w:hAnsi="宋体" w:eastAsia="宋体" w:cs="宋体"/>
                <w:color w:val="auto"/>
                <w:sz w:val="24"/>
                <w:szCs w:val="24"/>
                <w:highlight w:val="none"/>
              </w:rPr>
            </w:pPr>
            <w:bookmarkStart w:id="186" w:name="_Toc5298"/>
            <w:r>
              <w:rPr>
                <w:rFonts w:hint="eastAsia" w:ascii="宋体" w:hAnsi="宋体" w:eastAsia="宋体" w:cs="宋体"/>
                <w:color w:val="auto"/>
                <w:sz w:val="24"/>
                <w:szCs w:val="24"/>
                <w:highlight w:val="none"/>
              </w:rPr>
              <w:t>金额 (元)</w:t>
            </w:r>
            <w:bookmarkEnd w:id="186"/>
          </w:p>
        </w:tc>
      </w:tr>
      <w:tr w14:paraId="7E563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4B0154C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788DC7DD">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0580E9E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357BDDD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2173DBC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5405729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1B403E1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7094399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26F34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0C2DB68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2A4004C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397D9B3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124FF2F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45A43294">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387426D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17898B5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650A7F52">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2595E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226D1D1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0CE0A8C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39067FF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32212F8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57C0471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063F5160">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6D76B40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07E90C3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40A1A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1E2BB3B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410E29C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13B7805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356ED75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3F1867D5">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14A6C2C0">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0065AC9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7BCA65FF">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64061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07CAEBC2">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585BE4E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62473860">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0FA135D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6758750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535818E6">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353141E2">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07F2E3B4">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0B608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6451686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4ADC0A0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365417D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0958D045">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67AA8FE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2C7AADA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35319BE8">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67FB256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04D72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2AFC9FD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6161FB65">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352B8522">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628E0BD8">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68CA0B0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0775D6E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47540E5D">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49F9F88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1D2A1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50D17B74">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2F59E13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30DC89F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22A8A9D8">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1B0F00B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6A24565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45291CA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2B5FA89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35DD2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6117F872">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0BFA137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2CC6D32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26913BB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2CE842EF">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68CA654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5CDC4D00">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228328D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15960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2FD5F7A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3CAB4159">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63CDFD6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55F58CA5">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7843A87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53F96504">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6826C8F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1DD1A53C">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64CFE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6" w:type="dxa"/>
            <w:noWrap w:val="0"/>
            <w:vAlign w:val="top"/>
          </w:tcPr>
          <w:p w14:paraId="088ECA6F">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top"/>
          </w:tcPr>
          <w:p w14:paraId="6D26FB25">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311" w:type="dxa"/>
            <w:noWrap w:val="0"/>
            <w:vAlign w:val="top"/>
          </w:tcPr>
          <w:p w14:paraId="7B7214C7">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909" w:type="dxa"/>
            <w:noWrap w:val="0"/>
            <w:vAlign w:val="top"/>
          </w:tcPr>
          <w:p w14:paraId="13C96048">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791" w:type="dxa"/>
            <w:noWrap w:val="0"/>
            <w:vAlign w:val="top"/>
          </w:tcPr>
          <w:p w14:paraId="2592BF4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805" w:type="dxa"/>
            <w:gridSpan w:val="2"/>
            <w:noWrap w:val="0"/>
            <w:vAlign w:val="top"/>
          </w:tcPr>
          <w:p w14:paraId="79FF9953">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170" w:type="dxa"/>
            <w:noWrap w:val="0"/>
            <w:vAlign w:val="top"/>
          </w:tcPr>
          <w:p w14:paraId="64173E7E">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612" w:type="dxa"/>
            <w:gridSpan w:val="2"/>
            <w:noWrap w:val="0"/>
            <w:vAlign w:val="top"/>
          </w:tcPr>
          <w:p w14:paraId="6115204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r>
      <w:tr w14:paraId="2C387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04" w:hRule="atLeast"/>
          <w:jc w:val="center"/>
        </w:trPr>
        <w:tc>
          <w:tcPr>
            <w:tcW w:w="806" w:type="dxa"/>
            <w:noWrap w:val="0"/>
            <w:vAlign w:val="top"/>
          </w:tcPr>
          <w:p w14:paraId="405B2EEB">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p>
        </w:tc>
        <w:tc>
          <w:tcPr>
            <w:tcW w:w="1471" w:type="dxa"/>
            <w:noWrap w:val="0"/>
            <w:vAlign w:val="center"/>
          </w:tcPr>
          <w:p w14:paraId="50F41D33">
            <w:pPr>
              <w:pStyle w:val="3"/>
              <w:pageBreakBefore w:val="0"/>
              <w:kinsoku/>
              <w:wordWrap/>
              <w:overflowPunct/>
              <w:topLinePunct w:val="0"/>
              <w:autoSpaceDE/>
              <w:autoSpaceDN/>
              <w:bidi w:val="0"/>
              <w:adjustRightInd/>
              <w:spacing w:before="0" w:after="0" w:line="480" w:lineRule="exact"/>
              <w:ind w:left="0" w:firstLine="352" w:firstLineChars="147"/>
              <w:rPr>
                <w:rFonts w:hint="eastAsia" w:ascii="宋体" w:hAnsi="宋体" w:eastAsia="宋体" w:cs="宋体"/>
                <w:color w:val="auto"/>
                <w:sz w:val="24"/>
                <w:szCs w:val="24"/>
                <w:highlight w:val="none"/>
              </w:rPr>
            </w:pPr>
            <w:bookmarkStart w:id="187" w:name="_Toc26647"/>
            <w:r>
              <w:rPr>
                <w:rFonts w:hint="eastAsia" w:ascii="宋体" w:hAnsi="宋体" w:eastAsia="宋体" w:cs="宋体"/>
                <w:color w:val="auto"/>
                <w:sz w:val="24"/>
                <w:szCs w:val="24"/>
                <w:highlight w:val="none"/>
              </w:rPr>
              <w:t>合计</w:t>
            </w:r>
            <w:bookmarkEnd w:id="187"/>
          </w:p>
        </w:tc>
        <w:tc>
          <w:tcPr>
            <w:tcW w:w="3811" w:type="dxa"/>
            <w:gridSpan w:val="4"/>
            <w:noWrap w:val="0"/>
            <w:vAlign w:val="center"/>
          </w:tcPr>
          <w:p w14:paraId="2DE3392A">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bookmarkStart w:id="188" w:name="_Toc3825"/>
            <w:r>
              <w:rPr>
                <w:rFonts w:hint="eastAsia" w:ascii="宋体" w:hAnsi="宋体" w:eastAsia="宋体" w:cs="宋体"/>
                <w:color w:val="auto"/>
                <w:sz w:val="24"/>
                <w:szCs w:val="24"/>
                <w:highlight w:val="none"/>
              </w:rPr>
              <w:t>大写</w:t>
            </w:r>
            <w:bookmarkEnd w:id="188"/>
          </w:p>
        </w:tc>
        <w:tc>
          <w:tcPr>
            <w:tcW w:w="2783" w:type="dxa"/>
            <w:gridSpan w:val="3"/>
            <w:noWrap w:val="0"/>
            <w:vAlign w:val="center"/>
          </w:tcPr>
          <w:p w14:paraId="27B371E1">
            <w:pPr>
              <w:pStyle w:val="3"/>
              <w:pageBreakBefore w:val="0"/>
              <w:kinsoku/>
              <w:wordWrap/>
              <w:overflowPunct/>
              <w:topLinePunct w:val="0"/>
              <w:autoSpaceDE/>
              <w:autoSpaceDN/>
              <w:bidi w:val="0"/>
              <w:adjustRightInd/>
              <w:spacing w:before="0" w:after="0" w:line="480" w:lineRule="exact"/>
              <w:ind w:left="0"/>
              <w:rPr>
                <w:rFonts w:hint="eastAsia" w:ascii="宋体" w:hAnsi="宋体" w:eastAsia="宋体" w:cs="宋体"/>
                <w:color w:val="auto"/>
                <w:sz w:val="24"/>
                <w:szCs w:val="24"/>
                <w:highlight w:val="none"/>
              </w:rPr>
            </w:pPr>
            <w:bookmarkStart w:id="189" w:name="_Toc30392"/>
            <w:r>
              <w:rPr>
                <w:rFonts w:hint="eastAsia" w:ascii="宋体" w:hAnsi="宋体" w:eastAsia="宋体" w:cs="宋体"/>
                <w:color w:val="auto"/>
                <w:sz w:val="24"/>
                <w:szCs w:val="24"/>
                <w:highlight w:val="none"/>
              </w:rPr>
              <w:t>￥</w:t>
            </w:r>
            <w:bookmarkEnd w:id="189"/>
          </w:p>
        </w:tc>
      </w:tr>
    </w:tbl>
    <w:p w14:paraId="2CABFA65">
      <w:pPr>
        <w:pStyle w:val="34"/>
        <w:pageBreakBefore w:val="0"/>
        <w:numPr>
          <w:ilvl w:val="0"/>
          <w:numId w:val="0"/>
        </w:numPr>
        <w:kinsoku/>
        <w:wordWrap/>
        <w:overflowPunct/>
        <w:topLinePunct w:val="0"/>
        <w:autoSpaceDE/>
        <w:autoSpaceDN/>
        <w:bidi w:val="0"/>
        <w:adjustRightInd/>
        <w:spacing w:line="480" w:lineRule="exact"/>
        <w:ind w:leftChars="166"/>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 xml:space="preserve">第二条 </w:t>
      </w:r>
      <w:r>
        <w:rPr>
          <w:rFonts w:hint="eastAsia" w:ascii="宋体" w:hAnsi="宋体" w:eastAsia="宋体" w:cs="宋体"/>
          <w:b/>
          <w:color w:val="auto"/>
          <w:sz w:val="30"/>
          <w:szCs w:val="30"/>
          <w:highlight w:val="none"/>
        </w:rPr>
        <w:t>合同价款</w:t>
      </w:r>
    </w:p>
    <w:p w14:paraId="75C5AA8E">
      <w:pPr>
        <w:pStyle w:val="3"/>
        <w:pageBreakBefore w:val="0"/>
        <w:kinsoku/>
        <w:wordWrap/>
        <w:overflowPunct/>
        <w:topLinePunct w:val="0"/>
        <w:autoSpaceDE/>
        <w:autoSpaceDN/>
        <w:bidi w:val="0"/>
        <w:adjustRightInd/>
        <w:spacing w:before="0" w:after="0" w:line="480" w:lineRule="exact"/>
        <w:ind w:left="0" w:firstLine="590" w:firstLineChars="246"/>
        <w:rPr>
          <w:rFonts w:hint="eastAsia" w:ascii="宋体" w:hAnsi="宋体" w:eastAsia="宋体" w:cs="宋体"/>
          <w:b w:val="0"/>
          <w:color w:val="auto"/>
          <w:sz w:val="24"/>
          <w:szCs w:val="24"/>
          <w:highlight w:val="none"/>
        </w:rPr>
      </w:pPr>
      <w:bookmarkStart w:id="190" w:name="_Toc11284"/>
      <w:r>
        <w:rPr>
          <w:rFonts w:hint="eastAsia" w:ascii="宋体" w:hAnsi="宋体" w:eastAsia="宋体" w:cs="宋体"/>
          <w:b w:val="0"/>
          <w:color w:val="auto"/>
          <w:sz w:val="24"/>
          <w:szCs w:val="24"/>
          <w:highlight w:val="none"/>
        </w:rPr>
        <w:t>1.合同总价：人民币（大写）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元，（￥</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w:t>
      </w:r>
      <w:bookmarkEnd w:id="190"/>
    </w:p>
    <w:p w14:paraId="4730942C">
      <w:pPr>
        <w:pStyle w:val="3"/>
        <w:pageBreakBefore w:val="0"/>
        <w:kinsoku/>
        <w:wordWrap/>
        <w:overflowPunct/>
        <w:topLinePunct w:val="0"/>
        <w:autoSpaceDE/>
        <w:autoSpaceDN/>
        <w:bidi w:val="0"/>
        <w:adjustRightInd/>
        <w:spacing w:before="0" w:after="0" w:line="480" w:lineRule="exact"/>
        <w:ind w:left="0" w:firstLine="590" w:firstLineChars="246"/>
        <w:rPr>
          <w:rFonts w:hint="eastAsia" w:ascii="宋体" w:hAnsi="宋体" w:eastAsia="宋体" w:cs="宋体"/>
          <w:b w:val="0"/>
          <w:color w:val="auto"/>
          <w:sz w:val="24"/>
          <w:szCs w:val="24"/>
          <w:highlight w:val="none"/>
        </w:rPr>
      </w:pPr>
      <w:bookmarkStart w:id="191" w:name="_Toc217"/>
      <w:r>
        <w:rPr>
          <w:rFonts w:hint="eastAsia" w:ascii="宋体" w:hAnsi="宋体" w:eastAsia="宋体" w:cs="宋体"/>
          <w:b w:val="0"/>
          <w:color w:val="auto"/>
          <w:sz w:val="24"/>
          <w:szCs w:val="24"/>
          <w:highlight w:val="none"/>
        </w:rPr>
        <w:t>2.本合同总价是货物（产品）设计、材料、制造、包装、运输、验收合格交付使用之前及与备用物件等其他有关各项的含税费用。</w:t>
      </w:r>
      <w:bookmarkEnd w:id="191"/>
    </w:p>
    <w:p w14:paraId="4A97B6B4">
      <w:pPr>
        <w:pStyle w:val="3"/>
        <w:pageBreakBefore w:val="0"/>
        <w:kinsoku/>
        <w:wordWrap/>
        <w:overflowPunct/>
        <w:topLinePunct w:val="0"/>
        <w:autoSpaceDE/>
        <w:autoSpaceDN/>
        <w:bidi w:val="0"/>
        <w:adjustRightInd/>
        <w:spacing w:before="0" w:after="0" w:line="480" w:lineRule="exact"/>
        <w:ind w:left="0" w:firstLine="590" w:firstLineChars="246"/>
        <w:rPr>
          <w:rFonts w:hint="eastAsia" w:ascii="宋体" w:hAnsi="宋体" w:eastAsia="宋体" w:cs="宋体"/>
          <w:b w:val="0"/>
          <w:color w:val="auto"/>
          <w:sz w:val="24"/>
          <w:szCs w:val="24"/>
          <w:highlight w:val="none"/>
        </w:rPr>
      </w:pPr>
      <w:bookmarkStart w:id="192" w:name="_Toc13101"/>
      <w:r>
        <w:rPr>
          <w:rFonts w:hint="eastAsia" w:ascii="宋体" w:hAnsi="宋体" w:eastAsia="宋体" w:cs="宋体"/>
          <w:b w:val="0"/>
          <w:color w:val="auto"/>
          <w:sz w:val="24"/>
          <w:szCs w:val="24"/>
          <w:highlight w:val="none"/>
        </w:rPr>
        <w:t>3.本合同总价还包含乙方应当提供的伴随服务和售后服务费用。</w:t>
      </w:r>
      <w:bookmarkEnd w:id="192"/>
    </w:p>
    <w:p w14:paraId="1CFD4F78">
      <w:pPr>
        <w:pStyle w:val="3"/>
        <w:pageBreakBefore w:val="0"/>
        <w:kinsoku/>
        <w:wordWrap/>
        <w:overflowPunct/>
        <w:topLinePunct w:val="0"/>
        <w:autoSpaceDE/>
        <w:autoSpaceDN/>
        <w:bidi w:val="0"/>
        <w:adjustRightInd/>
        <w:spacing w:before="0" w:after="0" w:line="480" w:lineRule="exact"/>
        <w:ind w:left="0" w:firstLine="590" w:firstLineChars="246"/>
        <w:rPr>
          <w:rFonts w:hint="eastAsia" w:ascii="宋体" w:hAnsi="宋体" w:eastAsia="宋体" w:cs="宋体"/>
          <w:b w:val="0"/>
          <w:color w:val="auto"/>
          <w:sz w:val="24"/>
          <w:szCs w:val="24"/>
          <w:highlight w:val="none"/>
        </w:rPr>
      </w:pPr>
      <w:bookmarkStart w:id="193" w:name="_Toc7355"/>
      <w:r>
        <w:rPr>
          <w:rFonts w:hint="eastAsia" w:ascii="宋体" w:hAnsi="宋体" w:eastAsia="宋体" w:cs="宋体"/>
          <w:b w:val="0"/>
          <w:color w:val="auto"/>
          <w:sz w:val="24"/>
          <w:szCs w:val="24"/>
          <w:highlight w:val="none"/>
        </w:rPr>
        <w:t>4.本合同执行期间合同总价不变，甲方无须另向乙方支付本合同规定之外的其他任何费用。</w:t>
      </w:r>
      <w:bookmarkEnd w:id="193"/>
    </w:p>
    <w:p w14:paraId="2096664A">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第三条 货款支付</w:t>
      </w:r>
    </w:p>
    <w:p w14:paraId="4AB90323">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1.货物（产品）按下列比例支付价款：签订合同后产品到货并完成设备安装完毕、调试合格、试运行达标支付合同总价的100%。（具体要求以签订合同为准）</w:t>
      </w:r>
    </w:p>
    <w:p w14:paraId="6B2D26DB">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2.乙方须向甲方出具合法有效的完税发票，甲方进行支付结算。</w:t>
      </w:r>
    </w:p>
    <w:p w14:paraId="49601C93">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3.结算方式：银行转账。</w:t>
      </w:r>
    </w:p>
    <w:p w14:paraId="3AE3FD09">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第四条 交货时间与地点</w:t>
      </w:r>
    </w:p>
    <w:p w14:paraId="1272D676">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乙方在合同签订生效之日起，按甲方指定时间、地点交货。</w:t>
      </w:r>
    </w:p>
    <w:p w14:paraId="679C27E2">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合同履行期限：</w:t>
      </w:r>
    </w:p>
    <w:p w14:paraId="7741AB30">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2.交货地点：甲方指定地点</w:t>
      </w:r>
    </w:p>
    <w:p w14:paraId="0A1509A5">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第五条 质量保证</w:t>
      </w:r>
    </w:p>
    <w:p w14:paraId="7345C5B9">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1.乙方须提供全新的、未使用过的合格正品货物，完全符合合同规定的质量、规格和性能的要求。</w:t>
      </w:r>
    </w:p>
    <w:p w14:paraId="0E69C25F">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2.乙方提供的节能和环保产品必须是列入节能、环保标志产品品目清单中的产品。</w:t>
      </w:r>
    </w:p>
    <w:p w14:paraId="1BE49083">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3.质量标准按照最新颁布的国家标准、行业标准或制造商企业标准确定，上述标准不一致的，以严格标准为准。</w:t>
      </w:r>
    </w:p>
    <w:p w14:paraId="52CC9DBC">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4.货物制造质量出现问题，乙方应负责三包（包修、包换、包退），费用由乙方负担，甲方有权到乙方生产场地检查货物质量和生产进度。</w:t>
      </w:r>
    </w:p>
    <w:p w14:paraId="50DEE204">
      <w:pPr>
        <w:pStyle w:val="34"/>
        <w:pageBreakBefore w:val="0"/>
        <w:kinsoku/>
        <w:wordWrap/>
        <w:overflowPunct/>
        <w:topLinePunct w:val="0"/>
        <w:autoSpaceDE/>
        <w:autoSpaceDN/>
        <w:bidi w:val="0"/>
        <w:adjustRightInd/>
        <w:spacing w:line="480" w:lineRule="exact"/>
        <w:ind w:left="0"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第六条 权利保证</w:t>
      </w:r>
    </w:p>
    <w:p w14:paraId="28588C79">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1.乙方保证对其出售的货物享有合法的权利。</w:t>
      </w:r>
    </w:p>
    <w:p w14:paraId="42F0E4BD">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2.乙方保证对其出售的货物上不存在任何未曾向甲方透露的担保物权，如抵押权、质押权、留置权。</w:t>
      </w:r>
    </w:p>
    <w:p w14:paraId="6C5B93CA">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3.乙方保证对其出售的货物或其任何一部分没有侵犯第三方的专利权、版权、商标权或其他权利。</w:t>
      </w:r>
    </w:p>
    <w:p w14:paraId="3A436E52">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4.如甲方在使用该货物构成上述侵权的，则由乙方承担全部责任。</w:t>
      </w:r>
    </w:p>
    <w:p w14:paraId="67D4B44E">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第七条 包装要求与运输方式  </w:t>
      </w:r>
      <w:r>
        <w:rPr>
          <w:rFonts w:hint="eastAsia" w:ascii="宋体" w:hAnsi="宋体" w:eastAsia="宋体" w:cs="宋体"/>
          <w:color w:val="auto"/>
          <w:sz w:val="30"/>
          <w:szCs w:val="30"/>
          <w:highlight w:val="none"/>
        </w:rPr>
        <w:t xml:space="preserve"> </w:t>
      </w:r>
    </w:p>
    <w:p w14:paraId="15320CC1">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1.除合同另有规定外，乙方提供的全部货物均应按标准保护措施进行包装，该包装应适应于远距离运输、防潮、防震、防锈和防野蛮装卸，以确保货物安全运抵指定地点。</w:t>
      </w:r>
    </w:p>
    <w:p w14:paraId="4483D193">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2.每一包装单元应附详细的装箱单和质量合格证。</w:t>
      </w:r>
    </w:p>
    <w:p w14:paraId="50FC7B63">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3.货物（产品）运输方式：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6383382">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4.乙方负责货物（产品）运输，货物运输的合理损耗及计算方法 /。</w:t>
      </w:r>
    </w:p>
    <w:p w14:paraId="49A08299">
      <w:pPr>
        <w:pStyle w:val="34"/>
        <w:pageBreakBefore w:val="0"/>
        <w:kinsoku/>
        <w:wordWrap/>
        <w:overflowPunct/>
        <w:topLinePunct w:val="0"/>
        <w:autoSpaceDE/>
        <w:autoSpaceDN/>
        <w:bidi w:val="0"/>
        <w:adjustRightInd/>
        <w:spacing w:line="480" w:lineRule="exact"/>
        <w:ind w:left="0" w:firstLine="349" w:firstLineChars="11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第八条 货物验收</w:t>
      </w:r>
    </w:p>
    <w:p w14:paraId="14B5291F">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1.货物验收由甲方组织，乙方配合，并按下列程序进行：</w:t>
      </w:r>
    </w:p>
    <w:p w14:paraId="6403D08B">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验收时，乙方须提供质检部门产品抽样检查合格的检测报告（或生产厂家自检报告）及所提供货物（产品）的合格证、装箱清单、配件、随机工具、用户使用手册（产品使用说明书）、保修卡等资料交付给甲方；</w:t>
      </w:r>
    </w:p>
    <w:p w14:paraId="32203591">
      <w:pPr>
        <w:pStyle w:val="34"/>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（2）到货验收 ：货物到达后，按合同第一条款的货物清单和装箱单经行逐一核对，同时检查货物外观，是否有划痕或破损的，并做好相应记录；</w:t>
      </w:r>
    </w:p>
    <w:p w14:paraId="295E0EFB">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（3）货物初验：乙方应在货物到货之日起，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日内全部完成</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日内完成初步验收；初步验收合格后，进入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日试用期；试用期间发生重大质量问题，修复后试用期相应顺延；</w:t>
      </w:r>
    </w:p>
    <w:p w14:paraId="77A0F76C">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（4）货物终验：试用期结束后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日内完成最终验收；</w:t>
      </w:r>
    </w:p>
    <w:p w14:paraId="08D77835">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（5）质量验收合格，双方签署质量验收报告。</w:t>
      </w:r>
    </w:p>
    <w:p w14:paraId="1A5D7925">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2.货物验收依据：</w:t>
      </w:r>
    </w:p>
    <w:p w14:paraId="1C6526B0">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w:t>
      </w:r>
    </w:p>
    <w:p w14:paraId="43BA2A1D">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w:t>
      </w:r>
    </w:p>
    <w:p w14:paraId="7E2CEA69">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（3）采购合同及补充协议；</w:t>
      </w:r>
    </w:p>
    <w:p w14:paraId="599A8E8E">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（4）质检部门抽样检查货物（产品）合格的检测报告。</w:t>
      </w:r>
    </w:p>
    <w:p w14:paraId="2C6848F9">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3.货物验收时发现问题的处理办法：</w:t>
      </w:r>
    </w:p>
    <w:p w14:paraId="291B2E53">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（1）乙方提供不符合招标文件和本合同规定的货物（产品），甲方有权拒绝接受；</w:t>
      </w:r>
    </w:p>
    <w:p w14:paraId="449A0448">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10065137">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（3）如货物经乙方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次维修仍不能达到合同约定的质量标准，甲方有权退货，并视作乙方不能交付货物而须支付违约赔偿金给甲方，甲方还可依法追究乙方的违约责任； </w:t>
      </w:r>
    </w:p>
    <w:p w14:paraId="05F1BAF9">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完成后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日内，甲方无故不进行验收工作并已使用货物的，视同已</w:t>
      </w:r>
      <w:r>
        <w:rPr>
          <w:rFonts w:hint="eastAsia" w:ascii="宋体" w:hAnsi="宋体" w:eastAsia="宋体" w:cs="宋体"/>
          <w:color w:val="auto"/>
          <w:sz w:val="24"/>
          <w:szCs w:val="24"/>
          <w:highlight w:val="none"/>
          <w:lang w:val="en-US" w:eastAsia="zh-CN"/>
        </w:rPr>
        <w:t>验收</w:t>
      </w:r>
      <w:r>
        <w:rPr>
          <w:rFonts w:hint="eastAsia" w:ascii="宋体" w:hAnsi="宋体" w:eastAsia="宋体" w:cs="宋体"/>
          <w:color w:val="auto"/>
          <w:sz w:val="24"/>
          <w:szCs w:val="24"/>
          <w:highlight w:val="none"/>
        </w:rPr>
        <w:t>完成并验收合格；</w:t>
      </w:r>
    </w:p>
    <w:p w14:paraId="69EA3004">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（5）乙方不能完整交付货物及本条第一款规定的单证和工具的，必须负责补齐，否则视为未按合同约定交货；</w:t>
      </w:r>
    </w:p>
    <w:p w14:paraId="5A035488">
      <w:pPr>
        <w:pStyle w:val="34"/>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（6）超出合理磅差的处理方法：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E433998">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第九条 售后服务</w:t>
      </w:r>
    </w:p>
    <w:p w14:paraId="4A6AF5DC">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年。乙方应按照国家有关法律法规和“三包”规定以及招标文件要求和投标文件的“服务承诺”提供服务。</w:t>
      </w:r>
    </w:p>
    <w:p w14:paraId="62FD421F">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 xml:space="preserve">第十条 </w:t>
      </w:r>
      <w:r>
        <w:rPr>
          <w:rFonts w:hint="eastAsia" w:ascii="宋体" w:hAnsi="宋体" w:eastAsia="宋体" w:cs="宋体"/>
          <w:b/>
          <w:color w:val="auto"/>
          <w:sz w:val="30"/>
          <w:szCs w:val="30"/>
          <w:highlight w:val="none"/>
        </w:rPr>
        <w:t>履约保证金</w:t>
      </w:r>
    </w:p>
    <w:p w14:paraId="0A81BF1F">
      <w:pPr>
        <w:pageBreakBefore w:val="0"/>
        <w:widowControl/>
        <w:kinsoku/>
        <w:wordWrap/>
        <w:overflowPunct/>
        <w:topLinePunct w:val="0"/>
        <w:autoSpaceDE/>
        <w:autoSpaceDN/>
        <w:bidi w:val="0"/>
        <w:adjustRightInd/>
        <w:spacing w:line="480" w:lineRule="exact"/>
        <w:ind w:left="0"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1.乙方在签订本合同之前，向甲方提交履约保证金人民币（大写）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35A180E">
      <w:pPr>
        <w:pageBreakBefore w:val="0"/>
        <w:widowControl/>
        <w:kinsoku/>
        <w:wordWrap/>
        <w:overflowPunct/>
        <w:topLinePunct w:val="0"/>
        <w:autoSpaceDE/>
        <w:autoSpaceDN/>
        <w:bidi w:val="0"/>
        <w:adjustRightInd/>
        <w:spacing w:line="480" w:lineRule="exact"/>
        <w:ind w:left="0"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2.履约保证金的有效期为乙方承诺的货物（产品）质保期。</w:t>
      </w:r>
    </w:p>
    <w:p w14:paraId="78013316">
      <w:pPr>
        <w:pageBreakBefore w:val="0"/>
        <w:widowControl/>
        <w:kinsoku/>
        <w:wordWrap/>
        <w:overflowPunct/>
        <w:topLinePunct w:val="0"/>
        <w:autoSpaceDE/>
        <w:autoSpaceDN/>
        <w:bidi w:val="0"/>
        <w:adjustRightInd/>
        <w:spacing w:line="480" w:lineRule="exact"/>
        <w:ind w:left="0"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3.如乙方未能履行合同规定的义务，甲方有权从履约保证金中取得补偿。</w:t>
      </w:r>
    </w:p>
    <w:p w14:paraId="701556D4">
      <w:pPr>
        <w:pageBreakBefore w:val="0"/>
        <w:widowControl/>
        <w:kinsoku/>
        <w:wordWrap/>
        <w:overflowPunct/>
        <w:topLinePunct w:val="0"/>
        <w:autoSpaceDE/>
        <w:autoSpaceDN/>
        <w:bidi w:val="0"/>
        <w:adjustRightInd/>
        <w:spacing w:line="480" w:lineRule="exact"/>
        <w:ind w:left="0"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货物（产品）质保期结束后，甲方财务部门接到甲方确认本合同货物质量与服务等约定事项已经履行完毕的正式书面文件后的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日内，向乙方退还履约保证金。</w:t>
      </w:r>
    </w:p>
    <w:p w14:paraId="650D76FC">
      <w:pPr>
        <w:pStyle w:val="34"/>
        <w:pageBreakBefore w:val="0"/>
        <w:kinsoku/>
        <w:wordWrap/>
        <w:overflowPunct/>
        <w:topLinePunct w:val="0"/>
        <w:autoSpaceDE/>
        <w:autoSpaceDN/>
        <w:bidi w:val="0"/>
        <w:adjustRightInd/>
        <w:spacing w:line="480" w:lineRule="exact"/>
        <w:ind w:left="0" w:firstLine="500" w:firstLineChars="16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第十一条 违约责任</w:t>
      </w:r>
    </w:p>
    <w:p w14:paraId="60A1DC7B">
      <w:pPr>
        <w:pStyle w:val="34"/>
        <w:pageBreakBefore w:val="0"/>
        <w:kinsoku/>
        <w:wordWrap/>
        <w:overflowPunct/>
        <w:topLinePunct w:val="0"/>
        <w:autoSpaceDE/>
        <w:autoSpaceDN/>
        <w:bidi w:val="0"/>
        <w:adjustRightInd/>
        <w:spacing w:line="480" w:lineRule="exact"/>
        <w:ind w:lef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1.甲方违约责任</w:t>
      </w:r>
    </w:p>
    <w:p w14:paraId="71A7842D">
      <w:pPr>
        <w:pStyle w:val="34"/>
        <w:pageBreakBefore w:val="0"/>
        <w:kinsoku/>
        <w:wordWrap/>
        <w:overflowPunct/>
        <w:topLinePunct w:val="0"/>
        <w:autoSpaceDE/>
        <w:autoSpaceDN/>
        <w:bidi w:val="0"/>
        <w:adjustRightInd/>
        <w:spacing w:line="480" w:lineRule="exact"/>
        <w:ind w:left="0"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（1）甲方无正当理由拒收货物的，甲方应偿付合同总价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%的违约金；</w:t>
      </w:r>
    </w:p>
    <w:p w14:paraId="719E65E5">
      <w:pPr>
        <w:pStyle w:val="34"/>
        <w:pageBreakBefore w:val="0"/>
        <w:kinsoku/>
        <w:wordWrap/>
        <w:overflowPunct/>
        <w:topLinePunct w:val="0"/>
        <w:autoSpaceDE/>
        <w:autoSpaceDN/>
        <w:bidi w:val="0"/>
        <w:adjustRightInd/>
        <w:spacing w:line="480" w:lineRule="exact"/>
        <w:ind w:left="0"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（2）甲方逾期支付货款的，除应及时付足货款外，应向乙方每天支付欠款总额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‰的滞纳金；但累计滞纳金总额不超过欠款总额的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B42062">
      <w:pPr>
        <w:pStyle w:val="34"/>
        <w:pageBreakBefore w:val="0"/>
        <w:kinsoku/>
        <w:wordWrap/>
        <w:overflowPunct/>
        <w:topLinePunct w:val="0"/>
        <w:autoSpaceDE/>
        <w:autoSpaceDN/>
        <w:bidi w:val="0"/>
        <w:adjustRightInd/>
        <w:spacing w:line="480" w:lineRule="exact"/>
        <w:ind w:left="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2.乙方违约责任</w:t>
      </w:r>
    </w:p>
    <w:p w14:paraId="7C7843E9">
      <w:pPr>
        <w:pageBreakBefore w:val="0"/>
        <w:widowControl/>
        <w:kinsoku/>
        <w:wordWrap/>
        <w:overflowPunct/>
        <w:topLinePunct w:val="0"/>
        <w:autoSpaceDE/>
        <w:autoSpaceDN/>
        <w:bidi w:val="0"/>
        <w:adjustRightInd/>
        <w:spacing w:line="480" w:lineRule="exact"/>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（1）如乙方不能交付货物，甲方有权扣留全部履约保证金；同时乙方应向甲方支付合同总价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％的违约金；</w:t>
      </w:r>
    </w:p>
    <w:p w14:paraId="1073A368">
      <w:pPr>
        <w:pageBreakBefore w:val="0"/>
        <w:widowControl/>
        <w:kinsoku/>
        <w:wordWrap/>
        <w:overflowPunct/>
        <w:topLinePunct w:val="0"/>
        <w:autoSpaceDE/>
        <w:autoSpaceDN/>
        <w:bidi w:val="0"/>
        <w:adjustRightInd/>
        <w:spacing w:line="480" w:lineRule="exact"/>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（2）乙方逾期交付货物的，每逾期1天，乙方向甲方偿付逾期交货部分货款总额的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‰的滞纳金。如乙方逾期交货达___天，甲方有权解除合同，解除合同的通知自到达乙方时生效；</w:t>
      </w:r>
    </w:p>
    <w:p w14:paraId="7B3849DE">
      <w:pPr>
        <w:pageBreakBefore w:val="0"/>
        <w:widowControl/>
        <w:kinsoku/>
        <w:wordWrap/>
        <w:overflowPunct/>
        <w:topLinePunct w:val="0"/>
        <w:autoSpaceDE/>
        <w:autoSpaceDN/>
        <w:bidi w:val="0"/>
        <w:adjustRightInd/>
        <w:spacing w:line="480" w:lineRule="exact"/>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（3）乙方所交付的货物品种、型号、规格不符合合同规定的，甲方有权拒收。甲方拒收的，乙方应向甲方支付货款总额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%的违约金；</w:t>
      </w:r>
    </w:p>
    <w:p w14:paraId="10B04712">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天内无条件更换合格的货物，如逾期不能更换合格的货物，甲方有权终止本合同，乙方应另向甲方支付货款总额的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w:t>
      </w:r>
    </w:p>
    <w:p w14:paraId="33A95AFD">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52991CEB">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（6）乙方未按本合同第十条的规定向甲方交付履约保证金的，应按应交付履约保证金的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%向甲方支付违约金，该违约金的支付不影响乙方应承担的其他违约责任；</w:t>
      </w:r>
    </w:p>
    <w:p w14:paraId="4A70418B">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（7）乙方未按本合同的规定和“服务承诺”提供伴随服务/售后服务的，应按合同总价款的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%向甲方承担违约责任；</w:t>
      </w:r>
    </w:p>
    <w:p w14:paraId="1691E0AD">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5A3D045D">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（9）乙方偿付的违约金不足以弥补甲方损失的，还应按甲方损失尚未弥补的部分，支付赔偿金给甲方。</w:t>
      </w:r>
    </w:p>
    <w:p w14:paraId="48145310">
      <w:pPr>
        <w:pageBreakBefore w:val="0"/>
        <w:widowControl/>
        <w:kinsoku/>
        <w:wordWrap/>
        <w:overflowPunct/>
        <w:topLinePunct w:val="0"/>
        <w:autoSpaceDE/>
        <w:autoSpaceDN/>
        <w:bidi w:val="0"/>
        <w:adjustRightInd/>
        <w:spacing w:line="480" w:lineRule="exact"/>
        <w:ind w:left="0" w:firstLine="452" w:firstLineChars="150"/>
        <w:jc w:val="left"/>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 xml:space="preserve">第十二条 </w:t>
      </w:r>
      <w:r>
        <w:rPr>
          <w:rFonts w:hint="eastAsia" w:ascii="宋体" w:hAnsi="宋体" w:eastAsia="宋体" w:cs="宋体"/>
          <w:b/>
          <w:color w:val="auto"/>
          <w:kern w:val="0"/>
          <w:sz w:val="30"/>
          <w:szCs w:val="30"/>
          <w:highlight w:val="none"/>
        </w:rPr>
        <w:t>合同的变更和终止</w:t>
      </w:r>
    </w:p>
    <w:p w14:paraId="31DC61EF">
      <w:pPr>
        <w:pageBreakBefore w:val="0"/>
        <w:widowControl/>
        <w:kinsoku/>
        <w:wordWrap/>
        <w:overflowPunct/>
        <w:topLinePunct w:val="0"/>
        <w:autoSpaceDE/>
        <w:autoSpaceDN/>
        <w:bidi w:val="0"/>
        <w:adjustRightInd/>
        <w:spacing w:line="480" w:lineRule="exact"/>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除《中华人民共和国政府采购法》第49条、第50条第二款规定的情形外，本合同一经签订，甲乙双方不得擅自变更、中止或终止合同。</w:t>
      </w:r>
    </w:p>
    <w:p w14:paraId="3253808F">
      <w:pPr>
        <w:pageBreakBefore w:val="0"/>
        <w:widowControl/>
        <w:kinsoku/>
        <w:wordWrap/>
        <w:overflowPunct/>
        <w:topLinePunct w:val="0"/>
        <w:autoSpaceDE/>
        <w:autoSpaceDN/>
        <w:bidi w:val="0"/>
        <w:adjustRightInd/>
        <w:spacing w:line="480" w:lineRule="exact"/>
        <w:ind w:left="0" w:firstLine="452" w:firstLineChars="150"/>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第十三条 争议的解决</w:t>
      </w:r>
    </w:p>
    <w:p w14:paraId="11AA67C5">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163A8AEE">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2.因履行本合同引起的或与本合同有关的争议，甲、乙双方应首先通过友好协商解决，如果协商不成，则采取以下第（1）种方式解决争议：</w:t>
      </w:r>
    </w:p>
    <w:p w14:paraId="779CC370">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（1）向甲方所在地有管辖权的人民法院提起诉讼；</w:t>
      </w:r>
    </w:p>
    <w:p w14:paraId="051E645F">
      <w:pPr>
        <w:pStyle w:val="34"/>
        <w:pageBreakBefore w:val="0"/>
        <w:kinsoku/>
        <w:wordWrap/>
        <w:overflowPunct/>
        <w:topLinePunct w:val="0"/>
        <w:autoSpaceDE/>
        <w:autoSpaceDN/>
        <w:bidi w:val="0"/>
        <w:adjustRightInd/>
        <w:spacing w:line="480" w:lineRule="exact"/>
        <w:ind w:left="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3.在仲裁期间，本合同应继续履行。</w:t>
      </w:r>
    </w:p>
    <w:p w14:paraId="09E91C26">
      <w:pPr>
        <w:pageBreakBefore w:val="0"/>
        <w:kinsoku/>
        <w:wordWrap/>
        <w:overflowPunct/>
        <w:topLinePunct w:val="0"/>
        <w:autoSpaceDE/>
        <w:autoSpaceDN/>
        <w:bidi w:val="0"/>
        <w:adjustRightInd/>
        <w:snapToGrid w:val="0"/>
        <w:spacing w:line="480" w:lineRule="exact"/>
        <w:ind w:left="0" w:firstLine="602" w:firstLineChars="200"/>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第十四条</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合同文件</w:t>
      </w:r>
    </w:p>
    <w:p w14:paraId="25215695">
      <w:pPr>
        <w:pageBreakBefore w:val="0"/>
        <w:kinsoku/>
        <w:wordWrap/>
        <w:overflowPunct/>
        <w:topLinePunct w:val="0"/>
        <w:autoSpaceDE/>
        <w:autoSpaceDN/>
        <w:bidi w:val="0"/>
        <w:adjustRightInd/>
        <w:snapToGrid w:val="0"/>
        <w:spacing w:line="480" w:lineRule="exact"/>
        <w:ind w:left="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详</w:t>
      </w:r>
      <w:r>
        <w:rPr>
          <w:rFonts w:hint="eastAsia" w:ascii="宋体" w:hAnsi="宋体" w:eastAsia="宋体" w:cs="宋体"/>
          <w:color w:val="auto"/>
          <w:sz w:val="24"/>
          <w:szCs w:val="24"/>
          <w:highlight w:val="none"/>
        </w:rPr>
        <w:t>细技术说明及其他有关合同项目的特定信息由合同附件予以说明，下列文件构成本合同的组成部分，应该认为是一个整体，彼此相互解释，相互补充。组成合同的多个文件的优先支配地位的次序如下：</w:t>
      </w:r>
    </w:p>
    <w:p w14:paraId="61DD0DC4">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1.本合同书</w:t>
      </w:r>
    </w:p>
    <w:p w14:paraId="38335957">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r>
        <w:rPr>
          <w:rFonts w:hint="eastAsia" w:ascii="宋体" w:hAnsi="宋体" w:eastAsia="宋体" w:cs="宋体"/>
          <w:color w:val="auto"/>
          <w:sz w:val="24"/>
          <w:szCs w:val="24"/>
          <w:highlight w:val="none"/>
        </w:rPr>
        <w:tab/>
      </w:r>
    </w:p>
    <w:p w14:paraId="58DD847B">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3.协议</w:t>
      </w:r>
    </w:p>
    <w:p w14:paraId="59B68FE9">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4.招标文件(含澄清或者修改文件)</w:t>
      </w:r>
    </w:p>
    <w:p w14:paraId="0F691620">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w:t>
      </w:r>
    </w:p>
    <w:p w14:paraId="3FB09F4E">
      <w:pPr>
        <w:pageBreakBefore w:val="0"/>
        <w:kinsoku/>
        <w:wordWrap/>
        <w:overflowPunct/>
        <w:topLinePunct w:val="0"/>
        <w:autoSpaceDE/>
        <w:autoSpaceDN/>
        <w:bidi w:val="0"/>
        <w:adjustRightInd/>
        <w:snapToGrid w:val="0"/>
        <w:spacing w:line="480" w:lineRule="exact"/>
        <w:ind w:left="0" w:firstLine="452" w:firstLineChars="150"/>
        <w:rPr>
          <w:rFonts w:hint="eastAsia" w:ascii="宋体" w:hAnsi="宋体" w:eastAsia="宋体" w:cs="宋体"/>
          <w:b/>
          <w:color w:val="auto"/>
          <w:kern w:val="0"/>
          <w:sz w:val="30"/>
          <w:szCs w:val="30"/>
          <w:highlight w:val="none"/>
        </w:rPr>
      </w:pPr>
      <w:r>
        <w:rPr>
          <w:rFonts w:hint="eastAsia" w:ascii="宋体" w:hAnsi="宋体" w:eastAsia="宋体" w:cs="宋体"/>
          <w:b/>
          <w:color w:val="auto"/>
          <w:sz w:val="30"/>
          <w:szCs w:val="30"/>
          <w:highlight w:val="none"/>
        </w:rPr>
        <w:t xml:space="preserve">第十五条 </w:t>
      </w:r>
      <w:r>
        <w:rPr>
          <w:rFonts w:hint="eastAsia" w:ascii="宋体" w:hAnsi="宋体" w:eastAsia="宋体" w:cs="宋体"/>
          <w:b/>
          <w:color w:val="auto"/>
          <w:kern w:val="0"/>
          <w:sz w:val="30"/>
          <w:szCs w:val="30"/>
          <w:highlight w:val="none"/>
        </w:rPr>
        <w:t>合同生效及其他</w:t>
      </w:r>
    </w:p>
    <w:p w14:paraId="438544DB">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如有未尽事宜，由双方依法订立补充合同。</w:t>
      </w:r>
    </w:p>
    <w:p w14:paraId="50820637">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2.本合同自签订之日起生效。</w:t>
      </w:r>
    </w:p>
    <w:p w14:paraId="4C9ABC7B">
      <w:pPr>
        <w:pageBreakBefore w:val="0"/>
        <w:kinsoku/>
        <w:wordWrap/>
        <w:overflowPunct/>
        <w:topLinePunct w:val="0"/>
        <w:autoSpaceDE/>
        <w:autoSpaceDN/>
        <w:bidi w:val="0"/>
        <w:adjustRightInd/>
        <w:snapToGrid w:val="0"/>
        <w:spacing w:line="480" w:lineRule="exact"/>
        <w:ind w:left="0" w:firstLine="53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3.本合同一式___份，具有同等法律效力，甲乙双方各执____份，___份报送监督管理部门备案，一份采购代理机构存档。</w:t>
      </w:r>
    </w:p>
    <w:p w14:paraId="44A9DA25">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p>
    <w:p w14:paraId="1571BB8B">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14:paraId="6E58695A">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法定代表人/委托代理人：            法定代表人/委托代理人：</w:t>
      </w:r>
    </w:p>
    <w:p w14:paraId="4E1782F4">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734F285D">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015A33B">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6B75C836">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4AF291C4">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3CDBDF5A">
      <w:pPr>
        <w:pageBreakBefore w:val="0"/>
        <w:kinsoku/>
        <w:wordWrap/>
        <w:overflowPunct/>
        <w:topLinePunct w:val="0"/>
        <w:autoSpaceDE/>
        <w:autoSpaceDN/>
        <w:bidi w:val="0"/>
        <w:adjustRightInd/>
        <w:spacing w:line="480" w:lineRule="exact"/>
        <w:ind w:left="0"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签约日期：    年  月  日           签约日期：    年  月  日</w:t>
      </w:r>
    </w:p>
    <w:p w14:paraId="13E11B24">
      <w:pPr>
        <w:rPr>
          <w:rFonts w:hint="eastAsia" w:ascii="宋体" w:hAnsi="宋体" w:eastAsia="宋体" w:cs="宋体"/>
          <w:b/>
          <w:color w:val="auto"/>
          <w:sz w:val="28"/>
          <w:szCs w:val="28"/>
          <w:highlight w:val="none"/>
        </w:rPr>
      </w:pPr>
    </w:p>
    <w:p w14:paraId="6C91C4AB">
      <w:pPr>
        <w:rPr>
          <w:rFonts w:hint="eastAsia" w:ascii="宋体" w:hAnsi="宋体" w:eastAsia="宋体" w:cs="宋体"/>
          <w:b/>
          <w:color w:val="auto"/>
          <w:sz w:val="28"/>
          <w:szCs w:val="28"/>
          <w:highlight w:val="none"/>
        </w:rPr>
      </w:pPr>
    </w:p>
    <w:p w14:paraId="075A7F04">
      <w:pPr>
        <w:rPr>
          <w:rFonts w:hint="eastAsia" w:ascii="宋体" w:hAnsi="宋体" w:eastAsia="宋体" w:cs="宋体"/>
          <w:b/>
          <w:color w:val="auto"/>
          <w:sz w:val="28"/>
          <w:szCs w:val="28"/>
          <w:highlight w:val="none"/>
        </w:rPr>
      </w:pPr>
    </w:p>
    <w:p w14:paraId="1C12C1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44"/>
          <w:szCs w:val="44"/>
          <w:highlight w:val="none"/>
        </w:rPr>
        <w:t>第六章 投标文件格式</w:t>
      </w:r>
      <w:bookmarkEnd w:id="160"/>
    </w:p>
    <w:p w14:paraId="1144492B">
      <w:pPr>
        <w:keepNext w:val="0"/>
        <w:keepLines w:val="0"/>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投标文件格式是投标人的部分投标文件格式，投标人应当严格按照这些格式编制投标文件。编制投标文件前，请详细阅读招标文件，理解文件中的每一项要求，做出逐一实质性响应，认为有必要，可做补充说明。</w:t>
      </w:r>
    </w:p>
    <w:p w14:paraId="0ABED294">
      <w:pPr>
        <w:spacing w:line="400" w:lineRule="exact"/>
        <w:ind w:firstLine="570"/>
        <w:rPr>
          <w:rFonts w:hint="eastAsia" w:ascii="宋体" w:hAnsi="宋体" w:eastAsia="宋体" w:cs="宋体"/>
          <w:color w:val="auto"/>
          <w:sz w:val="28"/>
          <w:szCs w:val="28"/>
          <w:highlight w:val="none"/>
        </w:rPr>
      </w:pPr>
    </w:p>
    <w:p w14:paraId="05A66AA5">
      <w:pPr>
        <w:spacing w:line="400" w:lineRule="exact"/>
        <w:ind w:firstLine="570"/>
        <w:rPr>
          <w:rFonts w:hint="eastAsia" w:ascii="宋体" w:hAnsi="宋体" w:eastAsia="宋体" w:cs="宋体"/>
          <w:color w:val="auto"/>
          <w:sz w:val="28"/>
          <w:szCs w:val="28"/>
          <w:highlight w:val="none"/>
        </w:rPr>
      </w:pPr>
    </w:p>
    <w:p w14:paraId="30B49740">
      <w:pPr>
        <w:spacing w:line="400" w:lineRule="exact"/>
        <w:ind w:firstLine="570"/>
        <w:rPr>
          <w:rFonts w:hint="eastAsia" w:ascii="宋体" w:hAnsi="宋体" w:eastAsia="宋体" w:cs="宋体"/>
          <w:color w:val="auto"/>
          <w:sz w:val="28"/>
          <w:szCs w:val="28"/>
          <w:highlight w:val="none"/>
        </w:rPr>
      </w:pPr>
    </w:p>
    <w:p w14:paraId="62EF4784">
      <w:pPr>
        <w:spacing w:line="400" w:lineRule="exact"/>
        <w:ind w:firstLine="570"/>
        <w:rPr>
          <w:rFonts w:hint="eastAsia" w:ascii="宋体" w:hAnsi="宋体" w:eastAsia="宋体" w:cs="宋体"/>
          <w:color w:val="auto"/>
          <w:sz w:val="28"/>
          <w:szCs w:val="28"/>
          <w:highlight w:val="none"/>
        </w:rPr>
      </w:pPr>
    </w:p>
    <w:p w14:paraId="61671CF2">
      <w:pPr>
        <w:spacing w:line="400" w:lineRule="exact"/>
        <w:ind w:firstLine="570"/>
        <w:rPr>
          <w:rFonts w:hint="eastAsia" w:ascii="宋体" w:hAnsi="宋体" w:eastAsia="宋体" w:cs="宋体"/>
          <w:color w:val="auto"/>
          <w:sz w:val="28"/>
          <w:szCs w:val="28"/>
          <w:highlight w:val="none"/>
        </w:rPr>
      </w:pPr>
    </w:p>
    <w:p w14:paraId="262769F5">
      <w:pPr>
        <w:spacing w:line="400" w:lineRule="exact"/>
        <w:ind w:firstLine="570"/>
        <w:rPr>
          <w:rFonts w:hint="eastAsia" w:ascii="宋体" w:hAnsi="宋体" w:eastAsia="宋体" w:cs="宋体"/>
          <w:color w:val="auto"/>
          <w:sz w:val="28"/>
          <w:szCs w:val="28"/>
          <w:highlight w:val="none"/>
        </w:rPr>
      </w:pPr>
    </w:p>
    <w:p w14:paraId="5621C99A">
      <w:pPr>
        <w:spacing w:line="400" w:lineRule="exact"/>
        <w:ind w:firstLine="570"/>
        <w:rPr>
          <w:rFonts w:hint="eastAsia" w:ascii="宋体" w:hAnsi="宋体" w:eastAsia="宋体" w:cs="宋体"/>
          <w:color w:val="auto"/>
          <w:sz w:val="28"/>
          <w:szCs w:val="28"/>
          <w:highlight w:val="none"/>
        </w:rPr>
      </w:pPr>
    </w:p>
    <w:p w14:paraId="52968E1E">
      <w:pPr>
        <w:spacing w:line="400" w:lineRule="exact"/>
        <w:ind w:firstLine="570"/>
        <w:rPr>
          <w:rFonts w:hint="eastAsia" w:ascii="宋体" w:hAnsi="宋体" w:eastAsia="宋体" w:cs="宋体"/>
          <w:color w:val="auto"/>
          <w:sz w:val="28"/>
          <w:szCs w:val="28"/>
          <w:highlight w:val="none"/>
        </w:rPr>
      </w:pPr>
    </w:p>
    <w:p w14:paraId="11F893A3">
      <w:pPr>
        <w:spacing w:line="400" w:lineRule="exact"/>
        <w:ind w:firstLine="570"/>
        <w:rPr>
          <w:rFonts w:hint="eastAsia" w:ascii="宋体" w:hAnsi="宋体" w:eastAsia="宋体" w:cs="宋体"/>
          <w:color w:val="auto"/>
          <w:sz w:val="28"/>
          <w:szCs w:val="28"/>
          <w:highlight w:val="none"/>
        </w:rPr>
      </w:pPr>
    </w:p>
    <w:p w14:paraId="155C452D">
      <w:pPr>
        <w:spacing w:line="400" w:lineRule="exact"/>
        <w:ind w:firstLine="570"/>
        <w:rPr>
          <w:rFonts w:hint="eastAsia" w:ascii="宋体" w:hAnsi="宋体" w:eastAsia="宋体" w:cs="宋体"/>
          <w:color w:val="auto"/>
          <w:sz w:val="28"/>
          <w:szCs w:val="28"/>
          <w:highlight w:val="none"/>
        </w:rPr>
      </w:pPr>
    </w:p>
    <w:p w14:paraId="3DABE1D3">
      <w:pPr>
        <w:spacing w:line="400" w:lineRule="exact"/>
        <w:ind w:firstLine="570"/>
        <w:rPr>
          <w:rFonts w:hint="eastAsia" w:ascii="宋体" w:hAnsi="宋体" w:eastAsia="宋体" w:cs="宋体"/>
          <w:color w:val="auto"/>
          <w:sz w:val="28"/>
          <w:szCs w:val="28"/>
          <w:highlight w:val="none"/>
        </w:rPr>
      </w:pPr>
    </w:p>
    <w:p w14:paraId="6E8D03C2">
      <w:pPr>
        <w:spacing w:line="400" w:lineRule="exact"/>
        <w:ind w:firstLine="570"/>
        <w:rPr>
          <w:rFonts w:hint="eastAsia" w:ascii="宋体" w:hAnsi="宋体" w:eastAsia="宋体" w:cs="宋体"/>
          <w:color w:val="auto"/>
          <w:sz w:val="28"/>
          <w:szCs w:val="28"/>
          <w:highlight w:val="none"/>
        </w:rPr>
      </w:pPr>
    </w:p>
    <w:p w14:paraId="7EDABB46">
      <w:pPr>
        <w:spacing w:line="400" w:lineRule="exact"/>
        <w:ind w:firstLine="570"/>
        <w:rPr>
          <w:rFonts w:hint="eastAsia" w:ascii="宋体" w:hAnsi="宋体" w:eastAsia="宋体" w:cs="宋体"/>
          <w:b/>
          <w:color w:val="auto"/>
          <w:sz w:val="28"/>
          <w:szCs w:val="28"/>
          <w:highlight w:val="none"/>
        </w:rPr>
      </w:pPr>
    </w:p>
    <w:p w14:paraId="75664F65">
      <w:pPr>
        <w:spacing w:line="400" w:lineRule="exact"/>
        <w:ind w:firstLine="570"/>
        <w:rPr>
          <w:rFonts w:hint="eastAsia" w:ascii="宋体" w:hAnsi="宋体" w:eastAsia="宋体" w:cs="宋体"/>
          <w:b/>
          <w:color w:val="auto"/>
          <w:sz w:val="28"/>
          <w:szCs w:val="28"/>
          <w:highlight w:val="none"/>
        </w:rPr>
      </w:pPr>
    </w:p>
    <w:p w14:paraId="35DBAC9D">
      <w:pPr>
        <w:spacing w:line="400" w:lineRule="exact"/>
        <w:ind w:firstLine="570"/>
        <w:rPr>
          <w:rFonts w:hint="eastAsia" w:ascii="宋体" w:hAnsi="宋体" w:eastAsia="宋体" w:cs="宋体"/>
          <w:b/>
          <w:color w:val="auto"/>
          <w:sz w:val="28"/>
          <w:szCs w:val="28"/>
          <w:highlight w:val="none"/>
        </w:rPr>
      </w:pPr>
    </w:p>
    <w:p w14:paraId="52B27A7D">
      <w:pPr>
        <w:spacing w:line="400" w:lineRule="exact"/>
        <w:ind w:firstLine="570"/>
        <w:rPr>
          <w:rFonts w:hint="eastAsia" w:ascii="宋体" w:hAnsi="宋体" w:eastAsia="宋体" w:cs="宋体"/>
          <w:b/>
          <w:color w:val="auto"/>
          <w:sz w:val="28"/>
          <w:szCs w:val="28"/>
          <w:highlight w:val="none"/>
        </w:rPr>
      </w:pPr>
    </w:p>
    <w:p w14:paraId="3212B828">
      <w:pPr>
        <w:spacing w:line="400" w:lineRule="exact"/>
        <w:ind w:firstLine="570"/>
        <w:rPr>
          <w:rFonts w:hint="eastAsia" w:ascii="宋体" w:hAnsi="宋体" w:eastAsia="宋体" w:cs="宋体"/>
          <w:b/>
          <w:color w:val="auto"/>
          <w:sz w:val="28"/>
          <w:szCs w:val="28"/>
          <w:highlight w:val="none"/>
        </w:rPr>
      </w:pPr>
    </w:p>
    <w:p w14:paraId="058495AA">
      <w:pPr>
        <w:spacing w:line="400" w:lineRule="exact"/>
        <w:ind w:firstLine="570"/>
        <w:rPr>
          <w:rFonts w:hint="eastAsia" w:ascii="宋体" w:hAnsi="宋体" w:eastAsia="宋体" w:cs="宋体"/>
          <w:b/>
          <w:color w:val="auto"/>
          <w:sz w:val="28"/>
          <w:szCs w:val="28"/>
          <w:highlight w:val="none"/>
        </w:rPr>
      </w:pPr>
    </w:p>
    <w:p w14:paraId="21230678">
      <w:pPr>
        <w:spacing w:line="400" w:lineRule="exact"/>
        <w:ind w:firstLine="570"/>
        <w:rPr>
          <w:rFonts w:hint="eastAsia" w:ascii="宋体" w:hAnsi="宋体" w:eastAsia="宋体" w:cs="宋体"/>
          <w:b/>
          <w:color w:val="auto"/>
          <w:sz w:val="28"/>
          <w:szCs w:val="28"/>
          <w:highlight w:val="none"/>
        </w:rPr>
      </w:pPr>
    </w:p>
    <w:p w14:paraId="4812A948">
      <w:pPr>
        <w:spacing w:line="400" w:lineRule="exact"/>
        <w:ind w:firstLine="570"/>
        <w:rPr>
          <w:rFonts w:hint="eastAsia" w:ascii="宋体" w:hAnsi="宋体" w:eastAsia="宋体" w:cs="宋体"/>
          <w:b/>
          <w:color w:val="auto"/>
          <w:sz w:val="28"/>
          <w:szCs w:val="28"/>
          <w:highlight w:val="none"/>
        </w:rPr>
      </w:pPr>
    </w:p>
    <w:p w14:paraId="18DF18BA">
      <w:pPr>
        <w:spacing w:line="400" w:lineRule="exact"/>
        <w:ind w:firstLine="570"/>
        <w:rPr>
          <w:rFonts w:hint="eastAsia" w:ascii="宋体" w:hAnsi="宋体" w:eastAsia="宋体" w:cs="宋体"/>
          <w:b/>
          <w:color w:val="auto"/>
          <w:sz w:val="28"/>
          <w:szCs w:val="28"/>
          <w:highlight w:val="none"/>
        </w:rPr>
      </w:pPr>
    </w:p>
    <w:p w14:paraId="1E6F885F">
      <w:pPr>
        <w:spacing w:line="400" w:lineRule="exact"/>
        <w:ind w:firstLine="570"/>
        <w:rPr>
          <w:rFonts w:hint="eastAsia" w:ascii="宋体" w:hAnsi="宋体" w:eastAsia="宋体" w:cs="宋体"/>
          <w:b/>
          <w:color w:val="auto"/>
          <w:sz w:val="28"/>
          <w:szCs w:val="28"/>
          <w:highlight w:val="none"/>
        </w:rPr>
      </w:pPr>
    </w:p>
    <w:p w14:paraId="5D51A1BB">
      <w:pPr>
        <w:spacing w:line="400" w:lineRule="exact"/>
        <w:ind w:firstLine="570"/>
        <w:rPr>
          <w:rFonts w:hint="eastAsia" w:ascii="宋体" w:hAnsi="宋体" w:eastAsia="宋体" w:cs="宋体"/>
          <w:b/>
          <w:color w:val="auto"/>
          <w:sz w:val="28"/>
          <w:szCs w:val="28"/>
          <w:highlight w:val="none"/>
        </w:rPr>
      </w:pPr>
    </w:p>
    <w:p w14:paraId="67A07864">
      <w:pPr>
        <w:spacing w:line="400" w:lineRule="exact"/>
        <w:ind w:firstLine="570"/>
        <w:rPr>
          <w:rFonts w:hint="eastAsia" w:ascii="宋体" w:hAnsi="宋体" w:eastAsia="宋体" w:cs="宋体"/>
          <w:b/>
          <w:color w:val="auto"/>
          <w:sz w:val="28"/>
          <w:szCs w:val="28"/>
          <w:highlight w:val="none"/>
        </w:rPr>
      </w:pPr>
    </w:p>
    <w:p w14:paraId="2D8C4157">
      <w:pPr>
        <w:pStyle w:val="3"/>
        <w:spacing w:before="120" w:after="120" w:line="400" w:lineRule="exact"/>
        <w:rPr>
          <w:rFonts w:hint="eastAsia" w:ascii="宋体" w:hAnsi="宋体" w:eastAsia="宋体" w:cs="宋体"/>
          <w:color w:val="auto"/>
          <w:szCs w:val="28"/>
          <w:highlight w:val="none"/>
        </w:rPr>
      </w:pPr>
      <w:bookmarkStart w:id="194" w:name="_Toc26400"/>
      <w:bookmarkStart w:id="195" w:name="_Toc217446082"/>
      <w:r>
        <w:rPr>
          <w:rFonts w:hint="eastAsia" w:ascii="宋体" w:hAnsi="宋体" w:eastAsia="宋体" w:cs="宋体"/>
          <w:color w:val="auto"/>
          <w:szCs w:val="28"/>
          <w:highlight w:val="none"/>
        </w:rPr>
        <w:t>项目编号：</w:t>
      </w:r>
      <w:bookmarkEnd w:id="194"/>
      <w:r>
        <w:rPr>
          <w:rFonts w:hint="eastAsia" w:ascii="宋体" w:hAnsi="宋体" w:eastAsia="宋体" w:cs="宋体"/>
          <w:color w:val="auto"/>
          <w:szCs w:val="28"/>
          <w:highlight w:val="none"/>
        </w:rPr>
        <w:t xml:space="preserve"> </w:t>
      </w:r>
    </w:p>
    <w:p w14:paraId="101CFBAB">
      <w:pPr>
        <w:pStyle w:val="3"/>
        <w:spacing w:line="4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65A02358">
      <w:pPr>
        <w:pStyle w:val="3"/>
        <w:spacing w:line="400" w:lineRule="exact"/>
        <w:jc w:val="center"/>
        <w:rPr>
          <w:rFonts w:hint="eastAsia" w:ascii="宋体" w:hAnsi="宋体" w:eastAsia="宋体" w:cs="宋体"/>
          <w:color w:val="auto"/>
          <w:szCs w:val="28"/>
          <w:highlight w:val="none"/>
        </w:rPr>
      </w:pPr>
    </w:p>
    <w:p w14:paraId="15F7053F">
      <w:pPr>
        <w:snapToGrid w:val="0"/>
        <w:spacing w:before="480" w:beforeLines="200"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伊宁市某局2026年ZB采购项目</w:t>
      </w:r>
    </w:p>
    <w:p w14:paraId="041616A0">
      <w:pPr>
        <w:pStyle w:val="3"/>
        <w:spacing w:line="680" w:lineRule="exact"/>
        <w:jc w:val="center"/>
        <w:rPr>
          <w:rFonts w:hint="eastAsia" w:ascii="宋体" w:hAnsi="宋体" w:eastAsia="宋体" w:cs="宋体"/>
          <w:b w:val="0"/>
          <w:color w:val="auto"/>
          <w:sz w:val="44"/>
          <w:szCs w:val="44"/>
          <w:highlight w:val="none"/>
        </w:rPr>
      </w:pPr>
    </w:p>
    <w:p w14:paraId="75BE0B98">
      <w:pPr>
        <w:pStyle w:val="3"/>
        <w:spacing w:line="400" w:lineRule="exact"/>
        <w:jc w:val="center"/>
        <w:rPr>
          <w:rFonts w:hint="eastAsia" w:ascii="宋体" w:hAnsi="宋体" w:eastAsia="宋体" w:cs="宋体"/>
          <w:color w:val="auto"/>
          <w:sz w:val="44"/>
          <w:szCs w:val="44"/>
          <w:highlight w:val="none"/>
        </w:rPr>
      </w:pPr>
    </w:p>
    <w:p w14:paraId="20407052">
      <w:pPr>
        <w:pStyle w:val="3"/>
        <w:spacing w:line="900" w:lineRule="exact"/>
        <w:jc w:val="center"/>
        <w:rPr>
          <w:rFonts w:hint="eastAsia" w:ascii="宋体" w:hAnsi="宋体" w:eastAsia="宋体" w:cs="宋体"/>
          <w:b w:val="0"/>
          <w:color w:val="auto"/>
          <w:sz w:val="84"/>
          <w:szCs w:val="84"/>
          <w:highlight w:val="none"/>
        </w:rPr>
      </w:pPr>
      <w:bookmarkStart w:id="196" w:name="_Toc6320"/>
      <w:r>
        <w:rPr>
          <w:rFonts w:hint="eastAsia" w:ascii="宋体" w:hAnsi="宋体" w:eastAsia="宋体" w:cs="宋体"/>
          <w:b w:val="0"/>
          <w:color w:val="auto"/>
          <w:sz w:val="84"/>
          <w:szCs w:val="84"/>
          <w:highlight w:val="none"/>
        </w:rPr>
        <w:t>投标文件</w:t>
      </w:r>
      <w:bookmarkEnd w:id="196"/>
    </w:p>
    <w:p w14:paraId="4DD11091">
      <w:pPr>
        <w:pStyle w:val="4"/>
        <w:ind w:firstLine="0"/>
        <w:jc w:val="center"/>
        <w:rPr>
          <w:rFonts w:hint="eastAsia" w:ascii="宋体" w:hAnsi="宋体" w:eastAsia="宋体" w:cs="宋体"/>
          <w:color w:val="auto"/>
          <w:sz w:val="32"/>
          <w:szCs w:val="32"/>
          <w:highlight w:val="none"/>
        </w:rPr>
      </w:pPr>
    </w:p>
    <w:p w14:paraId="53F1C953">
      <w:pPr>
        <w:pStyle w:val="4"/>
        <w:rPr>
          <w:rFonts w:hint="eastAsia" w:ascii="宋体" w:hAnsi="宋体" w:eastAsia="宋体" w:cs="宋体"/>
          <w:color w:val="auto"/>
          <w:sz w:val="28"/>
          <w:szCs w:val="28"/>
          <w:highlight w:val="none"/>
        </w:rPr>
      </w:pPr>
    </w:p>
    <w:p w14:paraId="24A39D4E">
      <w:pPr>
        <w:pStyle w:val="4"/>
        <w:rPr>
          <w:rFonts w:hint="eastAsia" w:ascii="宋体" w:hAnsi="宋体" w:eastAsia="宋体" w:cs="宋体"/>
          <w:color w:val="auto"/>
          <w:sz w:val="28"/>
          <w:szCs w:val="28"/>
          <w:highlight w:val="none"/>
        </w:rPr>
      </w:pPr>
    </w:p>
    <w:p w14:paraId="6239B800">
      <w:pPr>
        <w:pStyle w:val="4"/>
        <w:rPr>
          <w:rFonts w:hint="eastAsia" w:ascii="宋体" w:hAnsi="宋体" w:eastAsia="宋体" w:cs="宋体"/>
          <w:color w:val="auto"/>
          <w:sz w:val="28"/>
          <w:szCs w:val="28"/>
          <w:highlight w:val="none"/>
        </w:rPr>
      </w:pPr>
    </w:p>
    <w:p w14:paraId="79B6AA87">
      <w:pPr>
        <w:pStyle w:val="4"/>
        <w:rPr>
          <w:rFonts w:hint="eastAsia" w:ascii="宋体" w:hAnsi="宋体" w:eastAsia="宋体" w:cs="宋体"/>
          <w:color w:val="auto"/>
          <w:sz w:val="28"/>
          <w:szCs w:val="28"/>
          <w:highlight w:val="none"/>
        </w:rPr>
      </w:pPr>
    </w:p>
    <w:p w14:paraId="0A6496A4">
      <w:pPr>
        <w:pStyle w:val="4"/>
        <w:rPr>
          <w:rFonts w:hint="eastAsia" w:ascii="宋体" w:hAnsi="宋体" w:eastAsia="宋体" w:cs="宋体"/>
          <w:color w:val="auto"/>
          <w:sz w:val="28"/>
          <w:szCs w:val="28"/>
          <w:highlight w:val="none"/>
        </w:rPr>
      </w:pPr>
    </w:p>
    <w:p w14:paraId="437694A8">
      <w:pPr>
        <w:pStyle w:val="4"/>
        <w:rPr>
          <w:rFonts w:hint="eastAsia" w:ascii="宋体" w:hAnsi="宋体" w:eastAsia="宋体" w:cs="宋体"/>
          <w:color w:val="auto"/>
          <w:sz w:val="28"/>
          <w:szCs w:val="28"/>
          <w:highlight w:val="none"/>
        </w:rPr>
      </w:pPr>
    </w:p>
    <w:p w14:paraId="09F4F026">
      <w:pPr>
        <w:pStyle w:val="4"/>
        <w:spacing w:before="120" w:beforeLines="50"/>
        <w:ind w:firstLine="0"/>
        <w:rPr>
          <w:rFonts w:hint="eastAsia" w:ascii="宋体" w:hAnsi="宋体" w:eastAsia="宋体" w:cs="宋体"/>
          <w:b/>
          <w:color w:val="auto"/>
          <w:sz w:val="28"/>
          <w:szCs w:val="28"/>
          <w:highlight w:val="none"/>
        </w:rPr>
      </w:pPr>
    </w:p>
    <w:p w14:paraId="30777E9F">
      <w:pPr>
        <w:pStyle w:val="4"/>
        <w:spacing w:before="120" w:beforeLines="50"/>
        <w:ind w:firstLine="0"/>
        <w:rPr>
          <w:rFonts w:hint="eastAsia" w:ascii="宋体" w:hAnsi="宋体" w:eastAsia="宋体" w:cs="宋体"/>
          <w:b/>
          <w:color w:val="auto"/>
          <w:sz w:val="28"/>
          <w:szCs w:val="28"/>
          <w:highlight w:val="none"/>
        </w:rPr>
      </w:pPr>
    </w:p>
    <w:p w14:paraId="42476E62">
      <w:pPr>
        <w:pStyle w:val="4"/>
        <w:spacing w:before="120" w:beforeLines="50"/>
        <w:ind w:firstLine="1630" w:firstLineChars="580"/>
        <w:rPr>
          <w:rFonts w:hint="eastAsia" w:ascii="宋体" w:hAnsi="宋体" w:eastAsia="宋体" w:cs="宋体"/>
          <w:b/>
          <w:color w:val="auto"/>
          <w:sz w:val="28"/>
          <w:szCs w:val="28"/>
          <w:highlight w:val="none"/>
        </w:rPr>
      </w:pPr>
    </w:p>
    <w:p w14:paraId="29161978">
      <w:pPr>
        <w:pStyle w:val="4"/>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投标人：                        </w:t>
      </w:r>
      <w:r>
        <w:rPr>
          <w:rFonts w:hint="eastAsia" w:ascii="宋体" w:hAnsi="宋体" w:eastAsia="宋体" w:cs="宋体"/>
          <w:color w:val="auto"/>
          <w:sz w:val="28"/>
          <w:szCs w:val="28"/>
          <w:highlight w:val="none"/>
        </w:rPr>
        <w:t>（盖单位章）</w:t>
      </w:r>
    </w:p>
    <w:p w14:paraId="2CAC72BB">
      <w:pPr>
        <w:pStyle w:val="4"/>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法定代表人或其委托代理人：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签章或</w:t>
      </w:r>
      <w:r>
        <w:rPr>
          <w:rFonts w:hint="eastAsia" w:ascii="宋体" w:hAnsi="宋体" w:eastAsia="宋体" w:cs="宋体"/>
          <w:color w:val="auto"/>
          <w:sz w:val="28"/>
          <w:szCs w:val="28"/>
          <w:highlight w:val="none"/>
        </w:rPr>
        <w:t>签字）</w:t>
      </w:r>
    </w:p>
    <w:p w14:paraId="7395BC8E">
      <w:pPr>
        <w:pStyle w:val="4"/>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    年  月  日</w:t>
      </w:r>
    </w:p>
    <w:p w14:paraId="3C648D1D">
      <w:pPr>
        <w:pStyle w:val="4"/>
        <w:spacing w:before="120" w:beforeLines="50" w:after="120" w:afterLines="50"/>
        <w:ind w:firstLine="0"/>
        <w:jc w:val="center"/>
        <w:rPr>
          <w:rFonts w:hint="eastAsia" w:ascii="宋体" w:hAnsi="宋体" w:eastAsia="宋体" w:cs="宋体"/>
          <w:color w:val="auto"/>
          <w:sz w:val="32"/>
          <w:szCs w:val="32"/>
          <w:highlight w:val="none"/>
        </w:rPr>
      </w:pPr>
    </w:p>
    <w:p w14:paraId="2BDD184F">
      <w:pPr>
        <w:pStyle w:val="4"/>
        <w:spacing w:before="120" w:beforeLines="50" w:after="120" w:afterLines="50"/>
        <w:ind w:firstLine="0"/>
        <w:jc w:val="center"/>
        <w:rPr>
          <w:rFonts w:hint="eastAsia" w:ascii="宋体" w:hAnsi="宋体" w:eastAsia="宋体" w:cs="宋体"/>
          <w:b/>
          <w:bCs/>
          <w:color w:val="auto"/>
          <w:sz w:val="32"/>
          <w:szCs w:val="32"/>
          <w:highlight w:val="none"/>
        </w:rPr>
      </w:pPr>
    </w:p>
    <w:p w14:paraId="238C662D">
      <w:pPr>
        <w:pStyle w:val="4"/>
        <w:spacing w:before="120" w:beforeLines="50" w:after="120" w:afterLines="50"/>
        <w:ind w:firstLine="0"/>
        <w:jc w:val="center"/>
        <w:rPr>
          <w:rFonts w:hint="eastAsia" w:ascii="宋体" w:hAnsi="宋体" w:eastAsia="宋体" w:cs="宋体"/>
          <w:b/>
          <w:bCs/>
          <w:color w:val="auto"/>
          <w:sz w:val="32"/>
          <w:szCs w:val="32"/>
          <w:highlight w:val="none"/>
        </w:rPr>
      </w:pPr>
    </w:p>
    <w:p w14:paraId="0713BC09">
      <w:pPr>
        <w:rPr>
          <w:rFonts w:hint="eastAsia" w:ascii="宋体" w:hAnsi="宋体" w:eastAsia="宋体" w:cs="宋体"/>
          <w:color w:val="auto"/>
          <w:highlight w:val="none"/>
        </w:rPr>
      </w:pPr>
    </w:p>
    <w:p w14:paraId="61D190DF">
      <w:pPr>
        <w:pStyle w:val="4"/>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（资格审查部分）</w:t>
      </w:r>
    </w:p>
    <w:p w14:paraId="61DA6CC9">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284F241C">
      <w:pPr>
        <w:pStyle w:val="4"/>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3BC4E88A">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1.投标人基本情况表………………………………………………………………页码</w:t>
      </w:r>
    </w:p>
    <w:p w14:paraId="24382B6F">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2.法定代表人身份证明……………………………………………………………页码</w:t>
      </w:r>
    </w:p>
    <w:p w14:paraId="6D74D1F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3.法定代表人授权书………………………………………………………………页码</w:t>
      </w:r>
    </w:p>
    <w:p w14:paraId="41D23A71">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zh-CN"/>
        </w:rPr>
        <w:t>营业执照等证明文件，自然人的身份证明</w:t>
      </w:r>
      <w:r>
        <w:rPr>
          <w:rFonts w:hint="eastAsia" w:ascii="宋体" w:hAnsi="宋体" w:eastAsia="宋体" w:cs="宋体"/>
          <w:color w:val="auto"/>
          <w:sz w:val="22"/>
          <w:szCs w:val="22"/>
          <w:highlight w:val="none"/>
        </w:rPr>
        <w:t>……………………………页码</w:t>
      </w:r>
    </w:p>
    <w:p w14:paraId="2929FC3F">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8"/>
          <w:highlight w:val="none"/>
        </w:rPr>
        <w:t>财务状况报告</w:t>
      </w:r>
      <w:r>
        <w:rPr>
          <w:rFonts w:hint="eastAsia" w:ascii="宋体" w:hAnsi="宋体" w:eastAsia="宋体" w:cs="宋体"/>
          <w:color w:val="auto"/>
          <w:sz w:val="22"/>
          <w:szCs w:val="22"/>
          <w:highlight w:val="none"/>
        </w:rPr>
        <w:t>……………………………………………………………………页码</w:t>
      </w:r>
    </w:p>
    <w:p w14:paraId="01C4F6C9">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.税收缴纳证明……………………………………………………………………页码</w:t>
      </w:r>
    </w:p>
    <w:p w14:paraId="19D5A5D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.社会保障资金缴纳证明…………………………………………………………页码</w:t>
      </w:r>
    </w:p>
    <w:p w14:paraId="1BCE0605">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商业信誉</w:t>
      </w:r>
      <w:r>
        <w:rPr>
          <w:rFonts w:hint="eastAsia" w:ascii="宋体" w:hAnsi="宋体" w:eastAsia="宋体" w:cs="宋体"/>
          <w:color w:val="auto"/>
          <w:sz w:val="22"/>
          <w:szCs w:val="22"/>
          <w:highlight w:val="none"/>
        </w:rPr>
        <w:t>………………………………………………………</w:t>
      </w:r>
      <w:bookmarkStart w:id="219" w:name="_GoBack"/>
      <w:bookmarkEnd w:id="219"/>
      <w:r>
        <w:rPr>
          <w:rFonts w:hint="eastAsia" w:ascii="宋体" w:hAnsi="宋体" w:eastAsia="宋体" w:cs="宋体"/>
          <w:color w:val="auto"/>
          <w:sz w:val="22"/>
          <w:szCs w:val="22"/>
          <w:highlight w:val="none"/>
        </w:rPr>
        <w:t>…………………页码</w:t>
      </w:r>
    </w:p>
    <w:p w14:paraId="70160DE8">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具备履行合同所必需的设备和专业技术能力的证明</w:t>
      </w:r>
      <w:r>
        <w:rPr>
          <w:rFonts w:hint="eastAsia" w:ascii="宋体" w:hAnsi="宋体" w:eastAsia="宋体" w:cs="宋体"/>
          <w:color w:val="auto"/>
          <w:sz w:val="22"/>
          <w:szCs w:val="22"/>
          <w:highlight w:val="none"/>
        </w:rPr>
        <w:t>…………………………页码</w:t>
      </w:r>
    </w:p>
    <w:p w14:paraId="167B3B5A">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无重大违法记录声明</w:t>
      </w:r>
      <w:r>
        <w:rPr>
          <w:rFonts w:hint="eastAsia" w:ascii="宋体" w:hAnsi="宋体" w:eastAsia="宋体" w:cs="宋体"/>
          <w:color w:val="auto"/>
          <w:sz w:val="22"/>
          <w:szCs w:val="22"/>
          <w:highlight w:val="none"/>
        </w:rPr>
        <w:t>……………………………………………………………页码</w:t>
      </w:r>
    </w:p>
    <w:p w14:paraId="0A0A3F4F">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11.提供投标人享受政府采购优惠政策的证明材料</w:t>
      </w:r>
      <w:r>
        <w:rPr>
          <w:rFonts w:hint="eastAsia" w:ascii="宋体" w:hAnsi="宋体" w:eastAsia="宋体" w:cs="宋体"/>
          <w:color w:val="auto"/>
          <w:sz w:val="22"/>
          <w:szCs w:val="22"/>
          <w:highlight w:val="none"/>
        </w:rPr>
        <w:t>………………………………页码</w:t>
      </w:r>
    </w:p>
    <w:p w14:paraId="0C64A449">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.投标保证金</w:t>
      </w:r>
      <w:r>
        <w:rPr>
          <w:rFonts w:hint="eastAsia" w:ascii="宋体" w:hAnsi="宋体" w:eastAsia="宋体" w:cs="宋体"/>
          <w:color w:val="auto"/>
          <w:sz w:val="22"/>
          <w:szCs w:val="22"/>
          <w:highlight w:val="none"/>
          <w:lang w:eastAsia="zh-CN"/>
        </w:rPr>
        <w:t>凭证或保函</w:t>
      </w:r>
      <w:r>
        <w:rPr>
          <w:rFonts w:hint="eastAsia" w:ascii="宋体" w:hAnsi="宋体" w:eastAsia="宋体" w:cs="宋体"/>
          <w:color w:val="auto"/>
          <w:sz w:val="22"/>
          <w:szCs w:val="22"/>
          <w:highlight w:val="none"/>
        </w:rPr>
        <w:t>…………………………………………………………页码</w:t>
      </w:r>
    </w:p>
    <w:p w14:paraId="796928AF">
      <w:pPr>
        <w:pStyle w:val="4"/>
        <w:spacing w:before="120" w:beforeLines="50" w:after="120" w:afterLines="50"/>
        <w:ind w:firstLine="0"/>
        <w:jc w:val="center"/>
        <w:rPr>
          <w:rFonts w:hint="eastAsia" w:ascii="宋体" w:hAnsi="宋体" w:eastAsia="宋体" w:cs="宋体"/>
          <w:b/>
          <w:color w:val="auto"/>
          <w:sz w:val="44"/>
          <w:szCs w:val="44"/>
          <w:highlight w:val="none"/>
        </w:rPr>
      </w:pPr>
    </w:p>
    <w:p w14:paraId="4C70F987">
      <w:pPr>
        <w:pStyle w:val="4"/>
        <w:spacing w:before="120" w:beforeLines="50" w:after="120" w:afterLines="50"/>
        <w:ind w:firstLine="0"/>
        <w:jc w:val="center"/>
        <w:rPr>
          <w:rFonts w:hint="eastAsia" w:ascii="宋体" w:hAnsi="宋体" w:eastAsia="宋体" w:cs="宋体"/>
          <w:b/>
          <w:color w:val="auto"/>
          <w:sz w:val="44"/>
          <w:szCs w:val="44"/>
          <w:highlight w:val="none"/>
        </w:rPr>
      </w:pPr>
    </w:p>
    <w:p w14:paraId="25EE7EC1">
      <w:pPr>
        <w:pStyle w:val="4"/>
        <w:spacing w:before="120" w:beforeLines="50" w:after="120" w:afterLines="50"/>
        <w:ind w:firstLine="0"/>
        <w:jc w:val="center"/>
        <w:rPr>
          <w:rFonts w:hint="eastAsia" w:ascii="宋体" w:hAnsi="宋体" w:eastAsia="宋体" w:cs="宋体"/>
          <w:b/>
          <w:color w:val="auto"/>
          <w:sz w:val="44"/>
          <w:szCs w:val="44"/>
          <w:highlight w:val="none"/>
        </w:rPr>
      </w:pPr>
    </w:p>
    <w:p w14:paraId="6896EC87">
      <w:pPr>
        <w:pStyle w:val="4"/>
        <w:spacing w:before="120" w:beforeLines="50" w:after="120" w:afterLines="50"/>
        <w:ind w:firstLine="0"/>
        <w:rPr>
          <w:rFonts w:hint="eastAsia" w:ascii="宋体" w:hAnsi="宋体" w:eastAsia="宋体" w:cs="宋体"/>
          <w:b/>
          <w:color w:val="auto"/>
          <w:szCs w:val="21"/>
          <w:highlight w:val="none"/>
        </w:rPr>
      </w:pPr>
    </w:p>
    <w:p w14:paraId="04446755">
      <w:pPr>
        <w:pStyle w:val="4"/>
        <w:spacing w:before="120" w:beforeLines="50" w:after="120" w:afterLines="50"/>
        <w:ind w:firstLine="0"/>
        <w:rPr>
          <w:rFonts w:hint="eastAsia" w:ascii="宋体" w:hAnsi="宋体" w:eastAsia="宋体" w:cs="宋体"/>
          <w:b/>
          <w:color w:val="auto"/>
          <w:szCs w:val="21"/>
          <w:highlight w:val="none"/>
        </w:rPr>
      </w:pPr>
    </w:p>
    <w:p w14:paraId="4286595B">
      <w:pPr>
        <w:adjustRightInd w:val="0"/>
        <w:snapToGrid w:val="0"/>
        <w:spacing w:line="360" w:lineRule="auto"/>
        <w:jc w:val="center"/>
        <w:rPr>
          <w:rFonts w:hint="eastAsia" w:ascii="宋体" w:hAnsi="宋体" w:eastAsia="宋体" w:cs="宋体"/>
          <w:b/>
          <w:color w:val="auto"/>
          <w:sz w:val="36"/>
          <w:szCs w:val="36"/>
          <w:highlight w:val="none"/>
        </w:rPr>
      </w:pPr>
    </w:p>
    <w:p w14:paraId="0734B0E4">
      <w:pPr>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1.投标人基本情况表</w:t>
      </w: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6E063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14:paraId="35876FF3">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7016" w:type="dxa"/>
            <w:gridSpan w:val="9"/>
            <w:noWrap w:val="0"/>
            <w:vAlign w:val="center"/>
          </w:tcPr>
          <w:p w14:paraId="441AD0BB">
            <w:pPr>
              <w:topLinePunct/>
              <w:spacing w:line="440" w:lineRule="exact"/>
              <w:jc w:val="center"/>
              <w:rPr>
                <w:rFonts w:hint="eastAsia" w:ascii="宋体" w:hAnsi="宋体" w:eastAsia="宋体" w:cs="宋体"/>
                <w:color w:val="auto"/>
                <w:szCs w:val="21"/>
                <w:highlight w:val="none"/>
              </w:rPr>
            </w:pPr>
          </w:p>
        </w:tc>
      </w:tr>
      <w:tr w14:paraId="62B73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14:paraId="1A6B6F31">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16" w:type="dxa"/>
            <w:noWrap w:val="0"/>
            <w:vAlign w:val="center"/>
          </w:tcPr>
          <w:p w14:paraId="0F1E1901">
            <w:pPr>
              <w:topLinePunct/>
              <w:spacing w:line="440" w:lineRule="exact"/>
              <w:jc w:val="center"/>
              <w:rPr>
                <w:rFonts w:hint="eastAsia" w:ascii="宋体" w:hAnsi="宋体" w:eastAsia="宋体" w:cs="宋体"/>
                <w:color w:val="auto"/>
                <w:szCs w:val="21"/>
                <w:highlight w:val="none"/>
              </w:rPr>
            </w:pPr>
          </w:p>
        </w:tc>
        <w:tc>
          <w:tcPr>
            <w:tcW w:w="1419" w:type="dxa"/>
            <w:gridSpan w:val="3"/>
            <w:noWrap w:val="0"/>
            <w:vAlign w:val="center"/>
          </w:tcPr>
          <w:p w14:paraId="7ADCF62C">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418" w:type="dxa"/>
            <w:noWrap w:val="0"/>
            <w:vAlign w:val="center"/>
          </w:tcPr>
          <w:p w14:paraId="4EEE7CD5">
            <w:pPr>
              <w:topLinePunct/>
              <w:jc w:val="center"/>
              <w:rPr>
                <w:rFonts w:hint="eastAsia" w:ascii="宋体" w:hAnsi="宋体" w:eastAsia="宋体" w:cs="宋体"/>
                <w:color w:val="auto"/>
                <w:szCs w:val="21"/>
                <w:highlight w:val="none"/>
              </w:rPr>
            </w:pPr>
          </w:p>
        </w:tc>
        <w:tc>
          <w:tcPr>
            <w:tcW w:w="1381" w:type="dxa"/>
            <w:gridSpan w:val="3"/>
            <w:noWrap w:val="0"/>
            <w:vAlign w:val="center"/>
          </w:tcPr>
          <w:p w14:paraId="0497915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382" w:type="dxa"/>
            <w:noWrap w:val="0"/>
            <w:vAlign w:val="center"/>
          </w:tcPr>
          <w:p w14:paraId="33552C30">
            <w:pPr>
              <w:topLinePunct/>
              <w:spacing w:line="440" w:lineRule="exact"/>
              <w:jc w:val="center"/>
              <w:rPr>
                <w:rFonts w:hint="eastAsia" w:ascii="宋体" w:hAnsi="宋体" w:eastAsia="宋体" w:cs="宋体"/>
                <w:color w:val="auto"/>
                <w:szCs w:val="21"/>
                <w:highlight w:val="none"/>
              </w:rPr>
            </w:pPr>
          </w:p>
        </w:tc>
      </w:tr>
      <w:tr w14:paraId="2658A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14:paraId="3E9C016F">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4253" w:type="dxa"/>
            <w:gridSpan w:val="5"/>
            <w:noWrap w:val="0"/>
            <w:vAlign w:val="center"/>
          </w:tcPr>
          <w:p w14:paraId="3DEAA354">
            <w:pPr>
              <w:topLinePunct/>
              <w:spacing w:line="440" w:lineRule="exact"/>
              <w:jc w:val="center"/>
              <w:rPr>
                <w:rFonts w:hint="eastAsia" w:ascii="宋体" w:hAnsi="宋体" w:eastAsia="宋体" w:cs="宋体"/>
                <w:color w:val="auto"/>
                <w:szCs w:val="21"/>
                <w:highlight w:val="none"/>
              </w:rPr>
            </w:pPr>
          </w:p>
        </w:tc>
        <w:tc>
          <w:tcPr>
            <w:tcW w:w="1381" w:type="dxa"/>
            <w:gridSpan w:val="3"/>
            <w:noWrap w:val="0"/>
            <w:vAlign w:val="center"/>
          </w:tcPr>
          <w:p w14:paraId="282CF43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w:t>
            </w:r>
          </w:p>
        </w:tc>
        <w:tc>
          <w:tcPr>
            <w:tcW w:w="1382" w:type="dxa"/>
            <w:noWrap w:val="0"/>
            <w:vAlign w:val="center"/>
          </w:tcPr>
          <w:p w14:paraId="6D4AA55A">
            <w:pPr>
              <w:topLinePunct/>
              <w:spacing w:line="440" w:lineRule="exact"/>
              <w:jc w:val="center"/>
              <w:rPr>
                <w:rFonts w:hint="eastAsia" w:ascii="宋体" w:hAnsi="宋体" w:eastAsia="宋体" w:cs="宋体"/>
                <w:color w:val="auto"/>
                <w:szCs w:val="21"/>
                <w:highlight w:val="none"/>
              </w:rPr>
            </w:pPr>
          </w:p>
        </w:tc>
      </w:tr>
      <w:tr w14:paraId="39284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3E7AF39F">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上年营业额</w:t>
            </w:r>
          </w:p>
        </w:tc>
        <w:tc>
          <w:tcPr>
            <w:tcW w:w="1416" w:type="dxa"/>
            <w:noWrap w:val="0"/>
            <w:vAlign w:val="center"/>
          </w:tcPr>
          <w:p w14:paraId="430823FB">
            <w:pPr>
              <w:topLinePunct/>
              <w:jc w:val="center"/>
              <w:rPr>
                <w:rFonts w:hint="eastAsia" w:ascii="宋体" w:hAnsi="宋体" w:eastAsia="宋体" w:cs="宋体"/>
                <w:color w:val="auto"/>
                <w:szCs w:val="21"/>
                <w:highlight w:val="none"/>
              </w:rPr>
            </w:pPr>
          </w:p>
        </w:tc>
        <w:tc>
          <w:tcPr>
            <w:tcW w:w="1419" w:type="dxa"/>
            <w:gridSpan w:val="3"/>
            <w:noWrap w:val="0"/>
            <w:vAlign w:val="center"/>
          </w:tcPr>
          <w:p w14:paraId="506D6028">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8" w:type="dxa"/>
            <w:noWrap w:val="0"/>
            <w:vAlign w:val="center"/>
          </w:tcPr>
          <w:p w14:paraId="0A6043D1">
            <w:pPr>
              <w:topLinePunct/>
              <w:jc w:val="center"/>
              <w:rPr>
                <w:rFonts w:hint="eastAsia" w:ascii="宋体" w:hAnsi="宋体" w:eastAsia="宋体" w:cs="宋体"/>
                <w:color w:val="auto"/>
                <w:szCs w:val="21"/>
                <w:highlight w:val="none"/>
              </w:rPr>
            </w:pPr>
          </w:p>
        </w:tc>
        <w:tc>
          <w:tcPr>
            <w:tcW w:w="1381" w:type="dxa"/>
            <w:gridSpan w:val="3"/>
            <w:noWrap w:val="0"/>
            <w:vAlign w:val="center"/>
          </w:tcPr>
          <w:p w14:paraId="08EDBA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企业类型</w:t>
            </w:r>
          </w:p>
        </w:tc>
        <w:tc>
          <w:tcPr>
            <w:tcW w:w="1382" w:type="dxa"/>
            <w:noWrap w:val="0"/>
            <w:vAlign w:val="center"/>
          </w:tcPr>
          <w:p w14:paraId="102995F0">
            <w:pPr>
              <w:topLinePunct/>
              <w:spacing w:line="440" w:lineRule="exact"/>
              <w:jc w:val="center"/>
              <w:rPr>
                <w:rFonts w:hint="eastAsia" w:ascii="宋体" w:hAnsi="宋体" w:eastAsia="宋体" w:cs="宋体"/>
                <w:color w:val="auto"/>
                <w:szCs w:val="21"/>
                <w:highlight w:val="none"/>
              </w:rPr>
            </w:pPr>
          </w:p>
        </w:tc>
      </w:tr>
      <w:tr w14:paraId="0C728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480B1AC3">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E4D42F9">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（单位负责人）</w:t>
            </w:r>
          </w:p>
        </w:tc>
        <w:tc>
          <w:tcPr>
            <w:tcW w:w="1416" w:type="dxa"/>
            <w:vMerge w:val="restart"/>
            <w:noWrap w:val="0"/>
            <w:vAlign w:val="center"/>
          </w:tcPr>
          <w:p w14:paraId="07E55253">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19" w:type="dxa"/>
            <w:gridSpan w:val="3"/>
            <w:vMerge w:val="restart"/>
            <w:noWrap w:val="0"/>
            <w:vAlign w:val="center"/>
          </w:tcPr>
          <w:p w14:paraId="667EAB63">
            <w:pPr>
              <w:topLinePunct/>
              <w:jc w:val="center"/>
              <w:rPr>
                <w:rFonts w:hint="eastAsia" w:ascii="宋体" w:hAnsi="宋体" w:eastAsia="宋体" w:cs="宋体"/>
                <w:color w:val="auto"/>
                <w:szCs w:val="21"/>
                <w:highlight w:val="none"/>
              </w:rPr>
            </w:pPr>
          </w:p>
        </w:tc>
        <w:tc>
          <w:tcPr>
            <w:tcW w:w="1418" w:type="dxa"/>
            <w:vMerge w:val="restart"/>
            <w:noWrap w:val="0"/>
            <w:vAlign w:val="center"/>
          </w:tcPr>
          <w:p w14:paraId="12A639AB">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381" w:type="dxa"/>
            <w:gridSpan w:val="3"/>
            <w:noWrap w:val="0"/>
            <w:vAlign w:val="center"/>
          </w:tcPr>
          <w:p w14:paraId="2C0328D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1382" w:type="dxa"/>
            <w:noWrap w:val="0"/>
            <w:vAlign w:val="center"/>
          </w:tcPr>
          <w:p w14:paraId="3A43268F">
            <w:pPr>
              <w:topLinePunct/>
              <w:spacing w:line="440" w:lineRule="exact"/>
              <w:jc w:val="center"/>
              <w:rPr>
                <w:rFonts w:hint="eastAsia" w:ascii="宋体" w:hAnsi="宋体" w:eastAsia="宋体" w:cs="宋体"/>
                <w:color w:val="auto"/>
                <w:szCs w:val="21"/>
                <w:highlight w:val="none"/>
              </w:rPr>
            </w:pPr>
          </w:p>
        </w:tc>
      </w:tr>
      <w:tr w14:paraId="47A4C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631361BA">
            <w:pPr>
              <w:topLinePunct/>
              <w:jc w:val="center"/>
              <w:rPr>
                <w:rFonts w:hint="eastAsia" w:ascii="宋体" w:hAnsi="宋体" w:eastAsia="宋体" w:cs="宋体"/>
                <w:color w:val="auto"/>
                <w:szCs w:val="21"/>
                <w:highlight w:val="none"/>
              </w:rPr>
            </w:pPr>
          </w:p>
        </w:tc>
        <w:tc>
          <w:tcPr>
            <w:tcW w:w="1416" w:type="dxa"/>
            <w:vMerge w:val="continue"/>
            <w:noWrap w:val="0"/>
            <w:vAlign w:val="center"/>
          </w:tcPr>
          <w:p w14:paraId="4C7947D8">
            <w:pPr>
              <w:topLinePunct/>
              <w:jc w:val="center"/>
              <w:rPr>
                <w:rFonts w:hint="eastAsia" w:ascii="宋体" w:hAnsi="宋体" w:eastAsia="宋体" w:cs="宋体"/>
                <w:color w:val="auto"/>
                <w:szCs w:val="21"/>
                <w:highlight w:val="none"/>
              </w:rPr>
            </w:pPr>
          </w:p>
        </w:tc>
        <w:tc>
          <w:tcPr>
            <w:tcW w:w="1419" w:type="dxa"/>
            <w:gridSpan w:val="3"/>
            <w:vMerge w:val="continue"/>
            <w:noWrap w:val="0"/>
            <w:vAlign w:val="center"/>
          </w:tcPr>
          <w:p w14:paraId="6D1296B7">
            <w:pPr>
              <w:topLinePunct/>
              <w:jc w:val="center"/>
              <w:rPr>
                <w:rFonts w:hint="eastAsia" w:ascii="宋体" w:hAnsi="宋体" w:eastAsia="宋体" w:cs="宋体"/>
                <w:color w:val="auto"/>
                <w:szCs w:val="21"/>
                <w:highlight w:val="none"/>
              </w:rPr>
            </w:pPr>
          </w:p>
        </w:tc>
        <w:tc>
          <w:tcPr>
            <w:tcW w:w="1418" w:type="dxa"/>
            <w:vMerge w:val="continue"/>
            <w:noWrap w:val="0"/>
            <w:vAlign w:val="center"/>
          </w:tcPr>
          <w:p w14:paraId="0B423653">
            <w:pPr>
              <w:topLinePunct/>
              <w:jc w:val="center"/>
              <w:rPr>
                <w:rFonts w:hint="eastAsia" w:ascii="宋体" w:hAnsi="宋体" w:eastAsia="宋体" w:cs="宋体"/>
                <w:color w:val="auto"/>
                <w:szCs w:val="21"/>
                <w:highlight w:val="none"/>
              </w:rPr>
            </w:pPr>
          </w:p>
        </w:tc>
        <w:tc>
          <w:tcPr>
            <w:tcW w:w="1381" w:type="dxa"/>
            <w:gridSpan w:val="3"/>
            <w:noWrap w:val="0"/>
            <w:vAlign w:val="center"/>
          </w:tcPr>
          <w:p w14:paraId="689EE78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w:t>
            </w:r>
          </w:p>
        </w:tc>
        <w:tc>
          <w:tcPr>
            <w:tcW w:w="1382" w:type="dxa"/>
            <w:noWrap w:val="0"/>
            <w:vAlign w:val="center"/>
          </w:tcPr>
          <w:p w14:paraId="2F80D830">
            <w:pPr>
              <w:topLinePunct/>
              <w:spacing w:line="440" w:lineRule="exact"/>
              <w:jc w:val="center"/>
              <w:rPr>
                <w:rFonts w:hint="eastAsia" w:ascii="宋体" w:hAnsi="宋体" w:eastAsia="宋体" w:cs="宋体"/>
                <w:color w:val="auto"/>
                <w:szCs w:val="21"/>
                <w:highlight w:val="none"/>
              </w:rPr>
            </w:pPr>
          </w:p>
        </w:tc>
      </w:tr>
      <w:tr w14:paraId="787EB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016A4F03">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416" w:type="dxa"/>
            <w:vMerge w:val="restart"/>
            <w:noWrap w:val="0"/>
            <w:vAlign w:val="center"/>
          </w:tcPr>
          <w:p w14:paraId="4933CA55">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419" w:type="dxa"/>
            <w:gridSpan w:val="3"/>
            <w:vMerge w:val="restart"/>
            <w:noWrap w:val="0"/>
            <w:vAlign w:val="center"/>
          </w:tcPr>
          <w:p w14:paraId="1C02D205">
            <w:pPr>
              <w:topLinePunct/>
              <w:jc w:val="center"/>
              <w:rPr>
                <w:rFonts w:hint="eastAsia" w:ascii="宋体" w:hAnsi="宋体" w:eastAsia="宋体" w:cs="宋体"/>
                <w:color w:val="auto"/>
                <w:szCs w:val="21"/>
                <w:highlight w:val="none"/>
              </w:rPr>
            </w:pPr>
          </w:p>
        </w:tc>
        <w:tc>
          <w:tcPr>
            <w:tcW w:w="1418" w:type="dxa"/>
            <w:noWrap w:val="0"/>
            <w:vAlign w:val="center"/>
          </w:tcPr>
          <w:p w14:paraId="757AE22A">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763" w:type="dxa"/>
            <w:gridSpan w:val="4"/>
            <w:noWrap w:val="0"/>
            <w:vAlign w:val="center"/>
          </w:tcPr>
          <w:p w14:paraId="4FD1D9DF">
            <w:pPr>
              <w:topLinePunct/>
              <w:spacing w:line="440" w:lineRule="exact"/>
              <w:jc w:val="center"/>
              <w:rPr>
                <w:rFonts w:hint="eastAsia" w:ascii="宋体" w:hAnsi="宋体" w:eastAsia="宋体" w:cs="宋体"/>
                <w:color w:val="auto"/>
                <w:szCs w:val="21"/>
                <w:highlight w:val="none"/>
              </w:rPr>
            </w:pPr>
          </w:p>
        </w:tc>
      </w:tr>
      <w:tr w14:paraId="57A7D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2F2A4661">
            <w:pPr>
              <w:topLinePunct/>
              <w:jc w:val="center"/>
              <w:rPr>
                <w:rFonts w:hint="eastAsia" w:ascii="宋体" w:hAnsi="宋体" w:eastAsia="宋体" w:cs="宋体"/>
                <w:color w:val="auto"/>
                <w:szCs w:val="21"/>
                <w:highlight w:val="none"/>
              </w:rPr>
            </w:pPr>
          </w:p>
        </w:tc>
        <w:tc>
          <w:tcPr>
            <w:tcW w:w="1416" w:type="dxa"/>
            <w:vMerge w:val="continue"/>
            <w:noWrap w:val="0"/>
            <w:vAlign w:val="center"/>
          </w:tcPr>
          <w:p w14:paraId="60A98326">
            <w:pPr>
              <w:topLinePunct/>
              <w:jc w:val="center"/>
              <w:rPr>
                <w:rFonts w:hint="eastAsia" w:ascii="宋体" w:hAnsi="宋体" w:eastAsia="宋体" w:cs="宋体"/>
                <w:color w:val="auto"/>
                <w:szCs w:val="21"/>
                <w:highlight w:val="none"/>
              </w:rPr>
            </w:pPr>
          </w:p>
        </w:tc>
        <w:tc>
          <w:tcPr>
            <w:tcW w:w="1419" w:type="dxa"/>
            <w:gridSpan w:val="3"/>
            <w:vMerge w:val="continue"/>
            <w:noWrap w:val="0"/>
            <w:vAlign w:val="center"/>
          </w:tcPr>
          <w:p w14:paraId="693CD998">
            <w:pPr>
              <w:topLinePunct/>
              <w:jc w:val="center"/>
              <w:rPr>
                <w:rFonts w:hint="eastAsia" w:ascii="宋体" w:hAnsi="宋体" w:eastAsia="宋体" w:cs="宋体"/>
                <w:color w:val="auto"/>
                <w:szCs w:val="21"/>
                <w:highlight w:val="none"/>
              </w:rPr>
            </w:pPr>
          </w:p>
        </w:tc>
        <w:tc>
          <w:tcPr>
            <w:tcW w:w="1418" w:type="dxa"/>
            <w:noWrap w:val="0"/>
            <w:vAlign w:val="center"/>
          </w:tcPr>
          <w:p w14:paraId="5E10AF4F">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p>
        </w:tc>
        <w:tc>
          <w:tcPr>
            <w:tcW w:w="2763" w:type="dxa"/>
            <w:gridSpan w:val="4"/>
            <w:noWrap w:val="0"/>
            <w:vAlign w:val="center"/>
          </w:tcPr>
          <w:p w14:paraId="3D0F824A">
            <w:pPr>
              <w:topLinePunct/>
              <w:spacing w:line="440" w:lineRule="exact"/>
              <w:jc w:val="center"/>
              <w:rPr>
                <w:rFonts w:hint="eastAsia" w:ascii="宋体" w:hAnsi="宋体" w:eastAsia="宋体" w:cs="宋体"/>
                <w:color w:val="auto"/>
                <w:szCs w:val="21"/>
                <w:highlight w:val="none"/>
              </w:rPr>
            </w:pPr>
          </w:p>
        </w:tc>
      </w:tr>
      <w:tr w14:paraId="1B482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5EF655BD">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基本账户开银行行</w:t>
            </w:r>
          </w:p>
        </w:tc>
        <w:tc>
          <w:tcPr>
            <w:tcW w:w="2835" w:type="dxa"/>
            <w:gridSpan w:val="4"/>
            <w:noWrap w:val="0"/>
            <w:vAlign w:val="center"/>
          </w:tcPr>
          <w:p w14:paraId="31F051BD">
            <w:pPr>
              <w:topLinePunct/>
              <w:spacing w:line="440" w:lineRule="exact"/>
              <w:jc w:val="center"/>
              <w:rPr>
                <w:rFonts w:hint="eastAsia" w:ascii="宋体" w:hAnsi="宋体" w:eastAsia="宋体" w:cs="宋体"/>
                <w:color w:val="auto"/>
                <w:szCs w:val="21"/>
                <w:highlight w:val="none"/>
              </w:rPr>
            </w:pPr>
          </w:p>
        </w:tc>
        <w:tc>
          <w:tcPr>
            <w:tcW w:w="1985" w:type="dxa"/>
            <w:gridSpan w:val="3"/>
            <w:noWrap w:val="0"/>
            <w:vAlign w:val="center"/>
          </w:tcPr>
          <w:p w14:paraId="276E541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2196" w:type="dxa"/>
            <w:gridSpan w:val="2"/>
            <w:noWrap w:val="0"/>
            <w:vAlign w:val="center"/>
          </w:tcPr>
          <w:p w14:paraId="3A4476C2">
            <w:pPr>
              <w:topLinePunct/>
              <w:spacing w:line="440" w:lineRule="exact"/>
              <w:jc w:val="center"/>
              <w:rPr>
                <w:rFonts w:hint="eastAsia" w:ascii="宋体" w:hAnsi="宋体" w:eastAsia="宋体" w:cs="宋体"/>
                <w:color w:val="auto"/>
                <w:szCs w:val="21"/>
                <w:highlight w:val="none"/>
              </w:rPr>
            </w:pPr>
          </w:p>
        </w:tc>
      </w:tr>
      <w:tr w14:paraId="7727C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14:paraId="0CE27D5E">
            <w:pPr>
              <w:topLinePunct/>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7016" w:type="dxa"/>
            <w:gridSpan w:val="9"/>
            <w:noWrap w:val="0"/>
            <w:vAlign w:val="center"/>
          </w:tcPr>
          <w:p w14:paraId="1AFEB26E">
            <w:pPr>
              <w:topLinePunct/>
              <w:spacing w:line="440" w:lineRule="exact"/>
              <w:jc w:val="center"/>
              <w:rPr>
                <w:rFonts w:hint="eastAsia" w:ascii="宋体" w:hAnsi="宋体" w:eastAsia="宋体" w:cs="宋体"/>
                <w:color w:val="auto"/>
                <w:szCs w:val="21"/>
                <w:highlight w:val="none"/>
              </w:rPr>
            </w:pPr>
          </w:p>
        </w:tc>
      </w:tr>
      <w:tr w14:paraId="0E529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38C84105">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投标人需具有的资质证书</w:t>
            </w:r>
          </w:p>
        </w:tc>
        <w:tc>
          <w:tcPr>
            <w:tcW w:w="1068" w:type="dxa"/>
            <w:noWrap w:val="0"/>
            <w:vAlign w:val="center"/>
          </w:tcPr>
          <w:p w14:paraId="18A1BA89">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701" w:type="dxa"/>
            <w:gridSpan w:val="3"/>
            <w:noWrap w:val="0"/>
            <w:vAlign w:val="center"/>
          </w:tcPr>
          <w:p w14:paraId="69F35EA6">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2623" w:type="dxa"/>
            <w:gridSpan w:val="3"/>
            <w:noWrap w:val="0"/>
            <w:vAlign w:val="center"/>
          </w:tcPr>
          <w:p w14:paraId="76038E77">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r>
      <w:tr w14:paraId="0FE81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3150E8EB">
            <w:pPr>
              <w:topLinePunct/>
              <w:jc w:val="center"/>
              <w:rPr>
                <w:rFonts w:hint="eastAsia" w:ascii="宋体" w:hAnsi="宋体" w:eastAsia="宋体" w:cs="宋体"/>
                <w:color w:val="auto"/>
                <w:szCs w:val="21"/>
                <w:highlight w:val="none"/>
              </w:rPr>
            </w:pPr>
          </w:p>
        </w:tc>
        <w:tc>
          <w:tcPr>
            <w:tcW w:w="1068" w:type="dxa"/>
            <w:noWrap w:val="0"/>
            <w:vAlign w:val="center"/>
          </w:tcPr>
          <w:p w14:paraId="518D372A">
            <w:pPr>
              <w:topLinePunct/>
              <w:jc w:val="center"/>
              <w:rPr>
                <w:rFonts w:hint="eastAsia" w:ascii="宋体" w:hAnsi="宋体" w:eastAsia="宋体" w:cs="宋体"/>
                <w:color w:val="auto"/>
                <w:szCs w:val="21"/>
                <w:highlight w:val="none"/>
              </w:rPr>
            </w:pPr>
          </w:p>
        </w:tc>
        <w:tc>
          <w:tcPr>
            <w:tcW w:w="1701" w:type="dxa"/>
            <w:gridSpan w:val="3"/>
            <w:noWrap w:val="0"/>
            <w:vAlign w:val="center"/>
          </w:tcPr>
          <w:p w14:paraId="6755E3FD">
            <w:pPr>
              <w:topLinePunct/>
              <w:jc w:val="center"/>
              <w:rPr>
                <w:rFonts w:hint="eastAsia" w:ascii="宋体" w:hAnsi="宋体" w:eastAsia="宋体" w:cs="宋体"/>
                <w:color w:val="auto"/>
                <w:szCs w:val="21"/>
                <w:highlight w:val="none"/>
              </w:rPr>
            </w:pPr>
          </w:p>
        </w:tc>
        <w:tc>
          <w:tcPr>
            <w:tcW w:w="2623" w:type="dxa"/>
            <w:gridSpan w:val="3"/>
            <w:noWrap w:val="0"/>
            <w:vAlign w:val="center"/>
          </w:tcPr>
          <w:p w14:paraId="6EC5CD1A">
            <w:pPr>
              <w:topLinePunct/>
              <w:jc w:val="center"/>
              <w:rPr>
                <w:rFonts w:hint="eastAsia" w:ascii="宋体" w:hAnsi="宋体" w:eastAsia="宋体" w:cs="宋体"/>
                <w:color w:val="auto"/>
                <w:szCs w:val="21"/>
                <w:highlight w:val="none"/>
              </w:rPr>
            </w:pPr>
          </w:p>
        </w:tc>
      </w:tr>
      <w:tr w14:paraId="660CF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1DA08105">
            <w:pPr>
              <w:topLinePunct/>
              <w:jc w:val="center"/>
              <w:rPr>
                <w:rFonts w:hint="eastAsia" w:ascii="宋体" w:hAnsi="宋体" w:eastAsia="宋体" w:cs="宋体"/>
                <w:color w:val="auto"/>
                <w:szCs w:val="21"/>
                <w:highlight w:val="none"/>
              </w:rPr>
            </w:pPr>
          </w:p>
        </w:tc>
        <w:tc>
          <w:tcPr>
            <w:tcW w:w="1068" w:type="dxa"/>
            <w:noWrap w:val="0"/>
            <w:vAlign w:val="center"/>
          </w:tcPr>
          <w:p w14:paraId="5078A452">
            <w:pPr>
              <w:topLinePunct/>
              <w:jc w:val="center"/>
              <w:rPr>
                <w:rFonts w:hint="eastAsia" w:ascii="宋体" w:hAnsi="宋体" w:eastAsia="宋体" w:cs="宋体"/>
                <w:color w:val="auto"/>
                <w:szCs w:val="21"/>
                <w:highlight w:val="none"/>
              </w:rPr>
            </w:pPr>
          </w:p>
        </w:tc>
        <w:tc>
          <w:tcPr>
            <w:tcW w:w="1701" w:type="dxa"/>
            <w:gridSpan w:val="3"/>
            <w:noWrap w:val="0"/>
            <w:vAlign w:val="center"/>
          </w:tcPr>
          <w:p w14:paraId="43B05C3F">
            <w:pPr>
              <w:topLinePunct/>
              <w:jc w:val="center"/>
              <w:rPr>
                <w:rFonts w:hint="eastAsia" w:ascii="宋体" w:hAnsi="宋体" w:eastAsia="宋体" w:cs="宋体"/>
                <w:color w:val="auto"/>
                <w:szCs w:val="21"/>
                <w:highlight w:val="none"/>
              </w:rPr>
            </w:pPr>
          </w:p>
        </w:tc>
        <w:tc>
          <w:tcPr>
            <w:tcW w:w="2623" w:type="dxa"/>
            <w:gridSpan w:val="3"/>
            <w:noWrap w:val="0"/>
            <w:vAlign w:val="center"/>
          </w:tcPr>
          <w:p w14:paraId="1F50F8A6">
            <w:pPr>
              <w:topLinePunct/>
              <w:jc w:val="center"/>
              <w:rPr>
                <w:rFonts w:hint="eastAsia" w:ascii="宋体" w:hAnsi="宋体" w:eastAsia="宋体" w:cs="宋体"/>
                <w:color w:val="auto"/>
                <w:szCs w:val="21"/>
                <w:highlight w:val="none"/>
              </w:rPr>
            </w:pPr>
          </w:p>
        </w:tc>
      </w:tr>
      <w:tr w14:paraId="03303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14:paraId="2BB986AC">
            <w:pPr>
              <w:topLinePunct/>
              <w:jc w:val="center"/>
              <w:rPr>
                <w:rFonts w:hint="eastAsia" w:ascii="宋体" w:hAnsi="宋体" w:eastAsia="宋体" w:cs="宋体"/>
                <w:color w:val="auto"/>
                <w:szCs w:val="21"/>
                <w:highlight w:val="none"/>
              </w:rPr>
            </w:pPr>
          </w:p>
        </w:tc>
        <w:tc>
          <w:tcPr>
            <w:tcW w:w="1068" w:type="dxa"/>
            <w:noWrap w:val="0"/>
            <w:vAlign w:val="center"/>
          </w:tcPr>
          <w:p w14:paraId="2E674559">
            <w:pPr>
              <w:topLinePunct/>
              <w:jc w:val="center"/>
              <w:rPr>
                <w:rFonts w:hint="eastAsia" w:ascii="宋体" w:hAnsi="宋体" w:eastAsia="宋体" w:cs="宋体"/>
                <w:color w:val="auto"/>
                <w:szCs w:val="21"/>
                <w:highlight w:val="none"/>
              </w:rPr>
            </w:pPr>
          </w:p>
        </w:tc>
        <w:tc>
          <w:tcPr>
            <w:tcW w:w="1701" w:type="dxa"/>
            <w:gridSpan w:val="3"/>
            <w:noWrap w:val="0"/>
            <w:vAlign w:val="center"/>
          </w:tcPr>
          <w:p w14:paraId="09646A65">
            <w:pPr>
              <w:topLinePunct/>
              <w:jc w:val="center"/>
              <w:rPr>
                <w:rFonts w:hint="eastAsia" w:ascii="宋体" w:hAnsi="宋体" w:eastAsia="宋体" w:cs="宋体"/>
                <w:color w:val="auto"/>
                <w:szCs w:val="21"/>
                <w:highlight w:val="none"/>
              </w:rPr>
            </w:pPr>
          </w:p>
        </w:tc>
        <w:tc>
          <w:tcPr>
            <w:tcW w:w="2623" w:type="dxa"/>
            <w:gridSpan w:val="3"/>
            <w:noWrap w:val="0"/>
            <w:vAlign w:val="center"/>
          </w:tcPr>
          <w:p w14:paraId="1DD1509F">
            <w:pPr>
              <w:topLinePunct/>
              <w:jc w:val="center"/>
              <w:rPr>
                <w:rFonts w:hint="eastAsia" w:ascii="宋体" w:hAnsi="宋体" w:eastAsia="宋体" w:cs="宋体"/>
                <w:color w:val="auto"/>
                <w:szCs w:val="21"/>
                <w:highlight w:val="none"/>
              </w:rPr>
            </w:pPr>
          </w:p>
        </w:tc>
      </w:tr>
      <w:tr w14:paraId="53711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3608" w:type="dxa"/>
            <w:gridSpan w:val="3"/>
            <w:noWrap w:val="0"/>
            <w:vAlign w:val="center"/>
          </w:tcPr>
          <w:p w14:paraId="05846E0E">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投标产品制造商名称</w:t>
            </w:r>
          </w:p>
        </w:tc>
        <w:tc>
          <w:tcPr>
            <w:tcW w:w="5392" w:type="dxa"/>
            <w:gridSpan w:val="7"/>
            <w:noWrap w:val="0"/>
            <w:vAlign w:val="center"/>
          </w:tcPr>
          <w:p w14:paraId="38A59B35">
            <w:pPr>
              <w:topLinePunct/>
              <w:jc w:val="center"/>
              <w:rPr>
                <w:rFonts w:hint="eastAsia" w:ascii="宋体" w:hAnsi="宋体" w:eastAsia="宋体" w:cs="宋体"/>
                <w:color w:val="auto"/>
                <w:szCs w:val="21"/>
                <w:highlight w:val="none"/>
              </w:rPr>
            </w:pPr>
          </w:p>
        </w:tc>
      </w:tr>
      <w:tr w14:paraId="73F5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3B5EA42F">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投标产品制造商需具有的资质证书</w:t>
            </w:r>
          </w:p>
        </w:tc>
        <w:tc>
          <w:tcPr>
            <w:tcW w:w="1068" w:type="dxa"/>
            <w:noWrap w:val="0"/>
            <w:vAlign w:val="center"/>
          </w:tcPr>
          <w:p w14:paraId="2CC507AE">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701" w:type="dxa"/>
            <w:gridSpan w:val="3"/>
            <w:noWrap w:val="0"/>
            <w:vAlign w:val="center"/>
          </w:tcPr>
          <w:p w14:paraId="237A4512">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2623" w:type="dxa"/>
            <w:gridSpan w:val="3"/>
            <w:noWrap w:val="0"/>
            <w:vAlign w:val="center"/>
          </w:tcPr>
          <w:p w14:paraId="4E53B512">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r>
      <w:tr w14:paraId="1017B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3979A803">
            <w:pPr>
              <w:topLinePunct/>
              <w:jc w:val="center"/>
              <w:rPr>
                <w:rFonts w:hint="eastAsia" w:ascii="宋体" w:hAnsi="宋体" w:eastAsia="宋体" w:cs="宋体"/>
                <w:color w:val="auto"/>
                <w:szCs w:val="21"/>
                <w:highlight w:val="none"/>
              </w:rPr>
            </w:pPr>
          </w:p>
        </w:tc>
        <w:tc>
          <w:tcPr>
            <w:tcW w:w="1068" w:type="dxa"/>
            <w:noWrap w:val="0"/>
            <w:vAlign w:val="center"/>
          </w:tcPr>
          <w:p w14:paraId="0AB272A3">
            <w:pPr>
              <w:topLinePunct/>
              <w:jc w:val="center"/>
              <w:rPr>
                <w:rFonts w:hint="eastAsia" w:ascii="宋体" w:hAnsi="宋体" w:eastAsia="宋体" w:cs="宋体"/>
                <w:color w:val="auto"/>
                <w:szCs w:val="21"/>
                <w:highlight w:val="none"/>
              </w:rPr>
            </w:pPr>
          </w:p>
        </w:tc>
        <w:tc>
          <w:tcPr>
            <w:tcW w:w="1701" w:type="dxa"/>
            <w:gridSpan w:val="3"/>
            <w:noWrap w:val="0"/>
            <w:vAlign w:val="center"/>
          </w:tcPr>
          <w:p w14:paraId="540F03E8">
            <w:pPr>
              <w:topLinePunct/>
              <w:jc w:val="center"/>
              <w:rPr>
                <w:rFonts w:hint="eastAsia" w:ascii="宋体" w:hAnsi="宋体" w:eastAsia="宋体" w:cs="宋体"/>
                <w:color w:val="auto"/>
                <w:szCs w:val="21"/>
                <w:highlight w:val="none"/>
              </w:rPr>
            </w:pPr>
          </w:p>
        </w:tc>
        <w:tc>
          <w:tcPr>
            <w:tcW w:w="2623" w:type="dxa"/>
            <w:gridSpan w:val="3"/>
            <w:noWrap w:val="0"/>
            <w:vAlign w:val="center"/>
          </w:tcPr>
          <w:p w14:paraId="770957EA">
            <w:pPr>
              <w:topLinePunct/>
              <w:jc w:val="center"/>
              <w:rPr>
                <w:rFonts w:hint="eastAsia" w:ascii="宋体" w:hAnsi="宋体" w:eastAsia="宋体" w:cs="宋体"/>
                <w:color w:val="auto"/>
                <w:szCs w:val="21"/>
                <w:highlight w:val="none"/>
              </w:rPr>
            </w:pPr>
          </w:p>
        </w:tc>
      </w:tr>
      <w:tr w14:paraId="7B401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3B310787">
            <w:pPr>
              <w:topLinePunct/>
              <w:jc w:val="center"/>
              <w:rPr>
                <w:rFonts w:hint="eastAsia" w:ascii="宋体" w:hAnsi="宋体" w:eastAsia="宋体" w:cs="宋体"/>
                <w:color w:val="auto"/>
                <w:szCs w:val="21"/>
                <w:highlight w:val="none"/>
              </w:rPr>
            </w:pPr>
          </w:p>
        </w:tc>
        <w:tc>
          <w:tcPr>
            <w:tcW w:w="1068" w:type="dxa"/>
            <w:noWrap w:val="0"/>
            <w:vAlign w:val="center"/>
          </w:tcPr>
          <w:p w14:paraId="3FC46D3E">
            <w:pPr>
              <w:topLinePunct/>
              <w:jc w:val="center"/>
              <w:rPr>
                <w:rFonts w:hint="eastAsia" w:ascii="宋体" w:hAnsi="宋体" w:eastAsia="宋体" w:cs="宋体"/>
                <w:color w:val="auto"/>
                <w:szCs w:val="21"/>
                <w:highlight w:val="none"/>
              </w:rPr>
            </w:pPr>
          </w:p>
        </w:tc>
        <w:tc>
          <w:tcPr>
            <w:tcW w:w="1701" w:type="dxa"/>
            <w:gridSpan w:val="3"/>
            <w:noWrap w:val="0"/>
            <w:vAlign w:val="center"/>
          </w:tcPr>
          <w:p w14:paraId="2355DD62">
            <w:pPr>
              <w:topLinePunct/>
              <w:jc w:val="center"/>
              <w:rPr>
                <w:rFonts w:hint="eastAsia" w:ascii="宋体" w:hAnsi="宋体" w:eastAsia="宋体" w:cs="宋体"/>
                <w:color w:val="auto"/>
                <w:szCs w:val="21"/>
                <w:highlight w:val="none"/>
              </w:rPr>
            </w:pPr>
          </w:p>
        </w:tc>
        <w:tc>
          <w:tcPr>
            <w:tcW w:w="2623" w:type="dxa"/>
            <w:gridSpan w:val="3"/>
            <w:noWrap w:val="0"/>
            <w:vAlign w:val="center"/>
          </w:tcPr>
          <w:p w14:paraId="1EDFEC85">
            <w:pPr>
              <w:topLinePunct/>
              <w:jc w:val="center"/>
              <w:rPr>
                <w:rFonts w:hint="eastAsia" w:ascii="宋体" w:hAnsi="宋体" w:eastAsia="宋体" w:cs="宋体"/>
                <w:color w:val="auto"/>
                <w:szCs w:val="21"/>
                <w:highlight w:val="none"/>
              </w:rPr>
            </w:pPr>
          </w:p>
        </w:tc>
      </w:tr>
      <w:tr w14:paraId="7C13C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76617F09">
            <w:pPr>
              <w:topLinePunct/>
              <w:jc w:val="center"/>
              <w:rPr>
                <w:rFonts w:hint="eastAsia" w:ascii="宋体" w:hAnsi="宋体" w:eastAsia="宋体" w:cs="宋体"/>
                <w:color w:val="auto"/>
                <w:szCs w:val="21"/>
                <w:highlight w:val="none"/>
              </w:rPr>
            </w:pPr>
          </w:p>
        </w:tc>
        <w:tc>
          <w:tcPr>
            <w:tcW w:w="1068" w:type="dxa"/>
            <w:noWrap w:val="0"/>
            <w:vAlign w:val="center"/>
          </w:tcPr>
          <w:p w14:paraId="0E60F7C1">
            <w:pPr>
              <w:topLinePunct/>
              <w:jc w:val="center"/>
              <w:rPr>
                <w:rFonts w:hint="eastAsia" w:ascii="宋体" w:hAnsi="宋体" w:eastAsia="宋体" w:cs="宋体"/>
                <w:color w:val="auto"/>
                <w:szCs w:val="21"/>
                <w:highlight w:val="none"/>
              </w:rPr>
            </w:pPr>
          </w:p>
        </w:tc>
        <w:tc>
          <w:tcPr>
            <w:tcW w:w="1701" w:type="dxa"/>
            <w:gridSpan w:val="3"/>
            <w:noWrap w:val="0"/>
            <w:vAlign w:val="center"/>
          </w:tcPr>
          <w:p w14:paraId="7D977FC3">
            <w:pPr>
              <w:topLinePunct/>
              <w:jc w:val="center"/>
              <w:rPr>
                <w:rFonts w:hint="eastAsia" w:ascii="宋体" w:hAnsi="宋体" w:eastAsia="宋体" w:cs="宋体"/>
                <w:color w:val="auto"/>
                <w:szCs w:val="21"/>
                <w:highlight w:val="none"/>
              </w:rPr>
            </w:pPr>
          </w:p>
        </w:tc>
        <w:tc>
          <w:tcPr>
            <w:tcW w:w="2623" w:type="dxa"/>
            <w:gridSpan w:val="3"/>
            <w:noWrap w:val="0"/>
            <w:vAlign w:val="center"/>
          </w:tcPr>
          <w:p w14:paraId="55903E99">
            <w:pPr>
              <w:topLinePunct/>
              <w:jc w:val="center"/>
              <w:rPr>
                <w:rFonts w:hint="eastAsia" w:ascii="宋体" w:hAnsi="宋体" w:eastAsia="宋体" w:cs="宋体"/>
                <w:color w:val="auto"/>
                <w:szCs w:val="21"/>
                <w:highlight w:val="none"/>
              </w:rPr>
            </w:pPr>
          </w:p>
        </w:tc>
      </w:tr>
    </w:tbl>
    <w:p w14:paraId="30B25410">
      <w:pPr>
        <w:adjustRightInd w:val="0"/>
        <w:snapToGrid w:val="0"/>
        <w:spacing w:before="240" w:beforeLines="100" w:line="360" w:lineRule="auto"/>
        <w:ind w:firstLine="388" w:firstLineChars="185"/>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  标  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（盖单位章）</w:t>
      </w:r>
    </w:p>
    <w:p w14:paraId="6EDD84A5">
      <w:pPr>
        <w:adjustRightInd w:val="0"/>
        <w:spacing w:line="360" w:lineRule="auto"/>
        <w:ind w:firstLine="367" w:firstLineChars="1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（签章或签字）</w:t>
      </w:r>
    </w:p>
    <w:p w14:paraId="426B48C0">
      <w:pPr>
        <w:adjustRightInd w:val="0"/>
        <w:spacing w:line="360" w:lineRule="auto"/>
        <w:ind w:firstLine="367" w:firstLineChars="17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期:20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07F11812">
      <w:pPr>
        <w:adjustRightInd w:val="0"/>
        <w:snapToGrid w:val="0"/>
        <w:spacing w:line="360" w:lineRule="auto"/>
        <w:jc w:val="center"/>
        <w:rPr>
          <w:rFonts w:hint="eastAsia" w:ascii="宋体" w:hAnsi="宋体" w:eastAsia="宋体" w:cs="宋体"/>
          <w:b/>
          <w:color w:val="auto"/>
          <w:sz w:val="36"/>
          <w:szCs w:val="36"/>
          <w:highlight w:val="none"/>
        </w:rPr>
      </w:pPr>
    </w:p>
    <w:p w14:paraId="76AB2D8F">
      <w:pPr>
        <w:pStyle w:val="11"/>
        <w:rPr>
          <w:rFonts w:hint="eastAsia"/>
          <w:color w:val="auto"/>
          <w:highlight w:val="none"/>
        </w:rPr>
      </w:pPr>
    </w:p>
    <w:p w14:paraId="4D6BA862">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36"/>
          <w:szCs w:val="36"/>
          <w:highlight w:val="none"/>
        </w:rPr>
        <w:t>2.法定代表人（单位负责人）身份证明</w:t>
      </w:r>
    </w:p>
    <w:p w14:paraId="34E8C43E">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B42ABE7">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r>
        <w:rPr>
          <w:rFonts w:hint="eastAsia" w:ascii="宋体" w:hAnsi="宋体" w:eastAsia="宋体" w:cs="宋体"/>
          <w:color w:val="auto"/>
          <w:kern w:val="0"/>
          <w:szCs w:val="21"/>
          <w:highlight w:val="none"/>
          <w:u w:val="single"/>
        </w:rPr>
        <w:t xml:space="preserve">                </w:t>
      </w:r>
    </w:p>
    <w:p w14:paraId="779B84B0">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Cs w:val="21"/>
          <w:highlight w:val="none"/>
          <w:u w:val="single"/>
        </w:rPr>
        <w:t xml:space="preserve">             </w:t>
      </w:r>
    </w:p>
    <w:p w14:paraId="2B1922EF">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w:t>
      </w:r>
      <w:r>
        <w:rPr>
          <w:rFonts w:hint="eastAsia" w:ascii="宋体" w:hAnsi="宋体" w:eastAsia="宋体" w:cs="宋体"/>
          <w:color w:val="auto"/>
          <w:szCs w:val="21"/>
          <w:highlight w:val="none"/>
        </w:rPr>
        <w:t>人</w:t>
      </w:r>
      <w:r>
        <w:rPr>
          <w:rFonts w:hint="eastAsia" w:ascii="宋体" w:hAnsi="宋体" w:eastAsia="宋体" w:cs="宋体"/>
          <w:color w:val="auto"/>
          <w:kern w:val="0"/>
          <w:szCs w:val="21"/>
          <w:highlight w:val="none"/>
        </w:rPr>
        <w:t>名称）的法定代表人（单位负责人）。</w:t>
      </w:r>
    </w:p>
    <w:p w14:paraId="6EA37CFE">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22C0A82C">
      <w:pPr>
        <w:autoSpaceDE w:val="0"/>
        <w:autoSpaceDN w:val="0"/>
        <w:adjustRightInd w:val="0"/>
        <w:snapToGrid w:val="0"/>
        <w:spacing w:before="120" w:beforeLines="50" w:line="360" w:lineRule="auto"/>
        <w:jc w:val="left"/>
        <w:rPr>
          <w:rFonts w:hint="eastAsia" w:ascii="宋体" w:hAnsi="宋体" w:eastAsia="宋体" w:cs="宋体"/>
          <w:color w:val="auto"/>
          <w:szCs w:val="21"/>
          <w:highlight w:val="none"/>
        </w:rPr>
      </w:pPr>
    </w:p>
    <w:p w14:paraId="69E4A8FB">
      <w:pPr>
        <w:autoSpaceDE w:val="0"/>
        <w:autoSpaceDN w:val="0"/>
        <w:adjustRightInd w:val="0"/>
        <w:snapToGrid w:val="0"/>
        <w:spacing w:before="120" w:beforeLines="5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p w14:paraId="6A20C63B">
      <w:pPr>
        <w:snapToGrid w:val="0"/>
        <w:spacing w:line="480" w:lineRule="auto"/>
        <w:rPr>
          <w:rFonts w:hint="eastAsia" w:ascii="宋体" w:hAnsi="宋体" w:eastAsia="宋体" w:cs="宋体"/>
          <w:color w:val="auto"/>
          <w:szCs w:val="21"/>
          <w:highlight w:val="none"/>
        </w:rPr>
      </w:pP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E38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5" w:hRule="atLeast"/>
        </w:trPr>
        <w:tc>
          <w:tcPr>
            <w:tcW w:w="5868" w:type="dxa"/>
            <w:noWrap w:val="0"/>
            <w:vAlign w:val="center"/>
          </w:tcPr>
          <w:p w14:paraId="3188F7E2">
            <w:pPr>
              <w:snapToGrid w:val="0"/>
              <w:spacing w:line="480" w:lineRule="auto"/>
              <w:jc w:val="center"/>
              <w:rPr>
                <w:rFonts w:hint="eastAsia" w:ascii="宋体" w:hAnsi="宋体" w:eastAsia="宋体" w:cs="宋体"/>
                <w:color w:val="auto"/>
                <w:szCs w:val="21"/>
                <w:highlight w:val="none"/>
              </w:rPr>
            </w:pPr>
          </w:p>
          <w:p w14:paraId="503597D3">
            <w:pPr>
              <w:snapToGrid w:val="0"/>
              <w:spacing w:line="480" w:lineRule="auto"/>
              <w:jc w:val="center"/>
              <w:rPr>
                <w:rFonts w:hint="eastAsia" w:ascii="宋体" w:hAnsi="宋体" w:eastAsia="宋体" w:cs="宋体"/>
                <w:color w:val="auto"/>
                <w:szCs w:val="21"/>
                <w:highlight w:val="none"/>
              </w:rPr>
            </w:pPr>
          </w:p>
          <w:p w14:paraId="51158592">
            <w:pPr>
              <w:autoSpaceDE w:val="0"/>
              <w:autoSpaceDN w:val="0"/>
              <w:adjustRightInd w:val="0"/>
              <w:snapToGrid w:val="0"/>
              <w:spacing w:before="120" w:beforeLines="5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法定代表人身份证复印件粘贴处</w:t>
            </w:r>
          </w:p>
          <w:p w14:paraId="2E0A1183">
            <w:pPr>
              <w:snapToGrid w:val="0"/>
              <w:spacing w:line="480" w:lineRule="auto"/>
              <w:jc w:val="center"/>
              <w:rPr>
                <w:rFonts w:hint="eastAsia" w:ascii="宋体" w:hAnsi="宋体" w:eastAsia="宋体" w:cs="宋体"/>
                <w:color w:val="auto"/>
                <w:szCs w:val="21"/>
                <w:highlight w:val="none"/>
              </w:rPr>
            </w:pPr>
          </w:p>
          <w:p w14:paraId="2254E4C8">
            <w:pPr>
              <w:snapToGrid w:val="0"/>
              <w:spacing w:line="480" w:lineRule="auto"/>
              <w:jc w:val="center"/>
              <w:rPr>
                <w:rFonts w:hint="eastAsia" w:ascii="宋体" w:hAnsi="宋体" w:eastAsia="宋体" w:cs="宋体"/>
                <w:color w:val="auto"/>
                <w:szCs w:val="21"/>
                <w:highlight w:val="none"/>
              </w:rPr>
            </w:pPr>
          </w:p>
        </w:tc>
      </w:tr>
    </w:tbl>
    <w:p w14:paraId="6497A575">
      <w:pPr>
        <w:snapToGrid w:val="0"/>
        <w:spacing w:line="480" w:lineRule="auto"/>
        <w:rPr>
          <w:rFonts w:hint="eastAsia" w:ascii="宋体" w:hAnsi="宋体" w:eastAsia="宋体" w:cs="宋体"/>
          <w:color w:val="auto"/>
          <w:szCs w:val="21"/>
          <w:highlight w:val="none"/>
        </w:rPr>
      </w:pPr>
    </w:p>
    <w:p w14:paraId="0F8B9C8A">
      <w:pPr>
        <w:snapToGrid w:val="0"/>
        <w:rPr>
          <w:rFonts w:hint="eastAsia" w:ascii="宋体" w:hAnsi="宋体" w:eastAsia="宋体" w:cs="宋体"/>
          <w:color w:val="auto"/>
          <w:szCs w:val="21"/>
          <w:highlight w:val="none"/>
        </w:rPr>
      </w:pPr>
    </w:p>
    <w:p w14:paraId="2264B72E">
      <w:pPr>
        <w:snapToGrid w:val="0"/>
        <w:rPr>
          <w:rFonts w:hint="eastAsia" w:ascii="宋体" w:hAnsi="宋体" w:eastAsia="宋体" w:cs="宋体"/>
          <w:color w:val="auto"/>
          <w:szCs w:val="21"/>
          <w:highlight w:val="none"/>
        </w:rPr>
      </w:pPr>
    </w:p>
    <w:p w14:paraId="776D1031">
      <w:pPr>
        <w:snapToGrid w:val="0"/>
        <w:rPr>
          <w:rFonts w:hint="eastAsia" w:ascii="宋体" w:hAnsi="宋体" w:eastAsia="宋体" w:cs="宋体"/>
          <w:color w:val="auto"/>
          <w:szCs w:val="21"/>
          <w:highlight w:val="none"/>
        </w:rPr>
      </w:pPr>
    </w:p>
    <w:p w14:paraId="55F11FAA">
      <w:pPr>
        <w:adjustRightInd w:val="0"/>
        <w:snapToGrid w:val="0"/>
        <w:spacing w:line="360" w:lineRule="auto"/>
        <w:rPr>
          <w:rFonts w:hint="eastAsia" w:ascii="宋体" w:hAnsi="宋体" w:eastAsia="宋体" w:cs="宋体"/>
          <w:color w:val="auto"/>
          <w:szCs w:val="21"/>
          <w:highlight w:val="none"/>
        </w:rPr>
      </w:pPr>
    </w:p>
    <w:p w14:paraId="51B70C81">
      <w:pPr>
        <w:adjustRightInd w:val="0"/>
        <w:snapToGrid w:val="0"/>
        <w:spacing w:line="360" w:lineRule="auto"/>
        <w:ind w:right="420"/>
        <w:rPr>
          <w:rFonts w:hint="eastAsia" w:ascii="宋体" w:hAnsi="宋体" w:eastAsia="宋体" w:cs="宋体"/>
          <w:color w:val="auto"/>
          <w:szCs w:val="21"/>
          <w:highlight w:val="none"/>
        </w:rPr>
      </w:pPr>
    </w:p>
    <w:p w14:paraId="0FE8554B">
      <w:pPr>
        <w:adjustRightInd w:val="0"/>
        <w:snapToGrid w:val="0"/>
        <w:spacing w:line="360" w:lineRule="auto"/>
        <w:ind w:right="420"/>
        <w:rPr>
          <w:rFonts w:hint="eastAsia" w:ascii="宋体" w:hAnsi="宋体" w:eastAsia="宋体" w:cs="宋体"/>
          <w:color w:val="auto"/>
          <w:szCs w:val="21"/>
          <w:highlight w:val="none"/>
        </w:rPr>
      </w:pPr>
    </w:p>
    <w:p w14:paraId="07E2AF20">
      <w:pPr>
        <w:adjustRightInd w:val="0"/>
        <w:snapToGrid w:val="0"/>
        <w:spacing w:line="360" w:lineRule="auto"/>
        <w:ind w:right="420"/>
        <w:rPr>
          <w:rFonts w:hint="eastAsia" w:ascii="宋体" w:hAnsi="宋体" w:eastAsia="宋体" w:cs="宋体"/>
          <w:color w:val="auto"/>
          <w:szCs w:val="21"/>
          <w:highlight w:val="none"/>
        </w:rPr>
      </w:pPr>
    </w:p>
    <w:p w14:paraId="2F4E65CC">
      <w:pPr>
        <w:adjustRightInd w:val="0"/>
        <w:snapToGrid w:val="0"/>
        <w:spacing w:line="360" w:lineRule="auto"/>
        <w:ind w:right="420"/>
        <w:rPr>
          <w:rFonts w:hint="eastAsia" w:ascii="宋体" w:hAnsi="宋体" w:eastAsia="宋体" w:cs="宋体"/>
          <w:color w:val="auto"/>
          <w:szCs w:val="21"/>
          <w:highlight w:val="none"/>
        </w:rPr>
      </w:pPr>
    </w:p>
    <w:p w14:paraId="75246F48">
      <w:pPr>
        <w:adjustRightInd w:val="0"/>
        <w:snapToGrid w:val="0"/>
        <w:spacing w:line="360" w:lineRule="auto"/>
        <w:ind w:right="420" w:firstLine="210" w:firstLineChars="100"/>
        <w:rPr>
          <w:rFonts w:hint="eastAsia" w:ascii="宋体" w:hAnsi="宋体" w:eastAsia="宋体" w:cs="宋体"/>
          <w:color w:val="auto"/>
          <w:szCs w:val="21"/>
          <w:highlight w:val="none"/>
        </w:rPr>
      </w:pPr>
    </w:p>
    <w:p w14:paraId="09ECDDE3">
      <w:pPr>
        <w:adjustRightInd w:val="0"/>
        <w:snapToGrid w:val="0"/>
        <w:spacing w:line="360" w:lineRule="auto"/>
        <w:ind w:right="420" w:firstLine="3255" w:firstLineChars="1550"/>
        <w:rPr>
          <w:rFonts w:hint="eastAsia" w:ascii="宋体" w:hAnsi="宋体" w:eastAsia="宋体" w:cs="宋体"/>
          <w:color w:val="auto"/>
          <w:szCs w:val="21"/>
          <w:highlight w:val="none"/>
        </w:rPr>
      </w:pPr>
    </w:p>
    <w:p w14:paraId="76C39EF8">
      <w:pPr>
        <w:adjustRightInd w:val="0"/>
        <w:snapToGrid w:val="0"/>
        <w:spacing w:line="360" w:lineRule="auto"/>
        <w:ind w:right="420"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1C4EB178">
      <w:pPr>
        <w:adjustRightInd w:val="0"/>
        <w:snapToGrid w:val="0"/>
        <w:spacing w:line="360" w:lineRule="auto"/>
        <w:ind w:right="420" w:firstLine="4830" w:firstLineChars="2300"/>
        <w:rPr>
          <w:rFonts w:hint="eastAsia" w:ascii="宋体" w:hAnsi="宋体" w:eastAsia="宋体" w:cs="宋体"/>
          <w:color w:val="auto"/>
          <w:szCs w:val="21"/>
          <w:highlight w:val="none"/>
        </w:rPr>
      </w:pPr>
    </w:p>
    <w:p w14:paraId="5E307BD7">
      <w:pPr>
        <w:adjustRightInd w:val="0"/>
        <w:snapToGrid w:val="0"/>
        <w:spacing w:line="360" w:lineRule="auto"/>
        <w:ind w:right="420" w:firstLine="4252" w:firstLineChars="20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日期：20  年  月  日</w:t>
      </w:r>
    </w:p>
    <w:p w14:paraId="67E578A5">
      <w:pPr>
        <w:adjustRightInd w:val="0"/>
        <w:snapToGrid w:val="0"/>
        <w:spacing w:line="360" w:lineRule="auto"/>
        <w:ind w:right="420" w:firstLine="210" w:firstLineChars="100"/>
        <w:rPr>
          <w:rFonts w:hint="eastAsia" w:ascii="宋体" w:hAnsi="宋体" w:eastAsia="宋体" w:cs="宋体"/>
          <w:color w:val="auto"/>
          <w:szCs w:val="21"/>
          <w:highlight w:val="none"/>
        </w:rPr>
      </w:pPr>
    </w:p>
    <w:p w14:paraId="0C00992F">
      <w:pPr>
        <w:adjustRightInd w:val="0"/>
        <w:snapToGrid w:val="0"/>
        <w:spacing w:line="360" w:lineRule="auto"/>
        <w:ind w:right="420" w:firstLine="210" w:firstLineChars="100"/>
        <w:rPr>
          <w:rFonts w:hint="eastAsia" w:ascii="宋体" w:hAnsi="宋体" w:eastAsia="宋体" w:cs="宋体"/>
          <w:color w:val="auto"/>
          <w:szCs w:val="21"/>
          <w:highlight w:val="none"/>
        </w:rPr>
      </w:pPr>
    </w:p>
    <w:p w14:paraId="0CB8E7EA">
      <w:pPr>
        <w:adjustRightInd w:val="0"/>
        <w:snapToGrid w:val="0"/>
        <w:spacing w:line="360" w:lineRule="auto"/>
        <w:ind w:right="420" w:firstLine="210" w:firstLineChars="100"/>
        <w:rPr>
          <w:rFonts w:hint="eastAsia" w:ascii="宋体" w:hAnsi="宋体" w:eastAsia="宋体" w:cs="宋体"/>
          <w:color w:val="auto"/>
          <w:szCs w:val="21"/>
          <w:highlight w:val="none"/>
        </w:rPr>
      </w:pPr>
    </w:p>
    <w:p w14:paraId="435C2DBE">
      <w:pPr>
        <w:adjustRightInd w:val="0"/>
        <w:snapToGrid w:val="0"/>
        <w:spacing w:line="360" w:lineRule="auto"/>
        <w:ind w:right="42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说明：仅限法定代表人参加投标时提供</w:t>
      </w:r>
    </w:p>
    <w:p w14:paraId="6E4DBD45">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3.授权委托书</w:t>
      </w:r>
    </w:p>
    <w:p w14:paraId="000BE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本人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（姓名）系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（投标人名称）的法定代表人（单位负责人），现委托</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（姓名）为我方代理人。代理人根据授权，以我方的名义签署、澄清确认、递交、撤回、修改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（采购项目）投标文件、签订合同和全权处理一切与之有关的事宜，</w:t>
      </w:r>
      <w:r>
        <w:rPr>
          <w:rFonts w:hint="eastAsia" w:ascii="宋体" w:hAnsi="宋体" w:eastAsia="宋体" w:cs="宋体"/>
          <w:color w:val="auto"/>
          <w:kern w:val="0"/>
          <w:szCs w:val="21"/>
          <w:highlight w:val="none"/>
        </w:rPr>
        <w:t>其法律后果由我方承担。</w:t>
      </w:r>
    </w:p>
    <w:p w14:paraId="1C8C6B3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委托期限</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日至</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p>
    <w:p w14:paraId="375D1ECD">
      <w:pPr>
        <w:spacing w:line="48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代理人无转委托权。</w:t>
      </w:r>
    </w:p>
    <w:p w14:paraId="7BD1C702">
      <w:pPr>
        <w:spacing w:line="360" w:lineRule="auto"/>
        <w:ind w:firstLine="420" w:firstLineChars="200"/>
        <w:rPr>
          <w:rFonts w:hint="eastAsia" w:ascii="宋体" w:hAnsi="宋体" w:eastAsia="宋体" w:cs="宋体"/>
          <w:color w:val="auto"/>
          <w:szCs w:val="21"/>
          <w:highlight w:val="none"/>
        </w:rPr>
      </w:pPr>
    </w:p>
    <w:p w14:paraId="0A2A7C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附：法定代表人（单位负责人）身份证复印件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委托代理人身份证复印件</w:t>
      </w:r>
    </w:p>
    <w:tbl>
      <w:tblPr>
        <w:tblStyle w:val="22"/>
        <w:tblW w:w="0" w:type="auto"/>
        <w:tblInd w:w="540" w:type="dxa"/>
        <w:tblLayout w:type="fixed"/>
        <w:tblCellMar>
          <w:top w:w="0" w:type="dxa"/>
          <w:left w:w="108" w:type="dxa"/>
          <w:bottom w:w="0" w:type="dxa"/>
          <w:right w:w="108" w:type="dxa"/>
        </w:tblCellMar>
      </w:tblPr>
      <w:tblGrid>
        <w:gridCol w:w="4081"/>
        <w:gridCol w:w="3915"/>
      </w:tblGrid>
      <w:tr w14:paraId="47787365">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14:paraId="38A52D90">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273F6E3A">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委托代理人身份证复印件</w:t>
            </w:r>
          </w:p>
        </w:tc>
      </w:tr>
    </w:tbl>
    <w:p w14:paraId="03DCAC0D">
      <w:pPr>
        <w:ind w:firstLine="420" w:firstLineChars="200"/>
        <w:rPr>
          <w:rFonts w:hint="eastAsia" w:ascii="宋体" w:hAnsi="宋体" w:eastAsia="宋体" w:cs="宋体"/>
          <w:color w:val="auto"/>
          <w:szCs w:val="21"/>
          <w:highlight w:val="none"/>
        </w:rPr>
      </w:pPr>
    </w:p>
    <w:p w14:paraId="17E294EF">
      <w:pPr>
        <w:ind w:firstLine="420" w:firstLineChars="200"/>
        <w:rPr>
          <w:rFonts w:hint="eastAsia" w:ascii="宋体" w:hAnsi="宋体" w:eastAsia="宋体" w:cs="宋体"/>
          <w:color w:val="auto"/>
          <w:szCs w:val="21"/>
          <w:highlight w:val="none"/>
        </w:rPr>
      </w:pPr>
    </w:p>
    <w:p w14:paraId="669968FE">
      <w:pPr>
        <w:ind w:firstLine="420" w:firstLineChars="200"/>
        <w:rPr>
          <w:rFonts w:hint="eastAsia" w:ascii="宋体" w:hAnsi="宋体" w:eastAsia="宋体" w:cs="宋体"/>
          <w:color w:val="auto"/>
          <w:szCs w:val="21"/>
          <w:highlight w:val="none"/>
        </w:rPr>
      </w:pPr>
    </w:p>
    <w:p w14:paraId="693422ED">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（盖单位章） </w:t>
      </w:r>
    </w:p>
    <w:p w14:paraId="50CD9A17">
      <w:pPr>
        <w:ind w:firstLine="420" w:firstLineChars="200"/>
        <w:rPr>
          <w:rFonts w:hint="eastAsia" w:ascii="宋体" w:hAnsi="宋体" w:eastAsia="宋体" w:cs="宋体"/>
          <w:color w:val="auto"/>
          <w:szCs w:val="21"/>
          <w:highlight w:val="none"/>
        </w:rPr>
      </w:pPr>
    </w:p>
    <w:p w14:paraId="4FFCD854">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法定代表人（单位负责人）: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（签章或签字）</w:t>
      </w:r>
    </w:p>
    <w:p w14:paraId="5B46779F">
      <w:pPr>
        <w:ind w:firstLine="3465" w:firstLineChars="1650"/>
        <w:rPr>
          <w:rFonts w:hint="eastAsia" w:ascii="宋体" w:hAnsi="宋体" w:eastAsia="宋体" w:cs="宋体"/>
          <w:color w:val="auto"/>
          <w:szCs w:val="21"/>
          <w:highlight w:val="none"/>
        </w:rPr>
      </w:pPr>
    </w:p>
    <w:p w14:paraId="034E5087">
      <w:pPr>
        <w:ind w:firstLine="2835" w:firstLineChars="13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 份 证 号：</w:t>
      </w:r>
      <w:r>
        <w:rPr>
          <w:rFonts w:hint="eastAsia" w:ascii="宋体" w:hAnsi="宋体" w:eastAsia="宋体" w:cs="宋体"/>
          <w:color w:val="auto"/>
          <w:szCs w:val="21"/>
          <w:highlight w:val="none"/>
          <w:u w:val="single"/>
        </w:rPr>
        <w:t xml:space="preserve">                               </w:t>
      </w:r>
    </w:p>
    <w:p w14:paraId="4C2A0A0B">
      <w:pPr>
        <w:ind w:firstLine="3465" w:firstLineChars="1650"/>
        <w:rPr>
          <w:rFonts w:hint="eastAsia" w:ascii="宋体" w:hAnsi="宋体" w:eastAsia="宋体" w:cs="宋体"/>
          <w:color w:val="auto"/>
          <w:szCs w:val="21"/>
          <w:highlight w:val="none"/>
        </w:rPr>
      </w:pPr>
    </w:p>
    <w:p w14:paraId="56659CEC">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（签章或签字）     </w:t>
      </w:r>
    </w:p>
    <w:p w14:paraId="6FAD9451">
      <w:pPr>
        <w:ind w:firstLine="2835" w:firstLineChars="1350"/>
        <w:jc w:val="left"/>
        <w:rPr>
          <w:rFonts w:hint="eastAsia" w:ascii="宋体" w:hAnsi="宋体" w:eastAsia="宋体" w:cs="宋体"/>
          <w:color w:val="auto"/>
          <w:szCs w:val="21"/>
          <w:highlight w:val="none"/>
        </w:rPr>
      </w:pPr>
    </w:p>
    <w:p w14:paraId="48315CE8">
      <w:pPr>
        <w:ind w:firstLine="2835" w:firstLineChars="13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 份 证 号：</w:t>
      </w:r>
      <w:r>
        <w:rPr>
          <w:rFonts w:hint="eastAsia" w:ascii="宋体" w:hAnsi="宋体" w:eastAsia="宋体" w:cs="宋体"/>
          <w:color w:val="auto"/>
          <w:szCs w:val="21"/>
          <w:highlight w:val="none"/>
          <w:u w:val="single"/>
        </w:rPr>
        <w:t xml:space="preserve">                               </w:t>
      </w:r>
    </w:p>
    <w:p w14:paraId="280964FD">
      <w:pPr>
        <w:ind w:firstLine="420" w:firstLineChars="200"/>
        <w:rPr>
          <w:rFonts w:hint="eastAsia" w:ascii="宋体" w:hAnsi="宋体" w:eastAsia="宋体" w:cs="宋体"/>
          <w:color w:val="auto"/>
          <w:szCs w:val="21"/>
          <w:highlight w:val="none"/>
        </w:rPr>
      </w:pPr>
    </w:p>
    <w:p w14:paraId="37E6FF03">
      <w:pPr>
        <w:ind w:firstLine="2730" w:firstLineChars="1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授权委托日期：20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3EFE0592">
      <w:pPr>
        <w:ind w:firstLine="420" w:firstLineChars="200"/>
        <w:rPr>
          <w:rFonts w:hint="eastAsia" w:ascii="宋体" w:hAnsi="宋体" w:eastAsia="宋体" w:cs="宋体"/>
          <w:color w:val="auto"/>
          <w:highlight w:val="none"/>
          <w:lang w:val="zh-CN"/>
        </w:rPr>
      </w:pPr>
    </w:p>
    <w:p w14:paraId="1E15BD5F">
      <w:pPr>
        <w:ind w:firstLine="420" w:firstLineChars="200"/>
        <w:rPr>
          <w:rFonts w:hint="eastAsia" w:ascii="宋体" w:hAnsi="宋体" w:eastAsia="宋体" w:cs="宋体"/>
          <w:color w:val="auto"/>
          <w:highlight w:val="none"/>
          <w:lang w:val="zh-CN"/>
        </w:rPr>
      </w:pPr>
    </w:p>
    <w:p w14:paraId="448E5113">
      <w:pPr>
        <w:ind w:firstLine="420" w:firstLineChars="200"/>
        <w:rPr>
          <w:rFonts w:hint="eastAsia" w:ascii="宋体" w:hAnsi="宋体" w:eastAsia="宋体" w:cs="宋体"/>
          <w:color w:val="auto"/>
          <w:highlight w:val="none"/>
          <w:lang w:val="zh-CN"/>
        </w:rPr>
      </w:pPr>
    </w:p>
    <w:p w14:paraId="0C2F33C9">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lang w:val="zh-CN"/>
        </w:rPr>
      </w:pPr>
    </w:p>
    <w:p w14:paraId="4407E8DD">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说明：本授权委托书有效期自开标之日起不得少于</w:t>
      </w:r>
      <w:r>
        <w:rPr>
          <w:rFonts w:hint="eastAsia" w:ascii="宋体" w:hAnsi="宋体" w:eastAsia="宋体" w:cs="宋体"/>
          <w:color w:val="auto"/>
          <w:sz w:val="22"/>
          <w:szCs w:val="22"/>
          <w:highlight w:val="none"/>
        </w:rPr>
        <w:t>90</w:t>
      </w:r>
      <w:r>
        <w:rPr>
          <w:rFonts w:hint="eastAsia" w:ascii="宋体" w:hAnsi="宋体" w:eastAsia="宋体" w:cs="宋体"/>
          <w:color w:val="auto"/>
          <w:sz w:val="22"/>
          <w:szCs w:val="22"/>
          <w:highlight w:val="none"/>
          <w:lang w:val="zh-CN"/>
        </w:rPr>
        <w:t>天，仅限委托代理人参加投标时提供。</w:t>
      </w:r>
    </w:p>
    <w:p w14:paraId="3CDBEE2F">
      <w:pPr>
        <w:jc w:val="center"/>
        <w:rPr>
          <w:rFonts w:hint="eastAsia" w:ascii="宋体" w:hAnsi="宋体" w:eastAsia="宋体" w:cs="宋体"/>
          <w:b/>
          <w:color w:val="auto"/>
          <w:sz w:val="36"/>
          <w:szCs w:val="36"/>
          <w:highlight w:val="none"/>
        </w:rPr>
      </w:pPr>
    </w:p>
    <w:p w14:paraId="77E369C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4.</w:t>
      </w:r>
      <w:r>
        <w:rPr>
          <w:rFonts w:hint="eastAsia" w:ascii="宋体" w:hAnsi="宋体" w:eastAsia="宋体" w:cs="宋体"/>
          <w:b/>
          <w:color w:val="auto"/>
          <w:kern w:val="0"/>
          <w:sz w:val="36"/>
          <w:szCs w:val="36"/>
          <w:highlight w:val="none"/>
          <w:lang w:val="zh-CN"/>
        </w:rPr>
        <w:t>投标人的营业执照等证明文件，自然人的身份证明</w:t>
      </w:r>
    </w:p>
    <w:p w14:paraId="14A048B3">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为企业法人应提供合法有效的标识有统一社会信用代码的营业执照；事业法人应提供事业单位法人证书；其他组织应提供合法登记证明文件</w:t>
      </w:r>
      <w:r>
        <w:rPr>
          <w:rFonts w:hint="eastAsia" w:ascii="宋体" w:hAnsi="宋体" w:eastAsia="宋体" w:cs="宋体"/>
          <w:color w:val="auto"/>
          <w:sz w:val="22"/>
          <w:szCs w:val="22"/>
          <w:highlight w:val="none"/>
          <w:lang w:eastAsia="zh-CN"/>
        </w:rPr>
        <w:t>；</w:t>
      </w:r>
    </w:p>
    <w:p w14:paraId="7477D077">
      <w:pPr>
        <w:pStyle w:val="12"/>
        <w:adjustRightInd w:val="0"/>
        <w:snapToGrid w:val="0"/>
        <w:spacing w:line="360" w:lineRule="auto"/>
        <w:ind w:firstLine="420" w:firstLineChars="200"/>
        <w:rPr>
          <w:rFonts w:hint="eastAsia" w:ascii="宋体" w:hAnsi="宋体" w:eastAsia="宋体" w:cs="宋体"/>
          <w:color w:val="auto"/>
          <w:highlight w:val="none"/>
        </w:rPr>
      </w:pPr>
    </w:p>
    <w:p w14:paraId="462A7AED">
      <w:pPr>
        <w:pStyle w:val="12"/>
        <w:adjustRightInd w:val="0"/>
        <w:snapToGrid w:val="0"/>
        <w:spacing w:line="360" w:lineRule="auto"/>
        <w:jc w:val="center"/>
        <w:rPr>
          <w:rFonts w:hint="eastAsia" w:ascii="宋体" w:hAnsi="宋体" w:eastAsia="宋体" w:cs="宋体"/>
          <w:b/>
          <w:color w:val="auto"/>
          <w:sz w:val="36"/>
          <w:szCs w:val="36"/>
          <w:highlight w:val="none"/>
        </w:rPr>
      </w:pPr>
    </w:p>
    <w:p w14:paraId="5BA53DBA">
      <w:pPr>
        <w:pStyle w:val="12"/>
        <w:adjustRightInd w:val="0"/>
        <w:snapToGrid w:val="0"/>
        <w:spacing w:line="360" w:lineRule="auto"/>
        <w:jc w:val="center"/>
        <w:rPr>
          <w:rFonts w:hint="eastAsia" w:ascii="宋体" w:hAnsi="宋体" w:eastAsia="宋体" w:cs="宋体"/>
          <w:b/>
          <w:color w:val="auto"/>
          <w:sz w:val="36"/>
          <w:szCs w:val="36"/>
          <w:highlight w:val="none"/>
        </w:rPr>
      </w:pPr>
    </w:p>
    <w:p w14:paraId="39B1CFB4">
      <w:pPr>
        <w:pStyle w:val="12"/>
        <w:adjustRightInd w:val="0"/>
        <w:snapToGrid w:val="0"/>
        <w:spacing w:line="360" w:lineRule="auto"/>
        <w:jc w:val="center"/>
        <w:rPr>
          <w:rFonts w:hint="eastAsia" w:ascii="宋体" w:hAnsi="宋体" w:eastAsia="宋体" w:cs="宋体"/>
          <w:b/>
          <w:color w:val="auto"/>
          <w:sz w:val="36"/>
          <w:szCs w:val="36"/>
          <w:highlight w:val="none"/>
        </w:rPr>
      </w:pPr>
    </w:p>
    <w:p w14:paraId="088F692C">
      <w:pPr>
        <w:pStyle w:val="12"/>
        <w:adjustRightInd w:val="0"/>
        <w:snapToGrid w:val="0"/>
        <w:spacing w:line="360" w:lineRule="auto"/>
        <w:jc w:val="center"/>
        <w:rPr>
          <w:rFonts w:hint="eastAsia" w:ascii="宋体" w:hAnsi="宋体" w:eastAsia="宋体" w:cs="宋体"/>
          <w:b/>
          <w:color w:val="auto"/>
          <w:sz w:val="36"/>
          <w:szCs w:val="36"/>
          <w:highlight w:val="none"/>
        </w:rPr>
      </w:pPr>
    </w:p>
    <w:p w14:paraId="56B93D34">
      <w:pPr>
        <w:pStyle w:val="12"/>
        <w:adjustRightInd w:val="0"/>
        <w:snapToGrid w:val="0"/>
        <w:spacing w:line="360" w:lineRule="auto"/>
        <w:jc w:val="center"/>
        <w:rPr>
          <w:rFonts w:hint="eastAsia" w:ascii="宋体" w:hAnsi="宋体" w:eastAsia="宋体" w:cs="宋体"/>
          <w:b/>
          <w:color w:val="auto"/>
          <w:sz w:val="36"/>
          <w:szCs w:val="36"/>
          <w:highlight w:val="none"/>
        </w:rPr>
      </w:pPr>
    </w:p>
    <w:p w14:paraId="2D49D96C">
      <w:pPr>
        <w:pStyle w:val="12"/>
        <w:adjustRightInd w:val="0"/>
        <w:snapToGrid w:val="0"/>
        <w:spacing w:line="360" w:lineRule="auto"/>
        <w:jc w:val="center"/>
        <w:rPr>
          <w:rFonts w:hint="eastAsia" w:ascii="宋体" w:hAnsi="宋体" w:eastAsia="宋体" w:cs="宋体"/>
          <w:b/>
          <w:color w:val="auto"/>
          <w:sz w:val="36"/>
          <w:szCs w:val="36"/>
          <w:highlight w:val="none"/>
        </w:rPr>
      </w:pPr>
    </w:p>
    <w:p w14:paraId="3EB2AADC">
      <w:pPr>
        <w:pStyle w:val="12"/>
        <w:adjustRightInd w:val="0"/>
        <w:snapToGrid w:val="0"/>
        <w:spacing w:line="360" w:lineRule="auto"/>
        <w:jc w:val="center"/>
        <w:rPr>
          <w:rFonts w:hint="eastAsia" w:ascii="宋体" w:hAnsi="宋体" w:eastAsia="宋体" w:cs="宋体"/>
          <w:b/>
          <w:color w:val="auto"/>
          <w:sz w:val="36"/>
          <w:szCs w:val="36"/>
          <w:highlight w:val="none"/>
        </w:rPr>
      </w:pPr>
    </w:p>
    <w:p w14:paraId="3BDE1CB0">
      <w:pPr>
        <w:pStyle w:val="12"/>
        <w:adjustRightInd w:val="0"/>
        <w:snapToGrid w:val="0"/>
        <w:spacing w:line="360" w:lineRule="auto"/>
        <w:jc w:val="center"/>
        <w:rPr>
          <w:rFonts w:hint="eastAsia" w:ascii="宋体" w:hAnsi="宋体" w:eastAsia="宋体" w:cs="宋体"/>
          <w:b/>
          <w:color w:val="auto"/>
          <w:sz w:val="36"/>
          <w:szCs w:val="36"/>
          <w:highlight w:val="none"/>
        </w:rPr>
      </w:pPr>
    </w:p>
    <w:p w14:paraId="0AE20FD8">
      <w:pPr>
        <w:pStyle w:val="12"/>
        <w:adjustRightInd w:val="0"/>
        <w:snapToGrid w:val="0"/>
        <w:spacing w:line="360" w:lineRule="auto"/>
        <w:jc w:val="center"/>
        <w:rPr>
          <w:rFonts w:hint="eastAsia" w:ascii="宋体" w:hAnsi="宋体" w:eastAsia="宋体" w:cs="宋体"/>
          <w:b/>
          <w:color w:val="auto"/>
          <w:sz w:val="36"/>
          <w:szCs w:val="36"/>
          <w:highlight w:val="none"/>
        </w:rPr>
      </w:pPr>
    </w:p>
    <w:p w14:paraId="632CF201">
      <w:pPr>
        <w:pStyle w:val="12"/>
        <w:adjustRightInd w:val="0"/>
        <w:snapToGrid w:val="0"/>
        <w:spacing w:line="360" w:lineRule="auto"/>
        <w:jc w:val="center"/>
        <w:rPr>
          <w:rFonts w:hint="eastAsia" w:ascii="宋体" w:hAnsi="宋体" w:eastAsia="宋体" w:cs="宋体"/>
          <w:b/>
          <w:color w:val="auto"/>
          <w:sz w:val="36"/>
          <w:szCs w:val="36"/>
          <w:highlight w:val="none"/>
        </w:rPr>
      </w:pPr>
    </w:p>
    <w:p w14:paraId="7D802D34">
      <w:pPr>
        <w:pStyle w:val="12"/>
        <w:adjustRightInd w:val="0"/>
        <w:snapToGrid w:val="0"/>
        <w:spacing w:line="360" w:lineRule="auto"/>
        <w:jc w:val="center"/>
        <w:rPr>
          <w:rFonts w:hint="eastAsia" w:ascii="宋体" w:hAnsi="宋体" w:eastAsia="宋体" w:cs="宋体"/>
          <w:b/>
          <w:color w:val="auto"/>
          <w:sz w:val="36"/>
          <w:szCs w:val="36"/>
          <w:highlight w:val="none"/>
        </w:rPr>
      </w:pPr>
    </w:p>
    <w:p w14:paraId="557CCC55">
      <w:pPr>
        <w:pStyle w:val="12"/>
        <w:adjustRightInd w:val="0"/>
        <w:snapToGrid w:val="0"/>
        <w:spacing w:line="360" w:lineRule="auto"/>
        <w:jc w:val="center"/>
        <w:rPr>
          <w:rFonts w:hint="eastAsia" w:ascii="宋体" w:hAnsi="宋体" w:eastAsia="宋体" w:cs="宋体"/>
          <w:b/>
          <w:color w:val="auto"/>
          <w:sz w:val="36"/>
          <w:szCs w:val="36"/>
          <w:highlight w:val="none"/>
        </w:rPr>
      </w:pPr>
    </w:p>
    <w:p w14:paraId="003EEBE1">
      <w:pPr>
        <w:pStyle w:val="12"/>
        <w:adjustRightInd w:val="0"/>
        <w:snapToGrid w:val="0"/>
        <w:spacing w:line="360" w:lineRule="auto"/>
        <w:jc w:val="center"/>
        <w:rPr>
          <w:rFonts w:hint="eastAsia" w:ascii="宋体" w:hAnsi="宋体" w:eastAsia="宋体" w:cs="宋体"/>
          <w:b/>
          <w:color w:val="auto"/>
          <w:sz w:val="36"/>
          <w:szCs w:val="36"/>
          <w:highlight w:val="none"/>
        </w:rPr>
      </w:pPr>
    </w:p>
    <w:p w14:paraId="408FC2C7">
      <w:pPr>
        <w:pStyle w:val="12"/>
        <w:adjustRightInd w:val="0"/>
        <w:snapToGrid w:val="0"/>
        <w:spacing w:line="360" w:lineRule="auto"/>
        <w:jc w:val="center"/>
        <w:rPr>
          <w:rFonts w:hint="eastAsia" w:ascii="宋体" w:hAnsi="宋体" w:eastAsia="宋体" w:cs="宋体"/>
          <w:b/>
          <w:color w:val="auto"/>
          <w:sz w:val="36"/>
          <w:szCs w:val="36"/>
          <w:highlight w:val="none"/>
        </w:rPr>
      </w:pPr>
    </w:p>
    <w:p w14:paraId="41338EA6">
      <w:pPr>
        <w:pStyle w:val="12"/>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7C6A4D2">
      <w:pPr>
        <w:pStyle w:val="12"/>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5</w:t>
      </w:r>
      <w:r>
        <w:rPr>
          <w:rFonts w:hint="eastAsia" w:ascii="宋体" w:hAnsi="宋体" w:eastAsia="宋体" w:cs="宋体"/>
          <w:b/>
          <w:color w:val="auto"/>
          <w:sz w:val="36"/>
          <w:szCs w:val="36"/>
          <w:highlight w:val="none"/>
        </w:rPr>
        <w:t>.财务状况报告</w:t>
      </w:r>
    </w:p>
    <w:p w14:paraId="032C76F8">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说明：投标人提供会计师事务所出具的2025年的财务审计报告（报告中须包括资产负债表、利润表、现金流量表及财务报表附注）；如果</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为新成立单位，无法提供审计报告，则需提供新企业验资报告复印件并加盖提供报告单位的公章；如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无法提供上年度审计报告或新企业验资报告，则需提供开户银行出具的资信证明并附基本存款账户开户许可证或者基本户存款信息表；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银行出具的存款证明不能作为银行资信证明</w:t>
      </w:r>
      <w:r>
        <w:rPr>
          <w:rFonts w:hint="eastAsia" w:ascii="宋体" w:hAnsi="宋体" w:eastAsia="宋体" w:cs="宋体"/>
          <w:color w:val="auto"/>
          <w:sz w:val="22"/>
          <w:szCs w:val="22"/>
          <w:highlight w:val="none"/>
          <w:lang w:eastAsia="zh-CN"/>
        </w:rPr>
        <w:t>；</w:t>
      </w:r>
    </w:p>
    <w:p w14:paraId="07C74A06">
      <w:pPr>
        <w:pStyle w:val="12"/>
        <w:adjustRightInd w:val="0"/>
        <w:snapToGrid w:val="0"/>
        <w:spacing w:line="360" w:lineRule="auto"/>
        <w:jc w:val="left"/>
        <w:rPr>
          <w:rFonts w:hint="eastAsia" w:ascii="宋体" w:hAnsi="宋体" w:eastAsia="宋体" w:cs="宋体"/>
          <w:b/>
          <w:color w:val="auto"/>
          <w:sz w:val="24"/>
          <w:szCs w:val="24"/>
          <w:highlight w:val="none"/>
        </w:rPr>
      </w:pPr>
    </w:p>
    <w:p w14:paraId="336984D1">
      <w:pPr>
        <w:pStyle w:val="12"/>
        <w:adjustRightInd w:val="0"/>
        <w:snapToGrid w:val="0"/>
        <w:spacing w:line="360" w:lineRule="auto"/>
        <w:jc w:val="left"/>
        <w:rPr>
          <w:rFonts w:hint="eastAsia" w:ascii="宋体" w:hAnsi="宋体" w:eastAsia="宋体" w:cs="宋体"/>
          <w:b/>
          <w:color w:val="auto"/>
          <w:sz w:val="24"/>
          <w:szCs w:val="24"/>
          <w:highlight w:val="none"/>
        </w:rPr>
      </w:pPr>
    </w:p>
    <w:p w14:paraId="4AB94527">
      <w:pPr>
        <w:pStyle w:val="12"/>
        <w:adjustRightInd w:val="0"/>
        <w:snapToGrid w:val="0"/>
        <w:spacing w:line="360" w:lineRule="auto"/>
        <w:jc w:val="left"/>
        <w:rPr>
          <w:rFonts w:hint="eastAsia" w:ascii="宋体" w:hAnsi="宋体" w:eastAsia="宋体" w:cs="宋体"/>
          <w:b/>
          <w:color w:val="auto"/>
          <w:sz w:val="24"/>
          <w:szCs w:val="24"/>
          <w:highlight w:val="none"/>
        </w:rPr>
      </w:pPr>
    </w:p>
    <w:p w14:paraId="76AC2E7C">
      <w:pPr>
        <w:pStyle w:val="12"/>
        <w:adjustRightInd w:val="0"/>
        <w:snapToGrid w:val="0"/>
        <w:spacing w:line="360" w:lineRule="auto"/>
        <w:jc w:val="left"/>
        <w:rPr>
          <w:rFonts w:hint="eastAsia" w:ascii="宋体" w:hAnsi="宋体" w:eastAsia="宋体" w:cs="宋体"/>
          <w:b/>
          <w:color w:val="auto"/>
          <w:sz w:val="24"/>
          <w:szCs w:val="24"/>
          <w:highlight w:val="none"/>
        </w:rPr>
      </w:pPr>
    </w:p>
    <w:p w14:paraId="3F110488">
      <w:pPr>
        <w:pStyle w:val="12"/>
        <w:adjustRightInd w:val="0"/>
        <w:snapToGrid w:val="0"/>
        <w:spacing w:line="360" w:lineRule="auto"/>
        <w:jc w:val="left"/>
        <w:rPr>
          <w:rFonts w:hint="eastAsia" w:ascii="宋体" w:hAnsi="宋体" w:eastAsia="宋体" w:cs="宋体"/>
          <w:b/>
          <w:color w:val="auto"/>
          <w:sz w:val="24"/>
          <w:szCs w:val="24"/>
          <w:highlight w:val="none"/>
        </w:rPr>
      </w:pPr>
    </w:p>
    <w:p w14:paraId="016CB20B">
      <w:pPr>
        <w:pStyle w:val="12"/>
        <w:adjustRightInd w:val="0"/>
        <w:snapToGrid w:val="0"/>
        <w:spacing w:line="360" w:lineRule="auto"/>
        <w:jc w:val="left"/>
        <w:rPr>
          <w:rFonts w:hint="eastAsia" w:ascii="宋体" w:hAnsi="宋体" w:eastAsia="宋体" w:cs="宋体"/>
          <w:b/>
          <w:color w:val="auto"/>
          <w:sz w:val="24"/>
          <w:szCs w:val="24"/>
          <w:highlight w:val="none"/>
        </w:rPr>
      </w:pPr>
    </w:p>
    <w:p w14:paraId="0D68D054">
      <w:pPr>
        <w:pStyle w:val="12"/>
        <w:adjustRightInd w:val="0"/>
        <w:snapToGrid w:val="0"/>
        <w:spacing w:line="360" w:lineRule="auto"/>
        <w:jc w:val="left"/>
        <w:rPr>
          <w:rFonts w:hint="eastAsia" w:ascii="宋体" w:hAnsi="宋体" w:eastAsia="宋体" w:cs="宋体"/>
          <w:b/>
          <w:color w:val="auto"/>
          <w:sz w:val="24"/>
          <w:szCs w:val="24"/>
          <w:highlight w:val="none"/>
        </w:rPr>
      </w:pPr>
    </w:p>
    <w:p w14:paraId="2D36C381">
      <w:pPr>
        <w:pStyle w:val="12"/>
        <w:adjustRightInd w:val="0"/>
        <w:snapToGrid w:val="0"/>
        <w:spacing w:line="360" w:lineRule="auto"/>
        <w:jc w:val="left"/>
        <w:rPr>
          <w:rFonts w:hint="eastAsia" w:ascii="宋体" w:hAnsi="宋体" w:eastAsia="宋体" w:cs="宋体"/>
          <w:b/>
          <w:color w:val="auto"/>
          <w:sz w:val="24"/>
          <w:szCs w:val="24"/>
          <w:highlight w:val="none"/>
        </w:rPr>
      </w:pPr>
    </w:p>
    <w:p w14:paraId="2CD0D1E0">
      <w:pPr>
        <w:pStyle w:val="12"/>
        <w:adjustRightInd w:val="0"/>
        <w:snapToGrid w:val="0"/>
        <w:spacing w:line="360" w:lineRule="auto"/>
        <w:jc w:val="left"/>
        <w:rPr>
          <w:rFonts w:hint="eastAsia" w:ascii="宋体" w:hAnsi="宋体" w:eastAsia="宋体" w:cs="宋体"/>
          <w:b/>
          <w:color w:val="auto"/>
          <w:sz w:val="24"/>
          <w:szCs w:val="24"/>
          <w:highlight w:val="none"/>
        </w:rPr>
      </w:pPr>
    </w:p>
    <w:p w14:paraId="7463616F">
      <w:pPr>
        <w:pStyle w:val="12"/>
        <w:adjustRightInd w:val="0"/>
        <w:snapToGrid w:val="0"/>
        <w:spacing w:line="360" w:lineRule="auto"/>
        <w:jc w:val="left"/>
        <w:rPr>
          <w:rFonts w:hint="eastAsia" w:ascii="宋体" w:hAnsi="宋体" w:eastAsia="宋体" w:cs="宋体"/>
          <w:b/>
          <w:color w:val="auto"/>
          <w:sz w:val="24"/>
          <w:szCs w:val="24"/>
          <w:highlight w:val="none"/>
        </w:rPr>
      </w:pPr>
    </w:p>
    <w:p w14:paraId="61AD0389">
      <w:pPr>
        <w:pStyle w:val="12"/>
        <w:adjustRightInd w:val="0"/>
        <w:snapToGrid w:val="0"/>
        <w:spacing w:line="360" w:lineRule="auto"/>
        <w:jc w:val="left"/>
        <w:rPr>
          <w:rFonts w:hint="eastAsia" w:ascii="宋体" w:hAnsi="宋体" w:eastAsia="宋体" w:cs="宋体"/>
          <w:b/>
          <w:color w:val="auto"/>
          <w:sz w:val="24"/>
          <w:szCs w:val="24"/>
          <w:highlight w:val="none"/>
        </w:rPr>
      </w:pPr>
    </w:p>
    <w:p w14:paraId="3F73DC82">
      <w:pPr>
        <w:pStyle w:val="12"/>
        <w:adjustRightInd w:val="0"/>
        <w:snapToGrid w:val="0"/>
        <w:spacing w:line="360" w:lineRule="auto"/>
        <w:jc w:val="left"/>
        <w:rPr>
          <w:rFonts w:hint="eastAsia" w:ascii="宋体" w:hAnsi="宋体" w:eastAsia="宋体" w:cs="宋体"/>
          <w:b/>
          <w:color w:val="auto"/>
          <w:sz w:val="24"/>
          <w:szCs w:val="24"/>
          <w:highlight w:val="none"/>
        </w:rPr>
      </w:pPr>
    </w:p>
    <w:p w14:paraId="4EB2CA46">
      <w:pPr>
        <w:pStyle w:val="12"/>
        <w:adjustRightInd w:val="0"/>
        <w:snapToGrid w:val="0"/>
        <w:spacing w:line="360" w:lineRule="auto"/>
        <w:jc w:val="left"/>
        <w:rPr>
          <w:rFonts w:hint="eastAsia" w:ascii="宋体" w:hAnsi="宋体" w:eastAsia="宋体" w:cs="宋体"/>
          <w:b/>
          <w:color w:val="auto"/>
          <w:sz w:val="24"/>
          <w:szCs w:val="24"/>
          <w:highlight w:val="none"/>
        </w:rPr>
      </w:pPr>
    </w:p>
    <w:p w14:paraId="6B1C72B9">
      <w:pPr>
        <w:pStyle w:val="12"/>
        <w:adjustRightInd w:val="0"/>
        <w:snapToGrid w:val="0"/>
        <w:spacing w:line="360" w:lineRule="auto"/>
        <w:jc w:val="left"/>
        <w:rPr>
          <w:rFonts w:hint="eastAsia" w:ascii="宋体" w:hAnsi="宋体" w:eastAsia="宋体" w:cs="宋体"/>
          <w:b/>
          <w:color w:val="auto"/>
          <w:sz w:val="24"/>
          <w:szCs w:val="24"/>
          <w:highlight w:val="none"/>
        </w:rPr>
      </w:pPr>
    </w:p>
    <w:p w14:paraId="36BE4059">
      <w:pPr>
        <w:pStyle w:val="12"/>
        <w:adjustRightInd w:val="0"/>
        <w:snapToGrid w:val="0"/>
        <w:spacing w:line="360" w:lineRule="auto"/>
        <w:jc w:val="left"/>
        <w:rPr>
          <w:rFonts w:hint="eastAsia" w:ascii="宋体" w:hAnsi="宋体" w:eastAsia="宋体" w:cs="宋体"/>
          <w:b/>
          <w:color w:val="auto"/>
          <w:sz w:val="24"/>
          <w:szCs w:val="24"/>
          <w:highlight w:val="none"/>
        </w:rPr>
      </w:pPr>
    </w:p>
    <w:p w14:paraId="364A8314">
      <w:pPr>
        <w:pStyle w:val="12"/>
        <w:adjustRightInd w:val="0"/>
        <w:snapToGrid w:val="0"/>
        <w:spacing w:line="360" w:lineRule="auto"/>
        <w:jc w:val="left"/>
        <w:rPr>
          <w:rFonts w:hint="eastAsia" w:ascii="宋体" w:hAnsi="宋体" w:eastAsia="宋体" w:cs="宋体"/>
          <w:b/>
          <w:color w:val="auto"/>
          <w:sz w:val="24"/>
          <w:szCs w:val="24"/>
          <w:highlight w:val="none"/>
        </w:rPr>
      </w:pPr>
    </w:p>
    <w:p w14:paraId="5EA31536">
      <w:pPr>
        <w:pStyle w:val="12"/>
        <w:adjustRightInd w:val="0"/>
        <w:snapToGrid w:val="0"/>
        <w:spacing w:line="360" w:lineRule="auto"/>
        <w:jc w:val="left"/>
        <w:rPr>
          <w:rFonts w:hint="eastAsia" w:ascii="宋体" w:hAnsi="宋体" w:eastAsia="宋体" w:cs="宋体"/>
          <w:b/>
          <w:color w:val="auto"/>
          <w:sz w:val="24"/>
          <w:szCs w:val="24"/>
          <w:highlight w:val="none"/>
        </w:rPr>
      </w:pPr>
    </w:p>
    <w:p w14:paraId="3EDD2E0C">
      <w:pPr>
        <w:pStyle w:val="12"/>
        <w:adjustRightInd w:val="0"/>
        <w:snapToGrid w:val="0"/>
        <w:spacing w:line="360" w:lineRule="auto"/>
        <w:jc w:val="left"/>
        <w:rPr>
          <w:rFonts w:hint="eastAsia" w:ascii="宋体" w:hAnsi="宋体" w:eastAsia="宋体" w:cs="宋体"/>
          <w:b/>
          <w:color w:val="auto"/>
          <w:sz w:val="24"/>
          <w:szCs w:val="24"/>
          <w:highlight w:val="none"/>
        </w:rPr>
      </w:pPr>
    </w:p>
    <w:p w14:paraId="638C4ABD">
      <w:pPr>
        <w:pStyle w:val="12"/>
        <w:adjustRightInd w:val="0"/>
        <w:snapToGrid w:val="0"/>
        <w:spacing w:line="360" w:lineRule="auto"/>
        <w:jc w:val="left"/>
        <w:rPr>
          <w:rFonts w:hint="eastAsia" w:ascii="宋体" w:hAnsi="宋体" w:eastAsia="宋体" w:cs="宋体"/>
          <w:b/>
          <w:color w:val="auto"/>
          <w:sz w:val="24"/>
          <w:szCs w:val="24"/>
          <w:highlight w:val="none"/>
        </w:rPr>
      </w:pPr>
    </w:p>
    <w:p w14:paraId="609C0191">
      <w:pPr>
        <w:pStyle w:val="12"/>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6</w:t>
      </w:r>
      <w:r>
        <w:rPr>
          <w:rFonts w:hint="eastAsia" w:ascii="宋体" w:hAnsi="宋体" w:eastAsia="宋体" w:cs="宋体"/>
          <w:b/>
          <w:color w:val="auto"/>
          <w:sz w:val="36"/>
          <w:szCs w:val="36"/>
          <w:highlight w:val="none"/>
        </w:rPr>
        <w:t>.税收缴纳证明</w:t>
      </w:r>
    </w:p>
    <w:p w14:paraId="3DE100E8">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提供2026年1月至今已缴纳的至少一个月的纳税证明或完税证明，纳税证明或完税证明上应有代收机构或税务机关的公章，依法免税的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应提供相关文件证明</w:t>
      </w:r>
      <w:r>
        <w:rPr>
          <w:rFonts w:hint="eastAsia" w:ascii="宋体" w:hAnsi="宋体" w:eastAsia="宋体" w:cs="宋体"/>
          <w:color w:val="auto"/>
          <w:sz w:val="22"/>
          <w:szCs w:val="22"/>
          <w:highlight w:val="none"/>
          <w:lang w:eastAsia="zh-CN"/>
        </w:rPr>
        <w:t>；</w:t>
      </w:r>
    </w:p>
    <w:p w14:paraId="4429BA7F">
      <w:pPr>
        <w:pStyle w:val="12"/>
        <w:adjustRightInd w:val="0"/>
        <w:snapToGrid w:val="0"/>
        <w:spacing w:line="360" w:lineRule="auto"/>
        <w:ind w:firstLine="420" w:firstLineChars="200"/>
        <w:rPr>
          <w:rFonts w:hint="eastAsia" w:ascii="宋体" w:hAnsi="宋体" w:eastAsia="宋体" w:cs="宋体"/>
          <w:color w:val="auto"/>
          <w:highlight w:val="none"/>
        </w:rPr>
      </w:pPr>
    </w:p>
    <w:p w14:paraId="1109A5A0">
      <w:pPr>
        <w:pStyle w:val="12"/>
        <w:adjustRightInd w:val="0"/>
        <w:snapToGrid w:val="0"/>
        <w:spacing w:line="360" w:lineRule="auto"/>
        <w:jc w:val="left"/>
        <w:rPr>
          <w:rFonts w:hint="eastAsia" w:ascii="宋体" w:hAnsi="宋体" w:eastAsia="宋体" w:cs="宋体"/>
          <w:color w:val="auto"/>
          <w:sz w:val="24"/>
          <w:szCs w:val="24"/>
          <w:highlight w:val="none"/>
        </w:rPr>
      </w:pPr>
    </w:p>
    <w:p w14:paraId="717F11D9">
      <w:pPr>
        <w:pStyle w:val="12"/>
        <w:adjustRightInd w:val="0"/>
        <w:snapToGrid w:val="0"/>
        <w:spacing w:line="360" w:lineRule="auto"/>
        <w:jc w:val="left"/>
        <w:rPr>
          <w:rFonts w:hint="eastAsia" w:ascii="宋体" w:hAnsi="宋体" w:eastAsia="宋体" w:cs="宋体"/>
          <w:b/>
          <w:color w:val="auto"/>
          <w:sz w:val="24"/>
          <w:szCs w:val="24"/>
          <w:highlight w:val="none"/>
        </w:rPr>
      </w:pPr>
    </w:p>
    <w:p w14:paraId="4E32602C">
      <w:pPr>
        <w:pStyle w:val="12"/>
        <w:adjustRightInd w:val="0"/>
        <w:snapToGrid w:val="0"/>
        <w:spacing w:line="360" w:lineRule="auto"/>
        <w:jc w:val="left"/>
        <w:rPr>
          <w:rFonts w:hint="eastAsia" w:ascii="宋体" w:hAnsi="宋体" w:eastAsia="宋体" w:cs="宋体"/>
          <w:b/>
          <w:color w:val="auto"/>
          <w:sz w:val="24"/>
          <w:szCs w:val="24"/>
          <w:highlight w:val="none"/>
        </w:rPr>
      </w:pPr>
    </w:p>
    <w:p w14:paraId="33580384">
      <w:pPr>
        <w:pStyle w:val="12"/>
        <w:adjustRightInd w:val="0"/>
        <w:snapToGrid w:val="0"/>
        <w:spacing w:line="360" w:lineRule="auto"/>
        <w:jc w:val="left"/>
        <w:rPr>
          <w:rFonts w:hint="eastAsia" w:ascii="宋体" w:hAnsi="宋体" w:eastAsia="宋体" w:cs="宋体"/>
          <w:b/>
          <w:color w:val="auto"/>
          <w:sz w:val="24"/>
          <w:szCs w:val="24"/>
          <w:highlight w:val="none"/>
        </w:rPr>
      </w:pPr>
    </w:p>
    <w:p w14:paraId="3851F1F7">
      <w:pPr>
        <w:pStyle w:val="12"/>
        <w:adjustRightInd w:val="0"/>
        <w:snapToGrid w:val="0"/>
        <w:spacing w:line="360" w:lineRule="auto"/>
        <w:jc w:val="left"/>
        <w:rPr>
          <w:rFonts w:hint="eastAsia" w:ascii="宋体" w:hAnsi="宋体" w:eastAsia="宋体" w:cs="宋体"/>
          <w:b/>
          <w:color w:val="auto"/>
          <w:sz w:val="24"/>
          <w:szCs w:val="24"/>
          <w:highlight w:val="none"/>
        </w:rPr>
      </w:pPr>
    </w:p>
    <w:p w14:paraId="6BD10781">
      <w:pPr>
        <w:pStyle w:val="12"/>
        <w:adjustRightInd w:val="0"/>
        <w:snapToGrid w:val="0"/>
        <w:spacing w:line="360" w:lineRule="auto"/>
        <w:jc w:val="left"/>
        <w:rPr>
          <w:rFonts w:hint="eastAsia" w:ascii="宋体" w:hAnsi="宋体" w:eastAsia="宋体" w:cs="宋体"/>
          <w:b/>
          <w:color w:val="auto"/>
          <w:sz w:val="24"/>
          <w:szCs w:val="24"/>
          <w:highlight w:val="none"/>
        </w:rPr>
      </w:pPr>
    </w:p>
    <w:p w14:paraId="4C0D233E">
      <w:pPr>
        <w:pStyle w:val="12"/>
        <w:adjustRightInd w:val="0"/>
        <w:snapToGrid w:val="0"/>
        <w:spacing w:line="360" w:lineRule="auto"/>
        <w:jc w:val="left"/>
        <w:rPr>
          <w:rFonts w:hint="eastAsia" w:ascii="宋体" w:hAnsi="宋体" w:eastAsia="宋体" w:cs="宋体"/>
          <w:b/>
          <w:color w:val="auto"/>
          <w:sz w:val="24"/>
          <w:szCs w:val="24"/>
          <w:highlight w:val="none"/>
        </w:rPr>
      </w:pPr>
    </w:p>
    <w:p w14:paraId="65D8C78E">
      <w:pPr>
        <w:pStyle w:val="12"/>
        <w:adjustRightInd w:val="0"/>
        <w:snapToGrid w:val="0"/>
        <w:spacing w:line="360" w:lineRule="auto"/>
        <w:jc w:val="left"/>
        <w:rPr>
          <w:rFonts w:hint="eastAsia" w:ascii="宋体" w:hAnsi="宋体" w:eastAsia="宋体" w:cs="宋体"/>
          <w:b/>
          <w:color w:val="auto"/>
          <w:sz w:val="24"/>
          <w:szCs w:val="24"/>
          <w:highlight w:val="none"/>
        </w:rPr>
      </w:pPr>
    </w:p>
    <w:p w14:paraId="46FFEE92">
      <w:pPr>
        <w:pStyle w:val="12"/>
        <w:adjustRightInd w:val="0"/>
        <w:snapToGrid w:val="0"/>
        <w:spacing w:line="360" w:lineRule="auto"/>
        <w:jc w:val="left"/>
        <w:rPr>
          <w:rFonts w:hint="eastAsia" w:ascii="宋体" w:hAnsi="宋体" w:eastAsia="宋体" w:cs="宋体"/>
          <w:b/>
          <w:color w:val="auto"/>
          <w:sz w:val="24"/>
          <w:szCs w:val="24"/>
          <w:highlight w:val="none"/>
        </w:rPr>
      </w:pPr>
    </w:p>
    <w:p w14:paraId="7CBCAC69">
      <w:pPr>
        <w:pStyle w:val="12"/>
        <w:adjustRightInd w:val="0"/>
        <w:snapToGrid w:val="0"/>
        <w:spacing w:line="360" w:lineRule="auto"/>
        <w:jc w:val="left"/>
        <w:rPr>
          <w:rFonts w:hint="eastAsia" w:ascii="宋体" w:hAnsi="宋体" w:eastAsia="宋体" w:cs="宋体"/>
          <w:b/>
          <w:color w:val="auto"/>
          <w:sz w:val="24"/>
          <w:szCs w:val="24"/>
          <w:highlight w:val="none"/>
        </w:rPr>
      </w:pPr>
    </w:p>
    <w:p w14:paraId="4E7D80B6">
      <w:pPr>
        <w:pStyle w:val="12"/>
        <w:adjustRightInd w:val="0"/>
        <w:snapToGrid w:val="0"/>
        <w:spacing w:line="360" w:lineRule="auto"/>
        <w:jc w:val="left"/>
        <w:rPr>
          <w:rFonts w:hint="eastAsia" w:ascii="宋体" w:hAnsi="宋体" w:eastAsia="宋体" w:cs="宋体"/>
          <w:b/>
          <w:color w:val="auto"/>
          <w:sz w:val="24"/>
          <w:szCs w:val="24"/>
          <w:highlight w:val="none"/>
        </w:rPr>
      </w:pPr>
    </w:p>
    <w:p w14:paraId="7C74D8B6">
      <w:pPr>
        <w:pStyle w:val="12"/>
        <w:adjustRightInd w:val="0"/>
        <w:snapToGrid w:val="0"/>
        <w:spacing w:line="360" w:lineRule="auto"/>
        <w:jc w:val="left"/>
        <w:rPr>
          <w:rFonts w:hint="eastAsia" w:ascii="宋体" w:hAnsi="宋体" w:eastAsia="宋体" w:cs="宋体"/>
          <w:b/>
          <w:color w:val="auto"/>
          <w:sz w:val="24"/>
          <w:szCs w:val="24"/>
          <w:highlight w:val="none"/>
        </w:rPr>
      </w:pPr>
    </w:p>
    <w:p w14:paraId="043DF119">
      <w:pPr>
        <w:pStyle w:val="12"/>
        <w:adjustRightInd w:val="0"/>
        <w:snapToGrid w:val="0"/>
        <w:spacing w:line="360" w:lineRule="auto"/>
        <w:jc w:val="left"/>
        <w:rPr>
          <w:rFonts w:hint="eastAsia" w:ascii="宋体" w:hAnsi="宋体" w:eastAsia="宋体" w:cs="宋体"/>
          <w:b/>
          <w:color w:val="auto"/>
          <w:sz w:val="24"/>
          <w:szCs w:val="24"/>
          <w:highlight w:val="none"/>
        </w:rPr>
      </w:pPr>
    </w:p>
    <w:p w14:paraId="54CEAEC2">
      <w:pPr>
        <w:pStyle w:val="12"/>
        <w:adjustRightInd w:val="0"/>
        <w:snapToGrid w:val="0"/>
        <w:spacing w:line="360" w:lineRule="auto"/>
        <w:jc w:val="left"/>
        <w:rPr>
          <w:rFonts w:hint="eastAsia" w:ascii="宋体" w:hAnsi="宋体" w:eastAsia="宋体" w:cs="宋体"/>
          <w:b/>
          <w:color w:val="auto"/>
          <w:sz w:val="24"/>
          <w:szCs w:val="24"/>
          <w:highlight w:val="none"/>
        </w:rPr>
      </w:pPr>
    </w:p>
    <w:p w14:paraId="7DA8C194">
      <w:pPr>
        <w:pStyle w:val="12"/>
        <w:adjustRightInd w:val="0"/>
        <w:snapToGrid w:val="0"/>
        <w:spacing w:line="360" w:lineRule="auto"/>
        <w:jc w:val="left"/>
        <w:rPr>
          <w:rFonts w:hint="eastAsia" w:ascii="宋体" w:hAnsi="宋体" w:eastAsia="宋体" w:cs="宋体"/>
          <w:b/>
          <w:color w:val="auto"/>
          <w:sz w:val="24"/>
          <w:szCs w:val="24"/>
          <w:highlight w:val="none"/>
        </w:rPr>
      </w:pPr>
    </w:p>
    <w:p w14:paraId="6F12933C">
      <w:pPr>
        <w:pStyle w:val="12"/>
        <w:adjustRightInd w:val="0"/>
        <w:snapToGrid w:val="0"/>
        <w:spacing w:line="360" w:lineRule="auto"/>
        <w:jc w:val="left"/>
        <w:rPr>
          <w:rFonts w:hint="eastAsia" w:ascii="宋体" w:hAnsi="宋体" w:eastAsia="宋体" w:cs="宋体"/>
          <w:b/>
          <w:color w:val="auto"/>
          <w:sz w:val="24"/>
          <w:szCs w:val="24"/>
          <w:highlight w:val="none"/>
        </w:rPr>
      </w:pPr>
    </w:p>
    <w:p w14:paraId="6DB5AABD">
      <w:pPr>
        <w:pStyle w:val="12"/>
        <w:adjustRightInd w:val="0"/>
        <w:snapToGrid w:val="0"/>
        <w:spacing w:line="360" w:lineRule="auto"/>
        <w:jc w:val="left"/>
        <w:rPr>
          <w:rFonts w:hint="eastAsia" w:ascii="宋体" w:hAnsi="宋体" w:eastAsia="宋体" w:cs="宋体"/>
          <w:b/>
          <w:color w:val="auto"/>
          <w:sz w:val="24"/>
          <w:szCs w:val="24"/>
          <w:highlight w:val="none"/>
        </w:rPr>
      </w:pPr>
    </w:p>
    <w:p w14:paraId="7DFFFC4E">
      <w:pPr>
        <w:rPr>
          <w:rFonts w:hint="eastAsia" w:ascii="宋体" w:hAnsi="宋体" w:eastAsia="宋体" w:cs="宋体"/>
          <w:b/>
          <w:color w:val="auto"/>
          <w:sz w:val="24"/>
          <w:szCs w:val="24"/>
          <w:highlight w:val="none"/>
        </w:rPr>
      </w:pPr>
    </w:p>
    <w:p w14:paraId="74534C61">
      <w:pPr>
        <w:pStyle w:val="11"/>
        <w:rPr>
          <w:rFonts w:hint="eastAsia" w:ascii="宋体" w:hAnsi="宋体" w:eastAsia="宋体" w:cs="宋体"/>
          <w:b/>
          <w:color w:val="auto"/>
          <w:sz w:val="24"/>
          <w:szCs w:val="24"/>
          <w:highlight w:val="none"/>
        </w:rPr>
      </w:pPr>
    </w:p>
    <w:p w14:paraId="18EDF490">
      <w:pPr>
        <w:pStyle w:val="11"/>
        <w:rPr>
          <w:rFonts w:hint="eastAsia" w:ascii="宋体" w:hAnsi="宋体" w:eastAsia="宋体" w:cs="宋体"/>
          <w:b/>
          <w:color w:val="auto"/>
          <w:sz w:val="24"/>
          <w:szCs w:val="24"/>
          <w:highlight w:val="none"/>
        </w:rPr>
      </w:pPr>
    </w:p>
    <w:p w14:paraId="43C2FE4C">
      <w:pPr>
        <w:pStyle w:val="11"/>
        <w:rPr>
          <w:rFonts w:hint="eastAsia" w:ascii="宋体" w:hAnsi="宋体" w:eastAsia="宋体" w:cs="宋体"/>
          <w:b/>
          <w:color w:val="auto"/>
          <w:sz w:val="24"/>
          <w:szCs w:val="24"/>
          <w:highlight w:val="none"/>
        </w:rPr>
      </w:pPr>
    </w:p>
    <w:p w14:paraId="785DC374">
      <w:pPr>
        <w:pStyle w:val="12"/>
        <w:adjustRightInd w:val="0"/>
        <w:snapToGrid w:val="0"/>
        <w:spacing w:line="360" w:lineRule="auto"/>
        <w:jc w:val="left"/>
        <w:rPr>
          <w:rFonts w:hint="eastAsia" w:ascii="宋体" w:hAnsi="宋体" w:eastAsia="宋体" w:cs="宋体"/>
          <w:b/>
          <w:color w:val="auto"/>
          <w:sz w:val="24"/>
          <w:szCs w:val="24"/>
          <w:highlight w:val="none"/>
        </w:rPr>
      </w:pPr>
    </w:p>
    <w:p w14:paraId="2EBC1A6A">
      <w:pPr>
        <w:pStyle w:val="12"/>
        <w:adjustRightInd w:val="0"/>
        <w:snapToGrid w:val="0"/>
        <w:spacing w:line="360" w:lineRule="auto"/>
        <w:jc w:val="center"/>
        <w:rPr>
          <w:rFonts w:hint="eastAsia" w:ascii="宋体" w:hAnsi="宋体" w:eastAsia="宋体" w:cs="宋体"/>
          <w:b/>
          <w:color w:val="auto"/>
          <w:sz w:val="36"/>
          <w:szCs w:val="36"/>
          <w:highlight w:val="none"/>
        </w:rPr>
      </w:pPr>
    </w:p>
    <w:p w14:paraId="5BAA98DC">
      <w:pPr>
        <w:pStyle w:val="12"/>
        <w:adjustRightInd w:val="0"/>
        <w:snapToGrid w:val="0"/>
        <w:spacing w:line="360" w:lineRule="auto"/>
        <w:jc w:val="center"/>
        <w:rPr>
          <w:rFonts w:hint="eastAsia" w:ascii="宋体" w:hAnsi="宋体" w:eastAsia="宋体" w:cs="宋体"/>
          <w:b/>
          <w:color w:val="auto"/>
          <w:sz w:val="36"/>
          <w:szCs w:val="36"/>
          <w:highlight w:val="none"/>
        </w:rPr>
      </w:pPr>
    </w:p>
    <w:p w14:paraId="3D534D9F">
      <w:pPr>
        <w:pStyle w:val="12"/>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rPr>
      </w:pPr>
      <w:r>
        <w:rPr>
          <w:rFonts w:hint="eastAsia" w:hAnsi="宋体" w:cs="宋体"/>
          <w:b/>
          <w:color w:val="auto"/>
          <w:sz w:val="36"/>
          <w:szCs w:val="36"/>
          <w:highlight w:val="none"/>
          <w:lang w:val="en-US" w:eastAsia="zh-CN"/>
        </w:rPr>
        <w:t>7</w:t>
      </w:r>
      <w:r>
        <w:rPr>
          <w:rFonts w:hint="eastAsia" w:ascii="宋体" w:hAnsi="宋体" w:eastAsia="宋体" w:cs="宋体"/>
          <w:b/>
          <w:color w:val="auto"/>
          <w:sz w:val="36"/>
          <w:szCs w:val="36"/>
          <w:highlight w:val="none"/>
        </w:rPr>
        <w:t>.缴纳社会保障资金证明</w:t>
      </w:r>
    </w:p>
    <w:p w14:paraId="1284462A">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eastAsia="zh-CN"/>
        </w:rPr>
        <w:t>投标人提供2026年1月至今已缴存的至少一个月的社会保障资金缴存单据或社保机构开具的社会保险参保缴费情况证明，依法不需要缴纳社会保障资金的投标人应提供相关文件证明；</w:t>
      </w:r>
    </w:p>
    <w:p w14:paraId="5905A9AE">
      <w:pPr>
        <w:rPr>
          <w:rFonts w:hint="eastAsia" w:ascii="宋体" w:hAnsi="宋体" w:eastAsia="宋体" w:cs="宋体"/>
          <w:b/>
          <w:color w:val="auto"/>
          <w:sz w:val="36"/>
          <w:szCs w:val="36"/>
          <w:highlight w:val="none"/>
        </w:rPr>
      </w:pPr>
    </w:p>
    <w:p w14:paraId="31A8884B">
      <w:pPr>
        <w:rPr>
          <w:rFonts w:hint="eastAsia" w:ascii="宋体" w:hAnsi="宋体" w:eastAsia="宋体" w:cs="宋体"/>
          <w:b/>
          <w:color w:val="auto"/>
          <w:sz w:val="36"/>
          <w:szCs w:val="36"/>
          <w:highlight w:val="none"/>
        </w:rPr>
      </w:pPr>
    </w:p>
    <w:p w14:paraId="6E10EAC2">
      <w:pPr>
        <w:rPr>
          <w:rFonts w:hint="eastAsia" w:ascii="宋体" w:hAnsi="宋体" w:eastAsia="宋体" w:cs="宋体"/>
          <w:b/>
          <w:color w:val="auto"/>
          <w:sz w:val="36"/>
          <w:szCs w:val="36"/>
          <w:highlight w:val="none"/>
        </w:rPr>
      </w:pPr>
    </w:p>
    <w:p w14:paraId="37039D39">
      <w:pPr>
        <w:rPr>
          <w:rFonts w:hint="eastAsia" w:ascii="宋体" w:hAnsi="宋体" w:eastAsia="宋体" w:cs="宋体"/>
          <w:b/>
          <w:color w:val="auto"/>
          <w:sz w:val="36"/>
          <w:szCs w:val="36"/>
          <w:highlight w:val="none"/>
        </w:rPr>
      </w:pPr>
    </w:p>
    <w:p w14:paraId="4B0D9242">
      <w:pPr>
        <w:rPr>
          <w:rFonts w:hint="eastAsia" w:ascii="宋体" w:hAnsi="宋体" w:eastAsia="宋体" w:cs="宋体"/>
          <w:b/>
          <w:color w:val="auto"/>
          <w:sz w:val="36"/>
          <w:szCs w:val="36"/>
          <w:highlight w:val="none"/>
        </w:rPr>
      </w:pPr>
    </w:p>
    <w:p w14:paraId="51E4273E">
      <w:pPr>
        <w:rPr>
          <w:rFonts w:hint="eastAsia" w:ascii="宋体" w:hAnsi="宋体" w:eastAsia="宋体" w:cs="宋体"/>
          <w:b/>
          <w:color w:val="auto"/>
          <w:sz w:val="36"/>
          <w:szCs w:val="36"/>
          <w:highlight w:val="none"/>
        </w:rPr>
      </w:pPr>
    </w:p>
    <w:p w14:paraId="23338674">
      <w:pPr>
        <w:rPr>
          <w:rFonts w:hint="eastAsia" w:ascii="宋体" w:hAnsi="宋体" w:eastAsia="宋体" w:cs="宋体"/>
          <w:b/>
          <w:color w:val="auto"/>
          <w:sz w:val="36"/>
          <w:szCs w:val="36"/>
          <w:highlight w:val="none"/>
        </w:rPr>
      </w:pPr>
    </w:p>
    <w:p w14:paraId="295DEA63">
      <w:pPr>
        <w:rPr>
          <w:rFonts w:hint="eastAsia" w:ascii="宋体" w:hAnsi="宋体" w:eastAsia="宋体" w:cs="宋体"/>
          <w:b/>
          <w:color w:val="auto"/>
          <w:sz w:val="36"/>
          <w:szCs w:val="36"/>
          <w:highlight w:val="none"/>
        </w:rPr>
      </w:pPr>
    </w:p>
    <w:p w14:paraId="7198B50C">
      <w:pPr>
        <w:rPr>
          <w:rFonts w:hint="eastAsia" w:ascii="宋体" w:hAnsi="宋体" w:eastAsia="宋体" w:cs="宋体"/>
          <w:b/>
          <w:color w:val="auto"/>
          <w:sz w:val="36"/>
          <w:szCs w:val="36"/>
          <w:highlight w:val="none"/>
        </w:rPr>
      </w:pPr>
    </w:p>
    <w:p w14:paraId="07E3E9F0">
      <w:pPr>
        <w:rPr>
          <w:rFonts w:hint="eastAsia" w:ascii="宋体" w:hAnsi="宋体" w:eastAsia="宋体" w:cs="宋体"/>
          <w:b/>
          <w:color w:val="auto"/>
          <w:sz w:val="36"/>
          <w:szCs w:val="36"/>
          <w:highlight w:val="none"/>
        </w:rPr>
      </w:pPr>
    </w:p>
    <w:p w14:paraId="724E52DE">
      <w:pPr>
        <w:rPr>
          <w:rFonts w:hint="eastAsia" w:ascii="宋体" w:hAnsi="宋体" w:eastAsia="宋体" w:cs="宋体"/>
          <w:b/>
          <w:color w:val="auto"/>
          <w:sz w:val="36"/>
          <w:szCs w:val="36"/>
          <w:highlight w:val="none"/>
        </w:rPr>
      </w:pPr>
    </w:p>
    <w:p w14:paraId="50A8D549">
      <w:pPr>
        <w:rPr>
          <w:rFonts w:hint="eastAsia" w:ascii="宋体" w:hAnsi="宋体" w:eastAsia="宋体" w:cs="宋体"/>
          <w:b/>
          <w:color w:val="auto"/>
          <w:sz w:val="36"/>
          <w:szCs w:val="36"/>
          <w:highlight w:val="none"/>
        </w:rPr>
      </w:pPr>
    </w:p>
    <w:p w14:paraId="6A03D41B">
      <w:pPr>
        <w:rPr>
          <w:rFonts w:hint="eastAsia" w:ascii="宋体" w:hAnsi="宋体" w:eastAsia="宋体" w:cs="宋体"/>
          <w:b/>
          <w:color w:val="auto"/>
          <w:sz w:val="36"/>
          <w:szCs w:val="36"/>
          <w:highlight w:val="none"/>
        </w:rPr>
      </w:pPr>
    </w:p>
    <w:p w14:paraId="124930C2">
      <w:pPr>
        <w:rPr>
          <w:rFonts w:hint="eastAsia" w:ascii="宋体" w:hAnsi="宋体" w:eastAsia="宋体" w:cs="宋体"/>
          <w:b/>
          <w:color w:val="auto"/>
          <w:sz w:val="36"/>
          <w:szCs w:val="36"/>
          <w:highlight w:val="none"/>
        </w:rPr>
      </w:pPr>
    </w:p>
    <w:p w14:paraId="22B7FE18">
      <w:pPr>
        <w:rPr>
          <w:rFonts w:hint="eastAsia" w:ascii="宋体" w:hAnsi="宋体" w:eastAsia="宋体" w:cs="宋体"/>
          <w:b/>
          <w:color w:val="auto"/>
          <w:sz w:val="36"/>
          <w:szCs w:val="36"/>
          <w:highlight w:val="none"/>
        </w:rPr>
      </w:pPr>
    </w:p>
    <w:p w14:paraId="5CAE0A3B">
      <w:pPr>
        <w:rPr>
          <w:rFonts w:hint="eastAsia" w:ascii="宋体" w:hAnsi="宋体" w:eastAsia="宋体" w:cs="宋体"/>
          <w:b/>
          <w:color w:val="auto"/>
          <w:sz w:val="36"/>
          <w:szCs w:val="36"/>
          <w:highlight w:val="none"/>
        </w:rPr>
      </w:pPr>
    </w:p>
    <w:p w14:paraId="754A8E86">
      <w:pPr>
        <w:rPr>
          <w:rFonts w:hint="eastAsia" w:ascii="宋体" w:hAnsi="宋体" w:eastAsia="宋体" w:cs="宋体"/>
          <w:b/>
          <w:color w:val="auto"/>
          <w:sz w:val="36"/>
          <w:szCs w:val="36"/>
          <w:highlight w:val="none"/>
        </w:rPr>
      </w:pPr>
    </w:p>
    <w:p w14:paraId="47A29BAD">
      <w:pPr>
        <w:rPr>
          <w:rFonts w:hint="eastAsia" w:ascii="宋体" w:hAnsi="宋体" w:eastAsia="宋体" w:cs="宋体"/>
          <w:b/>
          <w:color w:val="auto"/>
          <w:sz w:val="36"/>
          <w:szCs w:val="36"/>
          <w:highlight w:val="none"/>
        </w:rPr>
      </w:pPr>
    </w:p>
    <w:p w14:paraId="26F3165B">
      <w:pPr>
        <w:rPr>
          <w:rFonts w:hint="eastAsia" w:ascii="宋体" w:hAnsi="宋体" w:eastAsia="宋体" w:cs="宋体"/>
          <w:b/>
          <w:color w:val="auto"/>
          <w:sz w:val="36"/>
          <w:szCs w:val="36"/>
          <w:highlight w:val="none"/>
        </w:rPr>
      </w:pPr>
    </w:p>
    <w:p w14:paraId="0AB4CCDC">
      <w:pPr>
        <w:rPr>
          <w:rFonts w:hint="eastAsia" w:ascii="宋体" w:hAnsi="宋体" w:eastAsia="宋体" w:cs="宋体"/>
          <w:b/>
          <w:color w:val="auto"/>
          <w:sz w:val="36"/>
          <w:szCs w:val="36"/>
          <w:highlight w:val="none"/>
        </w:rPr>
      </w:pPr>
    </w:p>
    <w:p w14:paraId="5A050C67">
      <w:pPr>
        <w:rPr>
          <w:rFonts w:hint="eastAsia" w:ascii="宋体" w:hAnsi="宋体" w:eastAsia="宋体" w:cs="宋体"/>
          <w:b/>
          <w:color w:val="auto"/>
          <w:sz w:val="36"/>
          <w:szCs w:val="36"/>
          <w:highlight w:val="none"/>
        </w:rPr>
      </w:pPr>
    </w:p>
    <w:p w14:paraId="4E4BD604">
      <w:pPr>
        <w:pStyle w:val="11"/>
        <w:rPr>
          <w:rFonts w:hint="eastAsia" w:ascii="宋体" w:hAnsi="宋体" w:eastAsia="宋体" w:cs="宋体"/>
          <w:b/>
          <w:color w:val="auto"/>
          <w:sz w:val="36"/>
          <w:szCs w:val="36"/>
          <w:highlight w:val="none"/>
        </w:rPr>
      </w:pPr>
    </w:p>
    <w:p w14:paraId="6D2ABBE9">
      <w:pPr>
        <w:pStyle w:val="11"/>
        <w:rPr>
          <w:rFonts w:hint="eastAsia" w:ascii="宋体" w:hAnsi="宋体" w:eastAsia="宋体" w:cs="宋体"/>
          <w:b/>
          <w:color w:val="auto"/>
          <w:sz w:val="36"/>
          <w:szCs w:val="36"/>
          <w:highlight w:val="none"/>
        </w:rPr>
      </w:pPr>
    </w:p>
    <w:p w14:paraId="5FEE03CB">
      <w:pPr>
        <w:rPr>
          <w:rFonts w:hint="eastAsia" w:ascii="宋体" w:hAnsi="宋体" w:eastAsia="宋体" w:cs="宋体"/>
          <w:b/>
          <w:color w:val="auto"/>
          <w:sz w:val="36"/>
          <w:szCs w:val="36"/>
          <w:highlight w:val="none"/>
        </w:rPr>
      </w:pPr>
    </w:p>
    <w:p w14:paraId="55311593">
      <w:pPr>
        <w:rPr>
          <w:rFonts w:hint="eastAsia" w:ascii="宋体" w:hAnsi="宋体" w:eastAsia="宋体" w:cs="宋体"/>
          <w:b/>
          <w:color w:val="auto"/>
          <w:sz w:val="36"/>
          <w:szCs w:val="36"/>
          <w:highlight w:val="none"/>
        </w:rPr>
      </w:pPr>
    </w:p>
    <w:p w14:paraId="3C7EEDD4">
      <w:pPr>
        <w:pStyle w:val="12"/>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val="en-US" w:eastAsia="zh-CN"/>
        </w:rPr>
        <w:t>8</w:t>
      </w:r>
      <w:r>
        <w:rPr>
          <w:rFonts w:hint="eastAsia" w:ascii="宋体" w:hAnsi="宋体" w:eastAsia="宋体" w:cs="宋体"/>
          <w:b/>
          <w:color w:val="auto"/>
          <w:sz w:val="36"/>
          <w:szCs w:val="36"/>
          <w:highlight w:val="none"/>
          <w:lang w:val="en-US" w:eastAsia="zh-CN"/>
        </w:rPr>
        <w:t>.商业信誉</w:t>
      </w:r>
    </w:p>
    <w:p w14:paraId="0DF0592C">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rPr>
        <w:t>说明：</w:t>
      </w:r>
      <w:r>
        <w:rPr>
          <w:rFonts w:hint="eastAsia" w:hAnsi="宋体" w:cs="宋体"/>
          <w:color w:val="auto"/>
          <w:kern w:val="0"/>
          <w:sz w:val="22"/>
          <w:szCs w:val="22"/>
          <w:highlight w:val="none"/>
          <w:lang w:eastAsia="zh-CN"/>
        </w:rPr>
        <w:t>投标人须书面承诺自身商业信誉良好，投标截止时间前未在“信用中国”列入失信被执行人、重大税收违法失信主体，未在中国政府采购网存在政府采购严重违法失信记录，无法律法规禁止参与政府采购的其他违法失信情形（注：1.投标文件无需附信用查询截图，由资格审查小组及采购代理机构现场统一核验；2.承诺函格式自拟并加盖公章；3.现场查实存在上述失信记录的，投标无效，相关损失与法律责任由投标人自行承担。）；</w:t>
      </w:r>
    </w:p>
    <w:p w14:paraId="3FA38E73">
      <w:pPr>
        <w:pStyle w:val="4"/>
        <w:keepNext w:val="0"/>
        <w:keepLines w:val="0"/>
        <w:pageBreakBefore/>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9</w:t>
      </w:r>
      <w:r>
        <w:rPr>
          <w:rFonts w:hint="eastAsia" w:ascii="宋体" w:hAnsi="宋体" w:eastAsia="宋体" w:cs="宋体"/>
          <w:b/>
          <w:color w:val="auto"/>
          <w:sz w:val="36"/>
          <w:szCs w:val="36"/>
          <w:highlight w:val="none"/>
        </w:rPr>
        <w:t>.</w:t>
      </w:r>
      <w:r>
        <w:rPr>
          <w:rFonts w:hint="eastAsia" w:ascii="宋体" w:hAnsi="宋体" w:eastAsia="宋体" w:cs="宋体"/>
          <w:b/>
          <w:color w:val="auto"/>
          <w:kern w:val="0"/>
          <w:sz w:val="36"/>
          <w:szCs w:val="36"/>
          <w:highlight w:val="none"/>
          <w:lang w:val="zh-CN"/>
        </w:rPr>
        <w:t>具备履行合同所必需的设备和专业技术能力的证明</w:t>
      </w:r>
    </w:p>
    <w:p w14:paraId="500CAD6D">
      <w:pPr>
        <w:pStyle w:val="4"/>
        <w:keepNext w:val="0"/>
        <w:keepLines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（一）完成本项目必须的设备清单</w:t>
      </w:r>
    </w:p>
    <w:p w14:paraId="04E9F019">
      <w:pPr>
        <w:pStyle w:val="4"/>
        <w:keepNext w:val="0"/>
        <w:keepLines w:val="0"/>
        <w:widowControl w:val="0"/>
        <w:kinsoku/>
        <w:wordWrap/>
        <w:overflowPunct/>
        <w:topLinePunct w:val="0"/>
        <w:autoSpaceDE/>
        <w:autoSpaceDN/>
        <w:bidi w:val="0"/>
        <w:adjustRightInd/>
        <w:snapToGrid/>
        <w:spacing w:line="480" w:lineRule="exact"/>
        <w:ind w:firstLine="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采购项目编号：</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14:paraId="7640F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7" w:type="dxa"/>
            <w:noWrap w:val="0"/>
            <w:vAlign w:val="center"/>
          </w:tcPr>
          <w:p w14:paraId="530BE765">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41" w:type="dxa"/>
            <w:noWrap w:val="0"/>
            <w:vAlign w:val="center"/>
          </w:tcPr>
          <w:p w14:paraId="0D2756C7">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1445" w:type="dxa"/>
            <w:noWrap w:val="0"/>
            <w:vAlign w:val="center"/>
          </w:tcPr>
          <w:p w14:paraId="489AF5DA">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992" w:type="dxa"/>
            <w:noWrap w:val="0"/>
            <w:vAlign w:val="center"/>
          </w:tcPr>
          <w:p w14:paraId="495916B4">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2410" w:type="dxa"/>
            <w:noWrap w:val="0"/>
            <w:vAlign w:val="center"/>
          </w:tcPr>
          <w:p w14:paraId="290758F5">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生产企业</w:t>
            </w:r>
          </w:p>
        </w:tc>
        <w:tc>
          <w:tcPr>
            <w:tcW w:w="1270" w:type="dxa"/>
            <w:noWrap w:val="0"/>
            <w:vAlign w:val="center"/>
          </w:tcPr>
          <w:p w14:paraId="2A1D6587">
            <w:pPr>
              <w:pStyle w:val="4"/>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使用年限</w:t>
            </w:r>
          </w:p>
        </w:tc>
      </w:tr>
      <w:tr w14:paraId="7EEFD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7" w:type="dxa"/>
            <w:noWrap w:val="0"/>
            <w:vAlign w:val="top"/>
          </w:tcPr>
          <w:p w14:paraId="579590FC">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71ECDBFE">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69DF368D">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058E4048">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55EEDB2F">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5B8005DD">
            <w:pPr>
              <w:pStyle w:val="4"/>
              <w:ind w:firstLine="0"/>
              <w:jc w:val="left"/>
              <w:rPr>
                <w:rFonts w:hint="eastAsia" w:ascii="宋体" w:hAnsi="宋体" w:eastAsia="宋体" w:cs="宋体"/>
                <w:b/>
                <w:color w:val="auto"/>
                <w:sz w:val="28"/>
                <w:szCs w:val="28"/>
                <w:highlight w:val="none"/>
              </w:rPr>
            </w:pPr>
          </w:p>
        </w:tc>
      </w:tr>
      <w:tr w14:paraId="0B08C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7" w:type="dxa"/>
            <w:noWrap w:val="0"/>
            <w:vAlign w:val="top"/>
          </w:tcPr>
          <w:p w14:paraId="52458426">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6E2851AD">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58D293A3">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75006014">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039B9C1C">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1C1C1BF1">
            <w:pPr>
              <w:pStyle w:val="4"/>
              <w:ind w:firstLine="0"/>
              <w:jc w:val="left"/>
              <w:rPr>
                <w:rFonts w:hint="eastAsia" w:ascii="宋体" w:hAnsi="宋体" w:eastAsia="宋体" w:cs="宋体"/>
                <w:b/>
                <w:color w:val="auto"/>
                <w:sz w:val="28"/>
                <w:szCs w:val="28"/>
                <w:highlight w:val="none"/>
              </w:rPr>
            </w:pPr>
          </w:p>
        </w:tc>
      </w:tr>
      <w:tr w14:paraId="7E522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7" w:type="dxa"/>
            <w:noWrap w:val="0"/>
            <w:vAlign w:val="top"/>
          </w:tcPr>
          <w:p w14:paraId="1173F35E">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5F6B2FB4">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45F19706">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76A4CBC3">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2858C264">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673A30C5">
            <w:pPr>
              <w:pStyle w:val="4"/>
              <w:ind w:firstLine="0"/>
              <w:jc w:val="left"/>
              <w:rPr>
                <w:rFonts w:hint="eastAsia" w:ascii="宋体" w:hAnsi="宋体" w:eastAsia="宋体" w:cs="宋体"/>
                <w:b/>
                <w:color w:val="auto"/>
                <w:sz w:val="28"/>
                <w:szCs w:val="28"/>
                <w:highlight w:val="none"/>
              </w:rPr>
            </w:pPr>
          </w:p>
        </w:tc>
      </w:tr>
      <w:tr w14:paraId="0D153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top"/>
          </w:tcPr>
          <w:p w14:paraId="1825D79E">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6192CA7F">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2EF2743D">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5A52E753">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03F82A00">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3429DC76">
            <w:pPr>
              <w:pStyle w:val="4"/>
              <w:ind w:firstLine="0"/>
              <w:jc w:val="left"/>
              <w:rPr>
                <w:rFonts w:hint="eastAsia" w:ascii="宋体" w:hAnsi="宋体" w:eastAsia="宋体" w:cs="宋体"/>
                <w:b/>
                <w:color w:val="auto"/>
                <w:sz w:val="28"/>
                <w:szCs w:val="28"/>
                <w:highlight w:val="none"/>
              </w:rPr>
            </w:pPr>
          </w:p>
        </w:tc>
      </w:tr>
      <w:tr w14:paraId="7FA5E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noWrap w:val="0"/>
            <w:vAlign w:val="top"/>
          </w:tcPr>
          <w:p w14:paraId="342E5BA7">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32A66078">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7876D36B">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01AF5D07">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2CF1C5D5">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0565B0A4">
            <w:pPr>
              <w:pStyle w:val="4"/>
              <w:ind w:firstLine="0"/>
              <w:jc w:val="left"/>
              <w:rPr>
                <w:rFonts w:hint="eastAsia" w:ascii="宋体" w:hAnsi="宋体" w:eastAsia="宋体" w:cs="宋体"/>
                <w:b/>
                <w:color w:val="auto"/>
                <w:sz w:val="28"/>
                <w:szCs w:val="28"/>
                <w:highlight w:val="none"/>
              </w:rPr>
            </w:pPr>
          </w:p>
        </w:tc>
      </w:tr>
      <w:tr w14:paraId="78040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noWrap w:val="0"/>
            <w:vAlign w:val="top"/>
          </w:tcPr>
          <w:p w14:paraId="75173452">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26BB8BE6">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27A4121D">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4C510757">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23073782">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64DF333E">
            <w:pPr>
              <w:pStyle w:val="4"/>
              <w:ind w:firstLine="0"/>
              <w:jc w:val="left"/>
              <w:rPr>
                <w:rFonts w:hint="eastAsia" w:ascii="宋体" w:hAnsi="宋体" w:eastAsia="宋体" w:cs="宋体"/>
                <w:b/>
                <w:color w:val="auto"/>
                <w:sz w:val="28"/>
                <w:szCs w:val="28"/>
                <w:highlight w:val="none"/>
              </w:rPr>
            </w:pPr>
          </w:p>
        </w:tc>
      </w:tr>
      <w:tr w14:paraId="71A75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noWrap w:val="0"/>
            <w:vAlign w:val="top"/>
          </w:tcPr>
          <w:p w14:paraId="3EE7AFBD">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222EFE5F">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1FD795A6">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3612D3FC">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5E17920E">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6B6ECD47">
            <w:pPr>
              <w:pStyle w:val="4"/>
              <w:ind w:firstLine="0"/>
              <w:jc w:val="left"/>
              <w:rPr>
                <w:rFonts w:hint="eastAsia" w:ascii="宋体" w:hAnsi="宋体" w:eastAsia="宋体" w:cs="宋体"/>
                <w:b/>
                <w:color w:val="auto"/>
                <w:sz w:val="28"/>
                <w:szCs w:val="28"/>
                <w:highlight w:val="none"/>
              </w:rPr>
            </w:pPr>
          </w:p>
        </w:tc>
      </w:tr>
      <w:tr w14:paraId="7104F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noWrap w:val="0"/>
            <w:vAlign w:val="top"/>
          </w:tcPr>
          <w:p w14:paraId="0D939C1F">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283B1B2B">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0FD70354">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1E369BD0">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06338041">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7FA7EAB9">
            <w:pPr>
              <w:pStyle w:val="4"/>
              <w:ind w:firstLine="0"/>
              <w:jc w:val="left"/>
              <w:rPr>
                <w:rFonts w:hint="eastAsia" w:ascii="宋体" w:hAnsi="宋体" w:eastAsia="宋体" w:cs="宋体"/>
                <w:b/>
                <w:color w:val="auto"/>
                <w:sz w:val="28"/>
                <w:szCs w:val="28"/>
                <w:highlight w:val="none"/>
              </w:rPr>
            </w:pPr>
          </w:p>
        </w:tc>
      </w:tr>
      <w:tr w14:paraId="66076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7" w:type="dxa"/>
            <w:noWrap w:val="0"/>
            <w:vAlign w:val="top"/>
          </w:tcPr>
          <w:p w14:paraId="2BE5C061">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48FCF4A9">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1DFC4B79">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22DC8C40">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461C3D90">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3086FBC1">
            <w:pPr>
              <w:pStyle w:val="4"/>
              <w:ind w:firstLine="0"/>
              <w:jc w:val="left"/>
              <w:rPr>
                <w:rFonts w:hint="eastAsia" w:ascii="宋体" w:hAnsi="宋体" w:eastAsia="宋体" w:cs="宋体"/>
                <w:b/>
                <w:color w:val="auto"/>
                <w:sz w:val="28"/>
                <w:szCs w:val="28"/>
                <w:highlight w:val="none"/>
              </w:rPr>
            </w:pPr>
          </w:p>
        </w:tc>
      </w:tr>
      <w:tr w14:paraId="4449A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5050FAAC">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7BD1CBA8">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06E19DA7">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17177628">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4EB9B52A">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5E21C0CE">
            <w:pPr>
              <w:pStyle w:val="4"/>
              <w:ind w:firstLine="0"/>
              <w:jc w:val="left"/>
              <w:rPr>
                <w:rFonts w:hint="eastAsia" w:ascii="宋体" w:hAnsi="宋体" w:eastAsia="宋体" w:cs="宋体"/>
                <w:b/>
                <w:color w:val="auto"/>
                <w:sz w:val="28"/>
                <w:szCs w:val="28"/>
                <w:highlight w:val="none"/>
              </w:rPr>
            </w:pPr>
          </w:p>
        </w:tc>
      </w:tr>
      <w:tr w14:paraId="0A7B4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3A318609">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75ACFEB2">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20378B0A">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63E890EF">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71042B02">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06DFA4D7">
            <w:pPr>
              <w:pStyle w:val="4"/>
              <w:ind w:firstLine="0"/>
              <w:jc w:val="left"/>
              <w:rPr>
                <w:rFonts w:hint="eastAsia" w:ascii="宋体" w:hAnsi="宋体" w:eastAsia="宋体" w:cs="宋体"/>
                <w:b/>
                <w:color w:val="auto"/>
                <w:sz w:val="28"/>
                <w:szCs w:val="28"/>
                <w:highlight w:val="none"/>
              </w:rPr>
            </w:pPr>
          </w:p>
        </w:tc>
      </w:tr>
      <w:tr w14:paraId="5D2F0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7443B63D">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06DE0E88">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14C00A0A">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47AA5E3B">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545486D0">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149447CE">
            <w:pPr>
              <w:pStyle w:val="4"/>
              <w:ind w:firstLine="0"/>
              <w:jc w:val="left"/>
              <w:rPr>
                <w:rFonts w:hint="eastAsia" w:ascii="宋体" w:hAnsi="宋体" w:eastAsia="宋体" w:cs="宋体"/>
                <w:b/>
                <w:color w:val="auto"/>
                <w:sz w:val="28"/>
                <w:szCs w:val="28"/>
                <w:highlight w:val="none"/>
              </w:rPr>
            </w:pPr>
          </w:p>
        </w:tc>
      </w:tr>
      <w:tr w14:paraId="5DB04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663E12DC">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57FD7DD0">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34773CB3">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6E4D9318">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4BFFF550">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6DC8F54F">
            <w:pPr>
              <w:pStyle w:val="4"/>
              <w:ind w:firstLine="0"/>
              <w:jc w:val="left"/>
              <w:rPr>
                <w:rFonts w:hint="eastAsia" w:ascii="宋体" w:hAnsi="宋体" w:eastAsia="宋体" w:cs="宋体"/>
                <w:b/>
                <w:color w:val="auto"/>
                <w:sz w:val="28"/>
                <w:szCs w:val="28"/>
                <w:highlight w:val="none"/>
              </w:rPr>
            </w:pPr>
          </w:p>
        </w:tc>
      </w:tr>
      <w:tr w14:paraId="18B0D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644F9599">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3781C568">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0E906C21">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387178FB">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0F04916C">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30A39CE9">
            <w:pPr>
              <w:pStyle w:val="4"/>
              <w:ind w:firstLine="0"/>
              <w:jc w:val="left"/>
              <w:rPr>
                <w:rFonts w:hint="eastAsia" w:ascii="宋体" w:hAnsi="宋体" w:eastAsia="宋体" w:cs="宋体"/>
                <w:b/>
                <w:color w:val="auto"/>
                <w:sz w:val="28"/>
                <w:szCs w:val="28"/>
                <w:highlight w:val="none"/>
              </w:rPr>
            </w:pPr>
          </w:p>
        </w:tc>
      </w:tr>
      <w:tr w14:paraId="1A332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7" w:type="dxa"/>
            <w:noWrap w:val="0"/>
            <w:vAlign w:val="top"/>
          </w:tcPr>
          <w:p w14:paraId="13AA3CDC">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1C69E8B5">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19A743CE">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2C2DE8F7">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34DFBE15">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502D6655">
            <w:pPr>
              <w:pStyle w:val="4"/>
              <w:ind w:firstLine="0"/>
              <w:jc w:val="left"/>
              <w:rPr>
                <w:rFonts w:hint="eastAsia" w:ascii="宋体" w:hAnsi="宋体" w:eastAsia="宋体" w:cs="宋体"/>
                <w:b/>
                <w:color w:val="auto"/>
                <w:sz w:val="28"/>
                <w:szCs w:val="28"/>
                <w:highlight w:val="none"/>
              </w:rPr>
            </w:pPr>
          </w:p>
        </w:tc>
      </w:tr>
      <w:tr w14:paraId="0AA84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noWrap w:val="0"/>
            <w:vAlign w:val="top"/>
          </w:tcPr>
          <w:p w14:paraId="5CD3436D">
            <w:pPr>
              <w:pStyle w:val="4"/>
              <w:ind w:firstLine="0"/>
              <w:jc w:val="left"/>
              <w:rPr>
                <w:rFonts w:hint="eastAsia" w:ascii="宋体" w:hAnsi="宋体" w:eastAsia="宋体" w:cs="宋体"/>
                <w:b/>
                <w:color w:val="auto"/>
                <w:sz w:val="28"/>
                <w:szCs w:val="28"/>
                <w:highlight w:val="none"/>
              </w:rPr>
            </w:pPr>
          </w:p>
        </w:tc>
        <w:tc>
          <w:tcPr>
            <w:tcW w:w="2241" w:type="dxa"/>
            <w:noWrap w:val="0"/>
            <w:vAlign w:val="top"/>
          </w:tcPr>
          <w:p w14:paraId="1BB5E57D">
            <w:pPr>
              <w:pStyle w:val="4"/>
              <w:ind w:firstLine="0"/>
              <w:jc w:val="left"/>
              <w:rPr>
                <w:rFonts w:hint="eastAsia" w:ascii="宋体" w:hAnsi="宋体" w:eastAsia="宋体" w:cs="宋体"/>
                <w:b/>
                <w:color w:val="auto"/>
                <w:sz w:val="28"/>
                <w:szCs w:val="28"/>
                <w:highlight w:val="none"/>
              </w:rPr>
            </w:pPr>
          </w:p>
        </w:tc>
        <w:tc>
          <w:tcPr>
            <w:tcW w:w="1445" w:type="dxa"/>
            <w:noWrap w:val="0"/>
            <w:vAlign w:val="top"/>
          </w:tcPr>
          <w:p w14:paraId="15A2490D">
            <w:pPr>
              <w:pStyle w:val="4"/>
              <w:ind w:firstLine="0"/>
              <w:jc w:val="left"/>
              <w:rPr>
                <w:rFonts w:hint="eastAsia" w:ascii="宋体" w:hAnsi="宋体" w:eastAsia="宋体" w:cs="宋体"/>
                <w:b/>
                <w:color w:val="auto"/>
                <w:sz w:val="28"/>
                <w:szCs w:val="28"/>
                <w:highlight w:val="none"/>
              </w:rPr>
            </w:pPr>
          </w:p>
        </w:tc>
        <w:tc>
          <w:tcPr>
            <w:tcW w:w="992" w:type="dxa"/>
            <w:noWrap w:val="0"/>
            <w:vAlign w:val="top"/>
          </w:tcPr>
          <w:p w14:paraId="1D87EA10">
            <w:pPr>
              <w:pStyle w:val="4"/>
              <w:ind w:firstLine="0"/>
              <w:jc w:val="left"/>
              <w:rPr>
                <w:rFonts w:hint="eastAsia" w:ascii="宋体" w:hAnsi="宋体" w:eastAsia="宋体" w:cs="宋体"/>
                <w:b/>
                <w:color w:val="auto"/>
                <w:sz w:val="28"/>
                <w:szCs w:val="28"/>
                <w:highlight w:val="none"/>
              </w:rPr>
            </w:pPr>
          </w:p>
        </w:tc>
        <w:tc>
          <w:tcPr>
            <w:tcW w:w="2410" w:type="dxa"/>
            <w:noWrap w:val="0"/>
            <w:vAlign w:val="top"/>
          </w:tcPr>
          <w:p w14:paraId="19DC734F">
            <w:pPr>
              <w:pStyle w:val="4"/>
              <w:ind w:firstLine="0"/>
              <w:jc w:val="left"/>
              <w:rPr>
                <w:rFonts w:hint="eastAsia" w:ascii="宋体" w:hAnsi="宋体" w:eastAsia="宋体" w:cs="宋体"/>
                <w:b/>
                <w:color w:val="auto"/>
                <w:sz w:val="28"/>
                <w:szCs w:val="28"/>
                <w:highlight w:val="none"/>
              </w:rPr>
            </w:pPr>
          </w:p>
        </w:tc>
        <w:tc>
          <w:tcPr>
            <w:tcW w:w="1270" w:type="dxa"/>
            <w:noWrap w:val="0"/>
            <w:vAlign w:val="top"/>
          </w:tcPr>
          <w:p w14:paraId="200A69EE">
            <w:pPr>
              <w:pStyle w:val="4"/>
              <w:ind w:firstLine="0"/>
              <w:jc w:val="left"/>
              <w:rPr>
                <w:rFonts w:hint="eastAsia" w:ascii="宋体" w:hAnsi="宋体" w:eastAsia="宋体" w:cs="宋体"/>
                <w:b/>
                <w:color w:val="auto"/>
                <w:sz w:val="28"/>
                <w:szCs w:val="28"/>
                <w:highlight w:val="none"/>
              </w:rPr>
            </w:pPr>
          </w:p>
        </w:tc>
      </w:tr>
    </w:tbl>
    <w:p w14:paraId="495E8FDC">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说明：设备可以填写单台设备，也可以填写成套设备。</w:t>
      </w:r>
    </w:p>
    <w:p w14:paraId="3EF27863">
      <w:pPr>
        <w:adjustRightInd w:val="0"/>
        <w:spacing w:before="480" w:beforeLines="200"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14:paraId="47071773">
      <w:pPr>
        <w:spacing w:line="400" w:lineRule="exact"/>
        <w:jc w:val="center"/>
        <w:outlineLvl w:val="1"/>
        <w:rPr>
          <w:rFonts w:hint="eastAsia" w:ascii="宋体" w:hAnsi="宋体" w:eastAsia="宋体" w:cs="宋体"/>
          <w:color w:val="auto"/>
          <w:szCs w:val="21"/>
          <w:highlight w:val="none"/>
        </w:rPr>
      </w:pPr>
    </w:p>
    <w:p w14:paraId="2F997B30">
      <w:pPr>
        <w:spacing w:line="400" w:lineRule="exact"/>
        <w:ind w:firstLine="105" w:firstLineChars="50"/>
        <w:outlineLvl w:val="1"/>
        <w:rPr>
          <w:rFonts w:hint="eastAsia" w:ascii="宋体" w:hAnsi="宋体" w:eastAsia="宋体" w:cs="宋体"/>
          <w:color w:val="auto"/>
          <w:szCs w:val="21"/>
          <w:highlight w:val="none"/>
        </w:rPr>
      </w:pPr>
      <w:bookmarkStart w:id="197" w:name="_Toc8183"/>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签章或</w:t>
      </w:r>
      <w:r>
        <w:rPr>
          <w:rFonts w:hint="eastAsia" w:ascii="宋体" w:hAnsi="宋体" w:eastAsia="宋体" w:cs="宋体"/>
          <w:color w:val="auto"/>
          <w:szCs w:val="21"/>
          <w:highlight w:val="none"/>
        </w:rPr>
        <w:t>签字）</w:t>
      </w:r>
      <w:bookmarkEnd w:id="197"/>
    </w:p>
    <w:p w14:paraId="756D8822">
      <w:pPr>
        <w:spacing w:before="480" w:beforeLines="200"/>
        <w:ind w:firstLine="123" w:firstLineChars="59"/>
        <w:outlineLvl w:val="1"/>
        <w:rPr>
          <w:rFonts w:hint="eastAsia" w:ascii="宋体" w:hAnsi="宋体" w:eastAsia="宋体" w:cs="宋体"/>
          <w:b/>
          <w:color w:val="auto"/>
          <w:szCs w:val="21"/>
          <w:highlight w:val="none"/>
        </w:rPr>
      </w:pPr>
      <w:bookmarkStart w:id="198" w:name="_Toc2991"/>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bookmarkEnd w:id="198"/>
    </w:p>
    <w:p w14:paraId="29285FE5">
      <w:pPr>
        <w:pStyle w:val="4"/>
        <w:spacing w:after="240" w:afterLines="100"/>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（二）本项目组织实施人员</w:t>
      </w:r>
    </w:p>
    <w:p w14:paraId="3CF6B3DF">
      <w:pPr>
        <w:pStyle w:val="4"/>
        <w:spacing w:after="120" w:afterLines="50"/>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采购项目编号：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14:paraId="2607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75" w:type="dxa"/>
            <w:gridSpan w:val="7"/>
            <w:tcBorders>
              <w:top w:val="single" w:color="auto" w:sz="12" w:space="0"/>
              <w:left w:val="single" w:color="auto" w:sz="12" w:space="0"/>
              <w:right w:val="single" w:color="auto" w:sz="12" w:space="0"/>
            </w:tcBorders>
            <w:noWrap w:val="0"/>
            <w:vAlign w:val="center"/>
          </w:tcPr>
          <w:p w14:paraId="69BF250B">
            <w:pPr>
              <w:pStyle w:val="4"/>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1.项目负责人</w:t>
            </w:r>
          </w:p>
        </w:tc>
      </w:tr>
      <w:tr w14:paraId="392A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center"/>
          </w:tcPr>
          <w:p w14:paraId="1EADC409">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14:paraId="443D5D65">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14:paraId="28A92418">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14:paraId="5DAF44D0">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top"/>
          </w:tcPr>
          <w:p w14:paraId="16127EEE">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在本行业从业 工作年限</w:t>
            </w:r>
          </w:p>
        </w:tc>
        <w:tc>
          <w:tcPr>
            <w:tcW w:w="2971" w:type="dxa"/>
            <w:gridSpan w:val="2"/>
            <w:tcBorders>
              <w:right w:val="single" w:color="auto" w:sz="12" w:space="0"/>
            </w:tcBorders>
            <w:noWrap w:val="0"/>
            <w:vAlign w:val="center"/>
          </w:tcPr>
          <w:p w14:paraId="06443299">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主要工作业绩</w:t>
            </w:r>
          </w:p>
        </w:tc>
      </w:tr>
      <w:tr w14:paraId="23E7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4" w:space="0"/>
            </w:tcBorders>
            <w:noWrap w:val="0"/>
            <w:vAlign w:val="top"/>
          </w:tcPr>
          <w:p w14:paraId="3B03D79D">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14:paraId="47C57718">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14:paraId="37E9C1DE">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14:paraId="3788E06A">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14:paraId="6CD95E90">
            <w:pPr>
              <w:pStyle w:val="4"/>
              <w:ind w:firstLine="0"/>
              <w:jc w:val="left"/>
              <w:rPr>
                <w:rFonts w:hint="eastAsia" w:ascii="宋体" w:hAnsi="宋体" w:eastAsia="宋体" w:cs="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14:paraId="36342C3F">
            <w:pPr>
              <w:pStyle w:val="4"/>
              <w:ind w:firstLine="0"/>
              <w:jc w:val="left"/>
              <w:rPr>
                <w:rFonts w:hint="eastAsia" w:ascii="宋体" w:hAnsi="宋体" w:eastAsia="宋体" w:cs="宋体"/>
                <w:b/>
                <w:color w:val="auto"/>
                <w:sz w:val="28"/>
                <w:szCs w:val="28"/>
                <w:highlight w:val="none"/>
              </w:rPr>
            </w:pPr>
          </w:p>
        </w:tc>
      </w:tr>
      <w:tr w14:paraId="5764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noWrap w:val="0"/>
            <w:vAlign w:val="top"/>
          </w:tcPr>
          <w:p w14:paraId="57E44A29">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14:paraId="6FFF8DEA">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14:paraId="552A1035">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14:paraId="126DCEB4">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14:paraId="20BF56AC">
            <w:pPr>
              <w:pStyle w:val="4"/>
              <w:ind w:firstLine="0"/>
              <w:jc w:val="left"/>
              <w:rPr>
                <w:rFonts w:hint="eastAsia" w:ascii="宋体" w:hAnsi="宋体" w:eastAsia="宋体" w:cs="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14:paraId="40BB0567">
            <w:pPr>
              <w:pStyle w:val="4"/>
              <w:ind w:firstLine="0"/>
              <w:jc w:val="left"/>
              <w:rPr>
                <w:rFonts w:hint="eastAsia" w:ascii="宋体" w:hAnsi="宋体" w:eastAsia="宋体" w:cs="宋体"/>
                <w:b/>
                <w:color w:val="auto"/>
                <w:sz w:val="28"/>
                <w:szCs w:val="28"/>
                <w:highlight w:val="none"/>
              </w:rPr>
            </w:pPr>
          </w:p>
        </w:tc>
      </w:tr>
      <w:tr w14:paraId="19B9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75" w:type="dxa"/>
            <w:gridSpan w:val="7"/>
            <w:tcBorders>
              <w:top w:val="single" w:color="auto" w:sz="12" w:space="0"/>
              <w:left w:val="single" w:color="auto" w:sz="12" w:space="0"/>
              <w:right w:val="single" w:color="auto" w:sz="12" w:space="0"/>
            </w:tcBorders>
            <w:noWrap w:val="0"/>
            <w:vAlign w:val="center"/>
          </w:tcPr>
          <w:p w14:paraId="453A673D">
            <w:pPr>
              <w:pStyle w:val="4"/>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2.管理人员</w:t>
            </w:r>
          </w:p>
        </w:tc>
      </w:tr>
      <w:tr w14:paraId="4769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center"/>
          </w:tcPr>
          <w:p w14:paraId="156C312D">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14:paraId="135A2D7E">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14:paraId="39B552D9">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14:paraId="6FB80DE5">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14:paraId="652BB2F0">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14:paraId="02665835">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14:paraId="5AF5004F">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14:paraId="2CEB9DF7">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14:paraId="6331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390230F0">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6810C976">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41395B8A">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4482DF78">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038116B6">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51A1BAE5">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0D38E0D0">
            <w:pPr>
              <w:pStyle w:val="4"/>
              <w:ind w:firstLine="0"/>
              <w:jc w:val="left"/>
              <w:rPr>
                <w:rFonts w:hint="eastAsia" w:ascii="宋体" w:hAnsi="宋体" w:eastAsia="宋体" w:cs="宋体"/>
                <w:b/>
                <w:color w:val="auto"/>
                <w:sz w:val="28"/>
                <w:szCs w:val="28"/>
                <w:highlight w:val="none"/>
              </w:rPr>
            </w:pPr>
          </w:p>
        </w:tc>
      </w:tr>
      <w:tr w14:paraId="298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59125A27">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646280F9">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5E585BBF">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37D451B9">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36687872">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25ABF7C8">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082272C1">
            <w:pPr>
              <w:pStyle w:val="4"/>
              <w:ind w:firstLine="0"/>
              <w:jc w:val="left"/>
              <w:rPr>
                <w:rFonts w:hint="eastAsia" w:ascii="宋体" w:hAnsi="宋体" w:eastAsia="宋体" w:cs="宋体"/>
                <w:b/>
                <w:color w:val="auto"/>
                <w:sz w:val="28"/>
                <w:szCs w:val="28"/>
                <w:highlight w:val="none"/>
              </w:rPr>
            </w:pPr>
          </w:p>
        </w:tc>
      </w:tr>
      <w:tr w14:paraId="44F9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3D9F1CD5">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08011FCB">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73A95547">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10A6E763">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2672E345">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75536710">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14497A07">
            <w:pPr>
              <w:pStyle w:val="4"/>
              <w:ind w:firstLine="0"/>
              <w:jc w:val="left"/>
              <w:rPr>
                <w:rFonts w:hint="eastAsia" w:ascii="宋体" w:hAnsi="宋体" w:eastAsia="宋体" w:cs="宋体"/>
                <w:b/>
                <w:color w:val="auto"/>
                <w:sz w:val="28"/>
                <w:szCs w:val="28"/>
                <w:highlight w:val="none"/>
              </w:rPr>
            </w:pPr>
          </w:p>
        </w:tc>
      </w:tr>
      <w:tr w14:paraId="4E1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6E04DE48">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2997E41E">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29D15849">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6425FF24">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1702E736">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4A0CC411">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10132654">
            <w:pPr>
              <w:pStyle w:val="4"/>
              <w:ind w:firstLine="0"/>
              <w:jc w:val="left"/>
              <w:rPr>
                <w:rFonts w:hint="eastAsia" w:ascii="宋体" w:hAnsi="宋体" w:eastAsia="宋体" w:cs="宋体"/>
                <w:b/>
                <w:color w:val="auto"/>
                <w:sz w:val="28"/>
                <w:szCs w:val="28"/>
                <w:highlight w:val="none"/>
              </w:rPr>
            </w:pPr>
          </w:p>
        </w:tc>
      </w:tr>
      <w:tr w14:paraId="5496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5" w:type="dxa"/>
            <w:gridSpan w:val="7"/>
            <w:tcBorders>
              <w:left w:val="single" w:color="auto" w:sz="12" w:space="0"/>
              <w:right w:val="single" w:color="auto" w:sz="12" w:space="0"/>
            </w:tcBorders>
            <w:noWrap w:val="0"/>
            <w:vAlign w:val="top"/>
          </w:tcPr>
          <w:p w14:paraId="31489079">
            <w:pPr>
              <w:pStyle w:val="4"/>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3.技术人员</w:t>
            </w:r>
          </w:p>
        </w:tc>
      </w:tr>
      <w:tr w14:paraId="7471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center"/>
          </w:tcPr>
          <w:p w14:paraId="30603557">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14:paraId="61AC0A41">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14:paraId="5F56FA81">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14:paraId="3AAC74B7">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14:paraId="432C64F6">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14:paraId="1EFD2028">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14:paraId="4A096962">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14:paraId="3E4ABB57">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14:paraId="358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4" w:space="0"/>
            </w:tcBorders>
            <w:noWrap w:val="0"/>
            <w:vAlign w:val="top"/>
          </w:tcPr>
          <w:p w14:paraId="51F8E017">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14:paraId="0C69A7DD">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14:paraId="62A55506">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14:paraId="0CF091C0">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14:paraId="43950196">
            <w:pPr>
              <w:pStyle w:val="4"/>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14:paraId="2E55FE90">
            <w:pPr>
              <w:pStyle w:val="4"/>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14:paraId="013A0826">
            <w:pPr>
              <w:pStyle w:val="4"/>
              <w:ind w:firstLine="0"/>
              <w:jc w:val="left"/>
              <w:rPr>
                <w:rFonts w:hint="eastAsia" w:ascii="宋体" w:hAnsi="宋体" w:eastAsia="宋体" w:cs="宋体"/>
                <w:b/>
                <w:color w:val="auto"/>
                <w:sz w:val="28"/>
                <w:szCs w:val="28"/>
                <w:highlight w:val="none"/>
              </w:rPr>
            </w:pPr>
          </w:p>
        </w:tc>
      </w:tr>
      <w:tr w14:paraId="6A31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4" w:space="0"/>
            </w:tcBorders>
            <w:noWrap w:val="0"/>
            <w:vAlign w:val="top"/>
          </w:tcPr>
          <w:p w14:paraId="16714814">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14:paraId="587A7F8B">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14:paraId="313E382E">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14:paraId="51F5A1A4">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14:paraId="53AB5886">
            <w:pPr>
              <w:pStyle w:val="4"/>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14:paraId="7225733A">
            <w:pPr>
              <w:pStyle w:val="4"/>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14:paraId="0925911A">
            <w:pPr>
              <w:pStyle w:val="4"/>
              <w:ind w:firstLine="0"/>
              <w:jc w:val="left"/>
              <w:rPr>
                <w:rFonts w:hint="eastAsia" w:ascii="宋体" w:hAnsi="宋体" w:eastAsia="宋体" w:cs="宋体"/>
                <w:b/>
                <w:color w:val="auto"/>
                <w:sz w:val="28"/>
                <w:szCs w:val="28"/>
                <w:highlight w:val="none"/>
              </w:rPr>
            </w:pPr>
          </w:p>
        </w:tc>
      </w:tr>
      <w:tr w14:paraId="6666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4" w:space="0"/>
            </w:tcBorders>
            <w:noWrap w:val="0"/>
            <w:vAlign w:val="top"/>
          </w:tcPr>
          <w:p w14:paraId="2E389BF4">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14:paraId="012BDFC5">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14:paraId="6642D1C8">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14:paraId="770B8F03">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14:paraId="66BC8382">
            <w:pPr>
              <w:pStyle w:val="4"/>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14:paraId="5B520C73">
            <w:pPr>
              <w:pStyle w:val="4"/>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14:paraId="62468828">
            <w:pPr>
              <w:pStyle w:val="4"/>
              <w:ind w:firstLine="0"/>
              <w:jc w:val="left"/>
              <w:rPr>
                <w:rFonts w:hint="eastAsia" w:ascii="宋体" w:hAnsi="宋体" w:eastAsia="宋体" w:cs="宋体"/>
                <w:b/>
                <w:color w:val="auto"/>
                <w:sz w:val="28"/>
                <w:szCs w:val="28"/>
                <w:highlight w:val="none"/>
              </w:rPr>
            </w:pPr>
          </w:p>
        </w:tc>
      </w:tr>
      <w:tr w14:paraId="4C60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noWrap w:val="0"/>
            <w:vAlign w:val="top"/>
          </w:tcPr>
          <w:p w14:paraId="3DC84049">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14:paraId="1632C989">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14:paraId="1416CE30">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14:paraId="7EFBB910">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14:paraId="1E87C4BE">
            <w:pPr>
              <w:pStyle w:val="4"/>
              <w:ind w:firstLine="0"/>
              <w:jc w:val="left"/>
              <w:rPr>
                <w:rFonts w:hint="eastAsia" w:ascii="宋体" w:hAnsi="宋体" w:eastAsia="宋体" w:cs="宋体"/>
                <w:b/>
                <w:color w:val="auto"/>
                <w:sz w:val="28"/>
                <w:szCs w:val="28"/>
                <w:highlight w:val="none"/>
              </w:rPr>
            </w:pPr>
          </w:p>
        </w:tc>
        <w:tc>
          <w:tcPr>
            <w:tcW w:w="1984" w:type="dxa"/>
            <w:tcBorders>
              <w:bottom w:val="single" w:color="auto" w:sz="12" w:space="0"/>
            </w:tcBorders>
            <w:noWrap w:val="0"/>
            <w:vAlign w:val="top"/>
          </w:tcPr>
          <w:p w14:paraId="2F618059">
            <w:pPr>
              <w:pStyle w:val="4"/>
              <w:ind w:firstLine="0"/>
              <w:jc w:val="left"/>
              <w:rPr>
                <w:rFonts w:hint="eastAsia" w:ascii="宋体" w:hAnsi="宋体" w:eastAsia="宋体" w:cs="宋体"/>
                <w:b/>
                <w:color w:val="auto"/>
                <w:sz w:val="28"/>
                <w:szCs w:val="28"/>
                <w:highlight w:val="none"/>
              </w:rPr>
            </w:pPr>
          </w:p>
        </w:tc>
        <w:tc>
          <w:tcPr>
            <w:tcW w:w="987" w:type="dxa"/>
            <w:tcBorders>
              <w:bottom w:val="single" w:color="auto" w:sz="12" w:space="0"/>
              <w:right w:val="single" w:color="auto" w:sz="12" w:space="0"/>
            </w:tcBorders>
            <w:noWrap w:val="0"/>
            <w:vAlign w:val="top"/>
          </w:tcPr>
          <w:p w14:paraId="32C0577E">
            <w:pPr>
              <w:pStyle w:val="4"/>
              <w:ind w:firstLine="0"/>
              <w:jc w:val="left"/>
              <w:rPr>
                <w:rFonts w:hint="eastAsia" w:ascii="宋体" w:hAnsi="宋体" w:eastAsia="宋体" w:cs="宋体"/>
                <w:b/>
                <w:color w:val="auto"/>
                <w:sz w:val="28"/>
                <w:szCs w:val="28"/>
                <w:highlight w:val="none"/>
              </w:rPr>
            </w:pPr>
          </w:p>
        </w:tc>
      </w:tr>
      <w:tr w14:paraId="533A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75" w:type="dxa"/>
            <w:gridSpan w:val="7"/>
            <w:tcBorders>
              <w:top w:val="single" w:color="auto" w:sz="12" w:space="0"/>
              <w:left w:val="single" w:color="auto" w:sz="12" w:space="0"/>
              <w:right w:val="single" w:color="auto" w:sz="12" w:space="0"/>
            </w:tcBorders>
            <w:noWrap w:val="0"/>
            <w:vAlign w:val="center"/>
          </w:tcPr>
          <w:p w14:paraId="390930C6">
            <w:pPr>
              <w:pStyle w:val="4"/>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3.辅助人员</w:t>
            </w:r>
          </w:p>
        </w:tc>
      </w:tr>
      <w:tr w14:paraId="6575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center"/>
          </w:tcPr>
          <w:p w14:paraId="1187E40B">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14:paraId="01C171C2">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14:paraId="078D1272">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14:paraId="05A9AAA2">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14:paraId="1DC53CB5">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14:paraId="2672F173">
            <w:pPr>
              <w:pStyle w:val="4"/>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14:paraId="6FEED0C5">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14:paraId="1FCCB800">
            <w:pPr>
              <w:pStyle w:val="4"/>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14:paraId="4048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71BC2BFD">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3951B5E1">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0490F2AD">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40B6F4A1">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18FD6F84">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4C7779C6">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19C431BB">
            <w:pPr>
              <w:pStyle w:val="4"/>
              <w:ind w:firstLine="0"/>
              <w:jc w:val="left"/>
              <w:rPr>
                <w:rFonts w:hint="eastAsia" w:ascii="宋体" w:hAnsi="宋体" w:eastAsia="宋体" w:cs="宋体"/>
                <w:b/>
                <w:color w:val="auto"/>
                <w:sz w:val="28"/>
                <w:szCs w:val="28"/>
                <w:highlight w:val="none"/>
              </w:rPr>
            </w:pPr>
          </w:p>
        </w:tc>
      </w:tr>
      <w:tr w14:paraId="6CD9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tcBorders>
            <w:noWrap w:val="0"/>
            <w:vAlign w:val="top"/>
          </w:tcPr>
          <w:p w14:paraId="114B0521">
            <w:pPr>
              <w:pStyle w:val="4"/>
              <w:ind w:firstLine="0"/>
              <w:jc w:val="left"/>
              <w:rPr>
                <w:rFonts w:hint="eastAsia" w:ascii="宋体" w:hAnsi="宋体" w:eastAsia="宋体" w:cs="宋体"/>
                <w:b/>
                <w:color w:val="auto"/>
                <w:sz w:val="28"/>
                <w:szCs w:val="28"/>
                <w:highlight w:val="none"/>
              </w:rPr>
            </w:pPr>
          </w:p>
        </w:tc>
        <w:tc>
          <w:tcPr>
            <w:tcW w:w="850" w:type="dxa"/>
            <w:noWrap w:val="0"/>
            <w:vAlign w:val="top"/>
          </w:tcPr>
          <w:p w14:paraId="5488685D">
            <w:pPr>
              <w:pStyle w:val="4"/>
              <w:ind w:firstLine="0"/>
              <w:jc w:val="left"/>
              <w:rPr>
                <w:rFonts w:hint="eastAsia" w:ascii="宋体" w:hAnsi="宋体" w:eastAsia="宋体" w:cs="宋体"/>
                <w:b/>
                <w:color w:val="auto"/>
                <w:sz w:val="28"/>
                <w:szCs w:val="28"/>
                <w:highlight w:val="none"/>
              </w:rPr>
            </w:pPr>
          </w:p>
        </w:tc>
        <w:tc>
          <w:tcPr>
            <w:tcW w:w="1134" w:type="dxa"/>
            <w:noWrap w:val="0"/>
            <w:vAlign w:val="top"/>
          </w:tcPr>
          <w:p w14:paraId="679183AF">
            <w:pPr>
              <w:pStyle w:val="4"/>
              <w:ind w:firstLine="0"/>
              <w:jc w:val="left"/>
              <w:rPr>
                <w:rFonts w:hint="eastAsia" w:ascii="宋体" w:hAnsi="宋体" w:eastAsia="宋体" w:cs="宋体"/>
                <w:b/>
                <w:color w:val="auto"/>
                <w:sz w:val="28"/>
                <w:szCs w:val="28"/>
                <w:highlight w:val="none"/>
              </w:rPr>
            </w:pPr>
          </w:p>
        </w:tc>
        <w:tc>
          <w:tcPr>
            <w:tcW w:w="1560" w:type="dxa"/>
            <w:noWrap w:val="0"/>
            <w:vAlign w:val="top"/>
          </w:tcPr>
          <w:p w14:paraId="0027A977">
            <w:pPr>
              <w:pStyle w:val="4"/>
              <w:ind w:firstLine="0"/>
              <w:jc w:val="left"/>
              <w:rPr>
                <w:rFonts w:hint="eastAsia" w:ascii="宋体" w:hAnsi="宋体" w:eastAsia="宋体" w:cs="宋体"/>
                <w:b/>
                <w:color w:val="auto"/>
                <w:sz w:val="28"/>
                <w:szCs w:val="28"/>
                <w:highlight w:val="none"/>
              </w:rPr>
            </w:pPr>
          </w:p>
        </w:tc>
        <w:tc>
          <w:tcPr>
            <w:tcW w:w="1701" w:type="dxa"/>
            <w:noWrap w:val="0"/>
            <w:vAlign w:val="top"/>
          </w:tcPr>
          <w:p w14:paraId="03C0438A">
            <w:pPr>
              <w:pStyle w:val="4"/>
              <w:ind w:firstLine="0"/>
              <w:jc w:val="left"/>
              <w:rPr>
                <w:rFonts w:hint="eastAsia" w:ascii="宋体" w:hAnsi="宋体" w:eastAsia="宋体" w:cs="宋体"/>
                <w:b/>
                <w:color w:val="auto"/>
                <w:sz w:val="28"/>
                <w:szCs w:val="28"/>
                <w:highlight w:val="none"/>
              </w:rPr>
            </w:pPr>
          </w:p>
        </w:tc>
        <w:tc>
          <w:tcPr>
            <w:tcW w:w="1984" w:type="dxa"/>
            <w:noWrap w:val="0"/>
            <w:vAlign w:val="top"/>
          </w:tcPr>
          <w:p w14:paraId="099ACA24">
            <w:pPr>
              <w:pStyle w:val="4"/>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14:paraId="6CC79AAE">
            <w:pPr>
              <w:pStyle w:val="4"/>
              <w:ind w:firstLine="0"/>
              <w:jc w:val="left"/>
              <w:rPr>
                <w:rFonts w:hint="eastAsia" w:ascii="宋体" w:hAnsi="宋体" w:eastAsia="宋体" w:cs="宋体"/>
                <w:b/>
                <w:color w:val="auto"/>
                <w:sz w:val="28"/>
                <w:szCs w:val="28"/>
                <w:highlight w:val="none"/>
              </w:rPr>
            </w:pPr>
          </w:p>
        </w:tc>
      </w:tr>
      <w:tr w14:paraId="276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left w:val="single" w:color="auto" w:sz="12" w:space="0"/>
              <w:bottom w:val="single" w:color="auto" w:sz="12" w:space="0"/>
            </w:tcBorders>
            <w:noWrap w:val="0"/>
            <w:vAlign w:val="top"/>
          </w:tcPr>
          <w:p w14:paraId="6C6BB2EF">
            <w:pPr>
              <w:pStyle w:val="4"/>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14:paraId="226B6A09">
            <w:pPr>
              <w:pStyle w:val="4"/>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14:paraId="19FA6113">
            <w:pPr>
              <w:pStyle w:val="4"/>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14:paraId="3355875F">
            <w:pPr>
              <w:pStyle w:val="4"/>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14:paraId="1A829056">
            <w:pPr>
              <w:pStyle w:val="4"/>
              <w:ind w:firstLine="0"/>
              <w:jc w:val="left"/>
              <w:rPr>
                <w:rFonts w:hint="eastAsia" w:ascii="宋体" w:hAnsi="宋体" w:eastAsia="宋体" w:cs="宋体"/>
                <w:b/>
                <w:color w:val="auto"/>
                <w:sz w:val="28"/>
                <w:szCs w:val="28"/>
                <w:highlight w:val="none"/>
              </w:rPr>
            </w:pPr>
          </w:p>
        </w:tc>
        <w:tc>
          <w:tcPr>
            <w:tcW w:w="1984" w:type="dxa"/>
            <w:tcBorders>
              <w:bottom w:val="single" w:color="auto" w:sz="12" w:space="0"/>
            </w:tcBorders>
            <w:noWrap w:val="0"/>
            <w:vAlign w:val="top"/>
          </w:tcPr>
          <w:p w14:paraId="3DAE5892">
            <w:pPr>
              <w:pStyle w:val="4"/>
              <w:ind w:firstLine="0"/>
              <w:jc w:val="left"/>
              <w:rPr>
                <w:rFonts w:hint="eastAsia" w:ascii="宋体" w:hAnsi="宋体" w:eastAsia="宋体" w:cs="宋体"/>
                <w:b/>
                <w:color w:val="auto"/>
                <w:sz w:val="28"/>
                <w:szCs w:val="28"/>
                <w:highlight w:val="none"/>
              </w:rPr>
            </w:pPr>
          </w:p>
        </w:tc>
        <w:tc>
          <w:tcPr>
            <w:tcW w:w="987" w:type="dxa"/>
            <w:tcBorders>
              <w:bottom w:val="single" w:color="auto" w:sz="12" w:space="0"/>
              <w:right w:val="single" w:color="auto" w:sz="12" w:space="0"/>
            </w:tcBorders>
            <w:noWrap w:val="0"/>
            <w:vAlign w:val="top"/>
          </w:tcPr>
          <w:p w14:paraId="1385B135">
            <w:pPr>
              <w:pStyle w:val="4"/>
              <w:ind w:firstLine="0"/>
              <w:jc w:val="left"/>
              <w:rPr>
                <w:rFonts w:hint="eastAsia" w:ascii="宋体" w:hAnsi="宋体" w:eastAsia="宋体" w:cs="宋体"/>
                <w:b/>
                <w:color w:val="auto"/>
                <w:sz w:val="28"/>
                <w:szCs w:val="28"/>
                <w:highlight w:val="none"/>
              </w:rPr>
            </w:pPr>
          </w:p>
        </w:tc>
      </w:tr>
    </w:tbl>
    <w:p w14:paraId="1701CC56">
      <w:pPr>
        <w:pStyle w:val="4"/>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F1C456">
      <w:pPr>
        <w:pStyle w:val="4"/>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1.职务是指在本单位所担任的职务。2.除表（一）（二）外，需要补充的证明材料可另纸说明。</w:t>
      </w:r>
    </w:p>
    <w:p w14:paraId="56E1B392">
      <w:pPr>
        <w:pStyle w:val="4"/>
        <w:ind w:firstLine="0"/>
        <w:jc w:val="left"/>
        <w:rPr>
          <w:rFonts w:hint="eastAsia" w:ascii="宋体" w:hAnsi="宋体" w:eastAsia="宋体" w:cs="宋体"/>
          <w:b/>
          <w:color w:val="auto"/>
          <w:sz w:val="24"/>
          <w:szCs w:val="24"/>
          <w:highlight w:val="none"/>
        </w:rPr>
      </w:pPr>
    </w:p>
    <w:p w14:paraId="5249825B">
      <w:pPr>
        <w:pStyle w:val="4"/>
        <w:ind w:firstLine="0"/>
        <w:jc w:val="left"/>
        <w:rPr>
          <w:rFonts w:hint="eastAsia" w:ascii="宋体" w:hAnsi="宋体" w:eastAsia="宋体" w:cs="宋体"/>
          <w:b/>
          <w:color w:val="auto"/>
          <w:sz w:val="24"/>
          <w:szCs w:val="24"/>
          <w:highlight w:val="none"/>
        </w:rPr>
      </w:pPr>
    </w:p>
    <w:p w14:paraId="05C0B51E">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14:paraId="11611C4C">
      <w:pPr>
        <w:spacing w:line="400" w:lineRule="exact"/>
        <w:jc w:val="center"/>
        <w:outlineLvl w:val="1"/>
        <w:rPr>
          <w:rFonts w:hint="eastAsia" w:ascii="宋体" w:hAnsi="宋体" w:eastAsia="宋体" w:cs="宋体"/>
          <w:color w:val="auto"/>
          <w:szCs w:val="21"/>
          <w:highlight w:val="none"/>
        </w:rPr>
      </w:pPr>
    </w:p>
    <w:p w14:paraId="3163CD97">
      <w:pPr>
        <w:spacing w:line="400" w:lineRule="exact"/>
        <w:ind w:firstLine="105" w:firstLineChars="50"/>
        <w:outlineLvl w:val="1"/>
        <w:rPr>
          <w:rFonts w:hint="eastAsia" w:ascii="宋体" w:hAnsi="宋体" w:eastAsia="宋体" w:cs="宋体"/>
          <w:color w:val="auto"/>
          <w:szCs w:val="21"/>
          <w:highlight w:val="none"/>
        </w:rPr>
      </w:pPr>
      <w:bookmarkStart w:id="199" w:name="_Toc914"/>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（签章或签字）</w:t>
      </w:r>
      <w:bookmarkEnd w:id="199"/>
    </w:p>
    <w:p w14:paraId="664D701C">
      <w:pPr>
        <w:spacing w:before="480" w:beforeLines="200"/>
        <w:ind w:firstLine="123" w:firstLineChars="59"/>
        <w:outlineLvl w:val="1"/>
        <w:rPr>
          <w:rFonts w:hint="eastAsia" w:ascii="宋体" w:hAnsi="宋体" w:eastAsia="宋体" w:cs="宋体"/>
          <w:b/>
          <w:color w:val="auto"/>
          <w:sz w:val="36"/>
          <w:szCs w:val="36"/>
          <w:highlight w:val="none"/>
        </w:rPr>
      </w:pPr>
      <w:bookmarkStart w:id="200" w:name="_Toc27573"/>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End w:id="200"/>
    </w:p>
    <w:p w14:paraId="5BFD16BA">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仿宋" w:hAnsi="仿宋" w:eastAsia="仿宋" w:cs="仿宋"/>
          <w:b/>
          <w:color w:val="auto"/>
          <w:kern w:val="2"/>
          <w:sz w:val="32"/>
          <w:szCs w:val="32"/>
          <w:highlight w:val="none"/>
          <w:lang w:val="en-US" w:eastAsia="zh-CN" w:bidi="ar-SA"/>
        </w:rPr>
      </w:pPr>
      <w:bookmarkStart w:id="201" w:name="_Toc276"/>
      <w:r>
        <w:rPr>
          <w:rFonts w:hint="eastAsia" w:ascii="宋体" w:hAnsi="宋体" w:eastAsia="宋体" w:cs="宋体"/>
          <w:b/>
          <w:color w:val="auto"/>
          <w:sz w:val="36"/>
          <w:szCs w:val="36"/>
          <w:highlight w:val="none"/>
          <w:lang w:val="en-US" w:eastAsia="zh-CN"/>
        </w:rPr>
        <w:t>10.无重大违法记录声明</w:t>
      </w:r>
      <w:bookmarkEnd w:id="201"/>
    </w:p>
    <w:p w14:paraId="0185CA4D">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说明：投标人应具备良好的商业信誉，提供参加政府采购活动前3年内在经营活动中没有重大违法记录的书面声明；</w:t>
      </w:r>
    </w:p>
    <w:p w14:paraId="606CC422">
      <w:pPr>
        <w:pStyle w:val="12"/>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eastAsia="zh-CN"/>
        </w:rPr>
        <w:t>伊宁市某局</w:t>
      </w:r>
      <w:r>
        <w:rPr>
          <w:rFonts w:hint="eastAsia" w:ascii="宋体" w:hAnsi="宋体" w:eastAsia="宋体" w:cs="宋体"/>
          <w:color w:val="auto"/>
          <w:kern w:val="0"/>
          <w:sz w:val="22"/>
          <w:szCs w:val="22"/>
          <w:highlight w:val="none"/>
          <w:lang w:val="en-US" w:eastAsia="zh-CN"/>
        </w:rPr>
        <w:t>：</w:t>
      </w:r>
    </w:p>
    <w:p w14:paraId="5299D61B">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我公司参与招标文件项目编号为</w:t>
      </w:r>
      <w:r>
        <w:rPr>
          <w:rFonts w:hint="eastAsia" w:ascii="宋体" w:hAnsi="宋体" w:eastAsia="宋体" w:cs="宋体"/>
          <w:color w:val="auto"/>
          <w:kern w:val="0"/>
          <w:sz w:val="22"/>
          <w:szCs w:val="22"/>
          <w:highlight w:val="none"/>
          <w:u w:val="single"/>
          <w:lang w:val="en-US" w:eastAsia="zh-CN"/>
        </w:rPr>
        <w:t xml:space="preserve"> 项目名称 </w:t>
      </w:r>
      <w:r>
        <w:rPr>
          <w:rFonts w:hint="eastAsia" w:ascii="宋体" w:hAnsi="宋体" w:eastAsia="宋体" w:cs="宋体"/>
          <w:color w:val="auto"/>
          <w:kern w:val="0"/>
          <w:sz w:val="22"/>
          <w:szCs w:val="22"/>
          <w:highlight w:val="none"/>
          <w:lang w:val="en-US" w:eastAsia="zh-CN"/>
        </w:rPr>
        <w:t>的招标活动，我公司郑重声明：我公司参加本次招标活动前3年内，在经营活动中无重大违法记录，具备招标文件中规定的投标供应商资格条件。我公司对此声明负全部法律责任。</w:t>
      </w:r>
    </w:p>
    <w:p w14:paraId="0D06FF99">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特此声明！</w:t>
      </w:r>
    </w:p>
    <w:p w14:paraId="3C85594B">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                            承诺单位：  公司（公章）</w:t>
      </w:r>
    </w:p>
    <w:p w14:paraId="65D4AE49">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                            法定代表人签字或签章：                     </w:t>
      </w:r>
    </w:p>
    <w:p w14:paraId="2836D529">
      <w:pPr>
        <w:pStyle w:val="12"/>
        <w:keepNext w:val="0"/>
        <w:keepLines w:val="0"/>
        <w:pageBreakBefore w:val="0"/>
        <w:widowControl w:val="0"/>
        <w:kinsoku/>
        <w:wordWrap/>
        <w:overflowPunct/>
        <w:topLinePunct w:val="0"/>
        <w:autoSpaceDE/>
        <w:autoSpaceDN/>
        <w:bidi w:val="0"/>
        <w:adjustRightInd w:val="0"/>
        <w:snapToGrid w:val="0"/>
        <w:spacing w:line="480" w:lineRule="exact"/>
        <w:ind w:firstLine="3520" w:firstLineChars="16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法定代表人身份证号：</w:t>
      </w:r>
    </w:p>
    <w:p w14:paraId="7BEB1F88">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                            20  年  月  日</w:t>
      </w:r>
    </w:p>
    <w:p w14:paraId="20F61BD9">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sectPr>
          <w:footerReference r:id="rId9" w:type="default"/>
          <w:pgSz w:w="11906" w:h="16838"/>
          <w:pgMar w:top="1429" w:right="1624" w:bottom="1495" w:left="1830" w:header="0" w:footer="1177" w:gutter="0"/>
          <w:pgNumType w:fmt="decimal" w:start="1"/>
          <w:cols w:space="720" w:num="1"/>
        </w:sectPr>
      </w:pPr>
    </w:p>
    <w:p w14:paraId="1DA36E30">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kern w:val="0"/>
          <w:sz w:val="36"/>
          <w:szCs w:val="36"/>
          <w:highlight w:val="none"/>
          <w:lang w:val="en-US" w:eastAsia="zh-CN"/>
        </w:rPr>
        <w:t>11</w:t>
      </w:r>
      <w:r>
        <w:rPr>
          <w:rFonts w:hint="eastAsia" w:ascii="宋体" w:hAnsi="宋体" w:eastAsia="宋体" w:cs="宋体"/>
          <w:color w:val="auto"/>
          <w:kern w:val="0"/>
          <w:sz w:val="36"/>
          <w:szCs w:val="36"/>
          <w:highlight w:val="none"/>
        </w:rPr>
        <w:t>.</w:t>
      </w:r>
      <w:r>
        <w:rPr>
          <w:rFonts w:hint="eastAsia" w:ascii="宋体" w:hAnsi="宋体" w:eastAsia="宋体" w:cs="宋体"/>
          <w:b/>
          <w:color w:val="auto"/>
          <w:sz w:val="36"/>
          <w:szCs w:val="36"/>
          <w:highlight w:val="none"/>
        </w:rPr>
        <w:t>提供投标人享受政府采购优惠政策的证明材料</w:t>
      </w:r>
    </w:p>
    <w:p w14:paraId="61182DF6">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说明：</w:t>
      </w:r>
      <w:r>
        <w:rPr>
          <w:rFonts w:hint="eastAsia" w:hAnsi="宋体" w:cs="宋体"/>
          <w:color w:val="auto"/>
          <w:kern w:val="0"/>
          <w:sz w:val="22"/>
          <w:szCs w:val="22"/>
          <w:highlight w:val="none"/>
          <w:lang w:val="en-US" w:eastAsia="zh-CN"/>
        </w:rPr>
        <w:t>投标人应为中小企业，需提供《中小企业声明函》</w:t>
      </w:r>
      <w:r>
        <w:rPr>
          <w:rFonts w:hint="eastAsia" w:ascii="宋体" w:hAnsi="宋体" w:eastAsia="宋体" w:cs="宋体"/>
          <w:color w:val="auto"/>
          <w:kern w:val="0"/>
          <w:sz w:val="22"/>
          <w:szCs w:val="22"/>
          <w:highlight w:val="none"/>
          <w:lang w:val="en-US" w:eastAsia="zh-CN"/>
        </w:rPr>
        <w:t>；</w:t>
      </w:r>
    </w:p>
    <w:p w14:paraId="49A26D02">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（1）中小企业声明函格式见附件4；（非中小微企业可不提供该附件）</w:t>
      </w:r>
    </w:p>
    <w:p w14:paraId="32C54458">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（2）残疾人福利性单位声明函格式见附件5；（非残疾人福利企业可不提供该附件）</w:t>
      </w:r>
    </w:p>
    <w:p w14:paraId="41C75E2F">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（3）监狱企业证明文件见附件6；（非监狱企业可不提供该附件）</w:t>
      </w:r>
    </w:p>
    <w:p w14:paraId="53A2B05C">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（4）“节能产品”、“环境标志产品”证明材料格式见附件7。</w:t>
      </w:r>
    </w:p>
    <w:p w14:paraId="689BDECE">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（5）“关于符合本国产品标准的声明函”证明材料格式见附件9。</w:t>
      </w:r>
    </w:p>
    <w:p w14:paraId="767DA051">
      <w:pPr>
        <w:pStyle w:val="35"/>
        <w:spacing w:line="400" w:lineRule="exact"/>
        <w:rPr>
          <w:rFonts w:hint="eastAsia" w:ascii="宋体" w:hAnsi="宋体" w:eastAsia="宋体" w:cs="宋体"/>
          <w:b/>
          <w:color w:val="auto"/>
          <w:sz w:val="28"/>
          <w:szCs w:val="28"/>
          <w:highlight w:val="none"/>
        </w:rPr>
      </w:pPr>
    </w:p>
    <w:p w14:paraId="698F54E7">
      <w:pPr>
        <w:pStyle w:val="35"/>
        <w:spacing w:line="400" w:lineRule="exact"/>
        <w:rPr>
          <w:rFonts w:hint="eastAsia" w:ascii="宋体" w:hAnsi="宋体" w:eastAsia="宋体" w:cs="宋体"/>
          <w:b/>
          <w:color w:val="auto"/>
          <w:sz w:val="28"/>
          <w:szCs w:val="28"/>
          <w:highlight w:val="none"/>
        </w:rPr>
      </w:pPr>
    </w:p>
    <w:p w14:paraId="32CAD3D8">
      <w:pPr>
        <w:pStyle w:val="35"/>
        <w:spacing w:line="400" w:lineRule="exact"/>
        <w:rPr>
          <w:rFonts w:hint="eastAsia" w:ascii="宋体" w:hAnsi="宋体" w:eastAsia="宋体" w:cs="宋体"/>
          <w:b/>
          <w:color w:val="auto"/>
          <w:sz w:val="28"/>
          <w:szCs w:val="28"/>
          <w:highlight w:val="none"/>
        </w:rPr>
      </w:pPr>
    </w:p>
    <w:p w14:paraId="70D76E8A">
      <w:pPr>
        <w:pStyle w:val="35"/>
        <w:spacing w:line="400" w:lineRule="exact"/>
        <w:rPr>
          <w:rFonts w:hint="eastAsia" w:ascii="宋体" w:hAnsi="宋体" w:eastAsia="宋体" w:cs="宋体"/>
          <w:b/>
          <w:color w:val="auto"/>
          <w:sz w:val="28"/>
          <w:szCs w:val="28"/>
          <w:highlight w:val="none"/>
        </w:rPr>
      </w:pPr>
    </w:p>
    <w:p w14:paraId="610C2BA6">
      <w:pPr>
        <w:pStyle w:val="35"/>
        <w:spacing w:line="400" w:lineRule="exact"/>
        <w:rPr>
          <w:rFonts w:hint="eastAsia" w:ascii="宋体" w:hAnsi="宋体" w:eastAsia="宋体" w:cs="宋体"/>
          <w:b/>
          <w:color w:val="auto"/>
          <w:sz w:val="28"/>
          <w:szCs w:val="28"/>
          <w:highlight w:val="none"/>
        </w:rPr>
      </w:pPr>
    </w:p>
    <w:p w14:paraId="20D0F27E">
      <w:pPr>
        <w:pStyle w:val="35"/>
        <w:spacing w:line="400" w:lineRule="exact"/>
        <w:rPr>
          <w:rFonts w:hint="eastAsia" w:ascii="宋体" w:hAnsi="宋体" w:eastAsia="宋体" w:cs="宋体"/>
          <w:b/>
          <w:color w:val="auto"/>
          <w:sz w:val="28"/>
          <w:szCs w:val="28"/>
          <w:highlight w:val="none"/>
        </w:rPr>
      </w:pPr>
    </w:p>
    <w:p w14:paraId="4AB62336">
      <w:pPr>
        <w:pStyle w:val="35"/>
        <w:spacing w:line="400" w:lineRule="exact"/>
        <w:rPr>
          <w:rFonts w:hint="eastAsia" w:ascii="宋体" w:hAnsi="宋体" w:eastAsia="宋体" w:cs="宋体"/>
          <w:b/>
          <w:color w:val="auto"/>
          <w:sz w:val="28"/>
          <w:szCs w:val="28"/>
          <w:highlight w:val="none"/>
        </w:rPr>
      </w:pPr>
    </w:p>
    <w:p w14:paraId="452CED0A">
      <w:pPr>
        <w:pStyle w:val="35"/>
        <w:spacing w:line="400" w:lineRule="exact"/>
        <w:rPr>
          <w:rFonts w:hint="eastAsia" w:ascii="宋体" w:hAnsi="宋体" w:eastAsia="宋体" w:cs="宋体"/>
          <w:b/>
          <w:color w:val="auto"/>
          <w:sz w:val="28"/>
          <w:szCs w:val="28"/>
          <w:highlight w:val="none"/>
        </w:rPr>
      </w:pPr>
    </w:p>
    <w:p w14:paraId="2F6CCEF9">
      <w:pPr>
        <w:pStyle w:val="35"/>
        <w:spacing w:line="400" w:lineRule="exact"/>
        <w:rPr>
          <w:rFonts w:hint="eastAsia" w:ascii="宋体" w:hAnsi="宋体" w:eastAsia="宋体" w:cs="宋体"/>
          <w:b/>
          <w:color w:val="auto"/>
          <w:sz w:val="28"/>
          <w:szCs w:val="28"/>
          <w:highlight w:val="none"/>
        </w:rPr>
      </w:pPr>
    </w:p>
    <w:p w14:paraId="4C268955">
      <w:pPr>
        <w:pStyle w:val="35"/>
        <w:spacing w:line="400" w:lineRule="exact"/>
        <w:rPr>
          <w:rFonts w:hint="eastAsia" w:ascii="宋体" w:hAnsi="宋体" w:eastAsia="宋体" w:cs="宋体"/>
          <w:b/>
          <w:color w:val="auto"/>
          <w:sz w:val="28"/>
          <w:szCs w:val="28"/>
          <w:highlight w:val="none"/>
        </w:rPr>
      </w:pPr>
    </w:p>
    <w:p w14:paraId="731F6B3A">
      <w:pPr>
        <w:pStyle w:val="35"/>
        <w:spacing w:line="400" w:lineRule="exact"/>
        <w:rPr>
          <w:rFonts w:hint="eastAsia" w:ascii="宋体" w:hAnsi="宋体" w:eastAsia="宋体" w:cs="宋体"/>
          <w:b/>
          <w:color w:val="auto"/>
          <w:sz w:val="28"/>
          <w:szCs w:val="28"/>
          <w:highlight w:val="none"/>
        </w:rPr>
      </w:pPr>
    </w:p>
    <w:p w14:paraId="4EEC3356">
      <w:pPr>
        <w:pStyle w:val="35"/>
        <w:spacing w:line="400" w:lineRule="exact"/>
        <w:rPr>
          <w:rFonts w:hint="eastAsia" w:ascii="宋体" w:hAnsi="宋体" w:eastAsia="宋体" w:cs="宋体"/>
          <w:b/>
          <w:color w:val="auto"/>
          <w:sz w:val="28"/>
          <w:szCs w:val="28"/>
          <w:highlight w:val="none"/>
        </w:rPr>
      </w:pPr>
    </w:p>
    <w:p w14:paraId="6E7A7C71">
      <w:pPr>
        <w:pStyle w:val="35"/>
        <w:spacing w:line="400" w:lineRule="exact"/>
        <w:rPr>
          <w:rFonts w:hint="eastAsia" w:ascii="宋体" w:hAnsi="宋体" w:eastAsia="宋体" w:cs="宋体"/>
          <w:b/>
          <w:color w:val="auto"/>
          <w:sz w:val="28"/>
          <w:szCs w:val="28"/>
          <w:highlight w:val="none"/>
        </w:rPr>
      </w:pPr>
    </w:p>
    <w:p w14:paraId="152DF571">
      <w:pPr>
        <w:pStyle w:val="35"/>
        <w:spacing w:line="400" w:lineRule="exact"/>
        <w:rPr>
          <w:rFonts w:hint="eastAsia" w:ascii="宋体" w:hAnsi="宋体" w:eastAsia="宋体" w:cs="宋体"/>
          <w:b/>
          <w:color w:val="auto"/>
          <w:sz w:val="28"/>
          <w:szCs w:val="28"/>
          <w:highlight w:val="none"/>
        </w:rPr>
      </w:pPr>
    </w:p>
    <w:p w14:paraId="6BA0C48A">
      <w:pPr>
        <w:pStyle w:val="35"/>
        <w:spacing w:line="400" w:lineRule="exact"/>
        <w:rPr>
          <w:rFonts w:hint="eastAsia" w:ascii="宋体" w:hAnsi="宋体" w:eastAsia="宋体" w:cs="宋体"/>
          <w:b/>
          <w:color w:val="auto"/>
          <w:sz w:val="28"/>
          <w:szCs w:val="28"/>
          <w:highlight w:val="none"/>
        </w:rPr>
      </w:pPr>
    </w:p>
    <w:p w14:paraId="615B5E8F">
      <w:pPr>
        <w:pStyle w:val="35"/>
        <w:spacing w:line="400" w:lineRule="exact"/>
        <w:rPr>
          <w:rFonts w:hint="eastAsia" w:ascii="宋体" w:hAnsi="宋体" w:eastAsia="宋体" w:cs="宋体"/>
          <w:b/>
          <w:color w:val="auto"/>
          <w:sz w:val="28"/>
          <w:szCs w:val="28"/>
          <w:highlight w:val="none"/>
        </w:rPr>
      </w:pPr>
    </w:p>
    <w:p w14:paraId="19C4914C">
      <w:pPr>
        <w:pStyle w:val="35"/>
        <w:spacing w:line="400" w:lineRule="exact"/>
        <w:rPr>
          <w:rFonts w:hint="eastAsia" w:ascii="宋体" w:hAnsi="宋体" w:eastAsia="宋体" w:cs="宋体"/>
          <w:b/>
          <w:color w:val="auto"/>
          <w:sz w:val="28"/>
          <w:szCs w:val="28"/>
          <w:highlight w:val="none"/>
        </w:rPr>
      </w:pPr>
    </w:p>
    <w:p w14:paraId="6CCEEB5F">
      <w:pPr>
        <w:pStyle w:val="35"/>
        <w:spacing w:line="400" w:lineRule="exact"/>
        <w:rPr>
          <w:rFonts w:hint="eastAsia" w:ascii="宋体" w:hAnsi="宋体" w:eastAsia="宋体" w:cs="宋体"/>
          <w:b/>
          <w:color w:val="auto"/>
          <w:sz w:val="28"/>
          <w:szCs w:val="28"/>
          <w:highlight w:val="none"/>
        </w:rPr>
      </w:pPr>
    </w:p>
    <w:p w14:paraId="11EB795A">
      <w:pPr>
        <w:pStyle w:val="35"/>
        <w:spacing w:line="400" w:lineRule="exact"/>
        <w:rPr>
          <w:rFonts w:hint="eastAsia" w:ascii="宋体" w:hAnsi="宋体" w:eastAsia="宋体" w:cs="宋体"/>
          <w:b/>
          <w:color w:val="auto"/>
          <w:sz w:val="28"/>
          <w:szCs w:val="28"/>
          <w:highlight w:val="none"/>
        </w:rPr>
      </w:pPr>
    </w:p>
    <w:p w14:paraId="0A52287A">
      <w:pPr>
        <w:pStyle w:val="35"/>
        <w:spacing w:line="400" w:lineRule="exact"/>
        <w:rPr>
          <w:rFonts w:hint="eastAsia" w:ascii="宋体" w:hAnsi="宋体" w:eastAsia="宋体" w:cs="宋体"/>
          <w:b/>
          <w:color w:val="auto"/>
          <w:sz w:val="28"/>
          <w:szCs w:val="28"/>
          <w:highlight w:val="none"/>
        </w:rPr>
      </w:pPr>
    </w:p>
    <w:p w14:paraId="2FC7CFDC">
      <w:pPr>
        <w:pStyle w:val="35"/>
        <w:spacing w:line="400" w:lineRule="exact"/>
        <w:rPr>
          <w:rFonts w:hint="eastAsia" w:ascii="宋体" w:hAnsi="宋体" w:eastAsia="宋体" w:cs="宋体"/>
          <w:b/>
          <w:color w:val="auto"/>
          <w:sz w:val="28"/>
          <w:szCs w:val="28"/>
          <w:highlight w:val="none"/>
        </w:rPr>
      </w:pPr>
    </w:p>
    <w:p w14:paraId="6875E09B">
      <w:pPr>
        <w:pStyle w:val="35"/>
        <w:spacing w:line="400" w:lineRule="exact"/>
        <w:rPr>
          <w:rFonts w:hint="eastAsia" w:ascii="宋体" w:hAnsi="宋体" w:eastAsia="宋体" w:cs="宋体"/>
          <w:b/>
          <w:color w:val="auto"/>
          <w:sz w:val="28"/>
          <w:szCs w:val="28"/>
          <w:highlight w:val="none"/>
        </w:rPr>
      </w:pPr>
    </w:p>
    <w:p w14:paraId="58644058">
      <w:pPr>
        <w:pStyle w:val="35"/>
        <w:spacing w:line="400" w:lineRule="exact"/>
        <w:rPr>
          <w:rFonts w:hint="eastAsia" w:ascii="宋体" w:hAnsi="宋体" w:eastAsia="宋体" w:cs="宋体"/>
          <w:b/>
          <w:color w:val="auto"/>
          <w:sz w:val="28"/>
          <w:szCs w:val="28"/>
          <w:highlight w:val="none"/>
        </w:rPr>
      </w:pPr>
    </w:p>
    <w:p w14:paraId="3E98D0DB">
      <w:pPr>
        <w:pStyle w:val="35"/>
        <w:spacing w:line="400" w:lineRule="exact"/>
        <w:rPr>
          <w:rFonts w:hint="eastAsia" w:ascii="宋体" w:hAnsi="宋体" w:eastAsia="宋体" w:cs="宋体"/>
          <w:b/>
          <w:color w:val="auto"/>
          <w:sz w:val="28"/>
          <w:szCs w:val="28"/>
          <w:highlight w:val="none"/>
        </w:rPr>
      </w:pPr>
    </w:p>
    <w:p w14:paraId="7943697E">
      <w:pPr>
        <w:pStyle w:val="35"/>
        <w:spacing w:line="400" w:lineRule="exact"/>
        <w:rPr>
          <w:rFonts w:hint="eastAsia" w:ascii="宋体" w:hAnsi="宋体" w:eastAsia="宋体" w:cs="宋体"/>
          <w:b/>
          <w:color w:val="auto"/>
          <w:sz w:val="28"/>
          <w:szCs w:val="28"/>
          <w:highlight w:val="none"/>
        </w:rPr>
      </w:pPr>
    </w:p>
    <w:p w14:paraId="331B2409">
      <w:pPr>
        <w:pStyle w:val="3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附件4：</w:t>
      </w:r>
    </w:p>
    <w:p w14:paraId="5302E16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rPr>
        <w:t>中小企业声明函</w:t>
      </w:r>
    </w:p>
    <w:p w14:paraId="0150C5EF">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本公司郑重声明，根据《政府采购促进中小企业发展管理办法》（财库﹝2020﹞46 号）的规定，本公司参加</w:t>
      </w:r>
      <w:r>
        <w:rPr>
          <w:rFonts w:hint="eastAsia" w:ascii="宋体" w:hAnsi="宋体" w:eastAsia="宋体" w:cs="宋体"/>
          <w:color w:val="auto"/>
          <w:sz w:val="22"/>
          <w:szCs w:val="22"/>
          <w:highlight w:val="none"/>
          <w:u w:val="single"/>
          <w:lang w:eastAsia="zh-CN"/>
        </w:rPr>
        <w:t>（单位名称）</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u w:val="single"/>
          <w:lang w:eastAsia="zh-CN"/>
        </w:rPr>
        <w:t>（项目名称）</w:t>
      </w:r>
      <w:r>
        <w:rPr>
          <w:rFonts w:hint="eastAsia" w:ascii="宋体" w:hAnsi="宋体" w:eastAsia="宋体" w:cs="宋体"/>
          <w:color w:val="auto"/>
          <w:sz w:val="22"/>
          <w:szCs w:val="22"/>
          <w:highlight w:val="none"/>
          <w:lang w:eastAsia="zh-CN"/>
        </w:rPr>
        <w:t>采购活动，提供的货物全部由符合政策要求的中小企业制造。相关企业（含联合体中的中小企业、签订分包意向协议的中小企业） 的具体情况如下：</w:t>
      </w:r>
    </w:p>
    <w:p w14:paraId="7A92FE77">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bookmarkStart w:id="202" w:name="_Toc417911732"/>
      <w:bookmarkStart w:id="203" w:name="_Toc413748654"/>
      <w:bookmarkStart w:id="204" w:name="_Toc419811733"/>
      <w:bookmarkStart w:id="205" w:name="_Toc387658050"/>
      <w:bookmarkStart w:id="206" w:name="_Toc387147344"/>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u w:val="single"/>
        </w:rPr>
        <w:t xml:space="preserve">（标的名称）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（采购文件中明确的所属行业）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41C625C3">
      <w:pPr>
        <w:keepNext w:val="0"/>
        <w:keepLines w:val="0"/>
        <w:pageBreakBefore w:val="0"/>
        <w:widowControl w:val="0"/>
        <w:kinsoku/>
        <w:wordWrap/>
        <w:overflowPunct/>
        <w:topLinePunct w:val="0"/>
        <w:autoSpaceDE/>
        <w:autoSpaceDN/>
        <w:bidi w:val="0"/>
        <w:adjustRightInd/>
        <w:snapToGrid/>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（采购文件中明确的所属行业）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1A450CD0">
      <w:pPr>
        <w:keepNext w:val="0"/>
        <w:keepLines w:val="0"/>
        <w:pageBreakBefore w:val="0"/>
        <w:widowControl w:val="0"/>
        <w:kinsoku/>
        <w:wordWrap/>
        <w:overflowPunct/>
        <w:topLinePunct w:val="0"/>
        <w:autoSpaceDE/>
        <w:autoSpaceDN/>
        <w:bidi w:val="0"/>
        <w:adjustRightInd/>
        <w:snapToGrid/>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630223CF">
      <w:pPr>
        <w:keepNext w:val="0"/>
        <w:keepLines w:val="0"/>
        <w:pageBreakBefore w:val="0"/>
        <w:widowControl w:val="0"/>
        <w:kinsoku/>
        <w:wordWrap/>
        <w:overflowPunct/>
        <w:topLinePunct w:val="0"/>
        <w:autoSpaceDE/>
        <w:autoSpaceDN/>
        <w:bidi w:val="0"/>
        <w:adjustRightInd/>
        <w:snapToGrid/>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以上企业，不属于大企业的分支机构，不存在控股股东为大企业的情形，也不存在与大企业的负责人为同一人的情形。</w:t>
      </w:r>
    </w:p>
    <w:p w14:paraId="6B0F39E4">
      <w:pPr>
        <w:keepNext w:val="0"/>
        <w:keepLines w:val="0"/>
        <w:pageBreakBefore w:val="0"/>
        <w:widowControl w:val="0"/>
        <w:kinsoku/>
        <w:wordWrap/>
        <w:overflowPunct/>
        <w:topLinePunct w:val="0"/>
        <w:autoSpaceDE/>
        <w:autoSpaceDN/>
        <w:bidi w:val="0"/>
        <w:adjustRightInd/>
        <w:snapToGrid/>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646646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w:t>
      </w:r>
    </w:p>
    <w:p w14:paraId="59FD63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0B1FC60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w:t>
      </w:r>
      <w:bookmarkEnd w:id="202"/>
      <w:bookmarkEnd w:id="203"/>
      <w:bookmarkEnd w:id="204"/>
      <w:bookmarkEnd w:id="205"/>
      <w:bookmarkEnd w:id="206"/>
      <w:r>
        <w:rPr>
          <w:rFonts w:hint="eastAsia" w:ascii="宋体" w:hAnsi="宋体" w:eastAsia="宋体" w:cs="宋体"/>
          <w:color w:val="auto"/>
          <w:sz w:val="22"/>
          <w:szCs w:val="22"/>
          <w:highlight w:val="none"/>
        </w:rPr>
        <w:t>从业人员、营业收入、资产总额填报上一年度数据，无上一年度数据的新成立企业可不填报。</w:t>
      </w:r>
    </w:p>
    <w:p w14:paraId="29A8C8DA">
      <w:pPr>
        <w:adjustRightInd w:val="0"/>
        <w:snapToGrid w:val="0"/>
        <w:spacing w:line="360" w:lineRule="auto"/>
        <w:rPr>
          <w:rFonts w:hint="eastAsia" w:ascii="宋体" w:hAnsi="宋体" w:eastAsia="宋体" w:cs="宋体"/>
          <w:color w:val="auto"/>
          <w:sz w:val="28"/>
          <w:szCs w:val="28"/>
          <w:highlight w:val="none"/>
        </w:rPr>
      </w:pPr>
    </w:p>
    <w:p w14:paraId="45950ECF">
      <w:pPr>
        <w:rPr>
          <w:rFonts w:hint="eastAsia" w:ascii="宋体" w:hAnsi="宋体" w:eastAsia="宋体" w:cs="宋体"/>
          <w:color w:val="auto"/>
          <w:highlight w:val="none"/>
        </w:rPr>
      </w:pPr>
    </w:p>
    <w:p w14:paraId="6C0203A3">
      <w:pPr>
        <w:adjustRightInd w:val="0"/>
        <w:snapToGrid w:val="0"/>
        <w:spacing w:line="360" w:lineRule="auto"/>
        <w:rPr>
          <w:rFonts w:hint="eastAsia" w:ascii="宋体" w:hAnsi="宋体" w:eastAsia="宋体" w:cs="宋体"/>
          <w:color w:val="auto"/>
          <w:sz w:val="28"/>
          <w:szCs w:val="28"/>
          <w:highlight w:val="none"/>
        </w:rPr>
      </w:pPr>
    </w:p>
    <w:p w14:paraId="2FEF4E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B4C6D4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附件5：</w:t>
      </w:r>
    </w:p>
    <w:p w14:paraId="7AF2E2C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color w:val="auto"/>
          <w:spacing w:val="6"/>
          <w:sz w:val="22"/>
          <w:szCs w:val="22"/>
          <w:highlight w:val="none"/>
        </w:rPr>
      </w:pPr>
      <w:bookmarkStart w:id="207" w:name="OLE_LINK14"/>
      <w:bookmarkStart w:id="208" w:name="OLE_LINK13"/>
      <w:r>
        <w:rPr>
          <w:rFonts w:hint="eastAsia" w:ascii="宋体" w:hAnsi="宋体" w:eastAsia="宋体" w:cs="宋体"/>
          <w:b/>
          <w:color w:val="auto"/>
          <w:spacing w:val="6"/>
          <w:sz w:val="22"/>
          <w:szCs w:val="22"/>
          <w:highlight w:val="none"/>
        </w:rPr>
        <w:t>残疾人福利性单位声明函</w:t>
      </w:r>
    </w:p>
    <w:bookmarkEnd w:id="207"/>
    <w:bookmarkEnd w:id="208"/>
    <w:p w14:paraId="66347DA4">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F86A8A">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4DD40B9B">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ascii="宋体" w:hAnsi="宋体" w:eastAsia="宋体" w:cs="宋体"/>
          <w:color w:val="auto"/>
          <w:spacing w:val="6"/>
          <w:sz w:val="22"/>
          <w:szCs w:val="22"/>
          <w:highlight w:val="none"/>
        </w:rPr>
      </w:pPr>
    </w:p>
    <w:p w14:paraId="2B510140">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ascii="宋体" w:hAnsi="宋体" w:eastAsia="宋体" w:cs="宋体"/>
          <w:color w:val="auto"/>
          <w:spacing w:val="6"/>
          <w:sz w:val="22"/>
          <w:szCs w:val="22"/>
          <w:highlight w:val="none"/>
        </w:rPr>
      </w:pPr>
    </w:p>
    <w:p w14:paraId="0BE1033F">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1560" w:firstLine="464" w:firstLineChars="200"/>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（盖单位章）：</w:t>
      </w:r>
    </w:p>
    <w:p w14:paraId="52A9287A">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1560" w:firstLine="464" w:firstLineChars="200"/>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w:t>
      </w:r>
    </w:p>
    <w:p w14:paraId="4908CBC2">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1560" w:firstLine="464"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                   日     期：    年   月  日</w:t>
      </w:r>
    </w:p>
    <w:p w14:paraId="1255D43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color w:val="auto"/>
          <w:sz w:val="22"/>
          <w:szCs w:val="22"/>
          <w:highlight w:val="none"/>
        </w:rPr>
      </w:pPr>
    </w:p>
    <w:p w14:paraId="5589282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p>
    <w:p w14:paraId="25794F3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p>
    <w:p w14:paraId="3BAB0C3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p>
    <w:p w14:paraId="623EEC3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p>
    <w:p w14:paraId="6F38B0EB">
      <w:pPr>
        <w:adjustRightInd w:val="0"/>
        <w:snapToGrid w:val="0"/>
        <w:spacing w:before="50" w:line="360" w:lineRule="auto"/>
        <w:jc w:val="center"/>
        <w:rPr>
          <w:rFonts w:hint="eastAsia" w:ascii="宋体" w:hAnsi="宋体" w:eastAsia="宋体" w:cs="宋体"/>
          <w:b/>
          <w:color w:val="auto"/>
          <w:sz w:val="36"/>
          <w:szCs w:val="36"/>
          <w:highlight w:val="none"/>
        </w:rPr>
      </w:pPr>
    </w:p>
    <w:p w14:paraId="56CABFBA">
      <w:pPr>
        <w:adjustRightInd w:val="0"/>
        <w:snapToGrid w:val="0"/>
        <w:spacing w:before="50" w:line="360" w:lineRule="auto"/>
        <w:jc w:val="center"/>
        <w:rPr>
          <w:rFonts w:hint="eastAsia" w:ascii="宋体" w:hAnsi="宋体" w:eastAsia="宋体" w:cs="宋体"/>
          <w:b/>
          <w:color w:val="auto"/>
          <w:sz w:val="36"/>
          <w:szCs w:val="36"/>
          <w:highlight w:val="none"/>
        </w:rPr>
      </w:pPr>
    </w:p>
    <w:p w14:paraId="751B7A48">
      <w:pPr>
        <w:adjustRightInd w:val="0"/>
        <w:snapToGrid w:val="0"/>
        <w:spacing w:line="360" w:lineRule="exact"/>
        <w:ind w:firstLine="525" w:firstLineChars="250"/>
        <w:rPr>
          <w:rFonts w:hint="eastAsia" w:ascii="宋体" w:hAnsi="宋体" w:eastAsia="宋体" w:cs="宋体"/>
          <w:color w:val="auto"/>
          <w:szCs w:val="21"/>
          <w:highlight w:val="none"/>
        </w:rPr>
      </w:pPr>
    </w:p>
    <w:p w14:paraId="22D7E1E4">
      <w:pPr>
        <w:adjustRightInd w:val="0"/>
        <w:snapToGrid w:val="0"/>
        <w:spacing w:before="50" w:line="360" w:lineRule="auto"/>
        <w:ind w:firstLine="1050" w:firstLineChars="500"/>
        <w:rPr>
          <w:rFonts w:hint="eastAsia" w:ascii="宋体" w:hAnsi="宋体" w:eastAsia="宋体" w:cs="宋体"/>
          <w:color w:val="auto"/>
          <w:szCs w:val="21"/>
          <w:highlight w:val="none"/>
        </w:rPr>
      </w:pPr>
    </w:p>
    <w:p w14:paraId="6EBE94B3">
      <w:pPr>
        <w:adjustRightInd w:val="0"/>
        <w:snapToGrid w:val="0"/>
        <w:spacing w:line="360" w:lineRule="auto"/>
        <w:rPr>
          <w:rFonts w:hint="eastAsia" w:ascii="宋体" w:hAnsi="宋体" w:eastAsia="宋体" w:cs="宋体"/>
          <w:b/>
          <w:color w:val="auto"/>
          <w:sz w:val="28"/>
          <w:szCs w:val="28"/>
          <w:highlight w:val="none"/>
        </w:rPr>
      </w:pPr>
    </w:p>
    <w:p w14:paraId="60AC3799">
      <w:pP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2"/>
          <w:szCs w:val="22"/>
          <w:highlight w:val="none"/>
        </w:rPr>
        <w:t>附件6：</w:t>
      </w:r>
    </w:p>
    <w:p w14:paraId="3290200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监狱企业证明文件</w:t>
      </w:r>
    </w:p>
    <w:p w14:paraId="5CF1A5F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rPr>
      </w:pPr>
    </w:p>
    <w:p w14:paraId="35934B3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36"/>
          <w:szCs w:val="36"/>
          <w:highlight w:val="none"/>
        </w:rPr>
      </w:pPr>
    </w:p>
    <w:p w14:paraId="1C5F02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1.无格式要求，由出具监狱企业证明的单位自行拟定；</w:t>
      </w:r>
    </w:p>
    <w:p w14:paraId="7E391B10">
      <w:pPr>
        <w:adjustRightInd w:val="0"/>
        <w:snapToGrid w:val="0"/>
        <w:spacing w:before="50" w:line="360" w:lineRule="auto"/>
        <w:jc w:val="left"/>
        <w:rPr>
          <w:rFonts w:hint="eastAsia" w:ascii="宋体" w:hAnsi="宋体" w:eastAsia="宋体" w:cs="宋体"/>
          <w:b/>
          <w:color w:val="auto"/>
          <w:sz w:val="28"/>
          <w:szCs w:val="28"/>
          <w:highlight w:val="none"/>
        </w:rPr>
      </w:pPr>
    </w:p>
    <w:p w14:paraId="4784A540">
      <w:pPr>
        <w:adjustRightInd w:val="0"/>
        <w:snapToGrid w:val="0"/>
        <w:spacing w:before="50" w:line="360" w:lineRule="auto"/>
        <w:jc w:val="left"/>
        <w:rPr>
          <w:rFonts w:hint="eastAsia" w:ascii="宋体" w:hAnsi="宋体" w:eastAsia="宋体" w:cs="宋体"/>
          <w:b/>
          <w:color w:val="auto"/>
          <w:sz w:val="28"/>
          <w:szCs w:val="28"/>
          <w:highlight w:val="none"/>
        </w:rPr>
      </w:pPr>
    </w:p>
    <w:p w14:paraId="08979F13">
      <w:pPr>
        <w:pStyle w:val="11"/>
        <w:rPr>
          <w:rFonts w:hint="eastAsia" w:ascii="宋体" w:hAnsi="宋体" w:eastAsia="宋体" w:cs="宋体"/>
          <w:b/>
          <w:color w:val="auto"/>
          <w:sz w:val="28"/>
          <w:szCs w:val="28"/>
          <w:highlight w:val="none"/>
        </w:rPr>
      </w:pPr>
    </w:p>
    <w:p w14:paraId="185E8BB2">
      <w:pPr>
        <w:pStyle w:val="11"/>
        <w:rPr>
          <w:rFonts w:hint="eastAsia" w:ascii="宋体" w:hAnsi="宋体" w:eastAsia="宋体" w:cs="宋体"/>
          <w:b/>
          <w:color w:val="auto"/>
          <w:sz w:val="28"/>
          <w:szCs w:val="28"/>
          <w:highlight w:val="none"/>
        </w:rPr>
      </w:pPr>
    </w:p>
    <w:p w14:paraId="6057E37C">
      <w:pPr>
        <w:pStyle w:val="11"/>
        <w:rPr>
          <w:rFonts w:hint="eastAsia" w:ascii="宋体" w:hAnsi="宋体" w:eastAsia="宋体" w:cs="宋体"/>
          <w:b/>
          <w:color w:val="auto"/>
          <w:sz w:val="28"/>
          <w:szCs w:val="28"/>
          <w:highlight w:val="none"/>
        </w:rPr>
      </w:pPr>
    </w:p>
    <w:p w14:paraId="4F3BAEBE">
      <w:pPr>
        <w:pStyle w:val="11"/>
        <w:rPr>
          <w:rFonts w:hint="eastAsia" w:ascii="宋体" w:hAnsi="宋体" w:eastAsia="宋体" w:cs="宋体"/>
          <w:b/>
          <w:color w:val="auto"/>
          <w:sz w:val="28"/>
          <w:szCs w:val="28"/>
          <w:highlight w:val="none"/>
        </w:rPr>
      </w:pPr>
    </w:p>
    <w:p w14:paraId="42078AE1">
      <w:pPr>
        <w:pStyle w:val="11"/>
        <w:rPr>
          <w:rFonts w:hint="eastAsia" w:ascii="宋体" w:hAnsi="宋体" w:eastAsia="宋体" w:cs="宋体"/>
          <w:b/>
          <w:color w:val="auto"/>
          <w:sz w:val="28"/>
          <w:szCs w:val="28"/>
          <w:highlight w:val="none"/>
        </w:rPr>
      </w:pPr>
    </w:p>
    <w:p w14:paraId="7FA93F32">
      <w:pPr>
        <w:pStyle w:val="11"/>
        <w:rPr>
          <w:rFonts w:hint="eastAsia" w:ascii="宋体" w:hAnsi="宋体" w:eastAsia="宋体" w:cs="宋体"/>
          <w:b/>
          <w:color w:val="auto"/>
          <w:sz w:val="28"/>
          <w:szCs w:val="28"/>
          <w:highlight w:val="none"/>
        </w:rPr>
      </w:pPr>
    </w:p>
    <w:p w14:paraId="53852B0C">
      <w:pPr>
        <w:pStyle w:val="11"/>
        <w:rPr>
          <w:rFonts w:hint="eastAsia" w:ascii="宋体" w:hAnsi="宋体" w:eastAsia="宋体" w:cs="宋体"/>
          <w:b/>
          <w:color w:val="auto"/>
          <w:sz w:val="28"/>
          <w:szCs w:val="28"/>
          <w:highlight w:val="none"/>
        </w:rPr>
      </w:pPr>
    </w:p>
    <w:p w14:paraId="3AB22FDF">
      <w:pPr>
        <w:pStyle w:val="11"/>
        <w:rPr>
          <w:rFonts w:hint="eastAsia" w:ascii="宋体" w:hAnsi="宋体" w:eastAsia="宋体" w:cs="宋体"/>
          <w:b/>
          <w:color w:val="auto"/>
          <w:sz w:val="28"/>
          <w:szCs w:val="28"/>
          <w:highlight w:val="none"/>
        </w:rPr>
      </w:pPr>
    </w:p>
    <w:p w14:paraId="47B82160">
      <w:pPr>
        <w:pStyle w:val="11"/>
        <w:rPr>
          <w:rFonts w:hint="eastAsia" w:ascii="宋体" w:hAnsi="宋体" w:eastAsia="宋体" w:cs="宋体"/>
          <w:b/>
          <w:color w:val="auto"/>
          <w:sz w:val="28"/>
          <w:szCs w:val="28"/>
          <w:highlight w:val="none"/>
        </w:rPr>
      </w:pPr>
    </w:p>
    <w:p w14:paraId="506AC7E2">
      <w:pPr>
        <w:pStyle w:val="11"/>
        <w:rPr>
          <w:rFonts w:hint="eastAsia" w:ascii="宋体" w:hAnsi="宋体" w:eastAsia="宋体" w:cs="宋体"/>
          <w:b/>
          <w:color w:val="auto"/>
          <w:sz w:val="28"/>
          <w:szCs w:val="28"/>
          <w:highlight w:val="none"/>
        </w:rPr>
      </w:pPr>
    </w:p>
    <w:p w14:paraId="48394B0E">
      <w:pPr>
        <w:pStyle w:val="11"/>
        <w:rPr>
          <w:rFonts w:hint="eastAsia" w:ascii="宋体" w:hAnsi="宋体" w:eastAsia="宋体" w:cs="宋体"/>
          <w:b/>
          <w:color w:val="auto"/>
          <w:sz w:val="28"/>
          <w:szCs w:val="28"/>
          <w:highlight w:val="none"/>
        </w:rPr>
      </w:pPr>
    </w:p>
    <w:p w14:paraId="0A250908">
      <w:pPr>
        <w:pStyle w:val="11"/>
        <w:rPr>
          <w:rFonts w:hint="eastAsia" w:ascii="宋体" w:hAnsi="宋体" w:eastAsia="宋体" w:cs="宋体"/>
          <w:b/>
          <w:color w:val="auto"/>
          <w:sz w:val="28"/>
          <w:szCs w:val="28"/>
          <w:highlight w:val="none"/>
        </w:rPr>
      </w:pPr>
    </w:p>
    <w:p w14:paraId="6AE65A46">
      <w:pPr>
        <w:pStyle w:val="11"/>
        <w:rPr>
          <w:rFonts w:hint="eastAsia" w:ascii="宋体" w:hAnsi="宋体" w:eastAsia="宋体" w:cs="宋体"/>
          <w:b/>
          <w:color w:val="auto"/>
          <w:sz w:val="28"/>
          <w:szCs w:val="28"/>
          <w:highlight w:val="none"/>
        </w:rPr>
      </w:pPr>
    </w:p>
    <w:p w14:paraId="0E98FF23">
      <w:pPr>
        <w:pStyle w:val="11"/>
        <w:rPr>
          <w:rFonts w:hint="eastAsia" w:ascii="宋体" w:hAnsi="宋体" w:eastAsia="宋体" w:cs="宋体"/>
          <w:b/>
          <w:color w:val="auto"/>
          <w:sz w:val="28"/>
          <w:szCs w:val="28"/>
          <w:highlight w:val="none"/>
        </w:rPr>
      </w:pPr>
    </w:p>
    <w:p w14:paraId="5A8D4140">
      <w:pPr>
        <w:pStyle w:val="11"/>
        <w:rPr>
          <w:rFonts w:hint="eastAsia" w:ascii="宋体" w:hAnsi="宋体" w:eastAsia="宋体" w:cs="宋体"/>
          <w:b/>
          <w:color w:val="auto"/>
          <w:sz w:val="28"/>
          <w:szCs w:val="28"/>
          <w:highlight w:val="none"/>
        </w:rPr>
      </w:pPr>
    </w:p>
    <w:p w14:paraId="0EA2573B">
      <w:pPr>
        <w:pStyle w:val="11"/>
        <w:rPr>
          <w:rFonts w:hint="eastAsia" w:ascii="宋体" w:hAnsi="宋体" w:eastAsia="宋体" w:cs="宋体"/>
          <w:b/>
          <w:color w:val="auto"/>
          <w:sz w:val="28"/>
          <w:szCs w:val="28"/>
          <w:highlight w:val="none"/>
        </w:rPr>
      </w:pPr>
    </w:p>
    <w:p w14:paraId="7D4A8A66">
      <w:pPr>
        <w:pStyle w:val="11"/>
        <w:rPr>
          <w:rFonts w:hint="eastAsia" w:ascii="宋体" w:hAnsi="宋体" w:eastAsia="宋体" w:cs="宋体"/>
          <w:b/>
          <w:color w:val="auto"/>
          <w:sz w:val="28"/>
          <w:szCs w:val="28"/>
          <w:highlight w:val="none"/>
        </w:rPr>
      </w:pPr>
    </w:p>
    <w:p w14:paraId="117227B9">
      <w:pPr>
        <w:pStyle w:val="11"/>
        <w:rPr>
          <w:rFonts w:hint="eastAsia" w:ascii="宋体" w:hAnsi="宋体" w:eastAsia="宋体" w:cs="宋体"/>
          <w:b/>
          <w:color w:val="auto"/>
          <w:sz w:val="28"/>
          <w:szCs w:val="28"/>
          <w:highlight w:val="none"/>
        </w:rPr>
      </w:pPr>
    </w:p>
    <w:p w14:paraId="7174FF80">
      <w:pPr>
        <w:pStyle w:val="11"/>
        <w:rPr>
          <w:rFonts w:hint="eastAsia" w:ascii="宋体" w:hAnsi="宋体" w:eastAsia="宋体" w:cs="宋体"/>
          <w:b/>
          <w:color w:val="auto"/>
          <w:sz w:val="28"/>
          <w:szCs w:val="28"/>
          <w:highlight w:val="none"/>
        </w:rPr>
      </w:pPr>
    </w:p>
    <w:p w14:paraId="3D46321E">
      <w:pPr>
        <w:pStyle w:val="11"/>
        <w:rPr>
          <w:rFonts w:hint="eastAsia" w:ascii="宋体" w:hAnsi="宋体" w:eastAsia="宋体" w:cs="宋体"/>
          <w:b/>
          <w:color w:val="auto"/>
          <w:sz w:val="28"/>
          <w:szCs w:val="28"/>
          <w:highlight w:val="none"/>
        </w:rPr>
      </w:pPr>
    </w:p>
    <w:p w14:paraId="2407D087">
      <w:pPr>
        <w:pStyle w:val="11"/>
        <w:rPr>
          <w:rFonts w:hint="eastAsia" w:ascii="宋体" w:hAnsi="宋体" w:eastAsia="宋体" w:cs="宋体"/>
          <w:b/>
          <w:color w:val="auto"/>
          <w:sz w:val="28"/>
          <w:szCs w:val="28"/>
          <w:highlight w:val="none"/>
        </w:rPr>
      </w:pPr>
    </w:p>
    <w:p w14:paraId="5167EE9A">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附件7</w:t>
      </w:r>
    </w:p>
    <w:p w14:paraId="0A77C11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“节能</w:t>
      </w:r>
      <w:r>
        <w:rPr>
          <w:rFonts w:hint="eastAsia" w:ascii="宋体" w:hAnsi="宋体" w:eastAsia="宋体" w:cs="宋体"/>
          <w:b/>
          <w:bCs/>
          <w:color w:val="auto"/>
          <w:sz w:val="22"/>
          <w:szCs w:val="22"/>
          <w:highlight w:val="none"/>
        </w:rPr>
        <w:t>产品</w:t>
      </w:r>
      <w:r>
        <w:rPr>
          <w:rFonts w:hint="eastAsia" w:ascii="宋体" w:hAnsi="宋体" w:eastAsia="宋体" w:cs="宋体"/>
          <w:b/>
          <w:color w:val="auto"/>
          <w:sz w:val="22"/>
          <w:szCs w:val="22"/>
          <w:highlight w:val="none"/>
        </w:rPr>
        <w:t>”、“环境标志</w:t>
      </w:r>
      <w:r>
        <w:rPr>
          <w:rFonts w:hint="eastAsia" w:ascii="宋体" w:hAnsi="宋体" w:eastAsia="宋体" w:cs="宋体"/>
          <w:b/>
          <w:bCs/>
          <w:color w:val="auto"/>
          <w:sz w:val="22"/>
          <w:szCs w:val="22"/>
          <w:highlight w:val="none"/>
        </w:rPr>
        <w:t>产品</w:t>
      </w:r>
      <w:r>
        <w:rPr>
          <w:rFonts w:hint="eastAsia" w:ascii="宋体" w:hAnsi="宋体" w:eastAsia="宋体" w:cs="宋体"/>
          <w:b/>
          <w:color w:val="auto"/>
          <w:sz w:val="22"/>
          <w:szCs w:val="22"/>
          <w:highlight w:val="none"/>
        </w:rPr>
        <w:t>”证明材料</w:t>
      </w:r>
    </w:p>
    <w:p w14:paraId="69C7C929">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14556438">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color w:val="auto"/>
          <w:sz w:val="22"/>
          <w:szCs w:val="22"/>
          <w:highlight w:val="none"/>
        </w:rPr>
        <w:t>投标人提供的产品</w:t>
      </w:r>
      <w:r>
        <w:rPr>
          <w:rFonts w:hint="eastAsia" w:ascii="宋体" w:hAnsi="宋体" w:eastAsia="宋体" w:cs="宋体"/>
          <w:bCs/>
          <w:color w:val="auto"/>
          <w:sz w:val="22"/>
          <w:szCs w:val="22"/>
          <w:highlight w:val="none"/>
        </w:rPr>
        <w:t>属于节能产品或环境标志产品的</w:t>
      </w:r>
      <w:r>
        <w:rPr>
          <w:rFonts w:hint="eastAsia" w:ascii="宋体" w:hAnsi="宋体" w:eastAsia="宋体" w:cs="宋体"/>
          <w:color w:val="auto"/>
          <w:sz w:val="22"/>
          <w:szCs w:val="22"/>
          <w:highlight w:val="none"/>
        </w:rPr>
        <w:t>，应按投标人须知第3.4.1项规定提供相关证明材料，并在《货物（产品）分项报价表》中填写相应的证书编号；</w:t>
      </w:r>
    </w:p>
    <w:p w14:paraId="779E547E">
      <w:pPr>
        <w:keepNext w:val="0"/>
        <w:keepLines w:val="0"/>
        <w:pageBreakBefore w:val="0"/>
        <w:widowControl w:val="0"/>
        <w:kinsoku/>
        <w:wordWrap/>
        <w:overflowPunct/>
        <w:topLinePunct w:val="0"/>
        <w:autoSpaceDE/>
        <w:autoSpaceDN/>
        <w:bidi w:val="0"/>
        <w:adjustRightInd w:val="0"/>
        <w:snapToGrid w:val="0"/>
        <w:spacing w:line="480" w:lineRule="exact"/>
        <w:ind w:firstLine="550" w:firstLineChars="25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2.投标人未按上述要求提供、</w:t>
      </w:r>
      <w:r>
        <w:rPr>
          <w:rFonts w:hint="eastAsia" w:ascii="宋体" w:hAnsi="宋体" w:eastAsia="宋体" w:cs="宋体"/>
          <w:color w:val="auto"/>
          <w:sz w:val="22"/>
          <w:szCs w:val="22"/>
          <w:highlight w:val="none"/>
        </w:rPr>
        <w:t>填写</w:t>
      </w:r>
      <w:r>
        <w:rPr>
          <w:rFonts w:hint="eastAsia" w:ascii="宋体" w:hAnsi="宋体" w:eastAsia="宋体" w:cs="宋体"/>
          <w:bCs/>
          <w:color w:val="auto"/>
          <w:sz w:val="22"/>
          <w:szCs w:val="22"/>
          <w:highlight w:val="none"/>
        </w:rPr>
        <w:t>的，评标时不予加分。</w:t>
      </w:r>
    </w:p>
    <w:p w14:paraId="4202795A">
      <w:pPr>
        <w:adjustRightInd w:val="0"/>
        <w:snapToGrid w:val="0"/>
        <w:spacing w:line="360" w:lineRule="auto"/>
        <w:ind w:firstLine="525" w:firstLineChars="250"/>
        <w:rPr>
          <w:rFonts w:hint="eastAsia" w:ascii="宋体" w:hAnsi="宋体" w:eastAsia="宋体" w:cs="宋体"/>
          <w:bCs/>
          <w:color w:val="auto"/>
          <w:szCs w:val="21"/>
          <w:highlight w:val="none"/>
        </w:rPr>
      </w:pPr>
    </w:p>
    <w:p w14:paraId="7C2B0877">
      <w:pPr>
        <w:adjustRightInd w:val="0"/>
        <w:snapToGrid w:val="0"/>
        <w:spacing w:line="360" w:lineRule="auto"/>
        <w:ind w:firstLine="525" w:firstLineChars="250"/>
        <w:rPr>
          <w:rFonts w:hint="eastAsia" w:ascii="宋体" w:hAnsi="宋体" w:eastAsia="宋体" w:cs="宋体"/>
          <w:bCs/>
          <w:color w:val="auto"/>
          <w:szCs w:val="21"/>
          <w:highlight w:val="none"/>
        </w:rPr>
      </w:pPr>
    </w:p>
    <w:p w14:paraId="5E9B99E3">
      <w:pPr>
        <w:adjustRightInd w:val="0"/>
        <w:snapToGrid w:val="0"/>
        <w:spacing w:line="360" w:lineRule="auto"/>
        <w:ind w:firstLine="525" w:firstLineChars="250"/>
        <w:rPr>
          <w:rFonts w:hint="eastAsia" w:ascii="宋体" w:hAnsi="宋体" w:eastAsia="宋体" w:cs="宋体"/>
          <w:bCs/>
          <w:color w:val="auto"/>
          <w:szCs w:val="21"/>
          <w:highlight w:val="none"/>
        </w:rPr>
      </w:pPr>
    </w:p>
    <w:p w14:paraId="524D021F">
      <w:pPr>
        <w:adjustRightInd w:val="0"/>
        <w:snapToGrid w:val="0"/>
        <w:spacing w:line="360" w:lineRule="auto"/>
        <w:ind w:firstLine="525" w:firstLineChars="250"/>
        <w:rPr>
          <w:rFonts w:hint="eastAsia" w:ascii="宋体" w:hAnsi="宋体" w:eastAsia="宋体" w:cs="宋体"/>
          <w:bCs/>
          <w:color w:val="auto"/>
          <w:szCs w:val="21"/>
          <w:highlight w:val="none"/>
        </w:rPr>
      </w:pPr>
    </w:p>
    <w:p w14:paraId="16AADC4F">
      <w:pPr>
        <w:adjustRightInd w:val="0"/>
        <w:snapToGrid w:val="0"/>
        <w:spacing w:line="360" w:lineRule="auto"/>
        <w:ind w:firstLine="525" w:firstLineChars="250"/>
        <w:rPr>
          <w:rFonts w:hint="eastAsia" w:ascii="宋体" w:hAnsi="宋体" w:eastAsia="宋体" w:cs="宋体"/>
          <w:bCs/>
          <w:color w:val="auto"/>
          <w:szCs w:val="21"/>
          <w:highlight w:val="none"/>
        </w:rPr>
      </w:pPr>
    </w:p>
    <w:p w14:paraId="3A634D70">
      <w:pPr>
        <w:adjustRightInd w:val="0"/>
        <w:snapToGrid w:val="0"/>
        <w:spacing w:line="360" w:lineRule="auto"/>
        <w:ind w:firstLine="525" w:firstLineChars="250"/>
        <w:rPr>
          <w:rFonts w:hint="eastAsia" w:ascii="宋体" w:hAnsi="宋体" w:eastAsia="宋体" w:cs="宋体"/>
          <w:bCs/>
          <w:color w:val="auto"/>
          <w:szCs w:val="21"/>
          <w:highlight w:val="none"/>
        </w:rPr>
      </w:pPr>
    </w:p>
    <w:p w14:paraId="3435A5F8">
      <w:pPr>
        <w:adjustRightInd w:val="0"/>
        <w:snapToGrid w:val="0"/>
        <w:spacing w:line="360" w:lineRule="auto"/>
        <w:ind w:firstLine="525" w:firstLineChars="250"/>
        <w:rPr>
          <w:rFonts w:hint="eastAsia" w:ascii="宋体" w:hAnsi="宋体" w:eastAsia="宋体" w:cs="宋体"/>
          <w:bCs/>
          <w:color w:val="auto"/>
          <w:szCs w:val="21"/>
          <w:highlight w:val="none"/>
        </w:rPr>
      </w:pPr>
    </w:p>
    <w:p w14:paraId="47D01537">
      <w:pPr>
        <w:adjustRightInd w:val="0"/>
        <w:snapToGrid w:val="0"/>
        <w:spacing w:line="360" w:lineRule="auto"/>
        <w:ind w:firstLine="525" w:firstLineChars="250"/>
        <w:rPr>
          <w:rFonts w:hint="eastAsia" w:ascii="宋体" w:hAnsi="宋体" w:eastAsia="宋体" w:cs="宋体"/>
          <w:bCs/>
          <w:color w:val="auto"/>
          <w:szCs w:val="21"/>
          <w:highlight w:val="none"/>
        </w:rPr>
      </w:pPr>
    </w:p>
    <w:p w14:paraId="68E3F7EF">
      <w:pPr>
        <w:adjustRightInd w:val="0"/>
        <w:snapToGrid w:val="0"/>
        <w:spacing w:line="360" w:lineRule="auto"/>
        <w:ind w:firstLine="525" w:firstLineChars="250"/>
        <w:rPr>
          <w:rFonts w:hint="eastAsia" w:ascii="宋体" w:hAnsi="宋体" w:eastAsia="宋体" w:cs="宋体"/>
          <w:bCs/>
          <w:color w:val="auto"/>
          <w:szCs w:val="21"/>
          <w:highlight w:val="none"/>
        </w:rPr>
      </w:pPr>
    </w:p>
    <w:p w14:paraId="55F698F2">
      <w:pPr>
        <w:adjustRightInd w:val="0"/>
        <w:snapToGrid w:val="0"/>
        <w:spacing w:line="360" w:lineRule="auto"/>
        <w:ind w:firstLine="525" w:firstLineChars="250"/>
        <w:rPr>
          <w:rFonts w:hint="eastAsia" w:ascii="宋体" w:hAnsi="宋体" w:eastAsia="宋体" w:cs="宋体"/>
          <w:bCs/>
          <w:color w:val="auto"/>
          <w:szCs w:val="21"/>
          <w:highlight w:val="none"/>
        </w:rPr>
      </w:pPr>
    </w:p>
    <w:p w14:paraId="30792230">
      <w:pPr>
        <w:adjustRightInd w:val="0"/>
        <w:snapToGrid w:val="0"/>
        <w:spacing w:line="360" w:lineRule="auto"/>
        <w:ind w:firstLine="525" w:firstLineChars="250"/>
        <w:rPr>
          <w:rFonts w:hint="eastAsia" w:ascii="宋体" w:hAnsi="宋体" w:eastAsia="宋体" w:cs="宋体"/>
          <w:bCs/>
          <w:color w:val="auto"/>
          <w:szCs w:val="21"/>
          <w:highlight w:val="none"/>
        </w:rPr>
      </w:pPr>
    </w:p>
    <w:p w14:paraId="472EC3B7">
      <w:pPr>
        <w:adjustRightInd w:val="0"/>
        <w:snapToGrid w:val="0"/>
        <w:spacing w:line="360" w:lineRule="auto"/>
        <w:ind w:firstLine="525" w:firstLineChars="250"/>
        <w:rPr>
          <w:rFonts w:hint="eastAsia" w:ascii="宋体" w:hAnsi="宋体" w:eastAsia="宋体" w:cs="宋体"/>
          <w:bCs/>
          <w:color w:val="auto"/>
          <w:szCs w:val="21"/>
          <w:highlight w:val="none"/>
        </w:rPr>
      </w:pPr>
    </w:p>
    <w:p w14:paraId="15C7C35B">
      <w:pPr>
        <w:adjustRightInd w:val="0"/>
        <w:snapToGrid w:val="0"/>
        <w:spacing w:line="360" w:lineRule="auto"/>
        <w:ind w:firstLine="525" w:firstLineChars="250"/>
        <w:rPr>
          <w:rFonts w:hint="eastAsia" w:ascii="宋体" w:hAnsi="宋体" w:eastAsia="宋体" w:cs="宋体"/>
          <w:bCs/>
          <w:color w:val="auto"/>
          <w:szCs w:val="21"/>
          <w:highlight w:val="none"/>
        </w:rPr>
      </w:pPr>
    </w:p>
    <w:p w14:paraId="7F8A4FE5">
      <w:pPr>
        <w:adjustRightInd w:val="0"/>
        <w:snapToGrid w:val="0"/>
        <w:spacing w:line="360" w:lineRule="auto"/>
        <w:ind w:firstLine="525" w:firstLineChars="250"/>
        <w:rPr>
          <w:rFonts w:hint="eastAsia" w:ascii="宋体" w:hAnsi="宋体" w:eastAsia="宋体" w:cs="宋体"/>
          <w:bCs/>
          <w:color w:val="auto"/>
          <w:szCs w:val="21"/>
          <w:highlight w:val="none"/>
        </w:rPr>
      </w:pPr>
    </w:p>
    <w:p w14:paraId="06F76083">
      <w:pPr>
        <w:adjustRightInd w:val="0"/>
        <w:snapToGrid w:val="0"/>
        <w:spacing w:line="360" w:lineRule="auto"/>
        <w:ind w:firstLine="525" w:firstLineChars="250"/>
        <w:rPr>
          <w:rFonts w:hint="eastAsia" w:ascii="宋体" w:hAnsi="宋体" w:eastAsia="宋体" w:cs="宋体"/>
          <w:bCs/>
          <w:color w:val="auto"/>
          <w:szCs w:val="21"/>
          <w:highlight w:val="none"/>
        </w:rPr>
      </w:pPr>
    </w:p>
    <w:p w14:paraId="18E9A733">
      <w:pPr>
        <w:adjustRightInd w:val="0"/>
        <w:snapToGrid w:val="0"/>
        <w:spacing w:line="360" w:lineRule="auto"/>
        <w:ind w:firstLine="525" w:firstLineChars="250"/>
        <w:rPr>
          <w:rFonts w:hint="eastAsia" w:ascii="宋体" w:hAnsi="宋体" w:eastAsia="宋体" w:cs="宋体"/>
          <w:bCs/>
          <w:color w:val="auto"/>
          <w:szCs w:val="21"/>
          <w:highlight w:val="none"/>
        </w:rPr>
      </w:pPr>
    </w:p>
    <w:p w14:paraId="5CE84CC0">
      <w:pPr>
        <w:adjustRightInd w:val="0"/>
        <w:snapToGrid w:val="0"/>
        <w:spacing w:line="360" w:lineRule="auto"/>
        <w:ind w:firstLine="525" w:firstLineChars="250"/>
        <w:rPr>
          <w:rFonts w:hint="eastAsia" w:ascii="宋体" w:hAnsi="宋体" w:eastAsia="宋体" w:cs="宋体"/>
          <w:bCs/>
          <w:color w:val="auto"/>
          <w:szCs w:val="21"/>
          <w:highlight w:val="none"/>
        </w:rPr>
      </w:pPr>
    </w:p>
    <w:p w14:paraId="4E59B982">
      <w:pPr>
        <w:adjustRightInd w:val="0"/>
        <w:snapToGrid w:val="0"/>
        <w:spacing w:line="360" w:lineRule="auto"/>
        <w:ind w:firstLine="525" w:firstLineChars="250"/>
        <w:rPr>
          <w:rFonts w:hint="eastAsia" w:ascii="宋体" w:hAnsi="宋体" w:eastAsia="宋体" w:cs="宋体"/>
          <w:bCs/>
          <w:color w:val="auto"/>
          <w:szCs w:val="21"/>
          <w:highlight w:val="none"/>
        </w:rPr>
      </w:pPr>
    </w:p>
    <w:p w14:paraId="13794CF0">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331EC1AD">
      <w:pPr>
        <w:rPr>
          <w:rFonts w:hint="eastAsia" w:ascii="宋体" w:hAnsi="宋体" w:eastAsia="宋体" w:cs="宋体"/>
          <w:b/>
          <w:bCs/>
          <w:i w:val="0"/>
          <w:iCs w:val="0"/>
          <w:caps w:val="0"/>
          <w:color w:val="auto"/>
          <w:spacing w:val="0"/>
          <w:sz w:val="27"/>
          <w:szCs w:val="27"/>
          <w:highlight w:val="none"/>
          <w:shd w:val="clear" w:fill="FFFFFF"/>
          <w:vertAlign w:val="baseline"/>
        </w:rPr>
      </w:pPr>
      <w:r>
        <w:rPr>
          <w:rFonts w:hint="eastAsia" w:ascii="宋体" w:hAnsi="宋体" w:eastAsia="宋体" w:cs="宋体"/>
          <w:b/>
          <w:bCs/>
          <w:i w:val="0"/>
          <w:iCs w:val="0"/>
          <w:caps w:val="0"/>
          <w:color w:val="auto"/>
          <w:spacing w:val="0"/>
          <w:sz w:val="27"/>
          <w:szCs w:val="27"/>
          <w:highlight w:val="none"/>
          <w:shd w:val="clear" w:fill="FFFFFF"/>
          <w:vertAlign w:val="baseline"/>
        </w:rPr>
        <w:br w:type="page"/>
      </w:r>
    </w:p>
    <w:p w14:paraId="627BF9CD">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附件8</w:t>
      </w:r>
    </w:p>
    <w:p w14:paraId="7736AE1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国务院办公厅关于在政府采购中实施本国产品标准及相关政策的通知</w:t>
      </w:r>
    </w:p>
    <w:p w14:paraId="02C29A9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国办发〔2025〕34号</w:t>
      </w:r>
    </w:p>
    <w:p w14:paraId="455415B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各省、自治区、直辖市人民政府，国务院各部委、各直属机构：</w:t>
      </w:r>
    </w:p>
    <w:p w14:paraId="18F4C86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C8EAE1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一、本国产品标准</w:t>
      </w:r>
    </w:p>
    <w:p w14:paraId="1D3A49D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本国产品应当符合以下条件：</w:t>
      </w:r>
    </w:p>
    <w:p w14:paraId="094E1E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（一）在中国境内生产</w:t>
      </w:r>
    </w:p>
    <w:p w14:paraId="014119F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产品应当在中国境内生产，即在中华人民共和国关境内实现从原材料、组件到产品的属性改变。</w:t>
      </w:r>
    </w:p>
    <w:p w14:paraId="77B07B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属性改变是指经过制造、加工或者组装等工序，产生完全不同于原材料、组件的新产品，并具有新的名称和特征（用途）。属性改变不包括以下细微操作：</w:t>
      </w:r>
    </w:p>
    <w:p w14:paraId="4FBE7DD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1.为确保产品在运输或者储存期间保持某种状态而进行的操作；</w:t>
      </w:r>
    </w:p>
    <w:p w14:paraId="220C948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2.为产品运输或者销售进行的包装或者展示；</w:t>
      </w:r>
    </w:p>
    <w:p w14:paraId="0C24C96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3.在产品或者其包装上粘贴或者印刷品牌、标志、标识以及其他用于区别的标记；</w:t>
      </w:r>
    </w:p>
    <w:p w14:paraId="5CF47D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4.简单的上漆、磨光和分装；</w:t>
      </w:r>
    </w:p>
    <w:p w14:paraId="6022984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5.其他不属于属性改变的情形。</w:t>
      </w:r>
    </w:p>
    <w:p w14:paraId="2F1B045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（二）在中国境内生产的组件成本占比达到规定比例</w:t>
      </w:r>
    </w:p>
    <w:p w14:paraId="1DB32D1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产品在中国境内生产的组件成本占比应当达到规定比例，计算公式为：</w:t>
      </w:r>
    </w:p>
    <w:p w14:paraId="7AFC0D9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drawing>
          <wp:anchor distT="0" distB="0" distL="114300" distR="114300" simplePos="0" relativeHeight="251659264" behindDoc="0" locked="0" layoutInCell="1" allowOverlap="1">
            <wp:simplePos x="0" y="0"/>
            <wp:positionH relativeFrom="column">
              <wp:posOffset>419100</wp:posOffset>
            </wp:positionH>
            <wp:positionV relativeFrom="paragraph">
              <wp:posOffset>83820</wp:posOffset>
            </wp:positionV>
            <wp:extent cx="4410075" cy="904875"/>
            <wp:effectExtent l="0" t="0" r="9525" b="9525"/>
            <wp:wrapNone/>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4410075" cy="904875"/>
                    </a:xfrm>
                    <a:prstGeom prst="rect">
                      <a:avLst/>
                    </a:prstGeom>
                    <a:noFill/>
                    <a:ln w="9525">
                      <a:noFill/>
                    </a:ln>
                  </pic:spPr>
                </pic:pic>
              </a:graphicData>
            </a:graphic>
          </wp:anchor>
        </w:drawing>
      </w:r>
    </w:p>
    <w:p w14:paraId="7596343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i w:val="0"/>
          <w:iCs w:val="0"/>
          <w:caps w:val="0"/>
          <w:color w:val="auto"/>
          <w:spacing w:val="0"/>
          <w:sz w:val="22"/>
          <w:szCs w:val="22"/>
          <w:highlight w:val="none"/>
          <w:shd w:val="clear" w:fill="FFFFFF"/>
          <w:vertAlign w:val="baseline"/>
        </w:rPr>
      </w:pPr>
    </w:p>
    <w:p w14:paraId="1D02EE0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i w:val="0"/>
          <w:iCs w:val="0"/>
          <w:caps w:val="0"/>
          <w:color w:val="auto"/>
          <w:spacing w:val="0"/>
          <w:sz w:val="22"/>
          <w:szCs w:val="22"/>
          <w:highlight w:val="none"/>
          <w:shd w:val="clear" w:fill="FFFFFF"/>
          <w:vertAlign w:val="baseline"/>
        </w:rPr>
      </w:pPr>
    </w:p>
    <w:p w14:paraId="3B38FEA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A6A33C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（三）特定产品的关键组件、关键工序符合相关要求</w:t>
      </w:r>
    </w:p>
    <w:p w14:paraId="30DBA0F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D5B0DF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24F876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二、本国产品标准的适用范围</w:t>
      </w:r>
    </w:p>
    <w:p w14:paraId="693AD7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1D5BC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三、对本国产品的支持政策</w:t>
      </w:r>
    </w:p>
    <w:p w14:paraId="647F7FD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b/>
          <w:bCs/>
          <w:color w:val="auto"/>
          <w:sz w:val="22"/>
          <w:szCs w:val="22"/>
          <w:highlight w:val="none"/>
          <w:u w:val="single"/>
        </w:rPr>
      </w:pPr>
      <w:r>
        <w:rPr>
          <w:rFonts w:hint="eastAsia" w:ascii="宋体" w:hAnsi="宋体" w:eastAsia="宋体" w:cs="宋体"/>
          <w:b/>
          <w:bCs/>
          <w:i w:val="0"/>
          <w:iCs w:val="0"/>
          <w:caps w:val="0"/>
          <w:color w:val="auto"/>
          <w:spacing w:val="0"/>
          <w:sz w:val="22"/>
          <w:szCs w:val="22"/>
          <w:highlight w:val="none"/>
          <w:u w:val="singl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545518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b/>
          <w:bCs/>
          <w:color w:val="auto"/>
          <w:sz w:val="22"/>
          <w:szCs w:val="22"/>
          <w:highlight w:val="none"/>
        </w:rPr>
      </w:pPr>
      <w:r>
        <w:rPr>
          <w:rFonts w:hint="eastAsia" w:ascii="宋体" w:hAnsi="宋体" w:eastAsia="宋体" w:cs="宋体"/>
          <w:b/>
          <w:bCs/>
          <w:i w:val="0"/>
          <w:iCs w:val="0"/>
          <w:caps w:val="0"/>
          <w:color w:val="auto"/>
          <w:spacing w:val="0"/>
          <w:sz w:val="22"/>
          <w:szCs w:val="22"/>
          <w:highlight w:val="none"/>
          <w:shd w:val="clear" w:fill="FFFFFF"/>
          <w:vertAlign w:val="baseli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934329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四、政策执行要求</w:t>
      </w:r>
    </w:p>
    <w:p w14:paraId="66A3BD5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（一）产品在中国境内生产的组件成本核算规则。产品在中国境内生产的组件成本，按照《中国境内生产的组件成本核算基本规则》（见附件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8</w:t>
      </w:r>
      <w:r>
        <w:rPr>
          <w:rFonts w:hint="eastAsia" w:ascii="宋体" w:hAnsi="宋体" w:eastAsia="宋体" w:cs="宋体"/>
          <w:i w:val="0"/>
          <w:iCs w:val="0"/>
          <w:caps w:val="0"/>
          <w:color w:val="auto"/>
          <w:spacing w:val="0"/>
          <w:sz w:val="22"/>
          <w:szCs w:val="22"/>
          <w:highlight w:val="none"/>
          <w:shd w:val="clear" w:fill="FFFFFF"/>
          <w:vertAlign w:val="baseline"/>
        </w:rPr>
        <w:t>）计算。</w:t>
      </w:r>
    </w:p>
    <w:p w14:paraId="4B77D1F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（二）有关证明文件。采购人、采购代理机构应当在采购文件中明确要求投标人对其提供的产品出具《关于符合本国产品标准的声明函》（样式见附件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9</w:t>
      </w:r>
      <w:r>
        <w:rPr>
          <w:rFonts w:hint="eastAsia" w:ascii="宋体" w:hAnsi="宋体" w:eastAsia="宋体" w:cs="宋体"/>
          <w:i w:val="0"/>
          <w:iCs w:val="0"/>
          <w:caps w:val="0"/>
          <w:color w:val="auto"/>
          <w:spacing w:val="0"/>
          <w:sz w:val="22"/>
          <w:szCs w:val="22"/>
          <w:highlight w:val="none"/>
          <w:shd w:val="clear" w:fill="FFFFFF"/>
          <w:vertAlign w:val="baseline"/>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37AEAB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采购人、采购代理机构应当随中标结果同时公告中标投标人提供的《声明函》或有关证明文件。</w:t>
      </w:r>
    </w:p>
    <w:p w14:paraId="41BC162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三）平等对待各类经营主体。国有企业、民营企业、外资企业等各类经营主体平等享受对本国产品的政府采购支持政策。采购人、采购代理机构在政府采购信息发布、投标人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DEB423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（四）中华人民共和国缔结或者共同参加的国际条约、协定对政府采购中本国产品政策另有规定的，按照有关条约、协定执行。</w:t>
      </w:r>
    </w:p>
    <w:p w14:paraId="2EA9276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五、争议处理</w:t>
      </w:r>
    </w:p>
    <w:p w14:paraId="282FDC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692C0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（一）政府采购投诉处理、监督检查中，对产品或组件是否在中国境内生产存在争议的，按照以下原则处理：</w:t>
      </w:r>
    </w:p>
    <w:p w14:paraId="2F1E59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339B69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33CB9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8A97F0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0C18CD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03FF5B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本通知自2026年1月1日起施行。</w:t>
      </w:r>
    </w:p>
    <w:p w14:paraId="12D51B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right"/>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国务院办公厅　        </w:t>
      </w:r>
    </w:p>
    <w:p w14:paraId="31D1941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righ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2"/>
          <w:szCs w:val="22"/>
          <w:highlight w:val="none"/>
          <w:shd w:val="clear" w:fill="FFFFFF"/>
          <w:vertAlign w:val="baseline"/>
        </w:rPr>
        <w:t>2025年9月28日   </w:t>
      </w:r>
      <w:r>
        <w:rPr>
          <w:rFonts w:hint="eastAsia" w:ascii="宋体" w:hAnsi="宋体" w:eastAsia="宋体" w:cs="宋体"/>
          <w:i w:val="0"/>
          <w:iCs w:val="0"/>
          <w:caps w:val="0"/>
          <w:color w:val="auto"/>
          <w:spacing w:val="0"/>
          <w:sz w:val="21"/>
          <w:szCs w:val="21"/>
          <w:highlight w:val="none"/>
          <w:shd w:val="clear" w:fill="FFFFFF"/>
          <w:vertAlign w:val="baseline"/>
        </w:rPr>
        <w:t>      </w:t>
      </w:r>
    </w:p>
    <w:p w14:paraId="6E10F4B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64" w:beforeAutospacing="0" w:after="164" w:afterAutospacing="0" w:line="435" w:lineRule="atLeast"/>
        <w:ind w:left="136" w:right="204"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 </w:t>
      </w:r>
    </w:p>
    <w:p w14:paraId="342ED25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64" w:beforeAutospacing="0" w:after="164" w:afterAutospacing="0" w:line="435" w:lineRule="atLeast"/>
        <w:ind w:left="136" w:right="204" w:firstLine="42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 </w:t>
      </w:r>
    </w:p>
    <w:p w14:paraId="098BF759">
      <w:pPr>
        <w:rPr>
          <w:rStyle w:val="25"/>
          <w:rFonts w:hint="eastAsia" w:ascii="宋体" w:hAnsi="宋体" w:eastAsia="宋体" w:cs="宋体"/>
          <w:b/>
          <w:bCs/>
          <w:i w:val="0"/>
          <w:iCs w:val="0"/>
          <w:caps w:val="0"/>
          <w:color w:val="auto"/>
          <w:spacing w:val="0"/>
          <w:sz w:val="21"/>
          <w:szCs w:val="21"/>
          <w:highlight w:val="none"/>
          <w:shd w:val="clear" w:fill="FFFFFF"/>
          <w:vertAlign w:val="baseline"/>
        </w:rPr>
      </w:pPr>
      <w:r>
        <w:rPr>
          <w:rStyle w:val="25"/>
          <w:rFonts w:hint="eastAsia" w:ascii="宋体" w:hAnsi="宋体" w:eastAsia="宋体" w:cs="宋体"/>
          <w:b/>
          <w:bCs/>
          <w:i w:val="0"/>
          <w:iCs w:val="0"/>
          <w:caps w:val="0"/>
          <w:color w:val="auto"/>
          <w:spacing w:val="0"/>
          <w:sz w:val="21"/>
          <w:szCs w:val="21"/>
          <w:highlight w:val="none"/>
          <w:shd w:val="clear" w:fill="FFFFFF"/>
          <w:vertAlign w:val="baseline"/>
        </w:rPr>
        <w:br w:type="page"/>
      </w:r>
    </w:p>
    <w:p w14:paraId="37B41F5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中国境内生产的组件成本核算基本规则</w:t>
      </w:r>
    </w:p>
    <w:p w14:paraId="4A9AB75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D7B9A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一、产品的一级组件是指直接组成产品的组件。产品的二级组件是指直接组成产品一级组件的组件。一级组件不可分解的，视同二级组件。</w:t>
      </w:r>
    </w:p>
    <w:p w14:paraId="713F937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二、二级组件在中国境内生产的，其全部成本计入中国境内生产的组件成本；二级组件不在中国境内生产的，其成本不计入中国境内生产的组件成本。</w:t>
      </w:r>
    </w:p>
    <w:p w14:paraId="780FF6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三、产品总成本和组件成本以相关会计核算数据、采购合同、进货记录等为基础进行计算。</w:t>
      </w:r>
    </w:p>
    <w:p w14:paraId="07DB1F3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四、需要对成本核算规则予以进一步明确的其他有关事项，由财政部会同有关部门另行规定。</w:t>
      </w:r>
    </w:p>
    <w:p w14:paraId="3BFF6D8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 </w:t>
      </w:r>
    </w:p>
    <w:p w14:paraId="3A704BC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 </w:t>
      </w:r>
    </w:p>
    <w:p w14:paraId="168818D0">
      <w:pPr>
        <w:keepNext w:val="0"/>
        <w:keepLines w:val="0"/>
        <w:pageBreakBefore w:val="0"/>
        <w:kinsoku/>
        <w:wordWrap/>
        <w:overflowPunct/>
        <w:topLinePunct w:val="0"/>
        <w:autoSpaceDE/>
        <w:autoSpaceDN/>
        <w:bidi w:val="0"/>
        <w:adjustRightInd/>
        <w:snapToGrid/>
        <w:spacing w:line="480" w:lineRule="exact"/>
        <w:ind w:left="0" w:right="0"/>
        <w:rPr>
          <w:rStyle w:val="25"/>
          <w:rFonts w:hint="eastAsia" w:ascii="宋体" w:hAnsi="宋体" w:eastAsia="宋体" w:cs="宋体"/>
          <w:b/>
          <w:bCs/>
          <w:i w:val="0"/>
          <w:iCs w:val="0"/>
          <w:caps w:val="0"/>
          <w:color w:val="auto"/>
          <w:spacing w:val="0"/>
          <w:sz w:val="22"/>
          <w:szCs w:val="22"/>
          <w:highlight w:val="none"/>
          <w:shd w:val="clear" w:fill="FFFFFF"/>
          <w:vertAlign w:val="baseli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br w:type="page"/>
      </w:r>
    </w:p>
    <w:p w14:paraId="720298D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baseline"/>
        <w:rPr>
          <w:rFonts w:hint="eastAsia" w:ascii="宋体" w:hAnsi="宋体" w:eastAsia="宋体" w:cs="宋体"/>
          <w:color w:val="auto"/>
          <w:sz w:val="22"/>
          <w:szCs w:val="22"/>
          <w:highlight w:val="none"/>
        </w:rPr>
      </w:pPr>
      <w:r>
        <w:rPr>
          <w:rStyle w:val="25"/>
          <w:rFonts w:hint="eastAsia" w:ascii="宋体" w:hAnsi="宋体" w:eastAsia="宋体" w:cs="宋体"/>
          <w:b/>
          <w:bCs/>
          <w:i w:val="0"/>
          <w:iCs w:val="0"/>
          <w:caps w:val="0"/>
          <w:color w:val="auto"/>
          <w:spacing w:val="0"/>
          <w:sz w:val="22"/>
          <w:szCs w:val="22"/>
          <w:highlight w:val="none"/>
          <w:shd w:val="clear" w:fill="FFFFFF"/>
          <w:vertAlign w:val="baseline"/>
        </w:rPr>
        <w:t>关于符合本国产品标准的声明函</w:t>
      </w:r>
    </w:p>
    <w:p w14:paraId="3701DFC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本公司</w:t>
      </w:r>
      <w:r>
        <w:rPr>
          <w:rFonts w:hint="eastAsia" w:ascii="宋体" w:hAnsi="宋体" w:eastAsia="宋体" w:cs="宋体"/>
          <w:i w:val="0"/>
          <w:iCs w:val="0"/>
          <w:caps w:val="0"/>
          <w:color w:val="auto"/>
          <w:spacing w:val="0"/>
          <w:sz w:val="22"/>
          <w:szCs w:val="22"/>
          <w:highlight w:val="none"/>
          <w:u w:val="none"/>
          <w:shd w:val="clear" w:fill="FFFFFF"/>
          <w:vertAlign w:val="baseline"/>
        </w:rPr>
        <w:t>（单位）</w:t>
      </w:r>
      <w:r>
        <w:rPr>
          <w:rFonts w:hint="eastAsia" w:ascii="宋体" w:hAnsi="宋体" w:eastAsia="宋体" w:cs="宋体"/>
          <w:i w:val="0"/>
          <w:iCs w:val="0"/>
          <w:caps w:val="0"/>
          <w:color w:val="auto"/>
          <w:spacing w:val="0"/>
          <w:sz w:val="22"/>
          <w:szCs w:val="22"/>
          <w:highlight w:val="none"/>
          <w:shd w:val="clear" w:fill="FFFFFF"/>
          <w:vertAlign w:val="baseline"/>
        </w:rPr>
        <w:t>郑重声明，根据《国务院办公厅关于在政府采购中实施本国产品标准及相关政策的通知》（国办发〔2025〕34号）的规定，本公司</w:t>
      </w:r>
      <w:r>
        <w:rPr>
          <w:rFonts w:hint="eastAsia" w:ascii="宋体" w:hAnsi="宋体" w:eastAsia="宋体" w:cs="宋体"/>
          <w:i w:val="0"/>
          <w:iCs w:val="0"/>
          <w:caps w:val="0"/>
          <w:color w:val="auto"/>
          <w:spacing w:val="0"/>
          <w:sz w:val="22"/>
          <w:szCs w:val="22"/>
          <w:highlight w:val="none"/>
          <w:u w:val="none"/>
          <w:shd w:val="clear" w:fill="FFFFFF"/>
          <w:vertAlign w:val="baseline"/>
        </w:rPr>
        <w:t>（单位）</w:t>
      </w:r>
      <w:r>
        <w:rPr>
          <w:rFonts w:hint="eastAsia" w:ascii="宋体" w:hAnsi="宋体" w:eastAsia="宋体" w:cs="宋体"/>
          <w:i w:val="0"/>
          <w:iCs w:val="0"/>
          <w:caps w:val="0"/>
          <w:color w:val="auto"/>
          <w:spacing w:val="0"/>
          <w:sz w:val="22"/>
          <w:szCs w:val="22"/>
          <w:highlight w:val="none"/>
          <w:shd w:val="clear" w:fill="FFFFFF"/>
          <w:vertAlign w:val="baseline"/>
        </w:rPr>
        <w:t>提供的以下产品属于本国产品。具体情况如下：</w:t>
      </w:r>
    </w:p>
    <w:p w14:paraId="084D36D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（产品名称1）</w:t>
      </w:r>
      <w:r>
        <w:rPr>
          <w:rStyle w:val="27"/>
          <w:rFonts w:hint="eastAsia" w:ascii="宋体" w:hAnsi="宋体" w:eastAsia="宋体" w:cs="宋体"/>
          <w:i w:val="0"/>
          <w:iCs w:val="0"/>
          <w:caps w:val="0"/>
          <w:color w:val="auto"/>
          <w:spacing w:val="0"/>
          <w:sz w:val="22"/>
          <w:szCs w:val="22"/>
          <w:highlight w:val="none"/>
          <w:shd w:val="clear" w:fill="FFFFFF"/>
          <w:vertAlign w:val="baseline"/>
        </w:rPr>
        <w:t>1</w:t>
      </w:r>
      <w:r>
        <w:rPr>
          <w:rFonts w:hint="eastAsia" w:ascii="宋体" w:hAnsi="宋体" w:eastAsia="宋体" w:cs="宋体"/>
          <w:i w:val="0"/>
          <w:iCs w:val="0"/>
          <w:caps w:val="0"/>
          <w:color w:val="auto"/>
          <w:spacing w:val="0"/>
          <w:sz w:val="22"/>
          <w:szCs w:val="22"/>
          <w:highlight w:val="none"/>
          <w:shd w:val="clear" w:fill="FFFFFF"/>
          <w:vertAlign w:val="baseline"/>
        </w:rPr>
        <w:t>，生产厂为</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（厂名）</w:t>
      </w:r>
      <w:r>
        <w:rPr>
          <w:rStyle w:val="27"/>
          <w:rFonts w:hint="eastAsia" w:ascii="宋体" w:hAnsi="宋体" w:eastAsia="宋体" w:cs="宋体"/>
          <w:i w:val="0"/>
          <w:iCs w:val="0"/>
          <w:caps w:val="0"/>
          <w:color w:val="auto"/>
          <w:spacing w:val="0"/>
          <w:sz w:val="22"/>
          <w:szCs w:val="22"/>
          <w:highlight w:val="none"/>
          <w:shd w:val="clear" w:fill="FFFFFF"/>
          <w:vertAlign w:val="baseline"/>
        </w:rPr>
        <w:t>2</w:t>
      </w:r>
      <w:r>
        <w:rPr>
          <w:rFonts w:hint="eastAsia" w:ascii="宋体" w:hAnsi="宋体" w:eastAsia="宋体" w:cs="宋体"/>
          <w:i w:val="0"/>
          <w:iCs w:val="0"/>
          <w:caps w:val="0"/>
          <w:color w:val="auto"/>
          <w:spacing w:val="0"/>
          <w:sz w:val="22"/>
          <w:szCs w:val="22"/>
          <w:highlight w:val="none"/>
          <w:shd w:val="clear" w:fill="FFFFFF"/>
          <w:vertAlign w:val="baseline"/>
        </w:rPr>
        <w:t>，厂址为</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（生产厂址）</w:t>
      </w:r>
      <w:r>
        <w:rPr>
          <w:rFonts w:hint="eastAsia" w:ascii="宋体" w:hAnsi="宋体" w:eastAsia="宋体" w:cs="宋体"/>
          <w:i w:val="0"/>
          <w:iCs w:val="0"/>
          <w:caps w:val="0"/>
          <w:color w:val="auto"/>
          <w:spacing w:val="0"/>
          <w:sz w:val="22"/>
          <w:szCs w:val="22"/>
          <w:highlight w:val="none"/>
          <w:shd w:val="clear" w:fill="FFFFFF"/>
          <w:vertAlign w:val="baseline"/>
        </w:rPr>
        <w:t>。</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（产品名称1）</w:t>
      </w:r>
      <w:r>
        <w:rPr>
          <w:rFonts w:hint="eastAsia" w:ascii="宋体" w:hAnsi="宋体" w:eastAsia="宋体" w:cs="宋体"/>
          <w:i w:val="0"/>
          <w:iCs w:val="0"/>
          <w:caps w:val="0"/>
          <w:color w:val="auto"/>
          <w:spacing w:val="0"/>
          <w:sz w:val="22"/>
          <w:szCs w:val="22"/>
          <w:highlight w:val="none"/>
          <w:shd w:val="clear" w:fill="FFFFFF"/>
          <w:vertAlign w:val="baseline"/>
        </w:rPr>
        <w:t>的中国境内生产的组件成本占比≥</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（规定比例）</w:t>
      </w:r>
      <w:r>
        <w:rPr>
          <w:rStyle w:val="27"/>
          <w:rFonts w:hint="eastAsia" w:ascii="宋体" w:hAnsi="宋体" w:eastAsia="宋体" w:cs="宋体"/>
          <w:i w:val="0"/>
          <w:iCs w:val="0"/>
          <w:caps w:val="0"/>
          <w:color w:val="auto"/>
          <w:spacing w:val="0"/>
          <w:sz w:val="22"/>
          <w:szCs w:val="22"/>
          <w:highlight w:val="none"/>
          <w:shd w:val="clear" w:fill="FFFFFF"/>
          <w:vertAlign w:val="baseline"/>
        </w:rPr>
        <w:t>3</w:t>
      </w:r>
      <w:r>
        <w:rPr>
          <w:rFonts w:hint="eastAsia" w:ascii="宋体" w:hAnsi="宋体" w:eastAsia="宋体" w:cs="宋体"/>
          <w:i w:val="0"/>
          <w:iCs w:val="0"/>
          <w:caps w:val="0"/>
          <w:color w:val="auto"/>
          <w:spacing w:val="0"/>
          <w:sz w:val="22"/>
          <w:szCs w:val="22"/>
          <w:highlight w:val="none"/>
          <w:shd w:val="clear" w:fill="FFFFFF"/>
          <w:vertAlign w:val="baseline"/>
        </w:rPr>
        <w:t>。</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（产品名称1）</w:t>
      </w:r>
      <w:r>
        <w:rPr>
          <w:rFonts w:hint="eastAsia" w:ascii="宋体" w:hAnsi="宋体" w:eastAsia="宋体" w:cs="宋体"/>
          <w:i w:val="0"/>
          <w:iCs w:val="0"/>
          <w:caps w:val="0"/>
          <w:color w:val="auto"/>
          <w:spacing w:val="0"/>
          <w:sz w:val="22"/>
          <w:szCs w:val="22"/>
          <w:highlight w:val="none"/>
          <w:shd w:val="clear" w:fill="FFFFFF"/>
          <w:vertAlign w:val="baseline"/>
        </w:rPr>
        <w:t>的</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（关键组件）</w:t>
      </w:r>
      <w:r>
        <w:rPr>
          <w:rStyle w:val="27"/>
          <w:rFonts w:hint="eastAsia" w:ascii="宋体" w:hAnsi="宋体" w:eastAsia="宋体" w:cs="宋体"/>
          <w:i w:val="0"/>
          <w:iCs w:val="0"/>
          <w:caps w:val="0"/>
          <w:color w:val="auto"/>
          <w:spacing w:val="0"/>
          <w:sz w:val="22"/>
          <w:szCs w:val="22"/>
          <w:highlight w:val="none"/>
          <w:shd w:val="clear" w:fill="FFFFFF"/>
          <w:vertAlign w:val="baseline"/>
        </w:rPr>
        <w:t>4</w:t>
      </w:r>
      <w:r>
        <w:rPr>
          <w:rFonts w:hint="eastAsia" w:ascii="宋体" w:hAnsi="宋体" w:eastAsia="宋体" w:cs="宋体"/>
          <w:i w:val="0"/>
          <w:iCs w:val="0"/>
          <w:caps w:val="0"/>
          <w:color w:val="auto"/>
          <w:spacing w:val="0"/>
          <w:sz w:val="22"/>
          <w:szCs w:val="22"/>
          <w:highlight w:val="none"/>
          <w:shd w:val="clear" w:fill="FFFFFF"/>
          <w:vertAlign w:val="baseline"/>
        </w:rPr>
        <w:t>在中国境内生产。</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（产品名称1）</w:t>
      </w:r>
      <w:r>
        <w:rPr>
          <w:rFonts w:hint="eastAsia" w:ascii="宋体" w:hAnsi="宋体" w:eastAsia="宋体" w:cs="宋体"/>
          <w:i w:val="0"/>
          <w:iCs w:val="0"/>
          <w:caps w:val="0"/>
          <w:color w:val="auto"/>
          <w:spacing w:val="0"/>
          <w:sz w:val="22"/>
          <w:szCs w:val="22"/>
          <w:highlight w:val="none"/>
          <w:shd w:val="clear" w:fill="FFFFFF"/>
          <w:vertAlign w:val="baseline"/>
        </w:rPr>
        <w:t>的</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（关键工序）</w:t>
      </w:r>
      <w:r>
        <w:rPr>
          <w:rStyle w:val="27"/>
          <w:rFonts w:hint="eastAsia" w:ascii="宋体" w:hAnsi="宋体" w:eastAsia="宋体" w:cs="宋体"/>
          <w:i w:val="0"/>
          <w:iCs w:val="0"/>
          <w:caps w:val="0"/>
          <w:color w:val="auto"/>
          <w:spacing w:val="0"/>
          <w:sz w:val="22"/>
          <w:szCs w:val="22"/>
          <w:highlight w:val="none"/>
          <w:shd w:val="clear" w:fill="FFFFFF"/>
          <w:vertAlign w:val="baseline"/>
        </w:rPr>
        <w:t>5</w:t>
      </w:r>
      <w:r>
        <w:rPr>
          <w:rFonts w:hint="eastAsia" w:ascii="宋体" w:hAnsi="宋体" w:eastAsia="宋体" w:cs="宋体"/>
          <w:i w:val="0"/>
          <w:iCs w:val="0"/>
          <w:caps w:val="0"/>
          <w:color w:val="auto"/>
          <w:spacing w:val="0"/>
          <w:sz w:val="22"/>
          <w:szCs w:val="22"/>
          <w:highlight w:val="none"/>
          <w:shd w:val="clear" w:fill="FFFFFF"/>
          <w:vertAlign w:val="baseline"/>
        </w:rPr>
        <w:t>在中国境内完成。</w:t>
      </w:r>
    </w:p>
    <w:p w14:paraId="41074C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2.</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（产品名称2）</w:t>
      </w:r>
      <w:r>
        <w:rPr>
          <w:rFonts w:hint="eastAsia" w:ascii="宋体" w:hAnsi="宋体" w:eastAsia="宋体" w:cs="宋体"/>
          <w:i w:val="0"/>
          <w:iCs w:val="0"/>
          <w:caps w:val="0"/>
          <w:color w:val="auto"/>
          <w:spacing w:val="0"/>
          <w:sz w:val="22"/>
          <w:szCs w:val="22"/>
          <w:highlight w:val="none"/>
          <w:shd w:val="clear" w:fill="FFFFFF"/>
          <w:vertAlign w:val="baseline"/>
        </w:rPr>
        <w:t>，生产厂为</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（厂名）</w:t>
      </w:r>
      <w:r>
        <w:rPr>
          <w:rFonts w:hint="eastAsia" w:ascii="宋体" w:hAnsi="宋体" w:eastAsia="宋体" w:cs="宋体"/>
          <w:i w:val="0"/>
          <w:iCs w:val="0"/>
          <w:caps w:val="0"/>
          <w:color w:val="auto"/>
          <w:spacing w:val="0"/>
          <w:sz w:val="22"/>
          <w:szCs w:val="22"/>
          <w:highlight w:val="none"/>
          <w:shd w:val="clear" w:fill="FFFFFF"/>
          <w:vertAlign w:val="baseline"/>
        </w:rPr>
        <w:t>，厂址为</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（生产厂址）</w:t>
      </w:r>
      <w:r>
        <w:rPr>
          <w:rFonts w:hint="eastAsia" w:ascii="宋体" w:hAnsi="宋体" w:eastAsia="宋体" w:cs="宋体"/>
          <w:i w:val="0"/>
          <w:iCs w:val="0"/>
          <w:caps w:val="0"/>
          <w:color w:val="auto"/>
          <w:spacing w:val="0"/>
          <w:sz w:val="22"/>
          <w:szCs w:val="22"/>
          <w:highlight w:val="none"/>
          <w:shd w:val="clear" w:fill="FFFFFF"/>
          <w:vertAlign w:val="baseline"/>
        </w:rPr>
        <w:t>。</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（产品名称2）</w:t>
      </w:r>
      <w:r>
        <w:rPr>
          <w:rFonts w:hint="eastAsia" w:ascii="宋体" w:hAnsi="宋体" w:eastAsia="宋体" w:cs="宋体"/>
          <w:i w:val="0"/>
          <w:iCs w:val="0"/>
          <w:caps w:val="0"/>
          <w:color w:val="auto"/>
          <w:spacing w:val="0"/>
          <w:sz w:val="22"/>
          <w:szCs w:val="22"/>
          <w:highlight w:val="none"/>
          <w:shd w:val="clear" w:fill="FFFFFF"/>
          <w:vertAlign w:val="baseline"/>
        </w:rPr>
        <w:t>的中国境内生产的组件成本占比≥</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（规定比例）</w:t>
      </w:r>
      <w:r>
        <w:rPr>
          <w:rFonts w:hint="eastAsia" w:ascii="宋体" w:hAnsi="宋体" w:eastAsia="宋体" w:cs="宋体"/>
          <w:i w:val="0"/>
          <w:iCs w:val="0"/>
          <w:caps w:val="0"/>
          <w:color w:val="auto"/>
          <w:spacing w:val="0"/>
          <w:sz w:val="22"/>
          <w:szCs w:val="22"/>
          <w:highlight w:val="none"/>
          <w:shd w:val="clear" w:fill="FFFFFF"/>
          <w:vertAlign w:val="baseline"/>
        </w:rPr>
        <w:t>。</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（产品名称2）</w:t>
      </w:r>
      <w:r>
        <w:rPr>
          <w:rFonts w:hint="eastAsia" w:ascii="宋体" w:hAnsi="宋体" w:eastAsia="宋体" w:cs="宋体"/>
          <w:i w:val="0"/>
          <w:iCs w:val="0"/>
          <w:caps w:val="0"/>
          <w:color w:val="auto"/>
          <w:spacing w:val="0"/>
          <w:sz w:val="22"/>
          <w:szCs w:val="22"/>
          <w:highlight w:val="none"/>
          <w:shd w:val="clear" w:fill="FFFFFF"/>
          <w:vertAlign w:val="baseline"/>
        </w:rPr>
        <w:t>的</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（关键组件）</w:t>
      </w:r>
      <w:r>
        <w:rPr>
          <w:rFonts w:hint="eastAsia" w:ascii="宋体" w:hAnsi="宋体" w:eastAsia="宋体" w:cs="宋体"/>
          <w:i w:val="0"/>
          <w:iCs w:val="0"/>
          <w:caps w:val="0"/>
          <w:color w:val="auto"/>
          <w:spacing w:val="0"/>
          <w:sz w:val="22"/>
          <w:szCs w:val="22"/>
          <w:highlight w:val="none"/>
          <w:shd w:val="clear" w:fill="FFFFFF"/>
          <w:vertAlign w:val="baseline"/>
        </w:rPr>
        <w:t>在中国境内生产。</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（产品名称2）</w:t>
      </w:r>
      <w:r>
        <w:rPr>
          <w:rFonts w:hint="eastAsia" w:ascii="宋体" w:hAnsi="宋体" w:eastAsia="宋体" w:cs="宋体"/>
          <w:i w:val="0"/>
          <w:iCs w:val="0"/>
          <w:caps w:val="0"/>
          <w:color w:val="auto"/>
          <w:spacing w:val="0"/>
          <w:sz w:val="22"/>
          <w:szCs w:val="22"/>
          <w:highlight w:val="none"/>
          <w:shd w:val="clear" w:fill="FFFFFF"/>
          <w:vertAlign w:val="baseline"/>
        </w:rPr>
        <w:t>的</w:t>
      </w:r>
      <w:r>
        <w:rPr>
          <w:rStyle w:val="27"/>
          <w:rFonts w:hint="eastAsia" w:ascii="宋体" w:hAnsi="宋体" w:eastAsia="宋体" w:cs="宋体"/>
          <w:i w:val="0"/>
          <w:iCs w:val="0"/>
          <w:caps w:val="0"/>
          <w:color w:val="auto"/>
          <w:spacing w:val="0"/>
          <w:sz w:val="22"/>
          <w:szCs w:val="22"/>
          <w:highlight w:val="none"/>
          <w:u w:val="single"/>
          <w:shd w:val="clear" w:fill="FFFFFF"/>
          <w:vertAlign w:val="baseline"/>
        </w:rPr>
        <w:t>（关键工序）</w:t>
      </w:r>
      <w:r>
        <w:rPr>
          <w:rFonts w:hint="eastAsia" w:ascii="宋体" w:hAnsi="宋体" w:eastAsia="宋体" w:cs="宋体"/>
          <w:i w:val="0"/>
          <w:iCs w:val="0"/>
          <w:caps w:val="0"/>
          <w:color w:val="auto"/>
          <w:spacing w:val="0"/>
          <w:sz w:val="22"/>
          <w:szCs w:val="22"/>
          <w:highlight w:val="none"/>
          <w:shd w:val="clear" w:fill="FFFFFF"/>
          <w:vertAlign w:val="baseline"/>
        </w:rPr>
        <w:t>在中国境内完成。</w:t>
      </w:r>
    </w:p>
    <w:p w14:paraId="266C313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w:t>
      </w:r>
    </w:p>
    <w:p w14:paraId="5C1FAA7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本公司（单位）对上述声明内容的真实性负责。如有虚假，愿承担相应法律责任。</w:t>
      </w:r>
    </w:p>
    <w:p w14:paraId="5879823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 </w:t>
      </w:r>
    </w:p>
    <w:p w14:paraId="5C6F1D3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right"/>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公司（单位）名称（盖章）：　        </w:t>
      </w:r>
    </w:p>
    <w:p w14:paraId="09A65A1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right"/>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日期：　     年　  月　  日         </w:t>
      </w:r>
    </w:p>
    <w:p w14:paraId="6822C83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__________________</w:t>
      </w:r>
    </w:p>
    <w:p w14:paraId="67C04C7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1.产品如有型号，请在“产品名称”栏一并填写。</w:t>
      </w:r>
    </w:p>
    <w:p w14:paraId="0D27A79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2.生产厂名与厂址应与生产厂营业执照载明的相关信息保持一致。</w:t>
      </w:r>
    </w:p>
    <w:p w14:paraId="7843947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3.该产品的中国境内生产的组件成本占比相关要求实施前，“规定比例”栏可不填，下同。</w:t>
      </w:r>
    </w:p>
    <w:p w14:paraId="621083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4.该产品的关键组件要求实施前，“关键组件”栏可不填，下同。</w:t>
      </w:r>
    </w:p>
    <w:p w14:paraId="65751A1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5.该产品的关键工序要求实施前，“关键工序”栏可不填，下同。</w:t>
      </w:r>
    </w:p>
    <w:p w14:paraId="600B0019">
      <w:pPr>
        <w:keepNext w:val="0"/>
        <w:keepLines w:val="0"/>
        <w:pageBreakBefore/>
        <w:widowControl w:val="0"/>
        <w:tabs>
          <w:tab w:val="left" w:pos="3600"/>
        </w:tabs>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sz w:val="36"/>
          <w:szCs w:val="36"/>
          <w:highlight w:val="none"/>
        </w:rPr>
        <w:t>1</w:t>
      </w:r>
      <w:r>
        <w:rPr>
          <w:rFonts w:hint="eastAsia" w:ascii="宋体" w:hAnsi="宋体" w:eastAsia="宋体" w:cs="宋体"/>
          <w:b/>
          <w:color w:val="auto"/>
          <w:sz w:val="36"/>
          <w:szCs w:val="36"/>
          <w:highlight w:val="none"/>
          <w:lang w:val="en-US" w:eastAsia="zh-CN"/>
        </w:rPr>
        <w:t>2</w:t>
      </w:r>
      <w:r>
        <w:rPr>
          <w:rFonts w:hint="eastAsia" w:ascii="宋体" w:hAnsi="宋体" w:eastAsia="宋体" w:cs="宋体"/>
          <w:b/>
          <w:color w:val="auto"/>
          <w:sz w:val="36"/>
          <w:szCs w:val="36"/>
          <w:highlight w:val="none"/>
        </w:rPr>
        <w:t>.投标保证金</w:t>
      </w:r>
    </w:p>
    <w:p w14:paraId="193E7361">
      <w:pPr>
        <w:keepNext w:val="0"/>
        <w:keepLines w:val="0"/>
        <w:widowControl w:val="0"/>
        <w:tabs>
          <w:tab w:val="left" w:pos="3600"/>
        </w:tabs>
        <w:kinsoku/>
        <w:wordWrap/>
        <w:overflowPunct/>
        <w:topLinePunct w:val="0"/>
        <w:autoSpaceDE/>
        <w:autoSpaceDN/>
        <w:bidi w:val="0"/>
        <w:adjustRightInd w:val="0"/>
        <w:snapToGrid w:val="0"/>
        <w:spacing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说明：投标保证金足额缴纳凭证或保函；</w:t>
      </w:r>
    </w:p>
    <w:p w14:paraId="0CEF027D">
      <w:pPr>
        <w:keepNext w:val="0"/>
        <w:keepLines w:val="0"/>
        <w:widowControl w:val="0"/>
        <w:tabs>
          <w:tab w:val="left" w:pos="3600"/>
        </w:tabs>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2"/>
          <w:szCs w:val="22"/>
          <w:highlight w:val="none"/>
        </w:rPr>
      </w:pPr>
    </w:p>
    <w:p w14:paraId="4CC058D4">
      <w:pPr>
        <w:keepNext w:val="0"/>
        <w:keepLines w:val="0"/>
        <w:widowControl w:val="0"/>
        <w:tabs>
          <w:tab w:val="left" w:pos="3600"/>
        </w:tabs>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2"/>
          <w:szCs w:val="22"/>
          <w:highlight w:val="none"/>
        </w:rPr>
      </w:pPr>
    </w:p>
    <w:p w14:paraId="13D47811">
      <w:pPr>
        <w:keepNext w:val="0"/>
        <w:keepLines w:val="0"/>
        <w:widowControl w:val="0"/>
        <w:tabs>
          <w:tab w:val="left" w:pos="3600"/>
        </w:tabs>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2"/>
          <w:szCs w:val="22"/>
          <w:highlight w:val="none"/>
        </w:rPr>
      </w:pPr>
    </w:p>
    <w:p w14:paraId="68D65320">
      <w:pPr>
        <w:keepNext w:val="0"/>
        <w:keepLines w:val="0"/>
        <w:widowControl w:val="0"/>
        <w:tabs>
          <w:tab w:val="left" w:pos="3600"/>
        </w:tabs>
        <w:kinsoku/>
        <w:wordWrap/>
        <w:overflowPunct/>
        <w:topLinePunct w:val="0"/>
        <w:autoSpaceDE/>
        <w:autoSpaceDN/>
        <w:bidi w:val="0"/>
        <w:adjustRightInd w:val="0"/>
        <w:snapToGrid w:val="0"/>
        <w:spacing w:line="480" w:lineRule="exact"/>
        <w:textAlignment w:val="auto"/>
        <w:rPr>
          <w:rFonts w:hint="eastAsia" w:ascii="宋体" w:hAnsi="宋体" w:eastAsia="宋体" w:cs="宋体"/>
          <w:color w:val="auto"/>
          <w:sz w:val="22"/>
          <w:szCs w:val="22"/>
          <w:highlight w:val="none"/>
        </w:rPr>
      </w:pPr>
    </w:p>
    <w:p w14:paraId="12928C47">
      <w:pPr>
        <w:keepNext w:val="0"/>
        <w:keepLines w:val="0"/>
        <w:widowControl w:val="0"/>
        <w:tabs>
          <w:tab w:val="left" w:pos="3600"/>
        </w:tabs>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p>
    <w:p w14:paraId="00B9D730">
      <w:pPr>
        <w:keepNext w:val="0"/>
        <w:keepLines w:val="0"/>
        <w:widowControl w:val="0"/>
        <w:tabs>
          <w:tab w:val="left" w:pos="3600"/>
        </w:tabs>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p>
    <w:p w14:paraId="73DC32AE">
      <w:pPr>
        <w:keepNext w:val="0"/>
        <w:keepLines w:val="0"/>
        <w:widowControl w:val="0"/>
        <w:tabs>
          <w:tab w:val="left" w:pos="3600"/>
        </w:tabs>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p>
    <w:p w14:paraId="0C6AB0AD">
      <w:pPr>
        <w:keepNext w:val="0"/>
        <w:keepLines w:val="0"/>
        <w:widowControl w:val="0"/>
        <w:tabs>
          <w:tab w:val="left" w:pos="3600"/>
        </w:tabs>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p>
    <w:p w14:paraId="1E1E8889">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22"/>
          <w:szCs w:val="22"/>
          <w:highlight w:val="none"/>
        </w:rPr>
      </w:pPr>
    </w:p>
    <w:p w14:paraId="221655C3">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22"/>
          <w:szCs w:val="22"/>
          <w:highlight w:val="none"/>
        </w:rPr>
      </w:pPr>
    </w:p>
    <w:p w14:paraId="46B06D41">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22"/>
          <w:szCs w:val="22"/>
          <w:highlight w:val="none"/>
        </w:rPr>
      </w:pPr>
    </w:p>
    <w:p w14:paraId="764E55A6">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22"/>
          <w:szCs w:val="22"/>
          <w:highlight w:val="none"/>
        </w:rPr>
      </w:pPr>
    </w:p>
    <w:p w14:paraId="5AE05066">
      <w:pPr>
        <w:pStyle w:val="35"/>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color w:val="auto"/>
          <w:sz w:val="22"/>
          <w:szCs w:val="22"/>
          <w:highlight w:val="none"/>
        </w:rPr>
      </w:pPr>
    </w:p>
    <w:p w14:paraId="126342DD">
      <w:pPr>
        <w:pStyle w:val="35"/>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color w:val="auto"/>
          <w:sz w:val="22"/>
          <w:szCs w:val="22"/>
          <w:highlight w:val="none"/>
        </w:rPr>
      </w:pPr>
    </w:p>
    <w:p w14:paraId="477AEB6C">
      <w:pPr>
        <w:pStyle w:val="35"/>
        <w:keepNext w:val="0"/>
        <w:keepLines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投标保证金</w:t>
      </w:r>
      <w:r>
        <w:rPr>
          <w:rFonts w:hint="eastAsia" w:ascii="宋体" w:hAnsi="宋体" w:eastAsia="宋体" w:cs="宋体"/>
          <w:color w:val="auto"/>
          <w:sz w:val="22"/>
          <w:szCs w:val="22"/>
          <w:highlight w:val="none"/>
          <w:lang w:eastAsia="zh-CN"/>
        </w:rPr>
        <w:t>凭证或保函</w:t>
      </w:r>
    </w:p>
    <w:p w14:paraId="0562183D">
      <w:pPr>
        <w:pStyle w:val="35"/>
        <w:keepNext w:val="0"/>
        <w:keepLines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2"/>
          <w:szCs w:val="22"/>
          <w:highlight w:val="none"/>
        </w:rPr>
        <w:t>复印件粘贴处</w:t>
      </w:r>
    </w:p>
    <w:p w14:paraId="229FB66C">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36"/>
          <w:szCs w:val="36"/>
          <w:highlight w:val="none"/>
        </w:rPr>
      </w:pPr>
    </w:p>
    <w:p w14:paraId="42F2E9B0">
      <w:pPr>
        <w:keepNext w:val="0"/>
        <w:keepLines w:val="0"/>
        <w:widowControl w:val="0"/>
        <w:kinsoku/>
        <w:wordWrap/>
        <w:overflowPunct/>
        <w:topLinePunct w:val="0"/>
        <w:autoSpaceDE/>
        <w:autoSpaceDN/>
        <w:bidi w:val="0"/>
        <w:spacing w:line="480" w:lineRule="exact"/>
        <w:jc w:val="left"/>
        <w:textAlignment w:val="auto"/>
        <w:rPr>
          <w:rFonts w:hint="eastAsia" w:ascii="宋体" w:hAnsi="宋体" w:eastAsia="宋体" w:cs="宋体"/>
          <w:b/>
          <w:bCs/>
          <w:color w:val="auto"/>
          <w:sz w:val="36"/>
          <w:szCs w:val="36"/>
          <w:highlight w:val="none"/>
        </w:rPr>
      </w:pPr>
    </w:p>
    <w:p w14:paraId="336D2FB9">
      <w:pPr>
        <w:jc w:val="left"/>
        <w:rPr>
          <w:rFonts w:hint="eastAsia" w:ascii="宋体" w:hAnsi="宋体" w:eastAsia="宋体" w:cs="宋体"/>
          <w:b/>
          <w:bCs/>
          <w:color w:val="auto"/>
          <w:sz w:val="36"/>
          <w:szCs w:val="36"/>
          <w:highlight w:val="none"/>
        </w:rPr>
      </w:pPr>
    </w:p>
    <w:p w14:paraId="6B11572B">
      <w:pPr>
        <w:pStyle w:val="4"/>
        <w:spacing w:before="120" w:beforeLines="50" w:after="120" w:afterLines="50"/>
        <w:ind w:firstLine="0"/>
        <w:jc w:val="left"/>
        <w:rPr>
          <w:rFonts w:hint="eastAsia" w:ascii="宋体" w:hAnsi="宋体" w:eastAsia="宋体" w:cs="宋体"/>
          <w:b/>
          <w:color w:val="auto"/>
          <w:sz w:val="44"/>
          <w:szCs w:val="44"/>
          <w:highlight w:val="none"/>
        </w:rPr>
      </w:pPr>
    </w:p>
    <w:p w14:paraId="1AE6F9B0">
      <w:pPr>
        <w:pStyle w:val="4"/>
        <w:spacing w:before="120" w:beforeLines="50" w:after="120" w:afterLines="50"/>
        <w:ind w:firstLine="0"/>
        <w:jc w:val="left"/>
        <w:rPr>
          <w:rFonts w:hint="eastAsia" w:ascii="宋体" w:hAnsi="宋体" w:eastAsia="宋体" w:cs="宋体"/>
          <w:b/>
          <w:color w:val="auto"/>
          <w:sz w:val="44"/>
          <w:szCs w:val="44"/>
          <w:highlight w:val="none"/>
        </w:rPr>
      </w:pPr>
    </w:p>
    <w:p w14:paraId="54BC3698">
      <w:pPr>
        <w:pStyle w:val="4"/>
        <w:spacing w:before="120" w:beforeLines="50" w:after="120" w:afterLines="50"/>
        <w:ind w:firstLine="0"/>
        <w:jc w:val="left"/>
        <w:rPr>
          <w:rFonts w:hint="eastAsia" w:ascii="宋体" w:hAnsi="宋体" w:eastAsia="宋体" w:cs="宋体"/>
          <w:b/>
          <w:color w:val="auto"/>
          <w:sz w:val="44"/>
          <w:szCs w:val="44"/>
          <w:highlight w:val="none"/>
        </w:rPr>
      </w:pPr>
    </w:p>
    <w:p w14:paraId="7F33FCE4">
      <w:pPr>
        <w:pStyle w:val="4"/>
        <w:spacing w:before="120" w:beforeLines="50" w:after="120" w:afterLines="50"/>
        <w:ind w:firstLine="0"/>
        <w:jc w:val="left"/>
        <w:rPr>
          <w:rFonts w:hint="eastAsia" w:ascii="宋体" w:hAnsi="宋体" w:eastAsia="宋体" w:cs="宋体"/>
          <w:b/>
          <w:color w:val="auto"/>
          <w:sz w:val="44"/>
          <w:szCs w:val="44"/>
          <w:highlight w:val="none"/>
        </w:rPr>
      </w:pPr>
    </w:p>
    <w:p w14:paraId="303A3F48">
      <w:pPr>
        <w:pStyle w:val="4"/>
        <w:spacing w:before="120" w:beforeLines="50" w:after="120" w:afterLines="50"/>
        <w:ind w:firstLine="0"/>
        <w:jc w:val="left"/>
        <w:rPr>
          <w:rFonts w:hint="eastAsia" w:ascii="宋体" w:hAnsi="宋体" w:eastAsia="宋体" w:cs="宋体"/>
          <w:b/>
          <w:color w:val="auto"/>
          <w:sz w:val="44"/>
          <w:szCs w:val="44"/>
          <w:highlight w:val="none"/>
        </w:rPr>
      </w:pPr>
    </w:p>
    <w:p w14:paraId="4352BD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w:t>
      </w:r>
      <w:r>
        <w:rPr>
          <w:rFonts w:hint="eastAsia" w:ascii="宋体" w:hAnsi="宋体" w:cs="宋体"/>
          <w:bCs/>
          <w:color w:val="auto"/>
          <w:sz w:val="22"/>
          <w:szCs w:val="22"/>
          <w:highlight w:val="none"/>
          <w:lang w:val="en-US" w:eastAsia="zh-CN"/>
        </w:rPr>
        <w:t>9</w:t>
      </w:r>
      <w:r>
        <w:rPr>
          <w:rFonts w:hint="eastAsia" w:ascii="宋体" w:hAnsi="宋体" w:eastAsia="宋体" w:cs="宋体"/>
          <w:bCs/>
          <w:color w:val="auto"/>
          <w:sz w:val="22"/>
          <w:szCs w:val="22"/>
          <w:highlight w:val="none"/>
        </w:rPr>
        <w:t>：</w:t>
      </w:r>
    </w:p>
    <w:p w14:paraId="783B58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提供投标人基本存款账户开户证明</w:t>
      </w:r>
    </w:p>
    <w:p w14:paraId="43BEB17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说明：</w:t>
      </w:r>
    </w:p>
    <w:p w14:paraId="186812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1.投标人在国家取消基本存款账户开户行政许可之前成立的，提供基本存款账户开户许可证复印件；</w:t>
      </w:r>
    </w:p>
    <w:p w14:paraId="78C692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2.投标人在国家取消基本存款账户开户行政许可之后成立的，提供基本户存款信息表。</w:t>
      </w:r>
    </w:p>
    <w:p w14:paraId="67444915">
      <w:pPr>
        <w:spacing w:line="360" w:lineRule="auto"/>
        <w:rPr>
          <w:rFonts w:hint="eastAsia" w:ascii="宋体" w:hAnsi="宋体" w:eastAsia="宋体" w:cs="宋体"/>
          <w:bCs/>
          <w:color w:val="auto"/>
          <w:szCs w:val="21"/>
          <w:highlight w:val="none"/>
        </w:rPr>
      </w:pPr>
    </w:p>
    <w:p w14:paraId="7EFA5696">
      <w:pPr>
        <w:spacing w:line="360" w:lineRule="auto"/>
        <w:rPr>
          <w:rFonts w:hint="eastAsia" w:ascii="宋体" w:hAnsi="宋体" w:eastAsia="宋体" w:cs="宋体"/>
          <w:b/>
          <w:bCs/>
          <w:color w:val="auto"/>
          <w:sz w:val="28"/>
          <w:szCs w:val="28"/>
          <w:highlight w:val="none"/>
        </w:rPr>
      </w:pPr>
    </w:p>
    <w:p w14:paraId="5CE4A8CF">
      <w:pPr>
        <w:spacing w:after="240" w:afterLines="100" w:line="360" w:lineRule="auto"/>
        <w:rPr>
          <w:rFonts w:hint="eastAsia" w:ascii="宋体" w:hAnsi="宋体" w:eastAsia="宋体" w:cs="宋体"/>
          <w:b/>
          <w:bCs/>
          <w:color w:val="auto"/>
          <w:sz w:val="28"/>
          <w:szCs w:val="28"/>
          <w:highlight w:val="none"/>
        </w:rPr>
      </w:pPr>
    </w:p>
    <w:p w14:paraId="19CA4F9D">
      <w:pPr>
        <w:spacing w:after="240" w:afterLines="100" w:line="360" w:lineRule="auto"/>
        <w:rPr>
          <w:rFonts w:hint="eastAsia" w:ascii="宋体" w:hAnsi="宋体" w:eastAsia="宋体" w:cs="宋体"/>
          <w:b/>
          <w:bCs/>
          <w:color w:val="auto"/>
          <w:sz w:val="28"/>
          <w:szCs w:val="28"/>
          <w:highlight w:val="none"/>
        </w:rPr>
      </w:pPr>
    </w:p>
    <w:p w14:paraId="3259B26E">
      <w:pPr>
        <w:spacing w:after="240" w:afterLines="100" w:line="360" w:lineRule="auto"/>
        <w:rPr>
          <w:rFonts w:hint="eastAsia" w:ascii="宋体" w:hAnsi="宋体" w:eastAsia="宋体" w:cs="宋体"/>
          <w:b/>
          <w:bCs/>
          <w:color w:val="auto"/>
          <w:sz w:val="28"/>
          <w:szCs w:val="28"/>
          <w:highlight w:val="none"/>
        </w:rPr>
      </w:pPr>
    </w:p>
    <w:p w14:paraId="0E4AB706">
      <w:pPr>
        <w:spacing w:after="240" w:afterLines="100" w:line="360" w:lineRule="auto"/>
        <w:rPr>
          <w:rFonts w:hint="eastAsia" w:ascii="宋体" w:hAnsi="宋体" w:eastAsia="宋体" w:cs="宋体"/>
          <w:b/>
          <w:bCs/>
          <w:color w:val="auto"/>
          <w:sz w:val="28"/>
          <w:szCs w:val="28"/>
          <w:highlight w:val="none"/>
        </w:rPr>
      </w:pPr>
    </w:p>
    <w:p w14:paraId="01E57418">
      <w:pPr>
        <w:spacing w:after="240" w:afterLines="100" w:line="360" w:lineRule="auto"/>
        <w:rPr>
          <w:rFonts w:hint="eastAsia" w:ascii="宋体" w:hAnsi="宋体" w:eastAsia="宋体" w:cs="宋体"/>
          <w:b/>
          <w:bCs/>
          <w:color w:val="auto"/>
          <w:sz w:val="28"/>
          <w:szCs w:val="28"/>
          <w:highlight w:val="none"/>
        </w:rPr>
      </w:pPr>
    </w:p>
    <w:p w14:paraId="59A14C0C">
      <w:pPr>
        <w:spacing w:after="240" w:afterLines="100" w:line="360" w:lineRule="auto"/>
        <w:rPr>
          <w:rFonts w:hint="eastAsia" w:ascii="宋体" w:hAnsi="宋体" w:eastAsia="宋体" w:cs="宋体"/>
          <w:b/>
          <w:bCs/>
          <w:color w:val="auto"/>
          <w:sz w:val="28"/>
          <w:szCs w:val="28"/>
          <w:highlight w:val="none"/>
        </w:rPr>
      </w:pPr>
    </w:p>
    <w:p w14:paraId="554CCE89">
      <w:pPr>
        <w:spacing w:after="240" w:afterLines="100" w:line="360" w:lineRule="auto"/>
        <w:rPr>
          <w:rFonts w:hint="eastAsia" w:ascii="宋体" w:hAnsi="宋体" w:eastAsia="宋体" w:cs="宋体"/>
          <w:b/>
          <w:bCs/>
          <w:color w:val="auto"/>
          <w:sz w:val="28"/>
          <w:szCs w:val="28"/>
          <w:highlight w:val="none"/>
        </w:rPr>
      </w:pPr>
    </w:p>
    <w:p w14:paraId="5D8E3A47">
      <w:pPr>
        <w:spacing w:after="240" w:afterLines="100" w:line="360" w:lineRule="auto"/>
        <w:rPr>
          <w:rFonts w:hint="eastAsia" w:ascii="宋体" w:hAnsi="宋体" w:eastAsia="宋体" w:cs="宋体"/>
          <w:b/>
          <w:bCs/>
          <w:color w:val="auto"/>
          <w:sz w:val="28"/>
          <w:szCs w:val="28"/>
          <w:highlight w:val="none"/>
        </w:rPr>
      </w:pPr>
    </w:p>
    <w:p w14:paraId="0B767318">
      <w:pPr>
        <w:spacing w:after="240" w:afterLines="100" w:line="360" w:lineRule="auto"/>
        <w:rPr>
          <w:rFonts w:hint="eastAsia" w:ascii="宋体" w:hAnsi="宋体" w:eastAsia="宋体" w:cs="宋体"/>
          <w:b/>
          <w:bCs/>
          <w:color w:val="auto"/>
          <w:sz w:val="28"/>
          <w:szCs w:val="28"/>
          <w:highlight w:val="none"/>
        </w:rPr>
      </w:pPr>
    </w:p>
    <w:p w14:paraId="61CD6B28">
      <w:pPr>
        <w:spacing w:after="240" w:afterLines="100" w:line="360" w:lineRule="auto"/>
        <w:rPr>
          <w:rFonts w:hint="eastAsia" w:ascii="宋体" w:hAnsi="宋体" w:eastAsia="宋体" w:cs="宋体"/>
          <w:b/>
          <w:bCs/>
          <w:color w:val="auto"/>
          <w:sz w:val="28"/>
          <w:szCs w:val="28"/>
          <w:highlight w:val="none"/>
        </w:rPr>
      </w:pPr>
    </w:p>
    <w:p w14:paraId="52FBE300">
      <w:pPr>
        <w:spacing w:after="240" w:afterLines="100" w:line="360" w:lineRule="auto"/>
        <w:rPr>
          <w:rFonts w:hint="eastAsia" w:ascii="宋体" w:hAnsi="宋体" w:eastAsia="宋体" w:cs="宋体"/>
          <w:b/>
          <w:bCs/>
          <w:color w:val="auto"/>
          <w:sz w:val="28"/>
          <w:szCs w:val="28"/>
          <w:highlight w:val="none"/>
        </w:rPr>
      </w:pPr>
    </w:p>
    <w:p w14:paraId="4C678C63">
      <w:pPr>
        <w:pStyle w:val="30"/>
        <w:ind w:firstLine="562"/>
        <w:rPr>
          <w:rFonts w:hint="eastAsia" w:ascii="宋体" w:hAnsi="宋体" w:eastAsia="宋体" w:cs="宋体"/>
          <w:b/>
          <w:bCs/>
          <w:color w:val="auto"/>
          <w:sz w:val="28"/>
          <w:szCs w:val="28"/>
          <w:highlight w:val="none"/>
        </w:rPr>
      </w:pPr>
    </w:p>
    <w:p w14:paraId="30672C2A">
      <w:pPr>
        <w:pStyle w:val="30"/>
        <w:ind w:firstLine="562"/>
        <w:rPr>
          <w:rFonts w:hint="eastAsia" w:ascii="宋体" w:hAnsi="宋体" w:eastAsia="宋体" w:cs="宋体"/>
          <w:b/>
          <w:bCs/>
          <w:color w:val="auto"/>
          <w:sz w:val="28"/>
          <w:szCs w:val="28"/>
          <w:highlight w:val="none"/>
        </w:rPr>
      </w:pPr>
    </w:p>
    <w:p w14:paraId="352194A6">
      <w:pPr>
        <w:pStyle w:val="30"/>
        <w:ind w:firstLine="562"/>
        <w:rPr>
          <w:rFonts w:hint="eastAsia" w:ascii="宋体" w:hAnsi="宋体" w:eastAsia="宋体" w:cs="宋体"/>
          <w:b/>
          <w:bCs/>
          <w:color w:val="auto"/>
          <w:sz w:val="28"/>
          <w:szCs w:val="28"/>
          <w:highlight w:val="none"/>
        </w:rPr>
      </w:pPr>
    </w:p>
    <w:p w14:paraId="6BF72B19">
      <w:pPr>
        <w:pStyle w:val="4"/>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（商务、技术部分）</w:t>
      </w:r>
    </w:p>
    <w:p w14:paraId="475E1275">
      <w:pPr>
        <w:pStyle w:val="4"/>
        <w:rPr>
          <w:rFonts w:hint="eastAsia" w:ascii="宋体" w:hAnsi="宋体" w:eastAsia="宋体" w:cs="宋体"/>
          <w:color w:val="auto"/>
          <w:sz w:val="28"/>
          <w:szCs w:val="28"/>
          <w:highlight w:val="none"/>
        </w:rPr>
      </w:pPr>
    </w:p>
    <w:p w14:paraId="4D866790">
      <w:pPr>
        <w:pStyle w:val="4"/>
        <w:rPr>
          <w:rFonts w:hint="eastAsia" w:ascii="宋体" w:hAnsi="宋体" w:eastAsia="宋体" w:cs="宋体"/>
          <w:color w:val="auto"/>
          <w:sz w:val="28"/>
          <w:szCs w:val="28"/>
          <w:highlight w:val="none"/>
        </w:rPr>
      </w:pPr>
    </w:p>
    <w:p w14:paraId="7BCD57B5">
      <w:pPr>
        <w:pStyle w:val="4"/>
        <w:rPr>
          <w:rFonts w:hint="eastAsia" w:ascii="宋体" w:hAnsi="宋体" w:eastAsia="宋体" w:cs="宋体"/>
          <w:color w:val="auto"/>
          <w:sz w:val="28"/>
          <w:szCs w:val="28"/>
          <w:highlight w:val="none"/>
        </w:rPr>
      </w:pPr>
    </w:p>
    <w:p w14:paraId="7A75B831">
      <w:pPr>
        <w:pStyle w:val="4"/>
        <w:rPr>
          <w:rFonts w:hint="eastAsia" w:ascii="宋体" w:hAnsi="宋体" w:eastAsia="宋体" w:cs="宋体"/>
          <w:color w:val="auto"/>
          <w:sz w:val="28"/>
          <w:szCs w:val="28"/>
          <w:highlight w:val="none"/>
        </w:rPr>
      </w:pPr>
    </w:p>
    <w:p w14:paraId="710D2306">
      <w:pPr>
        <w:pStyle w:val="4"/>
        <w:rPr>
          <w:rFonts w:hint="eastAsia" w:ascii="宋体" w:hAnsi="宋体" w:eastAsia="宋体" w:cs="宋体"/>
          <w:color w:val="auto"/>
          <w:sz w:val="28"/>
          <w:szCs w:val="28"/>
          <w:highlight w:val="none"/>
        </w:rPr>
      </w:pPr>
    </w:p>
    <w:p w14:paraId="6753D4B2">
      <w:pPr>
        <w:pStyle w:val="4"/>
        <w:rPr>
          <w:rFonts w:hint="eastAsia" w:ascii="宋体" w:hAnsi="宋体" w:eastAsia="宋体" w:cs="宋体"/>
          <w:color w:val="auto"/>
          <w:sz w:val="28"/>
          <w:szCs w:val="28"/>
          <w:highlight w:val="none"/>
        </w:rPr>
      </w:pPr>
    </w:p>
    <w:p w14:paraId="2B42E26D">
      <w:pPr>
        <w:pStyle w:val="4"/>
        <w:rPr>
          <w:rFonts w:hint="eastAsia" w:ascii="宋体" w:hAnsi="宋体" w:eastAsia="宋体" w:cs="宋体"/>
          <w:color w:val="auto"/>
          <w:sz w:val="28"/>
          <w:szCs w:val="28"/>
          <w:highlight w:val="none"/>
        </w:rPr>
      </w:pPr>
    </w:p>
    <w:p w14:paraId="4DE72BF5">
      <w:pPr>
        <w:pStyle w:val="4"/>
        <w:spacing w:before="120" w:beforeLines="50"/>
        <w:ind w:firstLine="1630" w:firstLineChars="580"/>
        <w:rPr>
          <w:rFonts w:hint="eastAsia" w:ascii="宋体" w:hAnsi="宋体" w:eastAsia="宋体" w:cs="宋体"/>
          <w:b/>
          <w:color w:val="auto"/>
          <w:sz w:val="28"/>
          <w:szCs w:val="28"/>
          <w:highlight w:val="none"/>
        </w:rPr>
      </w:pPr>
    </w:p>
    <w:p w14:paraId="61AE0FEE">
      <w:pPr>
        <w:pStyle w:val="4"/>
        <w:spacing w:before="120" w:beforeLines="50"/>
        <w:ind w:firstLine="1630" w:firstLineChars="580"/>
        <w:rPr>
          <w:rFonts w:hint="eastAsia" w:ascii="宋体" w:hAnsi="宋体" w:eastAsia="宋体" w:cs="宋体"/>
          <w:b/>
          <w:color w:val="auto"/>
          <w:sz w:val="28"/>
          <w:szCs w:val="28"/>
          <w:highlight w:val="none"/>
        </w:rPr>
      </w:pPr>
    </w:p>
    <w:p w14:paraId="0ECB5547">
      <w:pPr>
        <w:pStyle w:val="4"/>
        <w:spacing w:before="120" w:beforeLines="50" w:after="120" w:afterLines="50"/>
        <w:ind w:firstLine="0"/>
        <w:jc w:val="center"/>
        <w:rPr>
          <w:rFonts w:hint="eastAsia" w:ascii="宋体" w:hAnsi="宋体" w:eastAsia="宋体" w:cs="宋体"/>
          <w:b/>
          <w:color w:val="auto"/>
          <w:sz w:val="44"/>
          <w:szCs w:val="44"/>
          <w:highlight w:val="none"/>
        </w:rPr>
      </w:pPr>
    </w:p>
    <w:p w14:paraId="29E539B5">
      <w:pPr>
        <w:pStyle w:val="4"/>
        <w:spacing w:before="120" w:beforeLines="50" w:after="120" w:afterLines="50"/>
        <w:ind w:firstLine="0"/>
        <w:jc w:val="center"/>
        <w:rPr>
          <w:rFonts w:hint="eastAsia" w:ascii="宋体" w:hAnsi="宋体" w:eastAsia="宋体" w:cs="宋体"/>
          <w:b/>
          <w:color w:val="auto"/>
          <w:sz w:val="44"/>
          <w:szCs w:val="44"/>
          <w:highlight w:val="none"/>
        </w:rPr>
      </w:pPr>
    </w:p>
    <w:p w14:paraId="456A7323">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71BB864">
      <w:pPr>
        <w:pStyle w:val="4"/>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  录</w:t>
      </w:r>
    </w:p>
    <w:p w14:paraId="11066D31">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一、投标函 ……………………………………………………………………页码</w:t>
      </w:r>
    </w:p>
    <w:p w14:paraId="492406AB">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二、开标一览表 ………………………………………………………………页码</w:t>
      </w:r>
    </w:p>
    <w:p w14:paraId="6EFB88FE">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bCs/>
          <w:color w:val="auto"/>
          <w:sz w:val="22"/>
          <w:szCs w:val="22"/>
          <w:highlight w:val="none"/>
        </w:rPr>
        <w:t xml:space="preserve">货物（产品）分项报价表 </w:t>
      </w:r>
      <w:r>
        <w:rPr>
          <w:rFonts w:hint="eastAsia" w:ascii="宋体" w:hAnsi="宋体" w:eastAsia="宋体" w:cs="宋体"/>
          <w:color w:val="auto"/>
          <w:sz w:val="22"/>
          <w:szCs w:val="22"/>
          <w:highlight w:val="none"/>
        </w:rPr>
        <w:t>………………………………………………页码</w:t>
      </w:r>
    </w:p>
    <w:p w14:paraId="7B26BDAE">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 xml:space="preserve">货物说明一览表 </w:t>
      </w:r>
      <w:r>
        <w:rPr>
          <w:rFonts w:hint="eastAsia" w:ascii="宋体" w:hAnsi="宋体" w:eastAsia="宋体" w:cs="宋体"/>
          <w:color w:val="auto"/>
          <w:sz w:val="22"/>
          <w:szCs w:val="22"/>
          <w:highlight w:val="none"/>
        </w:rPr>
        <w:t>…………………………………………………………页码</w:t>
      </w:r>
    </w:p>
    <w:p w14:paraId="297EC7F6">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、商务偏离表 ………………………………………………………………页码</w:t>
      </w:r>
    </w:p>
    <w:p w14:paraId="75E713ED">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、承诺文件 …………………………………………………………………页码</w:t>
      </w:r>
    </w:p>
    <w:p w14:paraId="409A6358">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、售后服务文件 ……………………………………………………………页码</w:t>
      </w:r>
    </w:p>
    <w:p w14:paraId="01331A33">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、其他证明材料 ……………………………………………………………页码</w:t>
      </w:r>
    </w:p>
    <w:p w14:paraId="7EAFBEC7">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、技术文件</w:t>
      </w:r>
      <w:r>
        <w:rPr>
          <w:rFonts w:hint="eastAsia" w:ascii="宋体" w:hAnsi="宋体" w:eastAsia="宋体" w:cs="宋体"/>
          <w:color w:val="auto"/>
          <w:sz w:val="22"/>
          <w:szCs w:val="22"/>
          <w:highlight w:val="none"/>
          <w:lang w:val="en-US" w:eastAsia="zh-CN"/>
        </w:rPr>
        <w:t>（根据本项目评分标准顺序编写）</w:t>
      </w:r>
      <w:r>
        <w:rPr>
          <w:rFonts w:hint="eastAsia" w:ascii="宋体" w:hAnsi="宋体" w:eastAsia="宋体" w:cs="宋体"/>
          <w:color w:val="auto"/>
          <w:sz w:val="22"/>
          <w:szCs w:val="22"/>
          <w:highlight w:val="none"/>
        </w:rPr>
        <w:t>……………………………页码</w:t>
      </w:r>
    </w:p>
    <w:p w14:paraId="120B5303">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十、技术参数偏离表 …………………………………………………………页码</w:t>
      </w:r>
    </w:p>
    <w:p w14:paraId="5CEE4912">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、投标人认为有必要补充说明的事项……………………</w:t>
      </w:r>
      <w:bookmarkEnd w:id="195"/>
      <w:r>
        <w:rPr>
          <w:rFonts w:hint="eastAsia" w:ascii="宋体" w:hAnsi="宋体" w:eastAsia="宋体" w:cs="宋体"/>
          <w:color w:val="auto"/>
          <w:sz w:val="22"/>
          <w:szCs w:val="22"/>
          <w:highlight w:val="none"/>
        </w:rPr>
        <w:t>………………页码</w:t>
      </w:r>
    </w:p>
    <w:p w14:paraId="72372EBC">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0E005E49">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19C116DA">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14D984BA">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0A04A567">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0C1560C7">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3ED71783">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3D46A1F3">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1B8065D1">
      <w:pPr>
        <w:pStyle w:val="4"/>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p>
    <w:p w14:paraId="6D3D41C4">
      <w:pPr>
        <w:pStyle w:val="4"/>
        <w:spacing w:before="120" w:beforeLines="50"/>
        <w:ind w:firstLine="1218" w:firstLineChars="580"/>
        <w:rPr>
          <w:rFonts w:hint="eastAsia" w:ascii="宋体" w:hAnsi="宋体" w:eastAsia="宋体" w:cs="宋体"/>
          <w:color w:val="auto"/>
          <w:highlight w:val="none"/>
        </w:rPr>
      </w:pPr>
    </w:p>
    <w:p w14:paraId="43E59A5E">
      <w:pPr>
        <w:pStyle w:val="4"/>
        <w:spacing w:before="120" w:beforeLines="50"/>
        <w:ind w:firstLine="1218" w:firstLineChars="580"/>
        <w:rPr>
          <w:rFonts w:hint="eastAsia" w:ascii="宋体" w:hAnsi="宋体" w:eastAsia="宋体" w:cs="宋体"/>
          <w:color w:val="auto"/>
          <w:highlight w:val="none"/>
        </w:rPr>
      </w:pPr>
    </w:p>
    <w:p w14:paraId="03A4AC0C">
      <w:pPr>
        <w:pStyle w:val="4"/>
        <w:spacing w:before="120" w:beforeLines="50"/>
        <w:ind w:firstLine="1218" w:firstLineChars="580"/>
        <w:rPr>
          <w:rFonts w:hint="eastAsia" w:ascii="宋体" w:hAnsi="宋体" w:eastAsia="宋体" w:cs="宋体"/>
          <w:color w:val="auto"/>
          <w:highlight w:val="none"/>
        </w:rPr>
      </w:pPr>
    </w:p>
    <w:p w14:paraId="4D4EBBB2">
      <w:pPr>
        <w:rPr>
          <w:rFonts w:hint="eastAsia" w:ascii="宋体" w:hAnsi="宋体" w:eastAsia="宋体" w:cs="宋体"/>
          <w:color w:val="auto"/>
          <w:highlight w:val="none"/>
        </w:rPr>
      </w:pPr>
    </w:p>
    <w:p w14:paraId="5C648688">
      <w:pPr>
        <w:pStyle w:val="11"/>
        <w:rPr>
          <w:rFonts w:hint="eastAsia" w:ascii="宋体" w:hAnsi="宋体" w:eastAsia="宋体" w:cs="宋体"/>
          <w:color w:val="auto"/>
          <w:highlight w:val="none"/>
        </w:rPr>
      </w:pPr>
    </w:p>
    <w:p w14:paraId="73D719F1">
      <w:pPr>
        <w:pStyle w:val="11"/>
        <w:rPr>
          <w:rFonts w:hint="eastAsia" w:ascii="宋体" w:hAnsi="宋体" w:eastAsia="宋体" w:cs="宋体"/>
          <w:color w:val="auto"/>
          <w:highlight w:val="none"/>
        </w:rPr>
      </w:pPr>
    </w:p>
    <w:p w14:paraId="2EB5B983">
      <w:pPr>
        <w:pStyle w:val="11"/>
        <w:rPr>
          <w:rFonts w:hint="eastAsia" w:ascii="宋体" w:hAnsi="宋体" w:eastAsia="宋体" w:cs="宋体"/>
          <w:color w:val="auto"/>
          <w:highlight w:val="none"/>
        </w:rPr>
      </w:pPr>
    </w:p>
    <w:p w14:paraId="42E572DE">
      <w:pPr>
        <w:pStyle w:val="4"/>
        <w:spacing w:before="120" w:beforeLines="50"/>
        <w:ind w:firstLine="1218" w:firstLineChars="580"/>
        <w:rPr>
          <w:rFonts w:hint="eastAsia" w:ascii="宋体" w:hAnsi="宋体" w:eastAsia="宋体" w:cs="宋体"/>
          <w:color w:val="auto"/>
          <w:highlight w:val="none"/>
        </w:rPr>
      </w:pPr>
    </w:p>
    <w:p w14:paraId="44908EBC">
      <w:pPr>
        <w:rPr>
          <w:rFonts w:hint="eastAsia" w:ascii="宋体" w:hAnsi="宋体" w:eastAsia="宋体" w:cs="宋体"/>
          <w:color w:val="auto"/>
          <w:highlight w:val="none"/>
        </w:rPr>
      </w:pPr>
    </w:p>
    <w:p w14:paraId="5B716334">
      <w:pPr>
        <w:rPr>
          <w:rFonts w:hint="eastAsia" w:ascii="宋体" w:hAnsi="宋体" w:eastAsia="宋体" w:cs="宋体"/>
          <w:color w:val="auto"/>
          <w:highlight w:val="none"/>
        </w:rPr>
      </w:pPr>
    </w:p>
    <w:p w14:paraId="5DEFB4C9">
      <w:pPr>
        <w:pStyle w:val="14"/>
        <w:keepNext w:val="0"/>
        <w:keepLines w:val="0"/>
        <w:pageBreakBefore w:val="0"/>
        <w:widowControl w:val="0"/>
        <w:numPr>
          <w:ilvl w:val="0"/>
          <w:numId w:val="0"/>
        </w:numPr>
        <w:kinsoku/>
        <w:wordWrap/>
        <w:overflowPunct/>
        <w:topLinePunct w:val="0"/>
        <w:autoSpaceDE/>
        <w:autoSpaceDN/>
        <w:bidi w:val="0"/>
        <w:spacing w:line="480" w:lineRule="exact"/>
        <w:ind w:firstLine="0" w:firstLineChars="0"/>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kern w:val="2"/>
          <w:sz w:val="36"/>
          <w:szCs w:val="36"/>
          <w:highlight w:val="none"/>
          <w:lang w:val="en-US" w:eastAsia="zh-CN" w:bidi="ar-SA"/>
        </w:rPr>
        <w:t>一、</w:t>
      </w:r>
      <w:r>
        <w:rPr>
          <w:rFonts w:hint="eastAsia" w:ascii="宋体" w:hAnsi="宋体" w:eastAsia="宋体" w:cs="宋体"/>
          <w:b/>
          <w:color w:val="auto"/>
          <w:sz w:val="36"/>
          <w:szCs w:val="36"/>
          <w:highlight w:val="none"/>
        </w:rPr>
        <w:t>投 标 函</w:t>
      </w:r>
    </w:p>
    <w:p w14:paraId="25CAF953">
      <w:pPr>
        <w:pStyle w:val="14"/>
        <w:keepNext w:val="0"/>
        <w:keepLines w:val="0"/>
        <w:pageBreakBefore w:val="0"/>
        <w:widowControl w:val="0"/>
        <w:kinsoku/>
        <w:wordWrap/>
        <w:overflowPunct/>
        <w:topLinePunct w:val="0"/>
        <w:autoSpaceDE/>
        <w:autoSpaceDN/>
        <w:bidi w:val="0"/>
        <w:spacing w:line="480" w:lineRule="exact"/>
        <w:ind w:firstLine="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新疆长润泽建设工程管理有限公司</w:t>
      </w:r>
      <w:r>
        <w:rPr>
          <w:rFonts w:hint="eastAsia" w:ascii="宋体" w:hAnsi="宋体" w:eastAsia="宋体" w:cs="宋体"/>
          <w:bCs/>
          <w:color w:val="auto"/>
          <w:sz w:val="22"/>
          <w:szCs w:val="22"/>
          <w:highlight w:val="none"/>
        </w:rPr>
        <w:t>：</w:t>
      </w:r>
    </w:p>
    <w:p w14:paraId="65E7E7B6">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我方已仔细研究了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项目名称)的招标文件（采购项目编号：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）的全部内容，知悉参加投标的风险，我方承诺接受招标文件的全部条款且无任何异议，</w:t>
      </w:r>
      <w:r>
        <w:rPr>
          <w:rFonts w:hint="eastAsia" w:ascii="宋体" w:hAnsi="宋体" w:eastAsia="宋体" w:cs="宋体"/>
          <w:bCs/>
          <w:color w:val="auto"/>
          <w:sz w:val="22"/>
          <w:szCs w:val="22"/>
          <w:highlight w:val="none"/>
        </w:rPr>
        <w:t>决定参加贵单位组织的本项目招标。</w:t>
      </w:r>
    </w:p>
    <w:p w14:paraId="61547A3F">
      <w:pPr>
        <w:pStyle w:val="12"/>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、我方的投标总报价为人民币（大写）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元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）；合同履行期限为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 xml:space="preserve"> 投标有效期为</w:t>
      </w:r>
      <w:r>
        <w:rPr>
          <w:rFonts w:hint="eastAsia" w:ascii="宋体" w:hAnsi="宋体" w:eastAsia="宋体" w:cs="宋体"/>
          <w:color w:val="auto"/>
          <w:sz w:val="22"/>
          <w:szCs w:val="22"/>
          <w:highlight w:val="none"/>
          <w:lang w:val="zh-CN"/>
        </w:rPr>
        <w:t>投标截止日起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日历</w:t>
      </w:r>
      <w:r>
        <w:rPr>
          <w:rFonts w:hint="eastAsia" w:ascii="宋体" w:hAnsi="宋体" w:eastAsia="宋体" w:cs="宋体"/>
          <w:color w:val="auto"/>
          <w:sz w:val="22"/>
          <w:szCs w:val="22"/>
          <w:highlight w:val="none"/>
        </w:rPr>
        <w:t>日。</w:t>
      </w:r>
    </w:p>
    <w:p w14:paraId="51EB9C28">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二、我方承诺除技术偏差表列出的偏差外，我方响应招标文件的全部要求。</w:t>
      </w:r>
    </w:p>
    <w:p w14:paraId="3F4DF36E">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三、我方愿意向贵方提供任何与本项采购有关的数据、情况和技术服务资料。若贵方需要，我方愿意提供我方作出的一切承诺的证明材料。</w:t>
      </w:r>
    </w:p>
    <w:p w14:paraId="4E26F958">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四、我方承诺在招标文件规定的投标有效期内不撤销投标文件。</w:t>
      </w:r>
    </w:p>
    <w:p w14:paraId="736A8F4D">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五、我方承诺无企业财产被查封、冻结或处于破产状态或严重亏损状态等情形存在。</w:t>
      </w:r>
    </w:p>
    <w:p w14:paraId="73D73899">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六、我方承诺在投标过程中，保证不予其他单位围标、串标，不出让投标资格，不采取不正当手段诋毁、排挤其他投标人，不向采购人、采购代理机构、评标委员会成员行贿。</w:t>
      </w:r>
    </w:p>
    <w:p w14:paraId="227B744A">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七、我方承诺在投标时未列入政府采购严重违法失信行为记录名单、失信被执行人、重大税收违法失信主体。</w:t>
      </w:r>
    </w:p>
    <w:p w14:paraId="0211DA85">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八、我方承诺遵守《中华人民共和国政府采购法》及其实施条例的有关规定，保证在获得中标资格后：</w:t>
      </w:r>
    </w:p>
    <w:p w14:paraId="75543457">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1.在收到中标通知书后，在中标通知书规定的期限内与采购人签订合同；</w:t>
      </w:r>
    </w:p>
    <w:p w14:paraId="640DA2B4">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2.在签订合同时不向采购人提出附加条件；</w:t>
      </w:r>
    </w:p>
    <w:p w14:paraId="196B4890">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3.在合同规定期限内完成合同规定的全部义务；</w:t>
      </w:r>
      <w:r>
        <w:rPr>
          <w:rFonts w:hint="eastAsia" w:ascii="宋体" w:hAnsi="宋体" w:eastAsia="宋体" w:cs="宋体"/>
          <w:bCs/>
          <w:color w:val="auto"/>
          <w:kern w:val="2"/>
          <w:sz w:val="22"/>
          <w:szCs w:val="22"/>
          <w:highlight w:val="none"/>
          <w:lang w:val="en-US" w:eastAsia="zh-CN" w:bidi="ar-SA"/>
        </w:rPr>
        <w:t xml:space="preserve"> </w:t>
      </w:r>
    </w:p>
    <w:p w14:paraId="2401F5F2">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bCs/>
          <w:color w:val="auto"/>
          <w:kern w:val="2"/>
          <w:sz w:val="22"/>
          <w:szCs w:val="22"/>
          <w:highlight w:val="none"/>
          <w:lang w:val="en-US" w:eastAsia="zh-CN" w:bidi="ar-SA"/>
        </w:rPr>
        <w:t>按照招标文件规定和标准向贵方交纳招标代理服务费；</w:t>
      </w:r>
    </w:p>
    <w:p w14:paraId="4021D928">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5.按照招标文件规定提交履约保证金。</w:t>
      </w:r>
    </w:p>
    <w:p w14:paraId="7B5ADE7C">
      <w:pPr>
        <w:keepNext w:val="0"/>
        <w:keepLines w:val="0"/>
        <w:pageBreakBefore w:val="0"/>
        <w:widowControl w:val="0"/>
        <w:kinsoku/>
        <w:wordWrap/>
        <w:overflowPunct/>
        <w:topLinePunct w:val="0"/>
        <w:autoSpaceDE/>
        <w:autoSpaceDN/>
        <w:bidi w:val="0"/>
        <w:adjustRightInd w:val="0"/>
        <w:snapToGrid w:val="0"/>
        <w:spacing w:before="0" w:after="0" w:line="480" w:lineRule="exact"/>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九、我方完全理解并同意招标文件中有关不退还投标保证金条款所规定的情形。</w:t>
      </w:r>
    </w:p>
    <w:p w14:paraId="060F77B6">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十、</w:t>
      </w:r>
      <w:r>
        <w:rPr>
          <w:rFonts w:hint="eastAsia" w:ascii="宋体" w:hAnsi="宋体" w:eastAsia="宋体" w:cs="宋体"/>
          <w:bCs/>
          <w:color w:val="auto"/>
          <w:kern w:val="2"/>
          <w:sz w:val="22"/>
          <w:szCs w:val="22"/>
          <w:highlight w:val="none"/>
          <w:lang w:val="en-US" w:eastAsia="zh-CN" w:bidi="ar-SA"/>
        </w:rPr>
        <w:t>我方完全理解最低报价不是中标的唯一条件，并尊重评标委员会的评审结论和中标结果。</w:t>
      </w:r>
    </w:p>
    <w:p w14:paraId="0364C06B">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十一、</w:t>
      </w:r>
      <w:r>
        <w:rPr>
          <w:rFonts w:hint="eastAsia" w:ascii="宋体" w:hAnsi="宋体" w:eastAsia="宋体" w:cs="宋体"/>
          <w:color w:val="auto"/>
          <w:kern w:val="2"/>
          <w:sz w:val="22"/>
          <w:szCs w:val="22"/>
          <w:highlight w:val="none"/>
          <w:lang w:val="en-US" w:eastAsia="zh-CN" w:bidi="ar-SA"/>
        </w:rPr>
        <w:t>我方在此声明，所递交的投标文件及有关资料内容完整、真实和准确，且不存在第二章“投标人须知”第1.3.2条款规定的任何一种情形。否则，愿承担《中华人民共和国政府采购法》</w:t>
      </w:r>
      <w:r>
        <w:rPr>
          <w:rFonts w:hint="eastAsia" w:ascii="宋体" w:hAnsi="宋体" w:eastAsia="宋体" w:cs="宋体"/>
          <w:bCs/>
          <w:color w:val="auto"/>
          <w:kern w:val="2"/>
          <w:sz w:val="22"/>
          <w:szCs w:val="22"/>
          <w:highlight w:val="none"/>
          <w:lang w:val="en-US" w:eastAsia="zh-CN" w:bidi="ar-SA"/>
        </w:rPr>
        <w:t>第七十七条规定的法律责任。</w:t>
      </w:r>
    </w:p>
    <w:p w14:paraId="79E10394">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十二、</w:t>
      </w:r>
      <w:r>
        <w:rPr>
          <w:rFonts w:hint="eastAsia" w:ascii="宋体" w:hAnsi="宋体" w:eastAsia="宋体" w:cs="宋体"/>
          <w:bCs/>
          <w:color w:val="auto"/>
          <w:kern w:val="2"/>
          <w:sz w:val="22"/>
          <w:szCs w:val="22"/>
          <w:highlight w:val="none"/>
          <w:u w:val="single"/>
          <w:lang w:val="en-US" w:eastAsia="zh-CN" w:bidi="ar-SA"/>
        </w:rPr>
        <w:t xml:space="preserve">                                      </w:t>
      </w:r>
      <w:r>
        <w:rPr>
          <w:rFonts w:hint="eastAsia" w:ascii="宋体" w:hAnsi="宋体" w:eastAsia="宋体" w:cs="宋体"/>
          <w:bCs/>
          <w:color w:val="auto"/>
          <w:kern w:val="2"/>
          <w:sz w:val="22"/>
          <w:szCs w:val="22"/>
          <w:highlight w:val="none"/>
          <w:lang w:val="en-US" w:eastAsia="zh-CN" w:bidi="ar-SA"/>
        </w:rPr>
        <w:t>（其他补充说明）。</w:t>
      </w:r>
    </w:p>
    <w:p w14:paraId="50FB4611">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十三、有关本项目的所有函电，请按下列地址联系：</w:t>
      </w:r>
    </w:p>
    <w:p w14:paraId="41F756EF">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投 标 人：</w:t>
      </w:r>
      <w:r>
        <w:rPr>
          <w:rFonts w:hint="eastAsia" w:ascii="宋体" w:hAnsi="宋体" w:eastAsia="宋体" w:cs="宋体"/>
          <w:bCs/>
          <w:color w:val="auto"/>
          <w:kern w:val="2"/>
          <w:sz w:val="22"/>
          <w:szCs w:val="22"/>
          <w:highlight w:val="none"/>
          <w:u w:val="single"/>
          <w:lang w:val="en-US" w:eastAsia="zh-CN" w:bidi="ar-SA"/>
        </w:rPr>
        <w:t xml:space="preserve">                                 </w:t>
      </w:r>
      <w:r>
        <w:rPr>
          <w:rFonts w:hint="eastAsia" w:ascii="宋体" w:hAnsi="宋体" w:eastAsia="宋体" w:cs="宋体"/>
          <w:bCs/>
          <w:color w:val="auto"/>
          <w:kern w:val="2"/>
          <w:sz w:val="22"/>
          <w:szCs w:val="22"/>
          <w:highlight w:val="none"/>
          <w:lang w:val="en-US" w:eastAsia="zh-CN" w:bidi="ar-SA"/>
        </w:rPr>
        <w:t>（盖单位章）</w:t>
      </w:r>
    </w:p>
    <w:p w14:paraId="33D54654">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法定代表人或委托代理人：</w:t>
      </w:r>
      <w:r>
        <w:rPr>
          <w:rFonts w:hint="eastAsia" w:ascii="宋体" w:hAnsi="宋体" w:eastAsia="宋体" w:cs="宋体"/>
          <w:bCs/>
          <w:color w:val="auto"/>
          <w:kern w:val="2"/>
          <w:sz w:val="22"/>
          <w:szCs w:val="22"/>
          <w:highlight w:val="none"/>
          <w:u w:val="single"/>
          <w:lang w:val="en-US" w:eastAsia="zh-CN" w:bidi="ar-SA"/>
        </w:rPr>
        <w:t xml:space="preserve">                   </w:t>
      </w:r>
      <w:r>
        <w:rPr>
          <w:rFonts w:hint="eastAsia" w:ascii="宋体" w:hAnsi="宋体" w:eastAsia="宋体" w:cs="宋体"/>
          <w:bCs/>
          <w:color w:val="auto"/>
          <w:kern w:val="2"/>
          <w:sz w:val="22"/>
          <w:szCs w:val="22"/>
          <w:highlight w:val="none"/>
          <w:lang w:val="en-US" w:eastAsia="zh-CN" w:bidi="ar-SA"/>
        </w:rPr>
        <w:t>（签字）</w:t>
      </w:r>
    </w:p>
    <w:p w14:paraId="54DC9BEC">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通讯地址：</w:t>
      </w:r>
    </w:p>
    <w:p w14:paraId="78FAA27B">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邮政编码：</w:t>
      </w:r>
    </w:p>
    <w:p w14:paraId="1DA25C34">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联系电话：</w:t>
      </w:r>
    </w:p>
    <w:p w14:paraId="26FC76C5">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传    真：</w:t>
      </w:r>
    </w:p>
    <w:p w14:paraId="203D04E8">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电子邮件：</w:t>
      </w:r>
    </w:p>
    <w:p w14:paraId="1617496E">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开户银行:</w:t>
      </w:r>
    </w:p>
    <w:p w14:paraId="00A47DD2">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帐    号：</w:t>
      </w:r>
    </w:p>
    <w:p w14:paraId="7F6B6E18">
      <w:pPr>
        <w:keepNext w:val="0"/>
        <w:keepLines w:val="0"/>
        <w:pageBreakBefore w:val="0"/>
        <w:widowControl w:val="0"/>
        <w:kinsoku/>
        <w:wordWrap/>
        <w:overflowPunct/>
        <w:topLinePunct w:val="0"/>
        <w:autoSpaceDE/>
        <w:autoSpaceDN/>
        <w:bidi w:val="0"/>
        <w:spacing w:before="0" w:after="0" w:line="480" w:lineRule="exact"/>
        <w:ind w:firstLine="440" w:firstLineChars="200"/>
        <w:jc w:val="both"/>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日    期：20   年   月   日</w:t>
      </w:r>
    </w:p>
    <w:p w14:paraId="36417D7E">
      <w:pPr>
        <w:keepNext w:val="0"/>
        <w:keepLines w:val="0"/>
        <w:pageBreakBefore/>
        <w:kinsoku/>
        <w:wordWrap/>
        <w:overflowPunct/>
        <w:topLinePunct w:val="0"/>
        <w:autoSpaceDE/>
        <w:autoSpaceDN/>
        <w:bidi w:val="0"/>
        <w:snapToGrid/>
        <w:spacing w:line="480" w:lineRule="exact"/>
        <w:ind w:left="0"/>
        <w:jc w:val="center"/>
        <w:textAlignment w:val="auto"/>
        <w:outlineLvl w:val="1"/>
        <w:rPr>
          <w:rFonts w:hint="eastAsia" w:ascii="宋体" w:hAnsi="宋体" w:eastAsia="宋体" w:cs="宋体"/>
          <w:b/>
          <w:color w:val="auto"/>
          <w:sz w:val="36"/>
          <w:szCs w:val="36"/>
          <w:highlight w:val="none"/>
        </w:rPr>
      </w:pPr>
      <w:bookmarkStart w:id="209" w:name="_Toc24592"/>
      <w:r>
        <w:rPr>
          <w:rFonts w:hint="eastAsia" w:ascii="宋体" w:hAnsi="宋体" w:eastAsia="宋体" w:cs="宋体"/>
          <w:b/>
          <w:color w:val="auto"/>
          <w:sz w:val="36"/>
          <w:szCs w:val="36"/>
          <w:highlight w:val="none"/>
        </w:rPr>
        <w:t>二、开标一览表</w:t>
      </w:r>
      <w:bookmarkEnd w:id="209"/>
    </w:p>
    <w:p w14:paraId="27C9054A">
      <w:pPr>
        <w:keepNext w:val="0"/>
        <w:keepLines w:val="0"/>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2"/>
          <w:szCs w:val="22"/>
          <w:highlight w:val="none"/>
        </w:rPr>
      </w:pPr>
      <w:bookmarkStart w:id="210" w:name="_Toc3198"/>
      <w:r>
        <w:rPr>
          <w:rFonts w:hint="eastAsia" w:ascii="宋体" w:hAnsi="宋体" w:eastAsia="宋体" w:cs="宋体"/>
          <w:color w:val="auto"/>
          <w:sz w:val="22"/>
          <w:szCs w:val="22"/>
          <w:highlight w:val="none"/>
        </w:rPr>
        <w:t>采购项目编号：</w:t>
      </w:r>
      <w:bookmarkEnd w:id="210"/>
      <w:r>
        <w:rPr>
          <w:rFonts w:hint="eastAsia" w:ascii="宋体" w:hAnsi="宋体" w:eastAsia="宋体" w:cs="宋体"/>
          <w:color w:val="auto"/>
          <w:sz w:val="22"/>
          <w:szCs w:val="22"/>
          <w:highlight w:val="none"/>
        </w:rPr>
        <w:t xml:space="preserve">                                                    </w:t>
      </w:r>
    </w:p>
    <w:tbl>
      <w:tblPr>
        <w:tblStyle w:val="22"/>
        <w:tblW w:w="9667" w:type="dxa"/>
        <w:tblInd w:w="93" w:type="dxa"/>
        <w:tblLayout w:type="fixed"/>
        <w:tblCellMar>
          <w:top w:w="0" w:type="dxa"/>
          <w:left w:w="108" w:type="dxa"/>
          <w:bottom w:w="0" w:type="dxa"/>
          <w:right w:w="108" w:type="dxa"/>
        </w:tblCellMar>
      </w:tblPr>
      <w:tblGrid>
        <w:gridCol w:w="3544"/>
        <w:gridCol w:w="2000"/>
        <w:gridCol w:w="1726"/>
        <w:gridCol w:w="2397"/>
      </w:tblGrid>
      <w:tr w14:paraId="603BA82F">
        <w:tblPrEx>
          <w:tblCellMar>
            <w:top w:w="0" w:type="dxa"/>
            <w:left w:w="108" w:type="dxa"/>
            <w:bottom w:w="0" w:type="dxa"/>
            <w:right w:w="108" w:type="dxa"/>
          </w:tblCellMar>
        </w:tblPrEx>
        <w:trPr>
          <w:trHeight w:val="555" w:hRule="atLeast"/>
        </w:trPr>
        <w:tc>
          <w:tcPr>
            <w:tcW w:w="9667" w:type="dxa"/>
            <w:gridSpan w:val="4"/>
            <w:tcBorders>
              <w:top w:val="single" w:color="auto" w:sz="12" w:space="0"/>
              <w:left w:val="single" w:color="auto" w:sz="12" w:space="0"/>
              <w:bottom w:val="single" w:color="auto" w:sz="4" w:space="0"/>
              <w:right w:val="single" w:color="auto" w:sz="12" w:space="0"/>
            </w:tcBorders>
            <w:noWrap/>
            <w:vAlign w:val="center"/>
          </w:tcPr>
          <w:p w14:paraId="2BBF2E55">
            <w:pPr>
              <w:keepNext w:val="0"/>
              <w:keepLines w:val="0"/>
              <w:widowControl/>
              <w:kinsoku/>
              <w:wordWrap/>
              <w:overflowPunct/>
              <w:topLinePunct w:val="0"/>
              <w:autoSpaceDE/>
              <w:autoSpaceDN/>
              <w:bidi w:val="0"/>
              <w:snapToGrid/>
              <w:spacing w:line="480" w:lineRule="exact"/>
              <w:ind w:left="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投标人名称：</w:t>
            </w:r>
          </w:p>
        </w:tc>
      </w:tr>
      <w:tr w14:paraId="3C3DB919">
        <w:tblPrEx>
          <w:tblCellMar>
            <w:top w:w="0" w:type="dxa"/>
            <w:left w:w="108" w:type="dxa"/>
            <w:bottom w:w="0" w:type="dxa"/>
            <w:right w:w="108" w:type="dxa"/>
          </w:tblCellMar>
        </w:tblPrEx>
        <w:trPr>
          <w:trHeight w:val="900" w:hRule="atLeast"/>
        </w:trPr>
        <w:tc>
          <w:tcPr>
            <w:tcW w:w="3544" w:type="dxa"/>
            <w:tcBorders>
              <w:top w:val="nil"/>
              <w:left w:val="single" w:color="auto" w:sz="12" w:space="0"/>
              <w:bottom w:val="single" w:color="auto" w:sz="4" w:space="0"/>
              <w:right w:val="single" w:color="auto" w:sz="4" w:space="0"/>
            </w:tcBorders>
            <w:noWrap/>
            <w:vAlign w:val="center"/>
          </w:tcPr>
          <w:p w14:paraId="62283462">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2000" w:type="dxa"/>
            <w:tcBorders>
              <w:top w:val="nil"/>
              <w:left w:val="nil"/>
              <w:bottom w:val="single" w:color="auto" w:sz="4" w:space="0"/>
              <w:right w:val="single" w:color="auto" w:sz="4" w:space="0"/>
            </w:tcBorders>
            <w:noWrap w:val="0"/>
            <w:vAlign w:val="center"/>
          </w:tcPr>
          <w:p w14:paraId="605DF9EC">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总报价</w:t>
            </w:r>
          </w:p>
          <w:p w14:paraId="1ECF6E12">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（元）</w:t>
            </w:r>
          </w:p>
        </w:tc>
        <w:tc>
          <w:tcPr>
            <w:tcW w:w="1726" w:type="dxa"/>
            <w:tcBorders>
              <w:top w:val="nil"/>
              <w:left w:val="nil"/>
              <w:bottom w:val="single" w:color="auto" w:sz="4" w:space="0"/>
              <w:right w:val="single" w:color="auto" w:sz="4" w:space="0"/>
            </w:tcBorders>
            <w:noWrap w:val="0"/>
            <w:vAlign w:val="center"/>
          </w:tcPr>
          <w:p w14:paraId="1CB4A4CE">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合同履行期限（</w:t>
            </w:r>
            <w:r>
              <w:rPr>
                <w:rFonts w:hint="eastAsia" w:ascii="宋体" w:hAnsi="宋体" w:eastAsia="宋体" w:cs="宋体"/>
                <w:b/>
                <w:bCs/>
                <w:color w:val="auto"/>
                <w:kern w:val="0"/>
                <w:sz w:val="22"/>
                <w:szCs w:val="22"/>
                <w:highlight w:val="none"/>
                <w:lang w:val="en-US" w:eastAsia="zh-CN"/>
              </w:rPr>
              <w:t>日历日</w:t>
            </w:r>
            <w:r>
              <w:rPr>
                <w:rFonts w:hint="eastAsia" w:ascii="宋体" w:hAnsi="宋体" w:eastAsia="宋体" w:cs="宋体"/>
                <w:b/>
                <w:bCs/>
                <w:color w:val="auto"/>
                <w:kern w:val="0"/>
                <w:sz w:val="22"/>
                <w:szCs w:val="22"/>
                <w:highlight w:val="none"/>
              </w:rPr>
              <w:t>）</w:t>
            </w:r>
          </w:p>
        </w:tc>
        <w:tc>
          <w:tcPr>
            <w:tcW w:w="2397" w:type="dxa"/>
            <w:tcBorders>
              <w:top w:val="nil"/>
              <w:left w:val="nil"/>
              <w:bottom w:val="single" w:color="auto" w:sz="4" w:space="0"/>
              <w:right w:val="single" w:color="auto" w:sz="12" w:space="0"/>
            </w:tcBorders>
            <w:noWrap w:val="0"/>
            <w:vAlign w:val="center"/>
          </w:tcPr>
          <w:p w14:paraId="0BDFE65E">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质保期  </w:t>
            </w:r>
          </w:p>
          <w:p w14:paraId="4A543F05">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（年）</w:t>
            </w:r>
          </w:p>
        </w:tc>
      </w:tr>
      <w:tr w14:paraId="07E3808B">
        <w:tblPrEx>
          <w:tblCellMar>
            <w:top w:w="0" w:type="dxa"/>
            <w:left w:w="108" w:type="dxa"/>
            <w:bottom w:w="0" w:type="dxa"/>
            <w:right w:w="108" w:type="dxa"/>
          </w:tblCellMar>
        </w:tblPrEx>
        <w:trPr>
          <w:trHeight w:val="1170" w:hRule="atLeast"/>
        </w:trPr>
        <w:tc>
          <w:tcPr>
            <w:tcW w:w="3544" w:type="dxa"/>
            <w:tcBorders>
              <w:top w:val="nil"/>
              <w:left w:val="single" w:color="auto" w:sz="12" w:space="0"/>
              <w:bottom w:val="single" w:color="auto" w:sz="4" w:space="0"/>
              <w:right w:val="single" w:color="auto" w:sz="4" w:space="0"/>
            </w:tcBorders>
            <w:noWrap/>
            <w:vAlign w:val="center"/>
          </w:tcPr>
          <w:p w14:paraId="5D150124">
            <w:pPr>
              <w:keepNext w:val="0"/>
              <w:keepLines w:val="0"/>
              <w:widowControl/>
              <w:kinsoku/>
              <w:wordWrap/>
              <w:overflowPunct/>
              <w:topLinePunct w:val="0"/>
              <w:autoSpaceDE/>
              <w:autoSpaceDN/>
              <w:bidi w:val="0"/>
              <w:snapToGrid/>
              <w:spacing w:line="480" w:lineRule="exact"/>
              <w:ind w:left="0"/>
              <w:jc w:val="center"/>
              <w:textAlignment w:val="auto"/>
              <w:rPr>
                <w:rFonts w:hint="eastAsia" w:ascii="宋体" w:hAnsi="宋体" w:eastAsia="宋体" w:cs="宋体"/>
                <w:color w:val="auto"/>
                <w:kern w:val="0"/>
                <w:sz w:val="22"/>
                <w:szCs w:val="22"/>
                <w:highlight w:val="none"/>
              </w:rPr>
            </w:pPr>
          </w:p>
        </w:tc>
        <w:tc>
          <w:tcPr>
            <w:tcW w:w="2000" w:type="dxa"/>
            <w:tcBorders>
              <w:top w:val="nil"/>
              <w:left w:val="nil"/>
              <w:bottom w:val="single" w:color="auto" w:sz="4" w:space="0"/>
              <w:right w:val="single" w:color="auto" w:sz="4" w:space="0"/>
            </w:tcBorders>
            <w:noWrap/>
            <w:vAlign w:val="center"/>
          </w:tcPr>
          <w:p w14:paraId="6CEBADDE">
            <w:pPr>
              <w:keepNext w:val="0"/>
              <w:keepLines w:val="0"/>
              <w:widowControl/>
              <w:kinsoku/>
              <w:wordWrap/>
              <w:overflowPunct/>
              <w:topLinePunct w:val="0"/>
              <w:autoSpaceDE/>
              <w:autoSpaceDN/>
              <w:bidi w:val="0"/>
              <w:snapToGrid/>
              <w:spacing w:line="480" w:lineRule="exact"/>
              <w:ind w:left="0"/>
              <w:jc w:val="left"/>
              <w:textAlignment w:val="auto"/>
              <w:rPr>
                <w:rFonts w:hint="eastAsia" w:ascii="宋体" w:hAnsi="宋体" w:eastAsia="宋体" w:cs="宋体"/>
                <w:color w:val="auto"/>
                <w:kern w:val="0"/>
                <w:sz w:val="22"/>
                <w:szCs w:val="22"/>
                <w:highlight w:val="none"/>
              </w:rPr>
            </w:pPr>
          </w:p>
        </w:tc>
        <w:tc>
          <w:tcPr>
            <w:tcW w:w="1726" w:type="dxa"/>
            <w:tcBorders>
              <w:top w:val="nil"/>
              <w:left w:val="nil"/>
              <w:bottom w:val="single" w:color="auto" w:sz="4" w:space="0"/>
              <w:right w:val="single" w:color="auto" w:sz="4" w:space="0"/>
            </w:tcBorders>
            <w:noWrap/>
            <w:vAlign w:val="center"/>
          </w:tcPr>
          <w:p w14:paraId="569954B9">
            <w:pPr>
              <w:keepNext w:val="0"/>
              <w:keepLines w:val="0"/>
              <w:widowControl/>
              <w:kinsoku/>
              <w:wordWrap/>
              <w:overflowPunct/>
              <w:topLinePunct w:val="0"/>
              <w:autoSpaceDE/>
              <w:autoSpaceDN/>
              <w:bidi w:val="0"/>
              <w:snapToGrid/>
              <w:spacing w:line="480" w:lineRule="exact"/>
              <w:ind w:left="0"/>
              <w:jc w:val="left"/>
              <w:textAlignment w:val="auto"/>
              <w:rPr>
                <w:rFonts w:hint="eastAsia" w:ascii="宋体" w:hAnsi="宋体" w:eastAsia="宋体" w:cs="宋体"/>
                <w:color w:val="auto"/>
                <w:kern w:val="0"/>
                <w:sz w:val="22"/>
                <w:szCs w:val="22"/>
                <w:highlight w:val="none"/>
              </w:rPr>
            </w:pPr>
          </w:p>
        </w:tc>
        <w:tc>
          <w:tcPr>
            <w:tcW w:w="2397" w:type="dxa"/>
            <w:tcBorders>
              <w:top w:val="nil"/>
              <w:left w:val="nil"/>
              <w:bottom w:val="single" w:color="auto" w:sz="4" w:space="0"/>
              <w:right w:val="single" w:color="auto" w:sz="12" w:space="0"/>
            </w:tcBorders>
            <w:noWrap/>
            <w:vAlign w:val="center"/>
          </w:tcPr>
          <w:p w14:paraId="59F32B83">
            <w:pPr>
              <w:keepNext w:val="0"/>
              <w:keepLines w:val="0"/>
              <w:widowControl/>
              <w:kinsoku/>
              <w:wordWrap/>
              <w:overflowPunct/>
              <w:topLinePunct w:val="0"/>
              <w:autoSpaceDE/>
              <w:autoSpaceDN/>
              <w:bidi w:val="0"/>
              <w:snapToGrid/>
              <w:spacing w:line="480" w:lineRule="exact"/>
              <w:ind w:left="0"/>
              <w:jc w:val="left"/>
              <w:textAlignment w:val="auto"/>
              <w:rPr>
                <w:rFonts w:hint="eastAsia" w:ascii="宋体" w:hAnsi="宋体" w:eastAsia="宋体" w:cs="宋体"/>
                <w:color w:val="auto"/>
                <w:kern w:val="0"/>
                <w:sz w:val="22"/>
                <w:szCs w:val="22"/>
                <w:highlight w:val="none"/>
              </w:rPr>
            </w:pPr>
          </w:p>
        </w:tc>
      </w:tr>
      <w:tr w14:paraId="757FDF6D">
        <w:tblPrEx>
          <w:tblCellMar>
            <w:top w:w="0" w:type="dxa"/>
            <w:left w:w="108" w:type="dxa"/>
            <w:bottom w:w="0" w:type="dxa"/>
            <w:right w:w="108" w:type="dxa"/>
          </w:tblCellMar>
        </w:tblPrEx>
        <w:trPr>
          <w:trHeight w:val="765" w:hRule="atLeast"/>
        </w:trPr>
        <w:tc>
          <w:tcPr>
            <w:tcW w:w="9667" w:type="dxa"/>
            <w:gridSpan w:val="4"/>
            <w:tcBorders>
              <w:top w:val="single" w:color="auto" w:sz="4" w:space="0"/>
              <w:left w:val="single" w:color="auto" w:sz="12" w:space="0"/>
              <w:bottom w:val="single" w:color="auto" w:sz="12" w:space="0"/>
              <w:right w:val="single" w:color="auto" w:sz="12" w:space="0"/>
            </w:tcBorders>
            <w:noWrap/>
            <w:vAlign w:val="center"/>
          </w:tcPr>
          <w:p w14:paraId="6FC7B110">
            <w:pPr>
              <w:keepNext w:val="0"/>
              <w:keepLines w:val="0"/>
              <w:widowControl/>
              <w:kinsoku/>
              <w:wordWrap/>
              <w:overflowPunct/>
              <w:topLinePunct w:val="0"/>
              <w:autoSpaceDE/>
              <w:autoSpaceDN/>
              <w:bidi w:val="0"/>
              <w:snapToGrid/>
              <w:spacing w:line="480" w:lineRule="exact"/>
              <w:ind w:left="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总报价（大写）：                                           </w:t>
            </w:r>
          </w:p>
        </w:tc>
      </w:tr>
    </w:tbl>
    <w:p w14:paraId="2062CEA6">
      <w:pPr>
        <w:keepNext w:val="0"/>
        <w:keepLines w:val="0"/>
        <w:pageBreakBefore w:val="0"/>
        <w:widowControl w:val="0"/>
        <w:kinsoku/>
        <w:wordWrap/>
        <w:overflowPunct/>
        <w:topLinePunct w:val="0"/>
        <w:autoSpaceDE/>
        <w:autoSpaceDN/>
        <w:bidi w:val="0"/>
        <w:adjustRightInd/>
        <w:snapToGrid/>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1.报价应按总报价填写，精确到小数点后两位，大小写不一致时，以大写为准；</w:t>
      </w:r>
    </w:p>
    <w:p w14:paraId="0A98BE49">
      <w:pPr>
        <w:keepNext w:val="0"/>
        <w:keepLines w:val="0"/>
        <w:pageBreakBefore w:val="0"/>
        <w:widowControl w:val="0"/>
        <w:kinsoku/>
        <w:wordWrap/>
        <w:overflowPunct/>
        <w:topLinePunct w:val="0"/>
        <w:autoSpaceDE/>
        <w:autoSpaceDN/>
        <w:bidi w:val="0"/>
        <w:adjustRightInd/>
        <w:snapToGrid/>
        <w:spacing w:line="480" w:lineRule="exact"/>
        <w:ind w:left="0" w:leftChars="0" w:firstLine="660"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.有分包的，项目名称填写分包的项目名称，无分包的填写采购项目名称；</w:t>
      </w:r>
    </w:p>
    <w:p w14:paraId="7A98A15F">
      <w:pPr>
        <w:keepNext w:val="0"/>
        <w:keepLines w:val="0"/>
        <w:pageBreakBefore w:val="0"/>
        <w:widowControl w:val="0"/>
        <w:kinsoku/>
        <w:wordWrap/>
        <w:overflowPunct/>
        <w:topLinePunct w:val="0"/>
        <w:autoSpaceDE/>
        <w:autoSpaceDN/>
        <w:bidi w:val="0"/>
        <w:adjustRightInd/>
        <w:snapToGrid/>
        <w:spacing w:line="480" w:lineRule="exact"/>
        <w:ind w:left="0" w:leftChars="0" w:firstLine="660"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.本表所列各项数据与投标文件其他地方表述不一致时，以本表为准；</w:t>
      </w:r>
    </w:p>
    <w:p w14:paraId="3851B113">
      <w:pPr>
        <w:keepNext w:val="0"/>
        <w:keepLines w:val="0"/>
        <w:kinsoku/>
        <w:wordWrap/>
        <w:overflowPunct/>
        <w:topLinePunct w:val="0"/>
        <w:autoSpaceDE/>
        <w:autoSpaceDN/>
        <w:bidi w:val="0"/>
        <w:adjustRightInd w:val="0"/>
        <w:snapToGrid/>
        <w:spacing w:line="480" w:lineRule="exact"/>
        <w:ind w:left="0" w:firstLine="110" w:firstLineChars="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5DD53F9E">
      <w:pPr>
        <w:keepNext w:val="0"/>
        <w:keepLines w:val="0"/>
        <w:kinsoku/>
        <w:wordWrap/>
        <w:overflowPunct/>
        <w:topLinePunct w:val="0"/>
        <w:autoSpaceDE/>
        <w:autoSpaceDN/>
        <w:bidi w:val="0"/>
        <w:snapToGrid/>
        <w:spacing w:line="480" w:lineRule="exact"/>
        <w:ind w:left="0" w:firstLine="110" w:firstLineChars="50"/>
        <w:textAlignment w:val="auto"/>
        <w:outlineLvl w:val="1"/>
        <w:rPr>
          <w:rFonts w:hint="eastAsia" w:ascii="宋体" w:hAnsi="宋体" w:eastAsia="宋体" w:cs="宋体"/>
          <w:color w:val="auto"/>
          <w:sz w:val="22"/>
          <w:szCs w:val="22"/>
          <w:highlight w:val="none"/>
        </w:rPr>
      </w:pPr>
      <w:bookmarkStart w:id="211" w:name="_Toc30462"/>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（签章或签字）</w:t>
      </w:r>
      <w:bookmarkEnd w:id="211"/>
    </w:p>
    <w:p w14:paraId="5F6F69B0">
      <w:pPr>
        <w:keepNext w:val="0"/>
        <w:keepLines w:val="0"/>
        <w:kinsoku/>
        <w:wordWrap/>
        <w:overflowPunct/>
        <w:topLinePunct w:val="0"/>
        <w:autoSpaceDE/>
        <w:autoSpaceDN/>
        <w:bidi w:val="0"/>
        <w:snapToGrid/>
        <w:spacing w:line="480" w:lineRule="exact"/>
        <w:ind w:left="0" w:firstLine="110" w:firstLineChars="50"/>
        <w:textAlignment w:val="auto"/>
        <w:outlineLvl w:val="1"/>
        <w:rPr>
          <w:rFonts w:hint="eastAsia" w:ascii="宋体" w:hAnsi="宋体" w:eastAsia="宋体" w:cs="宋体"/>
          <w:b/>
          <w:color w:val="auto"/>
          <w:sz w:val="22"/>
          <w:szCs w:val="22"/>
          <w:highlight w:val="none"/>
        </w:rPr>
      </w:pPr>
      <w:bookmarkStart w:id="212" w:name="_Toc17491"/>
      <w:r>
        <w:rPr>
          <w:rFonts w:hint="eastAsia" w:ascii="宋体" w:hAnsi="宋体" w:eastAsia="宋体" w:cs="宋体"/>
          <w:color w:val="auto"/>
          <w:sz w:val="22"/>
          <w:szCs w:val="22"/>
          <w:highlight w:val="none"/>
        </w:rPr>
        <w:t>日     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bookmarkEnd w:id="212"/>
    </w:p>
    <w:p w14:paraId="654DA0CC">
      <w:pPr>
        <w:keepNext w:val="0"/>
        <w:keepLines w:val="0"/>
        <w:kinsoku/>
        <w:wordWrap/>
        <w:overflowPunct/>
        <w:topLinePunct w:val="0"/>
        <w:autoSpaceDE/>
        <w:autoSpaceDN/>
        <w:bidi w:val="0"/>
        <w:snapToGrid/>
        <w:spacing w:line="480" w:lineRule="exact"/>
        <w:ind w:left="0"/>
        <w:textAlignment w:val="auto"/>
        <w:outlineLvl w:val="1"/>
        <w:rPr>
          <w:rFonts w:hint="eastAsia" w:ascii="宋体" w:hAnsi="宋体" w:eastAsia="宋体" w:cs="宋体"/>
          <w:b/>
          <w:color w:val="auto"/>
          <w:sz w:val="22"/>
          <w:szCs w:val="22"/>
          <w:highlight w:val="none"/>
        </w:rPr>
        <w:sectPr>
          <w:headerReference r:id="rId10" w:type="default"/>
          <w:footerReference r:id="rId11" w:type="default"/>
          <w:pgSz w:w="11911" w:h="16838"/>
          <w:pgMar w:top="1417" w:right="1134" w:bottom="1417" w:left="1134" w:header="873" w:footer="1485" w:gutter="0"/>
          <w:pgNumType w:fmt="decimal"/>
          <w:cols w:space="0" w:num="1"/>
          <w:rtlGutter w:val="0"/>
          <w:docGrid w:linePitch="0" w:charSpace="0"/>
        </w:sectPr>
      </w:pPr>
    </w:p>
    <w:p w14:paraId="667952D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b/>
          <w:color w:val="auto"/>
          <w:sz w:val="36"/>
          <w:szCs w:val="36"/>
          <w:highlight w:val="none"/>
        </w:rPr>
      </w:pPr>
      <w:bookmarkStart w:id="213" w:name="_Toc217446086"/>
      <w:r>
        <w:rPr>
          <w:rFonts w:hint="eastAsia" w:ascii="宋体" w:hAnsi="宋体" w:eastAsia="宋体" w:cs="宋体"/>
          <w:b/>
          <w:bCs/>
          <w:color w:val="auto"/>
          <w:sz w:val="36"/>
          <w:szCs w:val="36"/>
          <w:highlight w:val="none"/>
        </w:rPr>
        <w:t>三、货物（产品）分项报价表</w:t>
      </w:r>
    </w:p>
    <w:p w14:paraId="0D725A7B">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投标人名称：                                                                                      </w:t>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t>采购项目编码：</w:t>
      </w:r>
    </w:p>
    <w:tbl>
      <w:tblPr>
        <w:tblStyle w:val="22"/>
        <w:tblW w:w="139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888"/>
        <w:gridCol w:w="1971"/>
        <w:gridCol w:w="1270"/>
        <w:gridCol w:w="2481"/>
        <w:gridCol w:w="1378"/>
        <w:gridCol w:w="837"/>
        <w:gridCol w:w="1189"/>
        <w:gridCol w:w="1233"/>
        <w:gridCol w:w="722"/>
      </w:tblGrid>
      <w:tr w14:paraId="6C5A3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026" w:type="dxa"/>
            <w:noWrap w:val="0"/>
            <w:vAlign w:val="center"/>
          </w:tcPr>
          <w:p w14:paraId="47AED54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序号</w:t>
            </w:r>
          </w:p>
        </w:tc>
        <w:tc>
          <w:tcPr>
            <w:tcW w:w="1888" w:type="dxa"/>
            <w:noWrap w:val="0"/>
            <w:vAlign w:val="center"/>
          </w:tcPr>
          <w:p w14:paraId="7CA0869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货物名称</w:t>
            </w:r>
          </w:p>
        </w:tc>
        <w:tc>
          <w:tcPr>
            <w:tcW w:w="1971" w:type="dxa"/>
            <w:noWrap w:val="0"/>
            <w:vAlign w:val="center"/>
          </w:tcPr>
          <w:p w14:paraId="38679FA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品牌</w:t>
            </w:r>
          </w:p>
        </w:tc>
        <w:tc>
          <w:tcPr>
            <w:tcW w:w="1270" w:type="dxa"/>
            <w:noWrap w:val="0"/>
            <w:vAlign w:val="center"/>
          </w:tcPr>
          <w:p w14:paraId="6BB0DB7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型号规格</w:t>
            </w:r>
          </w:p>
        </w:tc>
        <w:tc>
          <w:tcPr>
            <w:tcW w:w="2481" w:type="dxa"/>
            <w:noWrap w:val="0"/>
            <w:vAlign w:val="center"/>
          </w:tcPr>
          <w:p w14:paraId="323C263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制造商</w:t>
            </w:r>
          </w:p>
        </w:tc>
        <w:tc>
          <w:tcPr>
            <w:tcW w:w="1378" w:type="dxa"/>
            <w:noWrap w:val="0"/>
            <w:vAlign w:val="center"/>
          </w:tcPr>
          <w:p w14:paraId="6455419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数量/单位</w:t>
            </w:r>
          </w:p>
        </w:tc>
        <w:tc>
          <w:tcPr>
            <w:tcW w:w="837" w:type="dxa"/>
            <w:noWrap w:val="0"/>
            <w:vAlign w:val="center"/>
          </w:tcPr>
          <w:p w14:paraId="4C31A23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单价（元）</w:t>
            </w:r>
          </w:p>
        </w:tc>
        <w:tc>
          <w:tcPr>
            <w:tcW w:w="1189" w:type="dxa"/>
            <w:noWrap w:val="0"/>
            <w:vAlign w:val="center"/>
          </w:tcPr>
          <w:p w14:paraId="1EC4CD6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报价（元）</w:t>
            </w:r>
          </w:p>
        </w:tc>
        <w:tc>
          <w:tcPr>
            <w:tcW w:w="1233" w:type="dxa"/>
            <w:noWrap w:val="0"/>
            <w:vAlign w:val="center"/>
          </w:tcPr>
          <w:p w14:paraId="2F90518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lang w:val="en-US" w:eastAsia="zh-CN"/>
              </w:rPr>
              <w:t>中小</w:t>
            </w:r>
            <w:r>
              <w:rPr>
                <w:rFonts w:hint="eastAsia" w:asciiTheme="minorEastAsia" w:hAnsiTheme="minorEastAsia" w:eastAsiaTheme="minorEastAsia" w:cstheme="minorEastAsia"/>
                <w:b/>
                <w:color w:val="auto"/>
                <w:sz w:val="22"/>
                <w:szCs w:val="22"/>
                <w:highlight w:val="none"/>
              </w:rPr>
              <w:t>企业</w:t>
            </w:r>
          </w:p>
        </w:tc>
        <w:tc>
          <w:tcPr>
            <w:tcW w:w="722" w:type="dxa"/>
            <w:noWrap w:val="0"/>
            <w:vAlign w:val="center"/>
          </w:tcPr>
          <w:p w14:paraId="462B1C6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备注</w:t>
            </w:r>
          </w:p>
        </w:tc>
      </w:tr>
      <w:tr w14:paraId="668A7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6" w:type="dxa"/>
            <w:noWrap w:val="0"/>
            <w:vAlign w:val="center"/>
          </w:tcPr>
          <w:p w14:paraId="3414629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888" w:type="dxa"/>
            <w:noWrap w:val="0"/>
            <w:vAlign w:val="center"/>
          </w:tcPr>
          <w:p w14:paraId="0C81AAB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971" w:type="dxa"/>
            <w:noWrap w:val="0"/>
            <w:vAlign w:val="top"/>
          </w:tcPr>
          <w:p w14:paraId="341FC0D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70" w:type="dxa"/>
            <w:noWrap w:val="0"/>
            <w:vAlign w:val="top"/>
          </w:tcPr>
          <w:p w14:paraId="59CF58C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2481" w:type="dxa"/>
            <w:noWrap w:val="0"/>
            <w:vAlign w:val="top"/>
          </w:tcPr>
          <w:p w14:paraId="59A1478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378" w:type="dxa"/>
            <w:noWrap w:val="0"/>
            <w:vAlign w:val="top"/>
          </w:tcPr>
          <w:p w14:paraId="0EA31E4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837" w:type="dxa"/>
            <w:noWrap w:val="0"/>
            <w:vAlign w:val="center"/>
          </w:tcPr>
          <w:p w14:paraId="2979706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189" w:type="dxa"/>
            <w:noWrap w:val="0"/>
            <w:vAlign w:val="top"/>
          </w:tcPr>
          <w:p w14:paraId="511F87E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33" w:type="dxa"/>
            <w:noWrap w:val="0"/>
            <w:vAlign w:val="top"/>
          </w:tcPr>
          <w:p w14:paraId="2E846BF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722" w:type="dxa"/>
            <w:noWrap w:val="0"/>
            <w:vAlign w:val="center"/>
          </w:tcPr>
          <w:p w14:paraId="63445F6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r>
      <w:tr w14:paraId="332BC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6" w:type="dxa"/>
            <w:noWrap w:val="0"/>
            <w:vAlign w:val="center"/>
          </w:tcPr>
          <w:p w14:paraId="143102F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888" w:type="dxa"/>
            <w:noWrap w:val="0"/>
            <w:vAlign w:val="center"/>
          </w:tcPr>
          <w:p w14:paraId="4DAFA40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971" w:type="dxa"/>
            <w:noWrap w:val="0"/>
            <w:vAlign w:val="top"/>
          </w:tcPr>
          <w:p w14:paraId="721B99A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70" w:type="dxa"/>
            <w:noWrap w:val="0"/>
            <w:vAlign w:val="top"/>
          </w:tcPr>
          <w:p w14:paraId="45BF5F6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2481" w:type="dxa"/>
            <w:noWrap w:val="0"/>
            <w:vAlign w:val="top"/>
          </w:tcPr>
          <w:p w14:paraId="7395E65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378" w:type="dxa"/>
            <w:noWrap w:val="0"/>
            <w:vAlign w:val="top"/>
          </w:tcPr>
          <w:p w14:paraId="248E1FE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837" w:type="dxa"/>
            <w:noWrap w:val="0"/>
            <w:vAlign w:val="center"/>
          </w:tcPr>
          <w:p w14:paraId="2F743A0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189" w:type="dxa"/>
            <w:noWrap w:val="0"/>
            <w:vAlign w:val="top"/>
          </w:tcPr>
          <w:p w14:paraId="2351374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33" w:type="dxa"/>
            <w:noWrap w:val="0"/>
            <w:vAlign w:val="top"/>
          </w:tcPr>
          <w:p w14:paraId="6EFD500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722" w:type="dxa"/>
            <w:noWrap w:val="0"/>
            <w:vAlign w:val="center"/>
          </w:tcPr>
          <w:p w14:paraId="2DD5A7C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r>
      <w:tr w14:paraId="33DE7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6" w:type="dxa"/>
            <w:noWrap w:val="0"/>
            <w:vAlign w:val="center"/>
          </w:tcPr>
          <w:p w14:paraId="2261358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888" w:type="dxa"/>
            <w:noWrap w:val="0"/>
            <w:vAlign w:val="center"/>
          </w:tcPr>
          <w:p w14:paraId="3187E1D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971" w:type="dxa"/>
            <w:noWrap w:val="0"/>
            <w:vAlign w:val="top"/>
          </w:tcPr>
          <w:p w14:paraId="3B86DCA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70" w:type="dxa"/>
            <w:noWrap w:val="0"/>
            <w:vAlign w:val="top"/>
          </w:tcPr>
          <w:p w14:paraId="6B09E58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2481" w:type="dxa"/>
            <w:noWrap w:val="0"/>
            <w:vAlign w:val="top"/>
          </w:tcPr>
          <w:p w14:paraId="5CD67CC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378" w:type="dxa"/>
            <w:noWrap w:val="0"/>
            <w:vAlign w:val="top"/>
          </w:tcPr>
          <w:p w14:paraId="0B1F9011">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837" w:type="dxa"/>
            <w:noWrap w:val="0"/>
            <w:vAlign w:val="center"/>
          </w:tcPr>
          <w:p w14:paraId="328CC941">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189" w:type="dxa"/>
            <w:noWrap w:val="0"/>
            <w:vAlign w:val="top"/>
          </w:tcPr>
          <w:p w14:paraId="0F7DAAD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33" w:type="dxa"/>
            <w:noWrap w:val="0"/>
            <w:vAlign w:val="top"/>
          </w:tcPr>
          <w:p w14:paraId="69243A0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722" w:type="dxa"/>
            <w:noWrap w:val="0"/>
            <w:vAlign w:val="center"/>
          </w:tcPr>
          <w:p w14:paraId="67CAF8D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r>
      <w:tr w14:paraId="623E5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6" w:type="dxa"/>
            <w:noWrap w:val="0"/>
            <w:vAlign w:val="center"/>
          </w:tcPr>
          <w:p w14:paraId="63C1E14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888" w:type="dxa"/>
            <w:noWrap w:val="0"/>
            <w:vAlign w:val="center"/>
          </w:tcPr>
          <w:p w14:paraId="5847A79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971" w:type="dxa"/>
            <w:noWrap w:val="0"/>
            <w:vAlign w:val="top"/>
          </w:tcPr>
          <w:p w14:paraId="6F304EB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70" w:type="dxa"/>
            <w:noWrap w:val="0"/>
            <w:vAlign w:val="top"/>
          </w:tcPr>
          <w:p w14:paraId="0DE2638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2481" w:type="dxa"/>
            <w:noWrap w:val="0"/>
            <w:vAlign w:val="top"/>
          </w:tcPr>
          <w:p w14:paraId="20D3171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378" w:type="dxa"/>
            <w:noWrap w:val="0"/>
            <w:vAlign w:val="top"/>
          </w:tcPr>
          <w:p w14:paraId="393173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837" w:type="dxa"/>
            <w:noWrap w:val="0"/>
            <w:vAlign w:val="center"/>
          </w:tcPr>
          <w:p w14:paraId="216ECB3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189" w:type="dxa"/>
            <w:noWrap w:val="0"/>
            <w:vAlign w:val="top"/>
          </w:tcPr>
          <w:p w14:paraId="0BAB026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233" w:type="dxa"/>
            <w:noWrap w:val="0"/>
            <w:vAlign w:val="top"/>
          </w:tcPr>
          <w:p w14:paraId="3993DE7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722" w:type="dxa"/>
            <w:noWrap w:val="0"/>
            <w:vAlign w:val="center"/>
          </w:tcPr>
          <w:p w14:paraId="5DF81AC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r>
      <w:tr w14:paraId="74085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26" w:type="dxa"/>
            <w:noWrap w:val="0"/>
            <w:vAlign w:val="center"/>
          </w:tcPr>
          <w:p w14:paraId="71DBED7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1888" w:type="dxa"/>
            <w:noWrap w:val="0"/>
            <w:vAlign w:val="center"/>
          </w:tcPr>
          <w:p w14:paraId="17AD212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合计报价（大写）</w:t>
            </w:r>
          </w:p>
        </w:tc>
        <w:tc>
          <w:tcPr>
            <w:tcW w:w="7937" w:type="dxa"/>
            <w:gridSpan w:val="5"/>
            <w:noWrap w:val="0"/>
            <w:vAlign w:val="top"/>
          </w:tcPr>
          <w:p w14:paraId="7FD9A6C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2"/>
                <w:szCs w:val="22"/>
                <w:highlight w:val="none"/>
              </w:rPr>
            </w:pPr>
          </w:p>
        </w:tc>
        <w:tc>
          <w:tcPr>
            <w:tcW w:w="3144" w:type="dxa"/>
            <w:gridSpan w:val="3"/>
            <w:noWrap w:val="0"/>
            <w:vAlign w:val="center"/>
          </w:tcPr>
          <w:p w14:paraId="18E3D18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r>
    </w:tbl>
    <w:p w14:paraId="67757923">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 标 人：</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（盖单位章） </w:t>
      </w:r>
    </w:p>
    <w:p w14:paraId="09B35A22">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法定代表人或委托代理人：</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（签章或签字） </w:t>
      </w:r>
    </w:p>
    <w:p w14:paraId="05B89AEF">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日    期：20</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年</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月</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日</w:t>
      </w:r>
    </w:p>
    <w:bookmarkEnd w:id="213"/>
    <w:p w14:paraId="0C7CF4AE">
      <w:pPr>
        <w:spacing w:after="360" w:afterLines="150" w:line="400" w:lineRule="exact"/>
        <w:ind w:left="777" w:leftChars="86" w:hanging="596" w:hangingChars="165"/>
        <w:jc w:val="center"/>
        <w:rPr>
          <w:rFonts w:hint="eastAsia" w:ascii="宋体" w:hAnsi="宋体" w:eastAsia="宋体" w:cs="宋体"/>
          <w:b/>
          <w:bCs/>
          <w:color w:val="auto"/>
          <w:sz w:val="36"/>
          <w:szCs w:val="36"/>
          <w:highlight w:val="none"/>
          <w:lang w:val="en-US" w:eastAsia="zh-CN"/>
        </w:rPr>
      </w:pPr>
      <w:bookmarkStart w:id="214" w:name="_Toc217446087"/>
    </w:p>
    <w:p w14:paraId="139DFCD2">
      <w:pPr>
        <w:pStyle w:val="11"/>
        <w:rPr>
          <w:rFonts w:hint="eastAsia" w:ascii="宋体" w:hAnsi="宋体" w:eastAsia="宋体" w:cs="宋体"/>
          <w:b/>
          <w:bCs/>
          <w:color w:val="auto"/>
          <w:sz w:val="36"/>
          <w:szCs w:val="36"/>
          <w:highlight w:val="none"/>
          <w:lang w:val="en-US" w:eastAsia="zh-CN"/>
        </w:rPr>
      </w:pPr>
    </w:p>
    <w:p w14:paraId="392CEE6C">
      <w:pPr>
        <w:keepNext w:val="0"/>
        <w:keepLines w:val="0"/>
        <w:pageBreakBefore w:val="0"/>
        <w:widowControl w:val="0"/>
        <w:kinsoku/>
        <w:wordWrap/>
        <w:overflowPunct/>
        <w:topLinePunct w:val="0"/>
        <w:autoSpaceDE/>
        <w:autoSpaceDN/>
        <w:bidi w:val="0"/>
        <w:spacing w:line="480" w:lineRule="exact"/>
        <w:ind w:left="596" w:leftChars="0" w:hanging="596" w:hangingChars="165"/>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36"/>
          <w:szCs w:val="36"/>
          <w:highlight w:val="none"/>
          <w:lang w:val="en-US" w:eastAsia="zh-CN"/>
        </w:rPr>
        <w:t>四</w:t>
      </w:r>
      <w:r>
        <w:rPr>
          <w:rFonts w:hint="eastAsia" w:ascii="宋体" w:hAnsi="宋体" w:eastAsia="宋体" w:cs="宋体"/>
          <w:b/>
          <w:bCs/>
          <w:color w:val="auto"/>
          <w:sz w:val="36"/>
          <w:szCs w:val="36"/>
          <w:highlight w:val="none"/>
        </w:rPr>
        <w:t>、货物（产品）说明一览表</w:t>
      </w:r>
    </w:p>
    <w:p w14:paraId="3EFE1812">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采购项目编号：</w:t>
      </w:r>
    </w:p>
    <w:tbl>
      <w:tblPr>
        <w:tblStyle w:val="22"/>
        <w:tblpPr w:leftFromText="180" w:rightFromText="180" w:vertAnchor="text" w:horzAnchor="margin" w:tblpXSpec="center" w:tblpY="74"/>
        <w:tblW w:w="14309" w:type="dxa"/>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08"/>
        <w:gridCol w:w="2090"/>
        <w:gridCol w:w="3119"/>
        <w:gridCol w:w="2380"/>
        <w:gridCol w:w="976"/>
        <w:gridCol w:w="2024"/>
        <w:gridCol w:w="2024"/>
      </w:tblGrid>
      <w:tr w14:paraId="134F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trPr>
        <w:tc>
          <w:tcPr>
            <w:tcW w:w="688" w:type="dxa"/>
            <w:tcBorders>
              <w:top w:val="single" w:color="auto" w:sz="4" w:space="0"/>
              <w:left w:val="single" w:color="auto" w:sz="4" w:space="0"/>
              <w:bottom w:val="single" w:color="auto" w:sz="4" w:space="0"/>
              <w:right w:val="single" w:color="auto" w:sz="4" w:space="0"/>
            </w:tcBorders>
            <w:noWrap w:val="0"/>
            <w:vAlign w:val="center"/>
          </w:tcPr>
          <w:p w14:paraId="51DC2B44">
            <w:pPr>
              <w:keepNext w:val="0"/>
              <w:keepLines w:val="0"/>
              <w:pageBreakBefore w:val="0"/>
              <w:widowControl w:val="0"/>
              <w:kinsoku/>
              <w:wordWrap/>
              <w:overflowPunct/>
              <w:topLinePunct w:val="0"/>
              <w:autoSpaceDE/>
              <w:autoSpaceDN/>
              <w:bidi w:val="0"/>
              <w:snapToGrid w:val="0"/>
              <w:spacing w:line="480" w:lineRule="exact"/>
              <w:ind w:left="0" w:leftChars="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83A8D9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产品名称</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8A46230">
            <w:pPr>
              <w:keepNext w:val="0"/>
              <w:keepLines w:val="0"/>
              <w:pageBreakBefore w:val="0"/>
              <w:widowControl w:val="0"/>
              <w:kinsoku/>
              <w:wordWrap/>
              <w:overflowPunct/>
              <w:topLinePunct w:val="0"/>
              <w:autoSpaceDE/>
              <w:autoSpaceDN/>
              <w:bidi w:val="0"/>
              <w:snapToGrid w:val="0"/>
              <w:spacing w:line="480" w:lineRule="exact"/>
              <w:ind w:left="0" w:leftChars="0"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品牌/型号</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C902AD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规格、配置及主要技术参数</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56D26F8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制造商</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1935208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092E989">
            <w:pPr>
              <w:keepNext w:val="0"/>
              <w:keepLines w:val="0"/>
              <w:pageBreakBefore w:val="0"/>
              <w:widowControl w:val="0"/>
              <w:kinsoku/>
              <w:wordWrap/>
              <w:overflowPunct/>
              <w:topLinePunct w:val="0"/>
              <w:autoSpaceDE/>
              <w:autoSpaceDN/>
              <w:bidi w:val="0"/>
              <w:snapToGrid w:val="0"/>
              <w:spacing w:line="480" w:lineRule="exact"/>
              <w:ind w:left="0" w:leftChars="0" w:firstLine="110" w:firstLineChars="5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合同履行期限</w:t>
            </w:r>
          </w:p>
        </w:tc>
        <w:tc>
          <w:tcPr>
            <w:tcW w:w="2024" w:type="dxa"/>
            <w:tcBorders>
              <w:top w:val="single" w:color="auto" w:sz="4" w:space="0"/>
              <w:left w:val="single" w:color="auto" w:sz="4" w:space="0"/>
              <w:bottom w:val="single" w:color="auto" w:sz="4" w:space="0"/>
              <w:right w:val="single" w:color="auto" w:sz="4" w:space="0"/>
            </w:tcBorders>
            <w:noWrap w:val="0"/>
            <w:vAlign w:val="center"/>
          </w:tcPr>
          <w:p w14:paraId="77228574">
            <w:pPr>
              <w:keepNext w:val="0"/>
              <w:keepLines w:val="0"/>
              <w:pageBreakBefore w:val="0"/>
              <w:widowControl w:val="0"/>
              <w:kinsoku/>
              <w:wordWrap/>
              <w:overflowPunct/>
              <w:topLinePunct w:val="0"/>
              <w:autoSpaceDE/>
              <w:autoSpaceDN/>
              <w:bidi w:val="0"/>
              <w:snapToGrid w:val="0"/>
              <w:spacing w:line="480" w:lineRule="exact"/>
              <w:ind w:left="0" w:leftChars="0" w:firstLine="110" w:firstLineChars="5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质保期</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年</w:t>
            </w:r>
            <w:r>
              <w:rPr>
                <w:rFonts w:hint="eastAsia" w:ascii="宋体" w:hAnsi="宋体" w:eastAsia="宋体" w:cs="宋体"/>
                <w:b/>
                <w:color w:val="auto"/>
                <w:sz w:val="22"/>
                <w:szCs w:val="22"/>
                <w:highlight w:val="none"/>
              </w:rPr>
              <w:t>）</w:t>
            </w:r>
          </w:p>
        </w:tc>
      </w:tr>
      <w:tr w14:paraId="2459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01D12C2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3B95D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3C7AB93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2005330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2EC51FC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28C6994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7893294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10F23B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99F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307109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73DC76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AFD47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15FC20D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1C29CF7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40675CF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CFEA82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5D1323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4B25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5F94C44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BF82BD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AE3094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2608587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1FBA28C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1458A36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5222CA4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74BC8D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3C9F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7900282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BA4BE3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2FF0B0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51C0FEC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7AFCEC0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559A478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0B5E4D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52312FF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F77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1615A51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9BCC3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DDA548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7F62E02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2B5EAC8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BD85B9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FD2C21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6FFD60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5B0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67EDEFF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CCCC62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5D57C8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0A360F8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43E0A1E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5B88DC5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23AAA55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5AEF4AA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794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37D88DE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B8737B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4C8EAAD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6D01ECD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48A37A6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B5FBB3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948C68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1EA0DCA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279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14:paraId="71BDF25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A7B9B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18"/>
                <w:szCs w:val="18"/>
                <w:highlight w:val="none"/>
              </w:rPr>
            </w:pP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37345E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top"/>
          </w:tcPr>
          <w:p w14:paraId="7A641AE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noWrap w:val="0"/>
            <w:vAlign w:val="top"/>
          </w:tcPr>
          <w:p w14:paraId="16831AF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29CB3C0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2D3731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33FEFE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4"/>
                <w:highlight w:val="none"/>
              </w:rPr>
            </w:pPr>
          </w:p>
        </w:tc>
      </w:tr>
    </w:tbl>
    <w:p w14:paraId="76D7BBF3">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说明：1.本表须逐项填写，不得空缺；如空缺将视为没有实质性响应招标文件；2.货物各项详细技术性能可另页描述；若货物没有注册商标和具体型号须注明。</w:t>
      </w:r>
    </w:p>
    <w:p w14:paraId="75A02EFF">
      <w:pPr>
        <w:keepNext w:val="0"/>
        <w:keepLines w:val="0"/>
        <w:pageBreakBefore w:val="0"/>
        <w:widowControl w:val="0"/>
        <w:kinsoku/>
        <w:wordWrap/>
        <w:overflowPunct/>
        <w:topLinePunct w:val="0"/>
        <w:autoSpaceDE/>
        <w:autoSpaceDN/>
        <w:bidi w:val="0"/>
        <w:adjustRightInd w:val="0"/>
        <w:spacing w:line="480" w:lineRule="exact"/>
        <w:ind w:left="0" w:lef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7F3464F4">
      <w:pPr>
        <w:keepNext w:val="0"/>
        <w:keepLines w:val="0"/>
        <w:pageBreakBefore w:val="0"/>
        <w:widowControl w:val="0"/>
        <w:kinsoku/>
        <w:wordWrap/>
        <w:overflowPunct/>
        <w:topLinePunct w:val="0"/>
        <w:autoSpaceDE/>
        <w:autoSpaceDN/>
        <w:bidi w:val="0"/>
        <w:adjustRightInd w:val="0"/>
        <w:spacing w:line="480" w:lineRule="exact"/>
        <w:ind w:left="0" w:lef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（签章或签字） </w:t>
      </w:r>
    </w:p>
    <w:p w14:paraId="6A9701EF">
      <w:pPr>
        <w:keepNext w:val="0"/>
        <w:keepLines w:val="0"/>
        <w:pageBreakBefore w:val="0"/>
        <w:widowControl w:val="0"/>
        <w:kinsoku/>
        <w:wordWrap/>
        <w:overflowPunct/>
        <w:topLinePunct w:val="0"/>
        <w:autoSpaceDE/>
        <w:autoSpaceDN/>
        <w:bidi w:val="0"/>
        <w:adjustRightInd w:val="0"/>
        <w:spacing w:line="480" w:lineRule="exact"/>
        <w:ind w:left="0" w:lef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A3E430B">
      <w:pPr>
        <w:keepNext w:val="0"/>
        <w:keepLines w:val="0"/>
        <w:pageBreakBefore w:val="0"/>
        <w:widowControl w:val="0"/>
        <w:kinsoku/>
        <w:wordWrap/>
        <w:overflowPunct/>
        <w:topLinePunct w:val="0"/>
        <w:autoSpaceDE/>
        <w:autoSpaceDN/>
        <w:bidi w:val="0"/>
        <w:adjustRightInd w:val="0"/>
        <w:spacing w:line="480" w:lineRule="exact"/>
        <w:ind w:left="0" w:leftChars="0" w:firstLine="840" w:firstLineChars="400"/>
        <w:jc w:val="left"/>
        <w:textAlignment w:val="auto"/>
        <w:rPr>
          <w:rFonts w:hint="eastAsia" w:ascii="宋体" w:hAnsi="宋体" w:eastAsia="宋体" w:cs="宋体"/>
          <w:bCs/>
          <w:color w:val="auto"/>
          <w:szCs w:val="28"/>
          <w:highlight w:val="none"/>
        </w:rPr>
        <w:sectPr>
          <w:pgSz w:w="16838" w:h="11911" w:orient="landscape"/>
          <w:pgMar w:top="1134" w:right="1417" w:bottom="1134" w:left="1417" w:header="873" w:footer="1485" w:gutter="0"/>
          <w:pgNumType w:fmt="decimal"/>
          <w:cols w:space="0" w:num="1"/>
          <w:rtlGutter w:val="0"/>
          <w:docGrid w:linePitch="312" w:charSpace="0"/>
        </w:sectPr>
      </w:pPr>
    </w:p>
    <w:bookmarkEnd w:id="214"/>
    <w:p w14:paraId="4FABAE7E">
      <w:pPr>
        <w:pStyle w:val="4"/>
        <w:keepNext w:val="0"/>
        <w:keepLines w:val="0"/>
        <w:pageBreakBefore w:val="0"/>
        <w:widowControl w:val="0"/>
        <w:kinsoku/>
        <w:wordWrap/>
        <w:overflowPunct/>
        <w:topLinePunct w:val="0"/>
        <w:autoSpaceDE/>
        <w:autoSpaceDN/>
        <w:bidi w:val="0"/>
        <w:spacing w:line="480" w:lineRule="exact"/>
        <w:ind w:right="0" w:firstLine="0"/>
        <w:jc w:val="center"/>
        <w:textAlignment w:val="auto"/>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、商务条款偏离表</w:t>
      </w:r>
    </w:p>
    <w:p w14:paraId="616FFDF0">
      <w:pPr>
        <w:pStyle w:val="4"/>
        <w:keepNext w:val="0"/>
        <w:keepLines w:val="0"/>
        <w:pageBreakBefore w:val="0"/>
        <w:widowControl w:val="0"/>
        <w:kinsoku/>
        <w:wordWrap/>
        <w:overflowPunct/>
        <w:topLinePunct w:val="0"/>
        <w:autoSpaceDE/>
        <w:autoSpaceDN/>
        <w:bidi w:val="0"/>
        <w:spacing w:line="480" w:lineRule="exact"/>
        <w:ind w:left="0" w:leftChars="0" w:right="0" w:firstLine="0" w:firstLineChars="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投标人名称：                              </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 xml:space="preserve"> </w:t>
      </w:r>
      <w:r>
        <w:rPr>
          <w:rFonts w:hint="eastAsia" w:ascii="宋体" w:hAnsi="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采购项目编号：</w:t>
      </w:r>
    </w:p>
    <w:tbl>
      <w:tblPr>
        <w:tblStyle w:val="22"/>
        <w:tblW w:w="97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287"/>
        <w:gridCol w:w="1600"/>
        <w:gridCol w:w="2180"/>
        <w:gridCol w:w="1040"/>
        <w:gridCol w:w="2020"/>
        <w:gridCol w:w="977"/>
      </w:tblGrid>
      <w:tr w14:paraId="4DCA1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93" w:type="dxa"/>
            <w:noWrap w:val="0"/>
            <w:vAlign w:val="center"/>
          </w:tcPr>
          <w:p w14:paraId="14964767">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287" w:type="dxa"/>
            <w:noWrap w:val="0"/>
            <w:vAlign w:val="center"/>
          </w:tcPr>
          <w:p w14:paraId="55FBB51A">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文件条目号</w:t>
            </w:r>
          </w:p>
        </w:tc>
        <w:tc>
          <w:tcPr>
            <w:tcW w:w="1600" w:type="dxa"/>
            <w:noWrap w:val="0"/>
            <w:vAlign w:val="center"/>
          </w:tcPr>
          <w:p w14:paraId="210A13A3">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采购商务</w:t>
            </w:r>
            <w:r>
              <w:rPr>
                <w:rFonts w:hint="eastAsia" w:ascii="宋体" w:hAnsi="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要求</w:t>
            </w:r>
          </w:p>
        </w:tc>
        <w:tc>
          <w:tcPr>
            <w:tcW w:w="2180" w:type="dxa"/>
            <w:noWrap w:val="0"/>
            <w:vAlign w:val="center"/>
          </w:tcPr>
          <w:p w14:paraId="52E780D1">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投标文件</w:t>
            </w:r>
            <w:r>
              <w:rPr>
                <w:rFonts w:hint="eastAsia" w:ascii="宋体" w:hAnsi="宋体" w:eastAsia="宋体" w:cs="宋体"/>
                <w:b/>
                <w:bCs/>
                <w:color w:val="auto"/>
                <w:sz w:val="22"/>
                <w:szCs w:val="22"/>
                <w:highlight w:val="none"/>
              </w:rPr>
              <w:t>商务</w:t>
            </w:r>
            <w:r>
              <w:rPr>
                <w:rFonts w:hint="eastAsia" w:ascii="宋体" w:hAnsi="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响应</w:t>
            </w:r>
          </w:p>
        </w:tc>
        <w:tc>
          <w:tcPr>
            <w:tcW w:w="1040" w:type="dxa"/>
            <w:noWrap w:val="0"/>
            <w:vAlign w:val="center"/>
          </w:tcPr>
          <w:p w14:paraId="0EEBF441">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2020" w:type="dxa"/>
            <w:noWrap w:val="0"/>
            <w:vAlign w:val="center"/>
          </w:tcPr>
          <w:p w14:paraId="0E263A4A">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977" w:type="dxa"/>
            <w:noWrap w:val="0"/>
            <w:vAlign w:val="center"/>
          </w:tcPr>
          <w:p w14:paraId="752066B4">
            <w:pPr>
              <w:keepNext w:val="0"/>
              <w:keepLines w:val="0"/>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14:paraId="1DF3D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314BB6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2F44E35E">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4A5DF76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3DF92E1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3F447A6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38E9FF9F">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0D57D0B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73151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A8D218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646C293B">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6496411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22CFE75A">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452656C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1B66CED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53721CE6">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00F47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3F1ECA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0D13C425">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71766DE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39D1CED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7761973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08E55C7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165A0E1D">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49BF3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DA0867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2CCA717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3BD4EFA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16354A7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6A96AC0E">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62DE5B6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5248F9AA">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00DB7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B7B60C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79E505C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0EA7A665">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46288B1D">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28EDC41E">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6F65031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2ACD1FF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7EE13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B7EA4DD">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40E77F0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1020C8D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00608AA6">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253631F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617387D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6A4934CB">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1A519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6645C73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33B8572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79D9183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2788C33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0AD182DA">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12605B2D">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1499014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511A5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150C756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308FFF5A">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5672A2C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79548E9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1FD1A08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460446C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7DAD28B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6DD83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641CB7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09B532C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7A9519CF">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7FCFA12D">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15BE55CB">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36D8E516">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67DE520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0437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343150EF">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1CBF02D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16E5EA8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2F07C98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013D22FA">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00E3C20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2EF4D296">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3AB3E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2E280AC6">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3407633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6C3B41E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67143BD5">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305C768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059A4C2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56F243DE">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1843F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7552813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6FFA296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3C0709BF">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12638B4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22A2DE60">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502714CF">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32C0B23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19C9D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4372946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0CE36037">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48527A2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658C581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51E1152B">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4D0C89AE">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48D98D92">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r w14:paraId="75DB3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noWrap w:val="0"/>
            <w:vAlign w:val="top"/>
          </w:tcPr>
          <w:p w14:paraId="09BF04B3">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287" w:type="dxa"/>
            <w:noWrap w:val="0"/>
            <w:vAlign w:val="top"/>
          </w:tcPr>
          <w:p w14:paraId="07D2848C">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600" w:type="dxa"/>
            <w:noWrap w:val="0"/>
            <w:vAlign w:val="top"/>
          </w:tcPr>
          <w:p w14:paraId="25E8E7D8">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180" w:type="dxa"/>
            <w:noWrap w:val="0"/>
            <w:vAlign w:val="top"/>
          </w:tcPr>
          <w:p w14:paraId="21C56D8B">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1040" w:type="dxa"/>
            <w:noWrap w:val="0"/>
            <w:vAlign w:val="top"/>
          </w:tcPr>
          <w:p w14:paraId="5E80D6B0">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2020" w:type="dxa"/>
            <w:noWrap w:val="0"/>
            <w:vAlign w:val="top"/>
          </w:tcPr>
          <w:p w14:paraId="7F552AA4">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c>
          <w:tcPr>
            <w:tcW w:w="977" w:type="dxa"/>
            <w:noWrap w:val="0"/>
            <w:vAlign w:val="top"/>
          </w:tcPr>
          <w:p w14:paraId="52399AE9">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Cs/>
                <w:color w:val="auto"/>
                <w:sz w:val="24"/>
                <w:highlight w:val="none"/>
              </w:rPr>
            </w:pPr>
          </w:p>
        </w:tc>
      </w:tr>
    </w:tbl>
    <w:p w14:paraId="41F6D0DC">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7E462BEE">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（签章或签字）</w:t>
      </w:r>
      <w:r>
        <w:rPr>
          <w:rFonts w:hint="eastAsia" w:ascii="宋体" w:hAnsi="宋体" w:eastAsia="宋体" w:cs="宋体"/>
          <w:bCs/>
          <w:color w:val="auto"/>
          <w:sz w:val="22"/>
          <w:szCs w:val="22"/>
          <w:highlight w:val="none"/>
        </w:rPr>
        <w:t xml:space="preserve">                </w:t>
      </w:r>
    </w:p>
    <w:p w14:paraId="204F891A">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 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9EB4938">
      <w:pPr>
        <w:keepNext w:val="0"/>
        <w:keepLines w:val="0"/>
        <w:pageBreakBefore w:val="0"/>
        <w:widowControl w:val="0"/>
        <w:numPr>
          <w:ilvl w:val="0"/>
          <w:numId w:val="1"/>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承诺文件</w:t>
      </w:r>
    </w:p>
    <w:p w14:paraId="6050552E">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说明：格式自定。</w:t>
      </w:r>
    </w:p>
    <w:p w14:paraId="31FE6CB4">
      <w:pPr>
        <w:adjustRightInd w:val="0"/>
        <w:spacing w:line="400" w:lineRule="exact"/>
        <w:jc w:val="left"/>
        <w:rPr>
          <w:rFonts w:hint="eastAsia" w:ascii="宋体" w:hAnsi="宋体" w:eastAsia="宋体" w:cs="宋体"/>
          <w:b/>
          <w:bCs/>
          <w:color w:val="auto"/>
          <w:sz w:val="36"/>
          <w:szCs w:val="36"/>
          <w:highlight w:val="none"/>
        </w:rPr>
      </w:pPr>
    </w:p>
    <w:p w14:paraId="3888571B">
      <w:pP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br w:type="page"/>
      </w:r>
    </w:p>
    <w:p w14:paraId="6892C8C1">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lang w:val="en-US" w:eastAsia="zh-CN"/>
        </w:rPr>
        <w:t>七</w:t>
      </w:r>
      <w:r>
        <w:rPr>
          <w:rFonts w:hint="eastAsia" w:ascii="宋体" w:hAnsi="宋体" w:eastAsia="宋体" w:cs="宋体"/>
          <w:b/>
          <w:color w:val="auto"/>
          <w:kern w:val="0"/>
          <w:sz w:val="36"/>
          <w:szCs w:val="36"/>
          <w:highlight w:val="none"/>
        </w:rPr>
        <w:t>、售后服务文件</w:t>
      </w:r>
    </w:p>
    <w:p w14:paraId="5DA4D4E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货物（产品）售后服务点联系表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011"/>
        <w:gridCol w:w="1260"/>
        <w:gridCol w:w="1516"/>
        <w:gridCol w:w="2548"/>
      </w:tblGrid>
      <w:tr w14:paraId="5CE3C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60" w:type="dxa"/>
            <w:noWrap w:val="0"/>
            <w:vAlign w:val="center"/>
          </w:tcPr>
          <w:p w14:paraId="2BABA01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服务机构名称</w:t>
            </w:r>
          </w:p>
        </w:tc>
        <w:tc>
          <w:tcPr>
            <w:tcW w:w="2011" w:type="dxa"/>
            <w:noWrap w:val="0"/>
            <w:vAlign w:val="center"/>
          </w:tcPr>
          <w:p w14:paraId="480C543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所在地</w:t>
            </w:r>
          </w:p>
        </w:tc>
        <w:tc>
          <w:tcPr>
            <w:tcW w:w="1260" w:type="dxa"/>
            <w:noWrap w:val="0"/>
            <w:vAlign w:val="center"/>
          </w:tcPr>
          <w:p w14:paraId="3496E61B">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联系人</w:t>
            </w:r>
          </w:p>
        </w:tc>
        <w:tc>
          <w:tcPr>
            <w:tcW w:w="1516" w:type="dxa"/>
            <w:noWrap w:val="0"/>
            <w:vAlign w:val="center"/>
          </w:tcPr>
          <w:p w14:paraId="4796B7C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2548" w:type="dxa"/>
            <w:noWrap w:val="0"/>
            <w:vAlign w:val="center"/>
          </w:tcPr>
          <w:p w14:paraId="2745D610">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地 址</w:t>
            </w:r>
          </w:p>
        </w:tc>
      </w:tr>
      <w:tr w14:paraId="3A29E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60" w:type="dxa"/>
            <w:noWrap w:val="0"/>
            <w:vAlign w:val="center"/>
          </w:tcPr>
          <w:p w14:paraId="44A5D9AD">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5E3D95EB">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725B2A0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64D95600">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7385AE4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D49A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60" w:type="dxa"/>
            <w:noWrap w:val="0"/>
            <w:vAlign w:val="center"/>
          </w:tcPr>
          <w:p w14:paraId="0E90DE09">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2475783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5875978B">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1384458E">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7151692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69F16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60" w:type="dxa"/>
            <w:noWrap w:val="0"/>
            <w:vAlign w:val="center"/>
          </w:tcPr>
          <w:p w14:paraId="6C3555D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21CFEBCF">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27AF2C0B">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3BB77012">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4C2980F6">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6400F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49EF276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4FE50DFE">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4214B609">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6131BDD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5CDF0C46">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62B5C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19B9C2D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090DC815">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6CBBE6A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5FF14115">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32A71DF5">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4DCB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0D25353F">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20E5E4CF">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7622DDD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778D3926">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04781512">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4DBD8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31F1CF3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35242E1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69EB87D0">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6BFED910">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1537D05D">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6711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137F3E5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6C0C0065">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7F925CB2">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5CA18B8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6F6AB9B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D927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2765BDD4">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4D444780">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64E2C22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1010C1B4">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6153109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41F97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3773922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704BB095">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055A154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23FF070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1B596052">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48D78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3A4C6CA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472E44FF">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21B9AAE2">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5902B5AE">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23767A9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A222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64AF71E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5DE425D7">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6ABD0B0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2704D8C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1E0EE083">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5BC8D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6A2CDAE6">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132D06C4">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55516F56">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0F3F28A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40344EBE">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r w14:paraId="4550D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60" w:type="dxa"/>
            <w:noWrap w:val="0"/>
            <w:vAlign w:val="center"/>
          </w:tcPr>
          <w:p w14:paraId="1F7335F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011" w:type="dxa"/>
            <w:noWrap w:val="0"/>
            <w:vAlign w:val="center"/>
          </w:tcPr>
          <w:p w14:paraId="7821590C">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260" w:type="dxa"/>
            <w:noWrap w:val="0"/>
            <w:vAlign w:val="center"/>
          </w:tcPr>
          <w:p w14:paraId="3D7039BA">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1516" w:type="dxa"/>
            <w:noWrap w:val="0"/>
            <w:vAlign w:val="center"/>
          </w:tcPr>
          <w:p w14:paraId="23BE788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c>
          <w:tcPr>
            <w:tcW w:w="2548" w:type="dxa"/>
            <w:noWrap w:val="0"/>
            <w:vAlign w:val="center"/>
          </w:tcPr>
          <w:p w14:paraId="77A47E2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color w:val="auto"/>
                <w:highlight w:val="none"/>
              </w:rPr>
            </w:pPr>
          </w:p>
        </w:tc>
      </w:tr>
    </w:tbl>
    <w:p w14:paraId="6E195F21">
      <w:pPr>
        <w:keepNext w:val="0"/>
        <w:keepLines w:val="0"/>
        <w:pageBreakBefore w:val="0"/>
        <w:widowControl w:val="0"/>
        <w:kinsoku/>
        <w:wordWrap/>
        <w:overflowPunct/>
        <w:topLinePunct w:val="0"/>
        <w:autoSpaceDE/>
        <w:autoSpaceDN/>
        <w:bidi w:val="0"/>
        <w:snapToGrid/>
        <w:spacing w:line="480" w:lineRule="exact"/>
        <w:ind w:firstLine="429" w:firstLineChars="195"/>
        <w:textAlignment w:val="auto"/>
        <w:rPr>
          <w:rFonts w:hint="eastAsia" w:ascii="宋体" w:hAnsi="宋体" w:eastAsia="宋体" w:cs="宋体"/>
          <w:bCs/>
          <w:iCs/>
          <w:color w:val="auto"/>
          <w:sz w:val="22"/>
          <w:szCs w:val="28"/>
          <w:highlight w:val="none"/>
        </w:rPr>
      </w:pPr>
      <w:r>
        <w:rPr>
          <w:rFonts w:hint="eastAsia" w:ascii="宋体" w:hAnsi="宋体" w:eastAsia="宋体" w:cs="宋体"/>
          <w:bCs/>
          <w:iCs/>
          <w:color w:val="auto"/>
          <w:sz w:val="22"/>
          <w:szCs w:val="28"/>
          <w:highlight w:val="none"/>
        </w:rPr>
        <w:t>注：采购人将核实中标人承诺的售后服务机构，如果不属实，则从扣除合同总额的2％作为违约处罚。</w:t>
      </w:r>
    </w:p>
    <w:p w14:paraId="180E0566">
      <w:pPr>
        <w:keepNext w:val="0"/>
        <w:keepLines w:val="0"/>
        <w:pageBreakBefore w:val="0"/>
        <w:widowControl w:val="0"/>
        <w:kinsoku/>
        <w:wordWrap/>
        <w:overflowPunct/>
        <w:topLinePunct w:val="0"/>
        <w:autoSpaceDE/>
        <w:autoSpaceDN/>
        <w:bidi w:val="0"/>
        <w:snapToGrid/>
        <w:spacing w:line="480" w:lineRule="exact"/>
        <w:ind w:firstLine="409" w:firstLineChars="195"/>
        <w:textAlignment w:val="auto"/>
        <w:rPr>
          <w:rFonts w:hint="eastAsia" w:ascii="宋体" w:hAnsi="宋体" w:eastAsia="宋体" w:cs="宋体"/>
          <w:bCs/>
          <w:iCs/>
          <w:color w:val="auto"/>
          <w:highlight w:val="none"/>
        </w:rPr>
      </w:pPr>
    </w:p>
    <w:p w14:paraId="2C0E9D22">
      <w:pPr>
        <w:keepNext w:val="0"/>
        <w:keepLines w:val="0"/>
        <w:pageBreakBefore w:val="0"/>
        <w:widowControl w:val="0"/>
        <w:kinsoku/>
        <w:wordWrap/>
        <w:overflowPunct/>
        <w:topLinePunct w:val="0"/>
        <w:autoSpaceDE/>
        <w:autoSpaceDN/>
        <w:bidi w:val="0"/>
        <w:snapToGrid/>
        <w:spacing w:line="480" w:lineRule="exact"/>
        <w:ind w:firstLine="409" w:firstLineChars="195"/>
        <w:textAlignment w:val="auto"/>
        <w:rPr>
          <w:rFonts w:hint="eastAsia" w:ascii="宋体" w:hAnsi="宋体" w:eastAsia="宋体" w:cs="宋体"/>
          <w:bCs/>
          <w:iCs/>
          <w:color w:val="auto"/>
          <w:highlight w:val="none"/>
        </w:rPr>
      </w:pPr>
    </w:p>
    <w:p w14:paraId="1F29B87A">
      <w:pPr>
        <w:keepNext w:val="0"/>
        <w:keepLines w:val="0"/>
        <w:pageBreakBefore/>
        <w:widowControl w:val="0"/>
        <w:kinsoku/>
        <w:wordWrap/>
        <w:overflowPunct/>
        <w:topLinePunct w:val="0"/>
        <w:autoSpaceDE/>
        <w:autoSpaceDN/>
        <w:bidi w:val="0"/>
        <w:spacing w:line="48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八</w:t>
      </w:r>
      <w:r>
        <w:rPr>
          <w:rFonts w:hint="eastAsia" w:ascii="宋体" w:hAnsi="宋体" w:eastAsia="宋体" w:cs="宋体"/>
          <w:b/>
          <w:color w:val="auto"/>
          <w:sz w:val="36"/>
          <w:szCs w:val="36"/>
          <w:highlight w:val="none"/>
        </w:rPr>
        <w:t>、其他证明材料</w:t>
      </w:r>
    </w:p>
    <w:p w14:paraId="67B3D9DF">
      <w:pPr>
        <w:keepNext w:val="0"/>
        <w:keepLines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提供投标人近3年完成的类似业绩证明材料；</w:t>
      </w:r>
    </w:p>
    <w:p w14:paraId="3A7FDD2E">
      <w:pPr>
        <w:pStyle w:val="3"/>
        <w:widowControl w:val="0"/>
        <w:kinsoku/>
        <w:wordWrap/>
        <w:overflowPunct/>
        <w:topLinePunct w:val="0"/>
        <w:autoSpaceDE/>
        <w:autoSpaceDN/>
        <w:bidi w:val="0"/>
        <w:spacing w:before="0" w:after="0" w:line="480" w:lineRule="exact"/>
        <w:textAlignment w:val="auto"/>
        <w:rPr>
          <w:rFonts w:hint="eastAsia" w:ascii="宋体" w:hAnsi="宋体" w:eastAsia="宋体" w:cs="宋体"/>
          <w:b w:val="0"/>
          <w:bCs/>
          <w:color w:val="auto"/>
          <w:sz w:val="21"/>
          <w:szCs w:val="21"/>
          <w:highlight w:val="none"/>
        </w:rPr>
      </w:pPr>
      <w:bookmarkStart w:id="215" w:name="_Toc14658"/>
      <w:r>
        <w:rPr>
          <w:rFonts w:hint="eastAsia" w:ascii="宋体" w:hAnsi="宋体" w:eastAsia="宋体" w:cs="宋体"/>
          <w:b w:val="0"/>
          <w:bCs/>
          <w:color w:val="auto"/>
          <w:sz w:val="22"/>
          <w:szCs w:val="22"/>
          <w:highlight w:val="none"/>
        </w:rPr>
        <w:t xml:space="preserve">投标人名称：                                                 </w:t>
      </w: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 单位：万元</w:t>
      </w:r>
      <w:bookmarkEnd w:id="215"/>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620"/>
        <w:gridCol w:w="1596"/>
        <w:gridCol w:w="1288"/>
        <w:gridCol w:w="1259"/>
        <w:gridCol w:w="1701"/>
        <w:gridCol w:w="904"/>
      </w:tblGrid>
      <w:tr w14:paraId="0A335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55" w:type="dxa"/>
            <w:noWrap w:val="0"/>
            <w:vAlign w:val="center"/>
          </w:tcPr>
          <w:p w14:paraId="6183C86F">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年份</w:t>
            </w:r>
          </w:p>
        </w:tc>
        <w:tc>
          <w:tcPr>
            <w:tcW w:w="1620" w:type="dxa"/>
            <w:noWrap w:val="0"/>
            <w:vAlign w:val="center"/>
          </w:tcPr>
          <w:p w14:paraId="23290950">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用户名称</w:t>
            </w:r>
          </w:p>
        </w:tc>
        <w:tc>
          <w:tcPr>
            <w:tcW w:w="1596" w:type="dxa"/>
            <w:noWrap w:val="0"/>
            <w:vAlign w:val="center"/>
          </w:tcPr>
          <w:p w14:paraId="79AE0D6C">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288" w:type="dxa"/>
            <w:noWrap w:val="0"/>
            <w:vAlign w:val="center"/>
          </w:tcPr>
          <w:p w14:paraId="79494693">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合同金额</w:t>
            </w:r>
          </w:p>
        </w:tc>
        <w:tc>
          <w:tcPr>
            <w:tcW w:w="1259" w:type="dxa"/>
            <w:noWrap w:val="0"/>
            <w:vAlign w:val="center"/>
          </w:tcPr>
          <w:p w14:paraId="720DA093">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完成时间</w:t>
            </w:r>
          </w:p>
        </w:tc>
        <w:tc>
          <w:tcPr>
            <w:tcW w:w="1701" w:type="dxa"/>
            <w:noWrap w:val="0"/>
            <w:vAlign w:val="center"/>
          </w:tcPr>
          <w:p w14:paraId="606625FC">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是否通过验收</w:t>
            </w:r>
          </w:p>
        </w:tc>
        <w:tc>
          <w:tcPr>
            <w:tcW w:w="904" w:type="dxa"/>
            <w:noWrap w:val="0"/>
            <w:vAlign w:val="center"/>
          </w:tcPr>
          <w:p w14:paraId="075BBCFC">
            <w:pPr>
              <w:pStyle w:val="4"/>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5B5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083075A6">
            <w:pPr>
              <w:pStyle w:val="4"/>
              <w:ind w:firstLine="0"/>
              <w:rPr>
                <w:rFonts w:hint="eastAsia" w:ascii="宋体" w:hAnsi="宋体" w:eastAsia="宋体" w:cs="宋体"/>
                <w:color w:val="auto"/>
                <w:sz w:val="24"/>
                <w:szCs w:val="24"/>
                <w:highlight w:val="none"/>
              </w:rPr>
            </w:pPr>
          </w:p>
        </w:tc>
        <w:tc>
          <w:tcPr>
            <w:tcW w:w="1620" w:type="dxa"/>
            <w:noWrap w:val="0"/>
            <w:vAlign w:val="top"/>
          </w:tcPr>
          <w:p w14:paraId="00C375C8">
            <w:pPr>
              <w:pStyle w:val="4"/>
              <w:ind w:firstLine="0"/>
              <w:rPr>
                <w:rFonts w:hint="eastAsia" w:ascii="宋体" w:hAnsi="宋体" w:eastAsia="宋体" w:cs="宋体"/>
                <w:color w:val="auto"/>
                <w:sz w:val="24"/>
                <w:szCs w:val="24"/>
                <w:highlight w:val="none"/>
              </w:rPr>
            </w:pPr>
          </w:p>
        </w:tc>
        <w:tc>
          <w:tcPr>
            <w:tcW w:w="1596" w:type="dxa"/>
            <w:noWrap w:val="0"/>
            <w:vAlign w:val="top"/>
          </w:tcPr>
          <w:p w14:paraId="3DDC71D2">
            <w:pPr>
              <w:pStyle w:val="4"/>
              <w:ind w:firstLine="0"/>
              <w:rPr>
                <w:rFonts w:hint="eastAsia" w:ascii="宋体" w:hAnsi="宋体" w:eastAsia="宋体" w:cs="宋体"/>
                <w:color w:val="auto"/>
                <w:sz w:val="24"/>
                <w:szCs w:val="24"/>
                <w:highlight w:val="none"/>
              </w:rPr>
            </w:pPr>
          </w:p>
        </w:tc>
        <w:tc>
          <w:tcPr>
            <w:tcW w:w="1288" w:type="dxa"/>
            <w:noWrap w:val="0"/>
            <w:vAlign w:val="top"/>
          </w:tcPr>
          <w:p w14:paraId="71C2032E">
            <w:pPr>
              <w:pStyle w:val="4"/>
              <w:ind w:firstLine="0"/>
              <w:rPr>
                <w:rFonts w:hint="eastAsia" w:ascii="宋体" w:hAnsi="宋体" w:eastAsia="宋体" w:cs="宋体"/>
                <w:color w:val="auto"/>
                <w:sz w:val="24"/>
                <w:szCs w:val="24"/>
                <w:highlight w:val="none"/>
              </w:rPr>
            </w:pPr>
          </w:p>
        </w:tc>
        <w:tc>
          <w:tcPr>
            <w:tcW w:w="1259" w:type="dxa"/>
            <w:noWrap w:val="0"/>
            <w:vAlign w:val="top"/>
          </w:tcPr>
          <w:p w14:paraId="3925FBF0">
            <w:pPr>
              <w:pStyle w:val="4"/>
              <w:ind w:firstLine="0"/>
              <w:rPr>
                <w:rFonts w:hint="eastAsia" w:ascii="宋体" w:hAnsi="宋体" w:eastAsia="宋体" w:cs="宋体"/>
                <w:color w:val="auto"/>
                <w:sz w:val="24"/>
                <w:szCs w:val="24"/>
                <w:highlight w:val="none"/>
              </w:rPr>
            </w:pPr>
          </w:p>
        </w:tc>
        <w:tc>
          <w:tcPr>
            <w:tcW w:w="1701" w:type="dxa"/>
            <w:noWrap w:val="0"/>
            <w:vAlign w:val="top"/>
          </w:tcPr>
          <w:p w14:paraId="2F3FCF2F">
            <w:pPr>
              <w:pStyle w:val="4"/>
              <w:ind w:firstLine="0"/>
              <w:rPr>
                <w:rFonts w:hint="eastAsia" w:ascii="宋体" w:hAnsi="宋体" w:eastAsia="宋体" w:cs="宋体"/>
                <w:color w:val="auto"/>
                <w:sz w:val="24"/>
                <w:szCs w:val="24"/>
                <w:highlight w:val="none"/>
              </w:rPr>
            </w:pPr>
          </w:p>
        </w:tc>
        <w:tc>
          <w:tcPr>
            <w:tcW w:w="904" w:type="dxa"/>
            <w:noWrap w:val="0"/>
            <w:vAlign w:val="top"/>
          </w:tcPr>
          <w:p w14:paraId="4B785322">
            <w:pPr>
              <w:pStyle w:val="4"/>
              <w:ind w:firstLine="0"/>
              <w:rPr>
                <w:rFonts w:hint="eastAsia" w:ascii="宋体" w:hAnsi="宋体" w:eastAsia="宋体" w:cs="宋体"/>
                <w:color w:val="auto"/>
                <w:sz w:val="24"/>
                <w:szCs w:val="24"/>
                <w:highlight w:val="none"/>
              </w:rPr>
            </w:pPr>
          </w:p>
        </w:tc>
      </w:tr>
      <w:tr w14:paraId="71E99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150E1D3C">
            <w:pPr>
              <w:pStyle w:val="4"/>
              <w:ind w:firstLine="0"/>
              <w:rPr>
                <w:rFonts w:hint="eastAsia" w:ascii="宋体" w:hAnsi="宋体" w:eastAsia="宋体" w:cs="宋体"/>
                <w:color w:val="auto"/>
                <w:sz w:val="24"/>
                <w:szCs w:val="24"/>
                <w:highlight w:val="none"/>
              </w:rPr>
            </w:pPr>
          </w:p>
        </w:tc>
        <w:tc>
          <w:tcPr>
            <w:tcW w:w="1620" w:type="dxa"/>
            <w:noWrap w:val="0"/>
            <w:vAlign w:val="top"/>
          </w:tcPr>
          <w:p w14:paraId="4DA909C8">
            <w:pPr>
              <w:pStyle w:val="4"/>
              <w:ind w:firstLine="0"/>
              <w:rPr>
                <w:rFonts w:hint="eastAsia" w:ascii="宋体" w:hAnsi="宋体" w:eastAsia="宋体" w:cs="宋体"/>
                <w:color w:val="auto"/>
                <w:sz w:val="24"/>
                <w:szCs w:val="24"/>
                <w:highlight w:val="none"/>
              </w:rPr>
            </w:pPr>
          </w:p>
        </w:tc>
        <w:tc>
          <w:tcPr>
            <w:tcW w:w="1596" w:type="dxa"/>
            <w:noWrap w:val="0"/>
            <w:vAlign w:val="top"/>
          </w:tcPr>
          <w:p w14:paraId="618591D6">
            <w:pPr>
              <w:pStyle w:val="4"/>
              <w:ind w:firstLine="0"/>
              <w:rPr>
                <w:rFonts w:hint="eastAsia" w:ascii="宋体" w:hAnsi="宋体" w:eastAsia="宋体" w:cs="宋体"/>
                <w:color w:val="auto"/>
                <w:sz w:val="24"/>
                <w:szCs w:val="24"/>
                <w:highlight w:val="none"/>
              </w:rPr>
            </w:pPr>
          </w:p>
        </w:tc>
        <w:tc>
          <w:tcPr>
            <w:tcW w:w="1288" w:type="dxa"/>
            <w:noWrap w:val="0"/>
            <w:vAlign w:val="top"/>
          </w:tcPr>
          <w:p w14:paraId="6EF1543F">
            <w:pPr>
              <w:pStyle w:val="4"/>
              <w:ind w:firstLine="0"/>
              <w:rPr>
                <w:rFonts w:hint="eastAsia" w:ascii="宋体" w:hAnsi="宋体" w:eastAsia="宋体" w:cs="宋体"/>
                <w:color w:val="auto"/>
                <w:sz w:val="24"/>
                <w:szCs w:val="24"/>
                <w:highlight w:val="none"/>
              </w:rPr>
            </w:pPr>
          </w:p>
        </w:tc>
        <w:tc>
          <w:tcPr>
            <w:tcW w:w="1259" w:type="dxa"/>
            <w:noWrap w:val="0"/>
            <w:vAlign w:val="top"/>
          </w:tcPr>
          <w:p w14:paraId="086955E9">
            <w:pPr>
              <w:pStyle w:val="4"/>
              <w:ind w:firstLine="0"/>
              <w:rPr>
                <w:rFonts w:hint="eastAsia" w:ascii="宋体" w:hAnsi="宋体" w:eastAsia="宋体" w:cs="宋体"/>
                <w:color w:val="auto"/>
                <w:sz w:val="24"/>
                <w:szCs w:val="24"/>
                <w:highlight w:val="none"/>
              </w:rPr>
            </w:pPr>
          </w:p>
        </w:tc>
        <w:tc>
          <w:tcPr>
            <w:tcW w:w="1701" w:type="dxa"/>
            <w:noWrap w:val="0"/>
            <w:vAlign w:val="top"/>
          </w:tcPr>
          <w:p w14:paraId="041D4A7B">
            <w:pPr>
              <w:pStyle w:val="4"/>
              <w:ind w:firstLine="0"/>
              <w:rPr>
                <w:rFonts w:hint="eastAsia" w:ascii="宋体" w:hAnsi="宋体" w:eastAsia="宋体" w:cs="宋体"/>
                <w:color w:val="auto"/>
                <w:sz w:val="24"/>
                <w:szCs w:val="24"/>
                <w:highlight w:val="none"/>
              </w:rPr>
            </w:pPr>
          </w:p>
        </w:tc>
        <w:tc>
          <w:tcPr>
            <w:tcW w:w="904" w:type="dxa"/>
            <w:noWrap w:val="0"/>
            <w:vAlign w:val="top"/>
          </w:tcPr>
          <w:p w14:paraId="1416C544">
            <w:pPr>
              <w:pStyle w:val="4"/>
              <w:ind w:firstLine="0"/>
              <w:rPr>
                <w:rFonts w:hint="eastAsia" w:ascii="宋体" w:hAnsi="宋体" w:eastAsia="宋体" w:cs="宋体"/>
                <w:color w:val="auto"/>
                <w:sz w:val="24"/>
                <w:szCs w:val="24"/>
                <w:highlight w:val="none"/>
              </w:rPr>
            </w:pPr>
          </w:p>
        </w:tc>
      </w:tr>
      <w:tr w14:paraId="34E6B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55" w:type="dxa"/>
            <w:noWrap w:val="0"/>
            <w:vAlign w:val="top"/>
          </w:tcPr>
          <w:p w14:paraId="1819A289">
            <w:pPr>
              <w:pStyle w:val="4"/>
              <w:ind w:firstLine="0"/>
              <w:rPr>
                <w:rFonts w:hint="eastAsia" w:ascii="宋体" w:hAnsi="宋体" w:eastAsia="宋体" w:cs="宋体"/>
                <w:color w:val="auto"/>
                <w:sz w:val="24"/>
                <w:szCs w:val="24"/>
                <w:highlight w:val="none"/>
              </w:rPr>
            </w:pPr>
          </w:p>
        </w:tc>
        <w:tc>
          <w:tcPr>
            <w:tcW w:w="1620" w:type="dxa"/>
            <w:noWrap w:val="0"/>
            <w:vAlign w:val="top"/>
          </w:tcPr>
          <w:p w14:paraId="3D7937B0">
            <w:pPr>
              <w:pStyle w:val="4"/>
              <w:ind w:firstLine="0"/>
              <w:rPr>
                <w:rFonts w:hint="eastAsia" w:ascii="宋体" w:hAnsi="宋体" w:eastAsia="宋体" w:cs="宋体"/>
                <w:color w:val="auto"/>
                <w:sz w:val="24"/>
                <w:szCs w:val="24"/>
                <w:highlight w:val="none"/>
              </w:rPr>
            </w:pPr>
          </w:p>
        </w:tc>
        <w:tc>
          <w:tcPr>
            <w:tcW w:w="1596" w:type="dxa"/>
            <w:noWrap w:val="0"/>
            <w:vAlign w:val="top"/>
          </w:tcPr>
          <w:p w14:paraId="4A16546A">
            <w:pPr>
              <w:pStyle w:val="4"/>
              <w:ind w:firstLine="0"/>
              <w:rPr>
                <w:rFonts w:hint="eastAsia" w:ascii="宋体" w:hAnsi="宋体" w:eastAsia="宋体" w:cs="宋体"/>
                <w:color w:val="auto"/>
                <w:sz w:val="24"/>
                <w:szCs w:val="24"/>
                <w:highlight w:val="none"/>
              </w:rPr>
            </w:pPr>
          </w:p>
        </w:tc>
        <w:tc>
          <w:tcPr>
            <w:tcW w:w="1288" w:type="dxa"/>
            <w:noWrap w:val="0"/>
            <w:vAlign w:val="top"/>
          </w:tcPr>
          <w:p w14:paraId="333E5D0C">
            <w:pPr>
              <w:pStyle w:val="4"/>
              <w:ind w:firstLine="0"/>
              <w:rPr>
                <w:rFonts w:hint="eastAsia" w:ascii="宋体" w:hAnsi="宋体" w:eastAsia="宋体" w:cs="宋体"/>
                <w:color w:val="auto"/>
                <w:sz w:val="24"/>
                <w:szCs w:val="24"/>
                <w:highlight w:val="none"/>
              </w:rPr>
            </w:pPr>
          </w:p>
        </w:tc>
        <w:tc>
          <w:tcPr>
            <w:tcW w:w="1259" w:type="dxa"/>
            <w:noWrap w:val="0"/>
            <w:vAlign w:val="top"/>
          </w:tcPr>
          <w:p w14:paraId="242BBFDF">
            <w:pPr>
              <w:pStyle w:val="4"/>
              <w:ind w:firstLine="0"/>
              <w:rPr>
                <w:rFonts w:hint="eastAsia" w:ascii="宋体" w:hAnsi="宋体" w:eastAsia="宋体" w:cs="宋体"/>
                <w:color w:val="auto"/>
                <w:sz w:val="24"/>
                <w:szCs w:val="24"/>
                <w:highlight w:val="none"/>
              </w:rPr>
            </w:pPr>
          </w:p>
        </w:tc>
        <w:tc>
          <w:tcPr>
            <w:tcW w:w="1701" w:type="dxa"/>
            <w:noWrap w:val="0"/>
            <w:vAlign w:val="top"/>
          </w:tcPr>
          <w:p w14:paraId="23B87F1C">
            <w:pPr>
              <w:pStyle w:val="4"/>
              <w:ind w:firstLine="0"/>
              <w:rPr>
                <w:rFonts w:hint="eastAsia" w:ascii="宋体" w:hAnsi="宋体" w:eastAsia="宋体" w:cs="宋体"/>
                <w:color w:val="auto"/>
                <w:sz w:val="24"/>
                <w:szCs w:val="24"/>
                <w:highlight w:val="none"/>
              </w:rPr>
            </w:pPr>
          </w:p>
        </w:tc>
        <w:tc>
          <w:tcPr>
            <w:tcW w:w="904" w:type="dxa"/>
            <w:noWrap w:val="0"/>
            <w:vAlign w:val="top"/>
          </w:tcPr>
          <w:p w14:paraId="63195E39">
            <w:pPr>
              <w:pStyle w:val="4"/>
              <w:ind w:firstLine="0"/>
              <w:rPr>
                <w:rFonts w:hint="eastAsia" w:ascii="宋体" w:hAnsi="宋体" w:eastAsia="宋体" w:cs="宋体"/>
                <w:color w:val="auto"/>
                <w:sz w:val="24"/>
                <w:szCs w:val="24"/>
                <w:highlight w:val="none"/>
              </w:rPr>
            </w:pPr>
          </w:p>
        </w:tc>
      </w:tr>
      <w:tr w14:paraId="2EB4B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51C8FBC1">
            <w:pPr>
              <w:pStyle w:val="4"/>
              <w:ind w:firstLine="0"/>
              <w:rPr>
                <w:rFonts w:hint="eastAsia" w:ascii="宋体" w:hAnsi="宋体" w:eastAsia="宋体" w:cs="宋体"/>
                <w:color w:val="auto"/>
                <w:sz w:val="24"/>
                <w:szCs w:val="24"/>
                <w:highlight w:val="none"/>
              </w:rPr>
            </w:pPr>
          </w:p>
        </w:tc>
        <w:tc>
          <w:tcPr>
            <w:tcW w:w="1620" w:type="dxa"/>
            <w:noWrap w:val="0"/>
            <w:vAlign w:val="top"/>
          </w:tcPr>
          <w:p w14:paraId="21B7A5E7">
            <w:pPr>
              <w:pStyle w:val="4"/>
              <w:ind w:firstLine="0"/>
              <w:rPr>
                <w:rFonts w:hint="eastAsia" w:ascii="宋体" w:hAnsi="宋体" w:eastAsia="宋体" w:cs="宋体"/>
                <w:color w:val="auto"/>
                <w:sz w:val="24"/>
                <w:szCs w:val="24"/>
                <w:highlight w:val="none"/>
              </w:rPr>
            </w:pPr>
          </w:p>
        </w:tc>
        <w:tc>
          <w:tcPr>
            <w:tcW w:w="1596" w:type="dxa"/>
            <w:noWrap w:val="0"/>
            <w:vAlign w:val="top"/>
          </w:tcPr>
          <w:p w14:paraId="6FFB0B13">
            <w:pPr>
              <w:pStyle w:val="4"/>
              <w:ind w:firstLine="0"/>
              <w:rPr>
                <w:rFonts w:hint="eastAsia" w:ascii="宋体" w:hAnsi="宋体" w:eastAsia="宋体" w:cs="宋体"/>
                <w:color w:val="auto"/>
                <w:sz w:val="24"/>
                <w:szCs w:val="24"/>
                <w:highlight w:val="none"/>
              </w:rPr>
            </w:pPr>
          </w:p>
        </w:tc>
        <w:tc>
          <w:tcPr>
            <w:tcW w:w="1288" w:type="dxa"/>
            <w:noWrap w:val="0"/>
            <w:vAlign w:val="top"/>
          </w:tcPr>
          <w:p w14:paraId="558045FA">
            <w:pPr>
              <w:pStyle w:val="4"/>
              <w:ind w:firstLine="0"/>
              <w:rPr>
                <w:rFonts w:hint="eastAsia" w:ascii="宋体" w:hAnsi="宋体" w:eastAsia="宋体" w:cs="宋体"/>
                <w:color w:val="auto"/>
                <w:sz w:val="24"/>
                <w:szCs w:val="24"/>
                <w:highlight w:val="none"/>
              </w:rPr>
            </w:pPr>
          </w:p>
        </w:tc>
        <w:tc>
          <w:tcPr>
            <w:tcW w:w="1259" w:type="dxa"/>
            <w:noWrap w:val="0"/>
            <w:vAlign w:val="top"/>
          </w:tcPr>
          <w:p w14:paraId="3C31F126">
            <w:pPr>
              <w:pStyle w:val="4"/>
              <w:ind w:firstLine="0"/>
              <w:rPr>
                <w:rFonts w:hint="eastAsia" w:ascii="宋体" w:hAnsi="宋体" w:eastAsia="宋体" w:cs="宋体"/>
                <w:color w:val="auto"/>
                <w:sz w:val="24"/>
                <w:szCs w:val="24"/>
                <w:highlight w:val="none"/>
              </w:rPr>
            </w:pPr>
          </w:p>
        </w:tc>
        <w:tc>
          <w:tcPr>
            <w:tcW w:w="1701" w:type="dxa"/>
            <w:noWrap w:val="0"/>
            <w:vAlign w:val="top"/>
          </w:tcPr>
          <w:p w14:paraId="0F44533D">
            <w:pPr>
              <w:pStyle w:val="4"/>
              <w:ind w:firstLine="0"/>
              <w:rPr>
                <w:rFonts w:hint="eastAsia" w:ascii="宋体" w:hAnsi="宋体" w:eastAsia="宋体" w:cs="宋体"/>
                <w:color w:val="auto"/>
                <w:sz w:val="24"/>
                <w:szCs w:val="24"/>
                <w:highlight w:val="none"/>
              </w:rPr>
            </w:pPr>
          </w:p>
        </w:tc>
        <w:tc>
          <w:tcPr>
            <w:tcW w:w="904" w:type="dxa"/>
            <w:noWrap w:val="0"/>
            <w:vAlign w:val="top"/>
          </w:tcPr>
          <w:p w14:paraId="67CA0632">
            <w:pPr>
              <w:pStyle w:val="4"/>
              <w:ind w:firstLine="0"/>
              <w:rPr>
                <w:rFonts w:hint="eastAsia" w:ascii="宋体" w:hAnsi="宋体" w:eastAsia="宋体" w:cs="宋体"/>
                <w:color w:val="auto"/>
                <w:sz w:val="24"/>
                <w:szCs w:val="24"/>
                <w:highlight w:val="none"/>
              </w:rPr>
            </w:pPr>
          </w:p>
        </w:tc>
      </w:tr>
      <w:tr w14:paraId="14A1D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1E7A1303">
            <w:pPr>
              <w:pStyle w:val="4"/>
              <w:ind w:firstLine="0"/>
              <w:rPr>
                <w:rFonts w:hint="eastAsia" w:ascii="宋体" w:hAnsi="宋体" w:eastAsia="宋体" w:cs="宋体"/>
                <w:color w:val="auto"/>
                <w:sz w:val="24"/>
                <w:szCs w:val="24"/>
                <w:highlight w:val="none"/>
              </w:rPr>
            </w:pPr>
          </w:p>
        </w:tc>
        <w:tc>
          <w:tcPr>
            <w:tcW w:w="1620" w:type="dxa"/>
            <w:noWrap w:val="0"/>
            <w:vAlign w:val="top"/>
          </w:tcPr>
          <w:p w14:paraId="49E01323">
            <w:pPr>
              <w:pStyle w:val="4"/>
              <w:ind w:firstLine="0"/>
              <w:rPr>
                <w:rFonts w:hint="eastAsia" w:ascii="宋体" w:hAnsi="宋体" w:eastAsia="宋体" w:cs="宋体"/>
                <w:color w:val="auto"/>
                <w:sz w:val="24"/>
                <w:szCs w:val="24"/>
                <w:highlight w:val="none"/>
              </w:rPr>
            </w:pPr>
          </w:p>
        </w:tc>
        <w:tc>
          <w:tcPr>
            <w:tcW w:w="1596" w:type="dxa"/>
            <w:noWrap w:val="0"/>
            <w:vAlign w:val="top"/>
          </w:tcPr>
          <w:p w14:paraId="11F6A77D">
            <w:pPr>
              <w:pStyle w:val="4"/>
              <w:ind w:firstLine="0"/>
              <w:rPr>
                <w:rFonts w:hint="eastAsia" w:ascii="宋体" w:hAnsi="宋体" w:eastAsia="宋体" w:cs="宋体"/>
                <w:color w:val="auto"/>
                <w:sz w:val="24"/>
                <w:szCs w:val="24"/>
                <w:highlight w:val="none"/>
              </w:rPr>
            </w:pPr>
          </w:p>
        </w:tc>
        <w:tc>
          <w:tcPr>
            <w:tcW w:w="1288" w:type="dxa"/>
            <w:noWrap w:val="0"/>
            <w:vAlign w:val="top"/>
          </w:tcPr>
          <w:p w14:paraId="4153485A">
            <w:pPr>
              <w:pStyle w:val="4"/>
              <w:ind w:firstLine="0"/>
              <w:rPr>
                <w:rFonts w:hint="eastAsia" w:ascii="宋体" w:hAnsi="宋体" w:eastAsia="宋体" w:cs="宋体"/>
                <w:color w:val="auto"/>
                <w:sz w:val="24"/>
                <w:szCs w:val="24"/>
                <w:highlight w:val="none"/>
              </w:rPr>
            </w:pPr>
          </w:p>
        </w:tc>
        <w:tc>
          <w:tcPr>
            <w:tcW w:w="1259" w:type="dxa"/>
            <w:noWrap w:val="0"/>
            <w:vAlign w:val="top"/>
          </w:tcPr>
          <w:p w14:paraId="4817A080">
            <w:pPr>
              <w:pStyle w:val="4"/>
              <w:ind w:firstLine="0"/>
              <w:rPr>
                <w:rFonts w:hint="eastAsia" w:ascii="宋体" w:hAnsi="宋体" w:eastAsia="宋体" w:cs="宋体"/>
                <w:color w:val="auto"/>
                <w:sz w:val="24"/>
                <w:szCs w:val="24"/>
                <w:highlight w:val="none"/>
              </w:rPr>
            </w:pPr>
          </w:p>
        </w:tc>
        <w:tc>
          <w:tcPr>
            <w:tcW w:w="1701" w:type="dxa"/>
            <w:noWrap w:val="0"/>
            <w:vAlign w:val="top"/>
          </w:tcPr>
          <w:p w14:paraId="46ECFD7A">
            <w:pPr>
              <w:pStyle w:val="4"/>
              <w:ind w:firstLine="0"/>
              <w:rPr>
                <w:rFonts w:hint="eastAsia" w:ascii="宋体" w:hAnsi="宋体" w:eastAsia="宋体" w:cs="宋体"/>
                <w:color w:val="auto"/>
                <w:sz w:val="24"/>
                <w:szCs w:val="24"/>
                <w:highlight w:val="none"/>
              </w:rPr>
            </w:pPr>
          </w:p>
        </w:tc>
        <w:tc>
          <w:tcPr>
            <w:tcW w:w="904" w:type="dxa"/>
            <w:noWrap w:val="0"/>
            <w:vAlign w:val="top"/>
          </w:tcPr>
          <w:p w14:paraId="0382DC75">
            <w:pPr>
              <w:pStyle w:val="4"/>
              <w:ind w:firstLine="0"/>
              <w:rPr>
                <w:rFonts w:hint="eastAsia" w:ascii="宋体" w:hAnsi="宋体" w:eastAsia="宋体" w:cs="宋体"/>
                <w:color w:val="auto"/>
                <w:sz w:val="24"/>
                <w:szCs w:val="24"/>
                <w:highlight w:val="none"/>
              </w:rPr>
            </w:pPr>
          </w:p>
        </w:tc>
      </w:tr>
      <w:tr w14:paraId="28E5E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37ABF34B">
            <w:pPr>
              <w:pStyle w:val="4"/>
              <w:ind w:firstLine="0"/>
              <w:rPr>
                <w:rFonts w:hint="eastAsia" w:ascii="宋体" w:hAnsi="宋体" w:eastAsia="宋体" w:cs="宋体"/>
                <w:color w:val="auto"/>
                <w:sz w:val="24"/>
                <w:szCs w:val="24"/>
                <w:highlight w:val="none"/>
              </w:rPr>
            </w:pPr>
          </w:p>
        </w:tc>
        <w:tc>
          <w:tcPr>
            <w:tcW w:w="1620" w:type="dxa"/>
            <w:noWrap w:val="0"/>
            <w:vAlign w:val="top"/>
          </w:tcPr>
          <w:p w14:paraId="57144E54">
            <w:pPr>
              <w:pStyle w:val="4"/>
              <w:ind w:firstLine="0"/>
              <w:rPr>
                <w:rFonts w:hint="eastAsia" w:ascii="宋体" w:hAnsi="宋体" w:eastAsia="宋体" w:cs="宋体"/>
                <w:color w:val="auto"/>
                <w:sz w:val="24"/>
                <w:szCs w:val="24"/>
                <w:highlight w:val="none"/>
              </w:rPr>
            </w:pPr>
          </w:p>
        </w:tc>
        <w:tc>
          <w:tcPr>
            <w:tcW w:w="1596" w:type="dxa"/>
            <w:noWrap w:val="0"/>
            <w:vAlign w:val="top"/>
          </w:tcPr>
          <w:p w14:paraId="4ACF9905">
            <w:pPr>
              <w:pStyle w:val="4"/>
              <w:ind w:firstLine="0"/>
              <w:rPr>
                <w:rFonts w:hint="eastAsia" w:ascii="宋体" w:hAnsi="宋体" w:eastAsia="宋体" w:cs="宋体"/>
                <w:color w:val="auto"/>
                <w:sz w:val="24"/>
                <w:szCs w:val="24"/>
                <w:highlight w:val="none"/>
              </w:rPr>
            </w:pPr>
          </w:p>
        </w:tc>
        <w:tc>
          <w:tcPr>
            <w:tcW w:w="1288" w:type="dxa"/>
            <w:noWrap w:val="0"/>
            <w:vAlign w:val="top"/>
          </w:tcPr>
          <w:p w14:paraId="56171700">
            <w:pPr>
              <w:pStyle w:val="4"/>
              <w:ind w:firstLine="0"/>
              <w:rPr>
                <w:rFonts w:hint="eastAsia" w:ascii="宋体" w:hAnsi="宋体" w:eastAsia="宋体" w:cs="宋体"/>
                <w:color w:val="auto"/>
                <w:sz w:val="24"/>
                <w:szCs w:val="24"/>
                <w:highlight w:val="none"/>
              </w:rPr>
            </w:pPr>
          </w:p>
        </w:tc>
        <w:tc>
          <w:tcPr>
            <w:tcW w:w="1259" w:type="dxa"/>
            <w:noWrap w:val="0"/>
            <w:vAlign w:val="top"/>
          </w:tcPr>
          <w:p w14:paraId="703D470C">
            <w:pPr>
              <w:pStyle w:val="4"/>
              <w:ind w:firstLine="0"/>
              <w:rPr>
                <w:rFonts w:hint="eastAsia" w:ascii="宋体" w:hAnsi="宋体" w:eastAsia="宋体" w:cs="宋体"/>
                <w:color w:val="auto"/>
                <w:sz w:val="24"/>
                <w:szCs w:val="24"/>
                <w:highlight w:val="none"/>
              </w:rPr>
            </w:pPr>
          </w:p>
        </w:tc>
        <w:tc>
          <w:tcPr>
            <w:tcW w:w="1701" w:type="dxa"/>
            <w:noWrap w:val="0"/>
            <w:vAlign w:val="top"/>
          </w:tcPr>
          <w:p w14:paraId="5CE70CCC">
            <w:pPr>
              <w:pStyle w:val="4"/>
              <w:ind w:firstLine="0"/>
              <w:rPr>
                <w:rFonts w:hint="eastAsia" w:ascii="宋体" w:hAnsi="宋体" w:eastAsia="宋体" w:cs="宋体"/>
                <w:color w:val="auto"/>
                <w:sz w:val="24"/>
                <w:szCs w:val="24"/>
                <w:highlight w:val="none"/>
              </w:rPr>
            </w:pPr>
          </w:p>
        </w:tc>
        <w:tc>
          <w:tcPr>
            <w:tcW w:w="904" w:type="dxa"/>
            <w:noWrap w:val="0"/>
            <w:vAlign w:val="top"/>
          </w:tcPr>
          <w:p w14:paraId="0778E0E5">
            <w:pPr>
              <w:pStyle w:val="4"/>
              <w:ind w:firstLine="0"/>
              <w:rPr>
                <w:rFonts w:hint="eastAsia" w:ascii="宋体" w:hAnsi="宋体" w:eastAsia="宋体" w:cs="宋体"/>
                <w:color w:val="auto"/>
                <w:sz w:val="24"/>
                <w:szCs w:val="24"/>
                <w:highlight w:val="none"/>
              </w:rPr>
            </w:pPr>
          </w:p>
        </w:tc>
      </w:tr>
      <w:tr w14:paraId="679A6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55" w:type="dxa"/>
            <w:noWrap w:val="0"/>
            <w:vAlign w:val="top"/>
          </w:tcPr>
          <w:p w14:paraId="7157D169">
            <w:pPr>
              <w:pStyle w:val="4"/>
              <w:ind w:firstLine="0"/>
              <w:rPr>
                <w:rFonts w:hint="eastAsia" w:ascii="宋体" w:hAnsi="宋体" w:eastAsia="宋体" w:cs="宋体"/>
                <w:color w:val="auto"/>
                <w:sz w:val="24"/>
                <w:szCs w:val="24"/>
                <w:highlight w:val="none"/>
              </w:rPr>
            </w:pPr>
          </w:p>
        </w:tc>
        <w:tc>
          <w:tcPr>
            <w:tcW w:w="1620" w:type="dxa"/>
            <w:noWrap w:val="0"/>
            <w:vAlign w:val="top"/>
          </w:tcPr>
          <w:p w14:paraId="7556CF4D">
            <w:pPr>
              <w:pStyle w:val="4"/>
              <w:ind w:firstLine="0"/>
              <w:rPr>
                <w:rFonts w:hint="eastAsia" w:ascii="宋体" w:hAnsi="宋体" w:eastAsia="宋体" w:cs="宋体"/>
                <w:color w:val="auto"/>
                <w:sz w:val="24"/>
                <w:szCs w:val="24"/>
                <w:highlight w:val="none"/>
              </w:rPr>
            </w:pPr>
          </w:p>
        </w:tc>
        <w:tc>
          <w:tcPr>
            <w:tcW w:w="1596" w:type="dxa"/>
            <w:noWrap w:val="0"/>
            <w:vAlign w:val="top"/>
          </w:tcPr>
          <w:p w14:paraId="17EF6EFA">
            <w:pPr>
              <w:pStyle w:val="4"/>
              <w:ind w:firstLine="0"/>
              <w:rPr>
                <w:rFonts w:hint="eastAsia" w:ascii="宋体" w:hAnsi="宋体" w:eastAsia="宋体" w:cs="宋体"/>
                <w:color w:val="auto"/>
                <w:sz w:val="24"/>
                <w:szCs w:val="24"/>
                <w:highlight w:val="none"/>
              </w:rPr>
            </w:pPr>
          </w:p>
        </w:tc>
        <w:tc>
          <w:tcPr>
            <w:tcW w:w="1288" w:type="dxa"/>
            <w:noWrap w:val="0"/>
            <w:vAlign w:val="top"/>
          </w:tcPr>
          <w:p w14:paraId="2059FA3D">
            <w:pPr>
              <w:pStyle w:val="4"/>
              <w:ind w:firstLine="0"/>
              <w:rPr>
                <w:rFonts w:hint="eastAsia" w:ascii="宋体" w:hAnsi="宋体" w:eastAsia="宋体" w:cs="宋体"/>
                <w:color w:val="auto"/>
                <w:sz w:val="24"/>
                <w:szCs w:val="24"/>
                <w:highlight w:val="none"/>
              </w:rPr>
            </w:pPr>
          </w:p>
        </w:tc>
        <w:tc>
          <w:tcPr>
            <w:tcW w:w="1259" w:type="dxa"/>
            <w:noWrap w:val="0"/>
            <w:vAlign w:val="top"/>
          </w:tcPr>
          <w:p w14:paraId="304BFA55">
            <w:pPr>
              <w:pStyle w:val="4"/>
              <w:ind w:firstLine="0"/>
              <w:rPr>
                <w:rFonts w:hint="eastAsia" w:ascii="宋体" w:hAnsi="宋体" w:eastAsia="宋体" w:cs="宋体"/>
                <w:color w:val="auto"/>
                <w:sz w:val="24"/>
                <w:szCs w:val="24"/>
                <w:highlight w:val="none"/>
              </w:rPr>
            </w:pPr>
          </w:p>
        </w:tc>
        <w:tc>
          <w:tcPr>
            <w:tcW w:w="1701" w:type="dxa"/>
            <w:noWrap w:val="0"/>
            <w:vAlign w:val="top"/>
          </w:tcPr>
          <w:p w14:paraId="032FF549">
            <w:pPr>
              <w:pStyle w:val="4"/>
              <w:ind w:firstLine="0"/>
              <w:rPr>
                <w:rFonts w:hint="eastAsia" w:ascii="宋体" w:hAnsi="宋体" w:eastAsia="宋体" w:cs="宋体"/>
                <w:color w:val="auto"/>
                <w:sz w:val="24"/>
                <w:szCs w:val="24"/>
                <w:highlight w:val="none"/>
              </w:rPr>
            </w:pPr>
          </w:p>
        </w:tc>
        <w:tc>
          <w:tcPr>
            <w:tcW w:w="904" w:type="dxa"/>
            <w:noWrap w:val="0"/>
            <w:vAlign w:val="top"/>
          </w:tcPr>
          <w:p w14:paraId="43CE420E">
            <w:pPr>
              <w:pStyle w:val="4"/>
              <w:ind w:firstLine="0"/>
              <w:rPr>
                <w:rFonts w:hint="eastAsia" w:ascii="宋体" w:hAnsi="宋体" w:eastAsia="宋体" w:cs="宋体"/>
                <w:color w:val="auto"/>
                <w:sz w:val="24"/>
                <w:szCs w:val="24"/>
                <w:highlight w:val="none"/>
              </w:rPr>
            </w:pPr>
          </w:p>
        </w:tc>
      </w:tr>
      <w:tr w14:paraId="640D4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1BDC7C07">
            <w:pPr>
              <w:pStyle w:val="4"/>
              <w:ind w:firstLine="0"/>
              <w:rPr>
                <w:rFonts w:hint="eastAsia" w:ascii="宋体" w:hAnsi="宋体" w:eastAsia="宋体" w:cs="宋体"/>
                <w:color w:val="auto"/>
                <w:sz w:val="24"/>
                <w:szCs w:val="24"/>
                <w:highlight w:val="none"/>
              </w:rPr>
            </w:pPr>
          </w:p>
        </w:tc>
        <w:tc>
          <w:tcPr>
            <w:tcW w:w="1620" w:type="dxa"/>
            <w:noWrap w:val="0"/>
            <w:vAlign w:val="top"/>
          </w:tcPr>
          <w:p w14:paraId="1BE0318E">
            <w:pPr>
              <w:pStyle w:val="4"/>
              <w:ind w:firstLine="0"/>
              <w:rPr>
                <w:rFonts w:hint="eastAsia" w:ascii="宋体" w:hAnsi="宋体" w:eastAsia="宋体" w:cs="宋体"/>
                <w:color w:val="auto"/>
                <w:sz w:val="24"/>
                <w:szCs w:val="24"/>
                <w:highlight w:val="none"/>
              </w:rPr>
            </w:pPr>
          </w:p>
        </w:tc>
        <w:tc>
          <w:tcPr>
            <w:tcW w:w="1596" w:type="dxa"/>
            <w:noWrap w:val="0"/>
            <w:vAlign w:val="top"/>
          </w:tcPr>
          <w:p w14:paraId="5B2BC2AA">
            <w:pPr>
              <w:pStyle w:val="4"/>
              <w:ind w:firstLine="0"/>
              <w:rPr>
                <w:rFonts w:hint="eastAsia" w:ascii="宋体" w:hAnsi="宋体" w:eastAsia="宋体" w:cs="宋体"/>
                <w:color w:val="auto"/>
                <w:sz w:val="24"/>
                <w:szCs w:val="24"/>
                <w:highlight w:val="none"/>
              </w:rPr>
            </w:pPr>
          </w:p>
        </w:tc>
        <w:tc>
          <w:tcPr>
            <w:tcW w:w="1288" w:type="dxa"/>
            <w:noWrap w:val="0"/>
            <w:vAlign w:val="top"/>
          </w:tcPr>
          <w:p w14:paraId="0BAA2832">
            <w:pPr>
              <w:pStyle w:val="4"/>
              <w:ind w:firstLine="0"/>
              <w:rPr>
                <w:rFonts w:hint="eastAsia" w:ascii="宋体" w:hAnsi="宋体" w:eastAsia="宋体" w:cs="宋体"/>
                <w:color w:val="auto"/>
                <w:sz w:val="24"/>
                <w:szCs w:val="24"/>
                <w:highlight w:val="none"/>
              </w:rPr>
            </w:pPr>
          </w:p>
        </w:tc>
        <w:tc>
          <w:tcPr>
            <w:tcW w:w="1259" w:type="dxa"/>
            <w:noWrap w:val="0"/>
            <w:vAlign w:val="top"/>
          </w:tcPr>
          <w:p w14:paraId="409B6D03">
            <w:pPr>
              <w:pStyle w:val="4"/>
              <w:ind w:firstLine="0"/>
              <w:rPr>
                <w:rFonts w:hint="eastAsia" w:ascii="宋体" w:hAnsi="宋体" w:eastAsia="宋体" w:cs="宋体"/>
                <w:color w:val="auto"/>
                <w:sz w:val="24"/>
                <w:szCs w:val="24"/>
                <w:highlight w:val="none"/>
              </w:rPr>
            </w:pPr>
          </w:p>
        </w:tc>
        <w:tc>
          <w:tcPr>
            <w:tcW w:w="1701" w:type="dxa"/>
            <w:noWrap w:val="0"/>
            <w:vAlign w:val="top"/>
          </w:tcPr>
          <w:p w14:paraId="624C9268">
            <w:pPr>
              <w:pStyle w:val="4"/>
              <w:ind w:firstLine="0"/>
              <w:rPr>
                <w:rFonts w:hint="eastAsia" w:ascii="宋体" w:hAnsi="宋体" w:eastAsia="宋体" w:cs="宋体"/>
                <w:color w:val="auto"/>
                <w:sz w:val="24"/>
                <w:szCs w:val="24"/>
                <w:highlight w:val="none"/>
              </w:rPr>
            </w:pPr>
          </w:p>
        </w:tc>
        <w:tc>
          <w:tcPr>
            <w:tcW w:w="904" w:type="dxa"/>
            <w:noWrap w:val="0"/>
            <w:vAlign w:val="top"/>
          </w:tcPr>
          <w:p w14:paraId="33EA40C2">
            <w:pPr>
              <w:pStyle w:val="4"/>
              <w:ind w:firstLine="0"/>
              <w:rPr>
                <w:rFonts w:hint="eastAsia" w:ascii="宋体" w:hAnsi="宋体" w:eastAsia="宋体" w:cs="宋体"/>
                <w:color w:val="auto"/>
                <w:sz w:val="24"/>
                <w:szCs w:val="24"/>
                <w:highlight w:val="none"/>
              </w:rPr>
            </w:pPr>
          </w:p>
        </w:tc>
      </w:tr>
      <w:tr w14:paraId="045F3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64D9EEC9">
            <w:pPr>
              <w:pStyle w:val="4"/>
              <w:ind w:firstLine="0"/>
              <w:rPr>
                <w:rFonts w:hint="eastAsia" w:ascii="宋体" w:hAnsi="宋体" w:eastAsia="宋体" w:cs="宋体"/>
                <w:color w:val="auto"/>
                <w:sz w:val="24"/>
                <w:szCs w:val="24"/>
                <w:highlight w:val="none"/>
              </w:rPr>
            </w:pPr>
          </w:p>
        </w:tc>
        <w:tc>
          <w:tcPr>
            <w:tcW w:w="1620" w:type="dxa"/>
            <w:noWrap w:val="0"/>
            <w:vAlign w:val="top"/>
          </w:tcPr>
          <w:p w14:paraId="650F2B4D">
            <w:pPr>
              <w:pStyle w:val="4"/>
              <w:ind w:firstLine="0"/>
              <w:rPr>
                <w:rFonts w:hint="eastAsia" w:ascii="宋体" w:hAnsi="宋体" w:eastAsia="宋体" w:cs="宋体"/>
                <w:color w:val="auto"/>
                <w:sz w:val="24"/>
                <w:szCs w:val="24"/>
                <w:highlight w:val="none"/>
              </w:rPr>
            </w:pPr>
          </w:p>
        </w:tc>
        <w:tc>
          <w:tcPr>
            <w:tcW w:w="1596" w:type="dxa"/>
            <w:noWrap w:val="0"/>
            <w:vAlign w:val="top"/>
          </w:tcPr>
          <w:p w14:paraId="4477FFE2">
            <w:pPr>
              <w:pStyle w:val="4"/>
              <w:ind w:firstLine="0"/>
              <w:rPr>
                <w:rFonts w:hint="eastAsia" w:ascii="宋体" w:hAnsi="宋体" w:eastAsia="宋体" w:cs="宋体"/>
                <w:color w:val="auto"/>
                <w:sz w:val="24"/>
                <w:szCs w:val="24"/>
                <w:highlight w:val="none"/>
              </w:rPr>
            </w:pPr>
          </w:p>
        </w:tc>
        <w:tc>
          <w:tcPr>
            <w:tcW w:w="1288" w:type="dxa"/>
            <w:noWrap w:val="0"/>
            <w:vAlign w:val="top"/>
          </w:tcPr>
          <w:p w14:paraId="555E941B">
            <w:pPr>
              <w:pStyle w:val="4"/>
              <w:ind w:firstLine="0"/>
              <w:rPr>
                <w:rFonts w:hint="eastAsia" w:ascii="宋体" w:hAnsi="宋体" w:eastAsia="宋体" w:cs="宋体"/>
                <w:color w:val="auto"/>
                <w:sz w:val="24"/>
                <w:szCs w:val="24"/>
                <w:highlight w:val="none"/>
              </w:rPr>
            </w:pPr>
          </w:p>
        </w:tc>
        <w:tc>
          <w:tcPr>
            <w:tcW w:w="1259" w:type="dxa"/>
            <w:noWrap w:val="0"/>
            <w:vAlign w:val="top"/>
          </w:tcPr>
          <w:p w14:paraId="45B72275">
            <w:pPr>
              <w:pStyle w:val="4"/>
              <w:ind w:firstLine="0"/>
              <w:rPr>
                <w:rFonts w:hint="eastAsia" w:ascii="宋体" w:hAnsi="宋体" w:eastAsia="宋体" w:cs="宋体"/>
                <w:color w:val="auto"/>
                <w:sz w:val="24"/>
                <w:szCs w:val="24"/>
                <w:highlight w:val="none"/>
              </w:rPr>
            </w:pPr>
          </w:p>
        </w:tc>
        <w:tc>
          <w:tcPr>
            <w:tcW w:w="1701" w:type="dxa"/>
            <w:noWrap w:val="0"/>
            <w:vAlign w:val="top"/>
          </w:tcPr>
          <w:p w14:paraId="37EB12C0">
            <w:pPr>
              <w:pStyle w:val="4"/>
              <w:ind w:firstLine="0"/>
              <w:rPr>
                <w:rFonts w:hint="eastAsia" w:ascii="宋体" w:hAnsi="宋体" w:eastAsia="宋体" w:cs="宋体"/>
                <w:color w:val="auto"/>
                <w:sz w:val="24"/>
                <w:szCs w:val="24"/>
                <w:highlight w:val="none"/>
              </w:rPr>
            </w:pPr>
          </w:p>
        </w:tc>
        <w:tc>
          <w:tcPr>
            <w:tcW w:w="904" w:type="dxa"/>
            <w:noWrap w:val="0"/>
            <w:vAlign w:val="top"/>
          </w:tcPr>
          <w:p w14:paraId="37D2E522">
            <w:pPr>
              <w:pStyle w:val="4"/>
              <w:ind w:firstLine="0"/>
              <w:rPr>
                <w:rFonts w:hint="eastAsia" w:ascii="宋体" w:hAnsi="宋体" w:eastAsia="宋体" w:cs="宋体"/>
                <w:color w:val="auto"/>
                <w:sz w:val="24"/>
                <w:szCs w:val="24"/>
                <w:highlight w:val="none"/>
              </w:rPr>
            </w:pPr>
          </w:p>
        </w:tc>
      </w:tr>
      <w:tr w14:paraId="4D45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5" w:type="dxa"/>
            <w:noWrap w:val="0"/>
            <w:vAlign w:val="top"/>
          </w:tcPr>
          <w:p w14:paraId="70E0148B">
            <w:pPr>
              <w:pStyle w:val="4"/>
              <w:ind w:firstLine="0"/>
              <w:rPr>
                <w:rFonts w:hint="eastAsia" w:ascii="宋体" w:hAnsi="宋体" w:eastAsia="宋体" w:cs="宋体"/>
                <w:color w:val="auto"/>
                <w:sz w:val="24"/>
                <w:szCs w:val="24"/>
                <w:highlight w:val="none"/>
              </w:rPr>
            </w:pPr>
          </w:p>
        </w:tc>
        <w:tc>
          <w:tcPr>
            <w:tcW w:w="1620" w:type="dxa"/>
            <w:noWrap w:val="0"/>
            <w:vAlign w:val="top"/>
          </w:tcPr>
          <w:p w14:paraId="0A430BCC">
            <w:pPr>
              <w:pStyle w:val="4"/>
              <w:ind w:firstLine="0"/>
              <w:rPr>
                <w:rFonts w:hint="eastAsia" w:ascii="宋体" w:hAnsi="宋体" w:eastAsia="宋体" w:cs="宋体"/>
                <w:color w:val="auto"/>
                <w:sz w:val="24"/>
                <w:szCs w:val="24"/>
                <w:highlight w:val="none"/>
              </w:rPr>
            </w:pPr>
          </w:p>
        </w:tc>
        <w:tc>
          <w:tcPr>
            <w:tcW w:w="1596" w:type="dxa"/>
            <w:noWrap w:val="0"/>
            <w:vAlign w:val="top"/>
          </w:tcPr>
          <w:p w14:paraId="4F89D10B">
            <w:pPr>
              <w:pStyle w:val="4"/>
              <w:ind w:firstLine="0"/>
              <w:rPr>
                <w:rFonts w:hint="eastAsia" w:ascii="宋体" w:hAnsi="宋体" w:eastAsia="宋体" w:cs="宋体"/>
                <w:color w:val="auto"/>
                <w:sz w:val="24"/>
                <w:szCs w:val="24"/>
                <w:highlight w:val="none"/>
              </w:rPr>
            </w:pPr>
          </w:p>
        </w:tc>
        <w:tc>
          <w:tcPr>
            <w:tcW w:w="1288" w:type="dxa"/>
            <w:noWrap w:val="0"/>
            <w:vAlign w:val="top"/>
          </w:tcPr>
          <w:p w14:paraId="126E3125">
            <w:pPr>
              <w:pStyle w:val="4"/>
              <w:ind w:firstLine="0"/>
              <w:rPr>
                <w:rFonts w:hint="eastAsia" w:ascii="宋体" w:hAnsi="宋体" w:eastAsia="宋体" w:cs="宋体"/>
                <w:color w:val="auto"/>
                <w:sz w:val="24"/>
                <w:szCs w:val="24"/>
                <w:highlight w:val="none"/>
              </w:rPr>
            </w:pPr>
          </w:p>
        </w:tc>
        <w:tc>
          <w:tcPr>
            <w:tcW w:w="1259" w:type="dxa"/>
            <w:noWrap w:val="0"/>
            <w:vAlign w:val="top"/>
          </w:tcPr>
          <w:p w14:paraId="5C97DA12">
            <w:pPr>
              <w:pStyle w:val="4"/>
              <w:ind w:firstLine="0"/>
              <w:rPr>
                <w:rFonts w:hint="eastAsia" w:ascii="宋体" w:hAnsi="宋体" w:eastAsia="宋体" w:cs="宋体"/>
                <w:color w:val="auto"/>
                <w:sz w:val="24"/>
                <w:szCs w:val="24"/>
                <w:highlight w:val="none"/>
              </w:rPr>
            </w:pPr>
          </w:p>
        </w:tc>
        <w:tc>
          <w:tcPr>
            <w:tcW w:w="1701" w:type="dxa"/>
            <w:noWrap w:val="0"/>
            <w:vAlign w:val="top"/>
          </w:tcPr>
          <w:p w14:paraId="14BD9F15">
            <w:pPr>
              <w:pStyle w:val="4"/>
              <w:ind w:firstLine="0"/>
              <w:rPr>
                <w:rFonts w:hint="eastAsia" w:ascii="宋体" w:hAnsi="宋体" w:eastAsia="宋体" w:cs="宋体"/>
                <w:color w:val="auto"/>
                <w:sz w:val="24"/>
                <w:szCs w:val="24"/>
                <w:highlight w:val="none"/>
              </w:rPr>
            </w:pPr>
          </w:p>
        </w:tc>
        <w:tc>
          <w:tcPr>
            <w:tcW w:w="904" w:type="dxa"/>
            <w:noWrap w:val="0"/>
            <w:vAlign w:val="top"/>
          </w:tcPr>
          <w:p w14:paraId="5E74EB46">
            <w:pPr>
              <w:pStyle w:val="4"/>
              <w:ind w:firstLine="0"/>
              <w:rPr>
                <w:rFonts w:hint="eastAsia" w:ascii="宋体" w:hAnsi="宋体" w:eastAsia="宋体" w:cs="宋体"/>
                <w:color w:val="auto"/>
                <w:sz w:val="24"/>
                <w:szCs w:val="24"/>
                <w:highlight w:val="none"/>
              </w:rPr>
            </w:pPr>
          </w:p>
        </w:tc>
      </w:tr>
      <w:tr w14:paraId="57FE6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55" w:type="dxa"/>
            <w:noWrap w:val="0"/>
            <w:vAlign w:val="top"/>
          </w:tcPr>
          <w:p w14:paraId="7BA76476">
            <w:pPr>
              <w:pStyle w:val="4"/>
              <w:ind w:firstLine="0"/>
              <w:rPr>
                <w:rFonts w:hint="eastAsia" w:ascii="宋体" w:hAnsi="宋体" w:eastAsia="宋体" w:cs="宋体"/>
                <w:color w:val="auto"/>
                <w:sz w:val="24"/>
                <w:szCs w:val="24"/>
                <w:highlight w:val="none"/>
              </w:rPr>
            </w:pPr>
          </w:p>
        </w:tc>
        <w:tc>
          <w:tcPr>
            <w:tcW w:w="1620" w:type="dxa"/>
            <w:noWrap w:val="0"/>
            <w:vAlign w:val="top"/>
          </w:tcPr>
          <w:p w14:paraId="203A2345">
            <w:pPr>
              <w:pStyle w:val="4"/>
              <w:ind w:firstLine="0"/>
              <w:rPr>
                <w:rFonts w:hint="eastAsia" w:ascii="宋体" w:hAnsi="宋体" w:eastAsia="宋体" w:cs="宋体"/>
                <w:color w:val="auto"/>
                <w:sz w:val="24"/>
                <w:szCs w:val="24"/>
                <w:highlight w:val="none"/>
              </w:rPr>
            </w:pPr>
          </w:p>
        </w:tc>
        <w:tc>
          <w:tcPr>
            <w:tcW w:w="1596" w:type="dxa"/>
            <w:noWrap w:val="0"/>
            <w:vAlign w:val="top"/>
          </w:tcPr>
          <w:p w14:paraId="7D1DA264">
            <w:pPr>
              <w:pStyle w:val="4"/>
              <w:ind w:firstLine="0"/>
              <w:rPr>
                <w:rFonts w:hint="eastAsia" w:ascii="宋体" w:hAnsi="宋体" w:eastAsia="宋体" w:cs="宋体"/>
                <w:color w:val="auto"/>
                <w:sz w:val="24"/>
                <w:szCs w:val="24"/>
                <w:highlight w:val="none"/>
              </w:rPr>
            </w:pPr>
          </w:p>
        </w:tc>
        <w:tc>
          <w:tcPr>
            <w:tcW w:w="1288" w:type="dxa"/>
            <w:noWrap w:val="0"/>
            <w:vAlign w:val="top"/>
          </w:tcPr>
          <w:p w14:paraId="29A6A79B">
            <w:pPr>
              <w:pStyle w:val="4"/>
              <w:ind w:firstLine="0"/>
              <w:rPr>
                <w:rFonts w:hint="eastAsia" w:ascii="宋体" w:hAnsi="宋体" w:eastAsia="宋体" w:cs="宋体"/>
                <w:color w:val="auto"/>
                <w:sz w:val="24"/>
                <w:szCs w:val="24"/>
                <w:highlight w:val="none"/>
              </w:rPr>
            </w:pPr>
          </w:p>
        </w:tc>
        <w:tc>
          <w:tcPr>
            <w:tcW w:w="1259" w:type="dxa"/>
            <w:noWrap w:val="0"/>
            <w:vAlign w:val="top"/>
          </w:tcPr>
          <w:p w14:paraId="3739EB24">
            <w:pPr>
              <w:pStyle w:val="4"/>
              <w:ind w:firstLine="0"/>
              <w:rPr>
                <w:rFonts w:hint="eastAsia" w:ascii="宋体" w:hAnsi="宋体" w:eastAsia="宋体" w:cs="宋体"/>
                <w:color w:val="auto"/>
                <w:sz w:val="24"/>
                <w:szCs w:val="24"/>
                <w:highlight w:val="none"/>
              </w:rPr>
            </w:pPr>
          </w:p>
        </w:tc>
        <w:tc>
          <w:tcPr>
            <w:tcW w:w="1701" w:type="dxa"/>
            <w:noWrap w:val="0"/>
            <w:vAlign w:val="top"/>
          </w:tcPr>
          <w:p w14:paraId="2BBB1477">
            <w:pPr>
              <w:pStyle w:val="4"/>
              <w:ind w:firstLine="0"/>
              <w:rPr>
                <w:rFonts w:hint="eastAsia" w:ascii="宋体" w:hAnsi="宋体" w:eastAsia="宋体" w:cs="宋体"/>
                <w:color w:val="auto"/>
                <w:sz w:val="24"/>
                <w:szCs w:val="24"/>
                <w:highlight w:val="none"/>
              </w:rPr>
            </w:pPr>
          </w:p>
        </w:tc>
        <w:tc>
          <w:tcPr>
            <w:tcW w:w="904" w:type="dxa"/>
            <w:noWrap w:val="0"/>
            <w:vAlign w:val="top"/>
          </w:tcPr>
          <w:p w14:paraId="01B5B011">
            <w:pPr>
              <w:pStyle w:val="4"/>
              <w:ind w:firstLine="0"/>
              <w:rPr>
                <w:rFonts w:hint="eastAsia" w:ascii="宋体" w:hAnsi="宋体" w:eastAsia="宋体" w:cs="宋体"/>
                <w:color w:val="auto"/>
                <w:sz w:val="24"/>
                <w:szCs w:val="24"/>
                <w:highlight w:val="none"/>
              </w:rPr>
            </w:pPr>
          </w:p>
        </w:tc>
      </w:tr>
      <w:tr w14:paraId="46A38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55" w:type="dxa"/>
            <w:noWrap w:val="0"/>
            <w:vAlign w:val="top"/>
          </w:tcPr>
          <w:p w14:paraId="763DC896">
            <w:pPr>
              <w:pStyle w:val="4"/>
              <w:ind w:firstLine="0"/>
              <w:rPr>
                <w:rFonts w:hint="eastAsia" w:ascii="宋体" w:hAnsi="宋体" w:eastAsia="宋体" w:cs="宋体"/>
                <w:color w:val="auto"/>
                <w:sz w:val="24"/>
                <w:szCs w:val="24"/>
                <w:highlight w:val="none"/>
              </w:rPr>
            </w:pPr>
          </w:p>
        </w:tc>
        <w:tc>
          <w:tcPr>
            <w:tcW w:w="1620" w:type="dxa"/>
            <w:noWrap w:val="0"/>
            <w:vAlign w:val="top"/>
          </w:tcPr>
          <w:p w14:paraId="5F29F7FD">
            <w:pPr>
              <w:pStyle w:val="4"/>
              <w:ind w:firstLine="0"/>
              <w:rPr>
                <w:rFonts w:hint="eastAsia" w:ascii="宋体" w:hAnsi="宋体" w:eastAsia="宋体" w:cs="宋体"/>
                <w:color w:val="auto"/>
                <w:sz w:val="24"/>
                <w:szCs w:val="24"/>
                <w:highlight w:val="none"/>
              </w:rPr>
            </w:pPr>
          </w:p>
        </w:tc>
        <w:tc>
          <w:tcPr>
            <w:tcW w:w="1596" w:type="dxa"/>
            <w:noWrap w:val="0"/>
            <w:vAlign w:val="top"/>
          </w:tcPr>
          <w:p w14:paraId="59A8B35E">
            <w:pPr>
              <w:pStyle w:val="4"/>
              <w:ind w:firstLine="0"/>
              <w:rPr>
                <w:rFonts w:hint="eastAsia" w:ascii="宋体" w:hAnsi="宋体" w:eastAsia="宋体" w:cs="宋体"/>
                <w:color w:val="auto"/>
                <w:sz w:val="24"/>
                <w:szCs w:val="24"/>
                <w:highlight w:val="none"/>
              </w:rPr>
            </w:pPr>
          </w:p>
        </w:tc>
        <w:tc>
          <w:tcPr>
            <w:tcW w:w="1288" w:type="dxa"/>
            <w:noWrap w:val="0"/>
            <w:vAlign w:val="top"/>
          </w:tcPr>
          <w:p w14:paraId="2290F136">
            <w:pPr>
              <w:pStyle w:val="4"/>
              <w:ind w:firstLine="0"/>
              <w:rPr>
                <w:rFonts w:hint="eastAsia" w:ascii="宋体" w:hAnsi="宋体" w:eastAsia="宋体" w:cs="宋体"/>
                <w:color w:val="auto"/>
                <w:sz w:val="24"/>
                <w:szCs w:val="24"/>
                <w:highlight w:val="none"/>
              </w:rPr>
            </w:pPr>
          </w:p>
        </w:tc>
        <w:tc>
          <w:tcPr>
            <w:tcW w:w="1259" w:type="dxa"/>
            <w:noWrap w:val="0"/>
            <w:vAlign w:val="top"/>
          </w:tcPr>
          <w:p w14:paraId="087EF0ED">
            <w:pPr>
              <w:pStyle w:val="4"/>
              <w:ind w:firstLine="0"/>
              <w:rPr>
                <w:rFonts w:hint="eastAsia" w:ascii="宋体" w:hAnsi="宋体" w:eastAsia="宋体" w:cs="宋体"/>
                <w:color w:val="auto"/>
                <w:sz w:val="24"/>
                <w:szCs w:val="24"/>
                <w:highlight w:val="none"/>
              </w:rPr>
            </w:pPr>
          </w:p>
        </w:tc>
        <w:tc>
          <w:tcPr>
            <w:tcW w:w="1701" w:type="dxa"/>
            <w:noWrap w:val="0"/>
            <w:vAlign w:val="top"/>
          </w:tcPr>
          <w:p w14:paraId="14D2FC40">
            <w:pPr>
              <w:pStyle w:val="4"/>
              <w:ind w:firstLine="0"/>
              <w:rPr>
                <w:rFonts w:hint="eastAsia" w:ascii="宋体" w:hAnsi="宋体" w:eastAsia="宋体" w:cs="宋体"/>
                <w:color w:val="auto"/>
                <w:sz w:val="24"/>
                <w:szCs w:val="24"/>
                <w:highlight w:val="none"/>
              </w:rPr>
            </w:pPr>
          </w:p>
        </w:tc>
        <w:tc>
          <w:tcPr>
            <w:tcW w:w="904" w:type="dxa"/>
            <w:noWrap w:val="0"/>
            <w:vAlign w:val="top"/>
          </w:tcPr>
          <w:p w14:paraId="7F41A45D">
            <w:pPr>
              <w:pStyle w:val="4"/>
              <w:ind w:firstLine="0"/>
              <w:rPr>
                <w:rFonts w:hint="eastAsia" w:ascii="宋体" w:hAnsi="宋体" w:eastAsia="宋体" w:cs="宋体"/>
                <w:color w:val="auto"/>
                <w:sz w:val="24"/>
                <w:szCs w:val="24"/>
                <w:highlight w:val="none"/>
              </w:rPr>
            </w:pPr>
          </w:p>
        </w:tc>
      </w:tr>
    </w:tbl>
    <w:p w14:paraId="3791F2CD">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备注：1</w:t>
      </w:r>
      <w:r>
        <w:rPr>
          <w:rFonts w:hint="eastAsia" w:ascii="宋体" w:hAnsi="宋体" w:eastAsia="宋体" w:cs="宋体"/>
          <w:color w:val="auto"/>
          <w:kern w:val="0"/>
          <w:sz w:val="22"/>
          <w:szCs w:val="22"/>
          <w:highlight w:val="none"/>
          <w:lang w:val="zh-CN" w:eastAsia="zh-CN"/>
        </w:rPr>
        <w:t>.投标人提供近三年（202</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eastAsia="zh-CN"/>
        </w:rPr>
        <w:t>年</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eastAsia="zh-CN"/>
        </w:rPr>
        <w:t>月1日至</w:t>
      </w:r>
      <w:r>
        <w:rPr>
          <w:rFonts w:hint="eastAsia" w:ascii="宋体" w:hAnsi="宋体" w:eastAsia="宋体" w:cs="宋体"/>
          <w:color w:val="auto"/>
          <w:kern w:val="0"/>
          <w:sz w:val="22"/>
          <w:szCs w:val="22"/>
          <w:highlight w:val="none"/>
          <w:lang w:val="en-US" w:eastAsia="zh-CN"/>
        </w:rPr>
        <w:t>投标截止时间</w:t>
      </w: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类似</w:t>
      </w:r>
      <w:r>
        <w:rPr>
          <w:rFonts w:hint="eastAsia" w:ascii="宋体" w:hAnsi="宋体" w:eastAsia="宋体" w:cs="宋体"/>
          <w:color w:val="auto"/>
          <w:kern w:val="0"/>
          <w:sz w:val="22"/>
          <w:szCs w:val="22"/>
          <w:highlight w:val="none"/>
          <w:lang w:val="zh-CN" w:eastAsia="zh-CN"/>
        </w:rPr>
        <w:t>项目业绩证明材料。</w:t>
      </w:r>
      <w:r>
        <w:rPr>
          <w:rFonts w:hint="eastAsia" w:ascii="宋体" w:hAnsi="宋体" w:eastAsia="宋体" w:cs="宋体"/>
          <w:color w:val="auto"/>
          <w:kern w:val="0"/>
          <w:sz w:val="22"/>
          <w:szCs w:val="22"/>
          <w:highlight w:val="none"/>
          <w:lang w:val="en-US" w:eastAsia="zh-CN"/>
        </w:rPr>
        <w:t>仅限于供应商自己实施的，以上业绩需提供有关书面证明材料</w:t>
      </w:r>
      <w:bookmarkStart w:id="216" w:name="_Toc10015_WPSOffice_Level2"/>
      <w:r>
        <w:rPr>
          <w:rFonts w:hint="eastAsia" w:ascii="宋体" w:hAnsi="宋体" w:eastAsia="宋体" w:cs="宋体"/>
          <w:color w:val="auto"/>
          <w:kern w:val="0"/>
          <w:sz w:val="22"/>
          <w:szCs w:val="22"/>
          <w:highlight w:val="none"/>
          <w:lang w:val="en-US" w:eastAsia="zh-CN"/>
        </w:rPr>
        <w:t>。</w:t>
      </w:r>
      <w:bookmarkEnd w:id="216"/>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zh-CN" w:eastAsia="zh-CN"/>
        </w:rPr>
        <w:t>.投标人未按上述要求提供、填写的，评标时不予加分。</w:t>
      </w:r>
    </w:p>
    <w:p w14:paraId="27DAB4D3">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20195D7">
      <w:pPr>
        <w:pStyle w:val="35"/>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（签章或签字）</w:t>
      </w:r>
    </w:p>
    <w:p w14:paraId="156D8B7D">
      <w:pPr>
        <w:pStyle w:val="35"/>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eastAsia="宋体" w:cs="宋体"/>
          <w:b/>
          <w:bCs/>
          <w:color w:val="auto"/>
          <w:highlight w:val="none"/>
        </w:rPr>
      </w:pPr>
      <w:r>
        <w:rPr>
          <w:rFonts w:hint="eastAsia" w:ascii="宋体" w:hAnsi="宋体" w:eastAsia="宋体" w:cs="宋体"/>
          <w:bCs/>
          <w:color w:val="auto"/>
          <w:highlight w:val="none"/>
        </w:rPr>
        <w:t>日    期</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20</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日   </w:t>
      </w:r>
    </w:p>
    <w:p w14:paraId="29D447B6">
      <w:pPr>
        <w:keepNext w:val="0"/>
        <w:keepLines w:val="0"/>
        <w:widowControl w:val="0"/>
        <w:tabs>
          <w:tab w:val="left" w:pos="3600"/>
        </w:tabs>
        <w:kinsoku/>
        <w:wordWrap/>
        <w:overflowPunct/>
        <w:topLinePunct w:val="0"/>
        <w:autoSpaceDE/>
        <w:autoSpaceDN/>
        <w:bidi w:val="0"/>
        <w:adjustRightInd w:val="0"/>
        <w:snapToGrid w:val="0"/>
        <w:spacing w:line="480" w:lineRule="exact"/>
        <w:ind w:firstLine="464" w:firstLineChars="200"/>
        <w:textAlignment w:val="auto"/>
        <w:rPr>
          <w:rFonts w:hint="eastAsia" w:ascii="宋体" w:hAnsi="宋体" w:eastAsia="宋体" w:cs="宋体"/>
          <w:bCs/>
          <w:color w:val="auto"/>
          <w:spacing w:val="6"/>
          <w:kern w:val="0"/>
          <w:sz w:val="22"/>
          <w:szCs w:val="22"/>
          <w:highlight w:val="none"/>
        </w:rPr>
      </w:pPr>
      <w:r>
        <w:rPr>
          <w:rFonts w:hint="eastAsia" w:ascii="宋体" w:hAnsi="宋体" w:cs="宋体"/>
          <w:bCs/>
          <w:color w:val="auto"/>
          <w:spacing w:val="6"/>
          <w:kern w:val="0"/>
          <w:sz w:val="22"/>
          <w:szCs w:val="22"/>
          <w:highlight w:val="none"/>
          <w:lang w:val="en-US" w:eastAsia="zh-CN"/>
        </w:rPr>
        <w:t>（2）</w:t>
      </w:r>
      <w:r>
        <w:rPr>
          <w:rFonts w:hint="eastAsia" w:ascii="宋体" w:hAnsi="宋体" w:eastAsia="宋体" w:cs="宋体"/>
          <w:bCs/>
          <w:color w:val="auto"/>
          <w:spacing w:val="6"/>
          <w:kern w:val="0"/>
          <w:sz w:val="22"/>
          <w:szCs w:val="22"/>
          <w:highlight w:val="none"/>
        </w:rPr>
        <w:t>其他条件证明材料，非投标人必备证明材料，仅作为评审的因素。</w:t>
      </w:r>
    </w:p>
    <w:p w14:paraId="3D7F4432">
      <w:pPr>
        <w:spacing w:line="360" w:lineRule="auto"/>
        <w:ind w:firstLine="420" w:firstLineChars="200"/>
        <w:rPr>
          <w:rFonts w:hint="eastAsia" w:ascii="宋体" w:hAnsi="宋体" w:eastAsia="宋体" w:cs="宋体"/>
          <w:color w:val="auto"/>
          <w:szCs w:val="21"/>
          <w:highlight w:val="none"/>
        </w:rPr>
      </w:pPr>
    </w:p>
    <w:p w14:paraId="45536ED8">
      <w:pPr>
        <w:adjustRightInd w:val="0"/>
        <w:spacing w:line="400" w:lineRule="exact"/>
        <w:jc w:val="left"/>
        <w:rPr>
          <w:rFonts w:hint="eastAsia" w:ascii="宋体" w:hAnsi="宋体" w:eastAsia="宋体" w:cs="宋体"/>
          <w:b/>
          <w:bCs/>
          <w:color w:val="auto"/>
          <w:sz w:val="36"/>
          <w:szCs w:val="36"/>
          <w:highlight w:val="none"/>
        </w:rPr>
      </w:pPr>
    </w:p>
    <w:p w14:paraId="479BDF7E">
      <w:pPr>
        <w:adjustRightInd w:val="0"/>
        <w:spacing w:line="400" w:lineRule="exact"/>
        <w:jc w:val="left"/>
        <w:rPr>
          <w:rFonts w:hint="eastAsia" w:ascii="宋体" w:hAnsi="宋体" w:eastAsia="宋体" w:cs="宋体"/>
          <w:b/>
          <w:bCs/>
          <w:color w:val="auto"/>
          <w:sz w:val="36"/>
          <w:szCs w:val="36"/>
          <w:highlight w:val="none"/>
        </w:rPr>
      </w:pPr>
    </w:p>
    <w:p w14:paraId="05A0E4AE">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九</w:t>
      </w:r>
      <w:r>
        <w:rPr>
          <w:rFonts w:hint="eastAsia" w:ascii="宋体" w:hAnsi="宋体" w:eastAsia="宋体" w:cs="宋体"/>
          <w:b/>
          <w:bCs/>
          <w:color w:val="auto"/>
          <w:sz w:val="36"/>
          <w:szCs w:val="36"/>
          <w:highlight w:val="none"/>
        </w:rPr>
        <w:t>、技术文件</w:t>
      </w:r>
      <w:r>
        <w:rPr>
          <w:rFonts w:hint="eastAsia" w:ascii="宋体" w:hAnsi="宋体" w:eastAsia="宋体" w:cs="宋体"/>
          <w:b/>
          <w:bCs/>
          <w:color w:val="auto"/>
          <w:sz w:val="36"/>
          <w:szCs w:val="36"/>
          <w:highlight w:val="none"/>
          <w:lang w:val="en-US" w:eastAsia="zh-CN"/>
        </w:rPr>
        <w:t>（根据本项目评分标准顺序编写）</w:t>
      </w:r>
    </w:p>
    <w:p w14:paraId="3E75ED6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ind w:firstLine="464" w:firstLineChars="200"/>
        <w:textAlignment w:val="auto"/>
        <w:rPr>
          <w:rFonts w:hint="eastAsia" w:ascii="宋体" w:hAnsi="宋体" w:eastAsia="宋体" w:cs="宋体"/>
          <w:bCs/>
          <w:color w:val="auto"/>
          <w:spacing w:val="6"/>
          <w:kern w:val="0"/>
          <w:sz w:val="22"/>
          <w:szCs w:val="22"/>
          <w:highlight w:val="none"/>
          <w:lang w:val="en-US" w:eastAsia="zh-CN"/>
        </w:rPr>
      </w:pPr>
      <w:r>
        <w:rPr>
          <w:rFonts w:hint="eastAsia" w:ascii="宋体" w:hAnsi="宋体" w:eastAsia="宋体" w:cs="宋体"/>
          <w:bCs/>
          <w:color w:val="auto"/>
          <w:spacing w:val="6"/>
          <w:kern w:val="0"/>
          <w:sz w:val="22"/>
          <w:szCs w:val="22"/>
          <w:highlight w:val="none"/>
          <w:lang w:val="en-US" w:eastAsia="zh-CN"/>
        </w:rPr>
        <w:t>说明：格式自定。</w:t>
      </w:r>
    </w:p>
    <w:p w14:paraId="760D6161">
      <w:pPr>
        <w:adjustRightInd w:val="0"/>
        <w:spacing w:line="400" w:lineRule="exact"/>
        <w:jc w:val="left"/>
        <w:rPr>
          <w:rFonts w:hint="eastAsia" w:ascii="宋体" w:hAnsi="宋体" w:eastAsia="宋体" w:cs="宋体"/>
          <w:bCs/>
          <w:color w:val="auto"/>
          <w:sz w:val="24"/>
          <w:highlight w:val="none"/>
        </w:rPr>
      </w:pPr>
    </w:p>
    <w:p w14:paraId="061E7F5E">
      <w:pPr>
        <w:adjustRightInd w:val="0"/>
        <w:spacing w:line="400" w:lineRule="exact"/>
        <w:jc w:val="left"/>
        <w:rPr>
          <w:rFonts w:hint="eastAsia" w:ascii="宋体" w:hAnsi="宋体" w:eastAsia="宋体" w:cs="宋体"/>
          <w:bCs/>
          <w:color w:val="auto"/>
          <w:sz w:val="24"/>
          <w:highlight w:val="none"/>
        </w:rPr>
      </w:pPr>
    </w:p>
    <w:p w14:paraId="562DA1C7">
      <w:pPr>
        <w:adjustRightInd w:val="0"/>
        <w:spacing w:line="400" w:lineRule="exact"/>
        <w:jc w:val="left"/>
        <w:rPr>
          <w:rFonts w:hint="eastAsia" w:ascii="宋体" w:hAnsi="宋体" w:eastAsia="宋体" w:cs="宋体"/>
          <w:bCs/>
          <w:color w:val="auto"/>
          <w:sz w:val="24"/>
          <w:highlight w:val="none"/>
        </w:rPr>
      </w:pPr>
    </w:p>
    <w:p w14:paraId="1E4C9DD3">
      <w:pPr>
        <w:adjustRightInd w:val="0"/>
        <w:spacing w:line="400" w:lineRule="exact"/>
        <w:jc w:val="left"/>
        <w:rPr>
          <w:rFonts w:hint="eastAsia" w:ascii="宋体" w:hAnsi="宋体" w:eastAsia="宋体" w:cs="宋体"/>
          <w:bCs/>
          <w:color w:val="auto"/>
          <w:sz w:val="24"/>
          <w:highlight w:val="none"/>
        </w:rPr>
      </w:pPr>
    </w:p>
    <w:p w14:paraId="555859EA">
      <w:pPr>
        <w:adjustRightInd w:val="0"/>
        <w:spacing w:line="400" w:lineRule="exact"/>
        <w:jc w:val="left"/>
        <w:rPr>
          <w:rFonts w:hint="eastAsia" w:ascii="宋体" w:hAnsi="宋体" w:eastAsia="宋体" w:cs="宋体"/>
          <w:bCs/>
          <w:color w:val="auto"/>
          <w:sz w:val="24"/>
          <w:highlight w:val="none"/>
        </w:rPr>
      </w:pPr>
    </w:p>
    <w:p w14:paraId="21CB7DE7">
      <w:pPr>
        <w:adjustRightInd w:val="0"/>
        <w:spacing w:line="400" w:lineRule="exact"/>
        <w:jc w:val="left"/>
        <w:rPr>
          <w:rFonts w:hint="eastAsia" w:ascii="宋体" w:hAnsi="宋体" w:eastAsia="宋体" w:cs="宋体"/>
          <w:bCs/>
          <w:color w:val="auto"/>
          <w:sz w:val="24"/>
          <w:highlight w:val="none"/>
        </w:rPr>
      </w:pPr>
    </w:p>
    <w:p w14:paraId="6237770F">
      <w:pPr>
        <w:adjustRightInd w:val="0"/>
        <w:spacing w:line="400" w:lineRule="exact"/>
        <w:jc w:val="left"/>
        <w:rPr>
          <w:rFonts w:hint="eastAsia" w:ascii="宋体" w:hAnsi="宋体" w:eastAsia="宋体" w:cs="宋体"/>
          <w:bCs/>
          <w:color w:val="auto"/>
          <w:sz w:val="24"/>
          <w:highlight w:val="none"/>
        </w:rPr>
      </w:pPr>
    </w:p>
    <w:p w14:paraId="3B9AA169">
      <w:pPr>
        <w:adjustRightInd w:val="0"/>
        <w:spacing w:line="400" w:lineRule="exact"/>
        <w:jc w:val="left"/>
        <w:rPr>
          <w:rFonts w:hint="eastAsia" w:ascii="宋体" w:hAnsi="宋体" w:eastAsia="宋体" w:cs="宋体"/>
          <w:bCs/>
          <w:color w:val="auto"/>
          <w:sz w:val="24"/>
          <w:highlight w:val="none"/>
        </w:rPr>
      </w:pPr>
    </w:p>
    <w:p w14:paraId="0AB4AD45">
      <w:pPr>
        <w:adjustRightInd w:val="0"/>
        <w:spacing w:line="400" w:lineRule="exact"/>
        <w:jc w:val="left"/>
        <w:rPr>
          <w:rFonts w:hint="eastAsia" w:ascii="宋体" w:hAnsi="宋体" w:eastAsia="宋体" w:cs="宋体"/>
          <w:bCs/>
          <w:color w:val="auto"/>
          <w:sz w:val="24"/>
          <w:highlight w:val="none"/>
        </w:rPr>
      </w:pPr>
    </w:p>
    <w:p w14:paraId="4486CC9C">
      <w:pPr>
        <w:adjustRightInd w:val="0"/>
        <w:spacing w:line="400" w:lineRule="exact"/>
        <w:jc w:val="left"/>
        <w:rPr>
          <w:rFonts w:hint="eastAsia" w:ascii="宋体" w:hAnsi="宋体" w:eastAsia="宋体" w:cs="宋体"/>
          <w:bCs/>
          <w:color w:val="auto"/>
          <w:sz w:val="24"/>
          <w:highlight w:val="none"/>
        </w:rPr>
      </w:pPr>
    </w:p>
    <w:p w14:paraId="62D25CC6">
      <w:pPr>
        <w:adjustRightInd w:val="0"/>
        <w:spacing w:line="400" w:lineRule="exact"/>
        <w:jc w:val="left"/>
        <w:rPr>
          <w:rFonts w:hint="eastAsia" w:ascii="宋体" w:hAnsi="宋体" w:eastAsia="宋体" w:cs="宋体"/>
          <w:bCs/>
          <w:color w:val="auto"/>
          <w:sz w:val="24"/>
          <w:highlight w:val="none"/>
        </w:rPr>
      </w:pPr>
    </w:p>
    <w:p w14:paraId="6F6BEE2F">
      <w:pPr>
        <w:adjustRightInd w:val="0"/>
        <w:spacing w:line="400" w:lineRule="exact"/>
        <w:jc w:val="left"/>
        <w:rPr>
          <w:rFonts w:hint="eastAsia" w:ascii="宋体" w:hAnsi="宋体" w:eastAsia="宋体" w:cs="宋体"/>
          <w:bCs/>
          <w:color w:val="auto"/>
          <w:sz w:val="24"/>
          <w:highlight w:val="none"/>
        </w:rPr>
      </w:pPr>
    </w:p>
    <w:p w14:paraId="2A96482A">
      <w:pPr>
        <w:adjustRightInd w:val="0"/>
        <w:spacing w:line="400" w:lineRule="exact"/>
        <w:jc w:val="left"/>
        <w:rPr>
          <w:rFonts w:hint="eastAsia" w:ascii="宋体" w:hAnsi="宋体" w:eastAsia="宋体" w:cs="宋体"/>
          <w:bCs/>
          <w:color w:val="auto"/>
          <w:sz w:val="28"/>
          <w:szCs w:val="28"/>
          <w:highlight w:val="none"/>
        </w:rPr>
      </w:pPr>
    </w:p>
    <w:p w14:paraId="1E630857">
      <w:pPr>
        <w:adjustRightInd w:val="0"/>
        <w:spacing w:line="400" w:lineRule="exact"/>
        <w:jc w:val="left"/>
        <w:rPr>
          <w:rFonts w:hint="eastAsia" w:ascii="宋体" w:hAnsi="宋体" w:eastAsia="宋体" w:cs="宋体"/>
          <w:bCs/>
          <w:color w:val="auto"/>
          <w:sz w:val="28"/>
          <w:szCs w:val="28"/>
          <w:highlight w:val="none"/>
        </w:rPr>
      </w:pPr>
    </w:p>
    <w:p w14:paraId="48DEE739">
      <w:pPr>
        <w:adjustRightInd w:val="0"/>
        <w:spacing w:line="400" w:lineRule="exact"/>
        <w:jc w:val="left"/>
        <w:rPr>
          <w:rFonts w:hint="eastAsia" w:ascii="宋体" w:hAnsi="宋体" w:eastAsia="宋体" w:cs="宋体"/>
          <w:bCs/>
          <w:color w:val="auto"/>
          <w:sz w:val="28"/>
          <w:szCs w:val="28"/>
          <w:highlight w:val="none"/>
        </w:rPr>
      </w:pPr>
    </w:p>
    <w:p w14:paraId="65019909">
      <w:pPr>
        <w:adjustRightInd w:val="0"/>
        <w:spacing w:line="400" w:lineRule="exact"/>
        <w:jc w:val="left"/>
        <w:rPr>
          <w:rFonts w:hint="eastAsia" w:ascii="宋体" w:hAnsi="宋体" w:eastAsia="宋体" w:cs="宋体"/>
          <w:bCs/>
          <w:color w:val="auto"/>
          <w:sz w:val="28"/>
          <w:szCs w:val="28"/>
          <w:highlight w:val="none"/>
        </w:rPr>
      </w:pPr>
    </w:p>
    <w:p w14:paraId="5CFAA259">
      <w:pPr>
        <w:adjustRightInd w:val="0"/>
        <w:spacing w:line="400" w:lineRule="exact"/>
        <w:jc w:val="left"/>
        <w:rPr>
          <w:rFonts w:hint="eastAsia" w:ascii="宋体" w:hAnsi="宋体" w:eastAsia="宋体" w:cs="宋体"/>
          <w:bCs/>
          <w:color w:val="auto"/>
          <w:sz w:val="28"/>
          <w:szCs w:val="28"/>
          <w:highlight w:val="none"/>
        </w:rPr>
      </w:pPr>
    </w:p>
    <w:p w14:paraId="2DE2F68E">
      <w:pPr>
        <w:adjustRightInd w:val="0"/>
        <w:spacing w:line="400" w:lineRule="exact"/>
        <w:jc w:val="left"/>
        <w:rPr>
          <w:rFonts w:hint="eastAsia" w:ascii="宋体" w:hAnsi="宋体" w:eastAsia="宋体" w:cs="宋体"/>
          <w:bCs/>
          <w:color w:val="auto"/>
          <w:sz w:val="28"/>
          <w:szCs w:val="28"/>
          <w:highlight w:val="none"/>
        </w:rPr>
      </w:pPr>
    </w:p>
    <w:p w14:paraId="7BCFEEC0">
      <w:pPr>
        <w:adjustRightInd w:val="0"/>
        <w:spacing w:line="400" w:lineRule="exact"/>
        <w:jc w:val="left"/>
        <w:rPr>
          <w:rFonts w:hint="eastAsia" w:ascii="宋体" w:hAnsi="宋体" w:eastAsia="宋体" w:cs="宋体"/>
          <w:bCs/>
          <w:color w:val="auto"/>
          <w:sz w:val="28"/>
          <w:szCs w:val="28"/>
          <w:highlight w:val="none"/>
        </w:rPr>
      </w:pPr>
    </w:p>
    <w:p w14:paraId="5A8F512E">
      <w:pPr>
        <w:adjustRightInd w:val="0"/>
        <w:spacing w:line="400" w:lineRule="exact"/>
        <w:jc w:val="left"/>
        <w:rPr>
          <w:rFonts w:hint="eastAsia" w:ascii="宋体" w:hAnsi="宋体" w:eastAsia="宋体" w:cs="宋体"/>
          <w:bCs/>
          <w:color w:val="auto"/>
          <w:sz w:val="28"/>
          <w:szCs w:val="28"/>
          <w:highlight w:val="none"/>
        </w:rPr>
      </w:pPr>
    </w:p>
    <w:p w14:paraId="696B6C60">
      <w:pPr>
        <w:adjustRightInd w:val="0"/>
        <w:spacing w:line="400" w:lineRule="exact"/>
        <w:jc w:val="left"/>
        <w:rPr>
          <w:rFonts w:hint="eastAsia" w:ascii="宋体" w:hAnsi="宋体" w:eastAsia="宋体" w:cs="宋体"/>
          <w:bCs/>
          <w:color w:val="auto"/>
          <w:sz w:val="28"/>
          <w:szCs w:val="28"/>
          <w:highlight w:val="none"/>
        </w:rPr>
      </w:pPr>
    </w:p>
    <w:p w14:paraId="2497CC64">
      <w:pPr>
        <w:adjustRightInd w:val="0"/>
        <w:spacing w:line="400" w:lineRule="exact"/>
        <w:jc w:val="left"/>
        <w:rPr>
          <w:rFonts w:hint="eastAsia" w:ascii="宋体" w:hAnsi="宋体" w:eastAsia="宋体" w:cs="宋体"/>
          <w:bCs/>
          <w:color w:val="auto"/>
          <w:sz w:val="28"/>
          <w:szCs w:val="28"/>
          <w:highlight w:val="none"/>
        </w:rPr>
      </w:pPr>
    </w:p>
    <w:p w14:paraId="08854F6A">
      <w:pPr>
        <w:adjustRightInd w:val="0"/>
        <w:spacing w:line="400" w:lineRule="exact"/>
        <w:jc w:val="left"/>
        <w:rPr>
          <w:rFonts w:hint="eastAsia" w:ascii="宋体" w:hAnsi="宋体" w:eastAsia="宋体" w:cs="宋体"/>
          <w:bCs/>
          <w:color w:val="auto"/>
          <w:sz w:val="28"/>
          <w:szCs w:val="28"/>
          <w:highlight w:val="none"/>
        </w:rPr>
      </w:pPr>
    </w:p>
    <w:p w14:paraId="2E99E33B">
      <w:pPr>
        <w:adjustRightInd w:val="0"/>
        <w:spacing w:line="400" w:lineRule="exact"/>
        <w:jc w:val="left"/>
        <w:rPr>
          <w:rFonts w:hint="eastAsia" w:ascii="宋体" w:hAnsi="宋体" w:eastAsia="宋体" w:cs="宋体"/>
          <w:bCs/>
          <w:color w:val="auto"/>
          <w:sz w:val="28"/>
          <w:szCs w:val="28"/>
          <w:highlight w:val="none"/>
        </w:rPr>
      </w:pPr>
    </w:p>
    <w:p w14:paraId="69D1C2E3">
      <w:pPr>
        <w:adjustRightInd w:val="0"/>
        <w:spacing w:line="400" w:lineRule="exact"/>
        <w:jc w:val="left"/>
        <w:rPr>
          <w:rFonts w:hint="eastAsia" w:ascii="宋体" w:hAnsi="宋体" w:eastAsia="宋体" w:cs="宋体"/>
          <w:bCs/>
          <w:color w:val="auto"/>
          <w:sz w:val="28"/>
          <w:szCs w:val="28"/>
          <w:highlight w:val="none"/>
        </w:rPr>
      </w:pPr>
    </w:p>
    <w:p w14:paraId="46AC3D23">
      <w:pPr>
        <w:adjustRightInd w:val="0"/>
        <w:spacing w:line="400" w:lineRule="exact"/>
        <w:jc w:val="left"/>
        <w:rPr>
          <w:rFonts w:hint="eastAsia" w:ascii="宋体" w:hAnsi="宋体" w:eastAsia="宋体" w:cs="宋体"/>
          <w:bCs/>
          <w:color w:val="auto"/>
          <w:sz w:val="28"/>
          <w:szCs w:val="28"/>
          <w:highlight w:val="none"/>
        </w:rPr>
      </w:pPr>
    </w:p>
    <w:p w14:paraId="0EF98C84">
      <w:pPr>
        <w:adjustRightInd w:val="0"/>
        <w:spacing w:line="400" w:lineRule="exact"/>
        <w:jc w:val="left"/>
        <w:rPr>
          <w:rFonts w:hint="eastAsia" w:ascii="宋体" w:hAnsi="宋体" w:eastAsia="宋体" w:cs="宋体"/>
          <w:bCs/>
          <w:color w:val="auto"/>
          <w:sz w:val="28"/>
          <w:szCs w:val="28"/>
          <w:highlight w:val="none"/>
        </w:rPr>
      </w:pPr>
    </w:p>
    <w:p w14:paraId="09B9E3EF">
      <w:pPr>
        <w:adjustRightInd w:val="0"/>
        <w:spacing w:line="400" w:lineRule="exact"/>
        <w:jc w:val="left"/>
        <w:rPr>
          <w:rFonts w:hint="eastAsia" w:ascii="宋体" w:hAnsi="宋体" w:eastAsia="宋体" w:cs="宋体"/>
          <w:bCs/>
          <w:color w:val="auto"/>
          <w:sz w:val="28"/>
          <w:szCs w:val="28"/>
          <w:highlight w:val="none"/>
        </w:rPr>
      </w:pPr>
    </w:p>
    <w:p w14:paraId="021AE610">
      <w:pPr>
        <w:adjustRightInd w:val="0"/>
        <w:spacing w:line="400" w:lineRule="exact"/>
        <w:jc w:val="left"/>
        <w:rPr>
          <w:rFonts w:hint="eastAsia" w:ascii="宋体" w:hAnsi="宋体" w:eastAsia="宋体" w:cs="宋体"/>
          <w:bCs/>
          <w:color w:val="auto"/>
          <w:sz w:val="28"/>
          <w:szCs w:val="28"/>
          <w:highlight w:val="none"/>
        </w:rPr>
      </w:pPr>
    </w:p>
    <w:p w14:paraId="28EF7807">
      <w:pPr>
        <w:adjustRightInd w:val="0"/>
        <w:spacing w:line="400" w:lineRule="exact"/>
        <w:jc w:val="left"/>
        <w:rPr>
          <w:rFonts w:hint="eastAsia" w:ascii="宋体" w:hAnsi="宋体" w:eastAsia="宋体" w:cs="宋体"/>
          <w:bCs/>
          <w:color w:val="auto"/>
          <w:sz w:val="28"/>
          <w:szCs w:val="28"/>
          <w:highlight w:val="none"/>
        </w:rPr>
      </w:pPr>
    </w:p>
    <w:p w14:paraId="1BEF8910">
      <w:pPr>
        <w:pStyle w:val="3"/>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b/>
          <w:bCs w:val="0"/>
          <w:color w:val="auto"/>
          <w:kern w:val="0"/>
          <w:sz w:val="36"/>
          <w:szCs w:val="36"/>
          <w:highlight w:val="none"/>
        </w:rPr>
      </w:pPr>
      <w:bookmarkStart w:id="217" w:name="_Toc11202"/>
      <w:r>
        <w:rPr>
          <w:rFonts w:hint="eastAsia" w:ascii="宋体" w:hAnsi="宋体" w:eastAsia="宋体" w:cs="宋体"/>
          <w:b/>
          <w:bCs w:val="0"/>
          <w:color w:val="auto"/>
          <w:kern w:val="0"/>
          <w:sz w:val="36"/>
          <w:szCs w:val="36"/>
          <w:highlight w:val="none"/>
        </w:rPr>
        <w:t>十、技术参数偏离表</w:t>
      </w:r>
      <w:bookmarkEnd w:id="217"/>
    </w:p>
    <w:p w14:paraId="31BD2D35">
      <w:pPr>
        <w:pStyle w:val="4"/>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投标人名称：                                  </w:t>
      </w:r>
      <w:r>
        <w:rPr>
          <w:rFonts w:hint="eastAsia" w:ascii="宋体" w:hAnsi="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项目编号：</w:t>
      </w:r>
    </w:p>
    <w:tbl>
      <w:tblPr>
        <w:tblStyle w:val="22"/>
        <w:tblW w:w="96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67"/>
        <w:gridCol w:w="2545"/>
        <w:gridCol w:w="841"/>
        <w:gridCol w:w="1685"/>
        <w:gridCol w:w="1304"/>
      </w:tblGrid>
      <w:tr w14:paraId="04CDF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405" w:type="dxa"/>
            <w:noWrap w:val="0"/>
            <w:vAlign w:val="center"/>
          </w:tcPr>
          <w:p w14:paraId="6E710D85">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867" w:type="dxa"/>
            <w:noWrap w:val="0"/>
            <w:vAlign w:val="center"/>
          </w:tcPr>
          <w:p w14:paraId="6DD41D7D">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采购规格及技术需求</w:t>
            </w:r>
          </w:p>
        </w:tc>
        <w:tc>
          <w:tcPr>
            <w:tcW w:w="2545" w:type="dxa"/>
            <w:noWrap w:val="0"/>
            <w:vAlign w:val="center"/>
          </w:tcPr>
          <w:p w14:paraId="36E04F35">
            <w:pPr>
              <w:adjustRightInd w:val="0"/>
              <w:snapToGrid w:val="0"/>
              <w:ind w:right="23"/>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投标文件规格及</w:t>
            </w:r>
          </w:p>
          <w:p w14:paraId="05B3475A">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技术参数</w:t>
            </w:r>
          </w:p>
        </w:tc>
        <w:tc>
          <w:tcPr>
            <w:tcW w:w="841" w:type="dxa"/>
            <w:noWrap w:val="0"/>
            <w:vAlign w:val="center"/>
          </w:tcPr>
          <w:p w14:paraId="64C475C0">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685" w:type="dxa"/>
            <w:noWrap w:val="0"/>
            <w:vAlign w:val="center"/>
          </w:tcPr>
          <w:p w14:paraId="78CE323C">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1304" w:type="dxa"/>
            <w:noWrap w:val="0"/>
            <w:vAlign w:val="center"/>
          </w:tcPr>
          <w:p w14:paraId="7989A530">
            <w:pPr>
              <w:adjustRightInd w:val="0"/>
              <w:snapToGrid w:val="0"/>
              <w:ind w:right="23"/>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备注</w:t>
            </w:r>
          </w:p>
        </w:tc>
      </w:tr>
      <w:tr w14:paraId="36441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1C8087B9">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19B79827">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0F87DEAD">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451817C2">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5E2A9B7A">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2204C369">
            <w:pPr>
              <w:adjustRightInd w:val="0"/>
              <w:snapToGrid w:val="0"/>
              <w:spacing w:line="360" w:lineRule="auto"/>
              <w:ind w:right="24"/>
              <w:rPr>
                <w:rFonts w:hint="eastAsia" w:ascii="宋体" w:hAnsi="宋体" w:eastAsia="宋体" w:cs="宋体"/>
                <w:bCs/>
                <w:color w:val="auto"/>
                <w:sz w:val="24"/>
                <w:highlight w:val="none"/>
              </w:rPr>
            </w:pPr>
          </w:p>
        </w:tc>
      </w:tr>
      <w:tr w14:paraId="51DE6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0721069F">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7D35BD6F">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1230AB5C">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06C4CAFF">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01FF4819">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7276FD6B">
            <w:pPr>
              <w:adjustRightInd w:val="0"/>
              <w:snapToGrid w:val="0"/>
              <w:spacing w:line="360" w:lineRule="auto"/>
              <w:ind w:right="24"/>
              <w:rPr>
                <w:rFonts w:hint="eastAsia" w:ascii="宋体" w:hAnsi="宋体" w:eastAsia="宋体" w:cs="宋体"/>
                <w:bCs/>
                <w:color w:val="auto"/>
                <w:sz w:val="24"/>
                <w:highlight w:val="none"/>
              </w:rPr>
            </w:pPr>
          </w:p>
        </w:tc>
      </w:tr>
      <w:tr w14:paraId="15809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7CD8F375">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769D9BEF">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5BC521F4">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611F0C67">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56BC1363">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7ECB4317">
            <w:pPr>
              <w:adjustRightInd w:val="0"/>
              <w:snapToGrid w:val="0"/>
              <w:spacing w:line="360" w:lineRule="auto"/>
              <w:ind w:right="24"/>
              <w:rPr>
                <w:rFonts w:hint="eastAsia" w:ascii="宋体" w:hAnsi="宋体" w:eastAsia="宋体" w:cs="宋体"/>
                <w:bCs/>
                <w:color w:val="auto"/>
                <w:sz w:val="24"/>
                <w:highlight w:val="none"/>
              </w:rPr>
            </w:pPr>
          </w:p>
        </w:tc>
      </w:tr>
      <w:tr w14:paraId="041A8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73E33B16">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6152E374">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608530D0">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5C496D36">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006F8323">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6F9EB6BF">
            <w:pPr>
              <w:adjustRightInd w:val="0"/>
              <w:snapToGrid w:val="0"/>
              <w:spacing w:line="360" w:lineRule="auto"/>
              <w:ind w:right="24"/>
              <w:rPr>
                <w:rFonts w:hint="eastAsia" w:ascii="宋体" w:hAnsi="宋体" w:eastAsia="宋体" w:cs="宋体"/>
                <w:bCs/>
                <w:color w:val="auto"/>
                <w:sz w:val="24"/>
                <w:highlight w:val="none"/>
              </w:rPr>
            </w:pPr>
          </w:p>
        </w:tc>
      </w:tr>
      <w:tr w14:paraId="1EC60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2DC50FB3">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11FDDBF2">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66689C3B">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56B63130">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46550CFA">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661D8C65">
            <w:pPr>
              <w:adjustRightInd w:val="0"/>
              <w:snapToGrid w:val="0"/>
              <w:spacing w:line="360" w:lineRule="auto"/>
              <w:ind w:right="24"/>
              <w:rPr>
                <w:rFonts w:hint="eastAsia" w:ascii="宋体" w:hAnsi="宋体" w:eastAsia="宋体" w:cs="宋体"/>
                <w:bCs/>
                <w:color w:val="auto"/>
                <w:sz w:val="24"/>
                <w:highlight w:val="none"/>
              </w:rPr>
            </w:pPr>
          </w:p>
        </w:tc>
      </w:tr>
      <w:tr w14:paraId="67531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78EFF975">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51D546AC">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0F4B34F3">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1095ED53">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0162A09A">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0287A473">
            <w:pPr>
              <w:adjustRightInd w:val="0"/>
              <w:snapToGrid w:val="0"/>
              <w:spacing w:line="360" w:lineRule="auto"/>
              <w:ind w:right="24"/>
              <w:rPr>
                <w:rFonts w:hint="eastAsia" w:ascii="宋体" w:hAnsi="宋体" w:eastAsia="宋体" w:cs="宋体"/>
                <w:bCs/>
                <w:color w:val="auto"/>
                <w:sz w:val="24"/>
                <w:highlight w:val="none"/>
              </w:rPr>
            </w:pPr>
          </w:p>
        </w:tc>
      </w:tr>
      <w:tr w14:paraId="0FDF4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0B1F7DF3">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7EC9D502">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4CEE109B">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2C5EC8F0">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71FBCF5C">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43DF833C">
            <w:pPr>
              <w:adjustRightInd w:val="0"/>
              <w:snapToGrid w:val="0"/>
              <w:spacing w:line="360" w:lineRule="auto"/>
              <w:ind w:right="24"/>
              <w:rPr>
                <w:rFonts w:hint="eastAsia" w:ascii="宋体" w:hAnsi="宋体" w:eastAsia="宋体" w:cs="宋体"/>
                <w:bCs/>
                <w:color w:val="auto"/>
                <w:sz w:val="24"/>
                <w:highlight w:val="none"/>
              </w:rPr>
            </w:pPr>
          </w:p>
        </w:tc>
      </w:tr>
      <w:tr w14:paraId="262BC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058C0D48">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4BFEC40C">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73A987E5">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51F0F8C7">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782291F1">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36F8C65A">
            <w:pPr>
              <w:adjustRightInd w:val="0"/>
              <w:snapToGrid w:val="0"/>
              <w:spacing w:line="360" w:lineRule="auto"/>
              <w:ind w:right="24"/>
              <w:rPr>
                <w:rFonts w:hint="eastAsia" w:ascii="宋体" w:hAnsi="宋体" w:eastAsia="宋体" w:cs="宋体"/>
                <w:bCs/>
                <w:color w:val="auto"/>
                <w:sz w:val="24"/>
                <w:highlight w:val="none"/>
              </w:rPr>
            </w:pPr>
          </w:p>
        </w:tc>
      </w:tr>
      <w:tr w14:paraId="6B212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5204615A">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4E5664EB">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74A34E5C">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63E35DC0">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2D608393">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3AD791CC">
            <w:pPr>
              <w:adjustRightInd w:val="0"/>
              <w:snapToGrid w:val="0"/>
              <w:spacing w:line="360" w:lineRule="auto"/>
              <w:ind w:right="24"/>
              <w:rPr>
                <w:rFonts w:hint="eastAsia" w:ascii="宋体" w:hAnsi="宋体" w:eastAsia="宋体" w:cs="宋体"/>
                <w:bCs/>
                <w:color w:val="auto"/>
                <w:sz w:val="24"/>
                <w:highlight w:val="none"/>
              </w:rPr>
            </w:pPr>
          </w:p>
        </w:tc>
      </w:tr>
      <w:tr w14:paraId="65601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01EED862">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04A125DF">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24A06117">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0A0231AA">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14D533AB">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1BE49994">
            <w:pPr>
              <w:adjustRightInd w:val="0"/>
              <w:snapToGrid w:val="0"/>
              <w:spacing w:line="360" w:lineRule="auto"/>
              <w:ind w:right="24"/>
              <w:rPr>
                <w:rFonts w:hint="eastAsia" w:ascii="宋体" w:hAnsi="宋体" w:eastAsia="宋体" w:cs="宋体"/>
                <w:bCs/>
                <w:color w:val="auto"/>
                <w:sz w:val="24"/>
                <w:highlight w:val="none"/>
              </w:rPr>
            </w:pPr>
          </w:p>
        </w:tc>
      </w:tr>
      <w:tr w14:paraId="421B2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2A320E01">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6497876F">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7B1AA0C2">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034DE3AE">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49E70289">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497820E6">
            <w:pPr>
              <w:adjustRightInd w:val="0"/>
              <w:snapToGrid w:val="0"/>
              <w:spacing w:line="360" w:lineRule="auto"/>
              <w:ind w:right="24"/>
              <w:rPr>
                <w:rFonts w:hint="eastAsia" w:ascii="宋体" w:hAnsi="宋体" w:eastAsia="宋体" w:cs="宋体"/>
                <w:bCs/>
                <w:color w:val="auto"/>
                <w:sz w:val="24"/>
                <w:highlight w:val="none"/>
              </w:rPr>
            </w:pPr>
          </w:p>
        </w:tc>
      </w:tr>
      <w:tr w14:paraId="2F9E0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4174AFC0">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05A3E1CF">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563ED142">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707B1E30">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6F5B8B69">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48B8EEBB">
            <w:pPr>
              <w:adjustRightInd w:val="0"/>
              <w:snapToGrid w:val="0"/>
              <w:spacing w:line="360" w:lineRule="auto"/>
              <w:ind w:right="24"/>
              <w:rPr>
                <w:rFonts w:hint="eastAsia" w:ascii="宋体" w:hAnsi="宋体" w:eastAsia="宋体" w:cs="宋体"/>
                <w:bCs/>
                <w:color w:val="auto"/>
                <w:sz w:val="24"/>
                <w:highlight w:val="none"/>
              </w:rPr>
            </w:pPr>
          </w:p>
        </w:tc>
      </w:tr>
      <w:tr w14:paraId="734B4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774012F7">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03D0CAC7">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239AE454">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4DCBAC4B">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7AECFAB3">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0C17C6F3">
            <w:pPr>
              <w:adjustRightInd w:val="0"/>
              <w:snapToGrid w:val="0"/>
              <w:spacing w:line="360" w:lineRule="auto"/>
              <w:ind w:right="24"/>
              <w:rPr>
                <w:rFonts w:hint="eastAsia" w:ascii="宋体" w:hAnsi="宋体" w:eastAsia="宋体" w:cs="宋体"/>
                <w:bCs/>
                <w:color w:val="auto"/>
                <w:sz w:val="24"/>
                <w:highlight w:val="none"/>
              </w:rPr>
            </w:pPr>
          </w:p>
        </w:tc>
      </w:tr>
      <w:tr w14:paraId="710A4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05" w:type="dxa"/>
            <w:noWrap w:val="0"/>
            <w:vAlign w:val="top"/>
          </w:tcPr>
          <w:p w14:paraId="4119C5B3">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12A76A17">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227535FB">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408483E2">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5EAD722B">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4FEEB352">
            <w:pPr>
              <w:adjustRightInd w:val="0"/>
              <w:snapToGrid w:val="0"/>
              <w:spacing w:line="360" w:lineRule="auto"/>
              <w:ind w:right="24"/>
              <w:rPr>
                <w:rFonts w:hint="eastAsia" w:ascii="宋体" w:hAnsi="宋体" w:eastAsia="宋体" w:cs="宋体"/>
                <w:bCs/>
                <w:color w:val="auto"/>
                <w:sz w:val="24"/>
                <w:highlight w:val="none"/>
              </w:rPr>
            </w:pPr>
          </w:p>
        </w:tc>
      </w:tr>
      <w:tr w14:paraId="11563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05" w:type="dxa"/>
            <w:noWrap w:val="0"/>
            <w:vAlign w:val="top"/>
          </w:tcPr>
          <w:p w14:paraId="5DECFAAE">
            <w:pPr>
              <w:adjustRightInd w:val="0"/>
              <w:snapToGrid w:val="0"/>
              <w:spacing w:line="360" w:lineRule="auto"/>
              <w:ind w:right="24"/>
              <w:rPr>
                <w:rFonts w:hint="eastAsia" w:ascii="宋体" w:hAnsi="宋体" w:eastAsia="宋体" w:cs="宋体"/>
                <w:bCs/>
                <w:color w:val="auto"/>
                <w:sz w:val="24"/>
                <w:highlight w:val="none"/>
              </w:rPr>
            </w:pPr>
          </w:p>
        </w:tc>
        <w:tc>
          <w:tcPr>
            <w:tcW w:w="1867" w:type="dxa"/>
            <w:noWrap w:val="0"/>
            <w:vAlign w:val="top"/>
          </w:tcPr>
          <w:p w14:paraId="1162C0EC">
            <w:pPr>
              <w:adjustRightInd w:val="0"/>
              <w:snapToGrid w:val="0"/>
              <w:spacing w:line="360" w:lineRule="auto"/>
              <w:ind w:right="24"/>
              <w:rPr>
                <w:rFonts w:hint="eastAsia" w:ascii="宋体" w:hAnsi="宋体" w:eastAsia="宋体" w:cs="宋体"/>
                <w:bCs/>
                <w:color w:val="auto"/>
                <w:sz w:val="24"/>
                <w:highlight w:val="none"/>
              </w:rPr>
            </w:pPr>
          </w:p>
        </w:tc>
        <w:tc>
          <w:tcPr>
            <w:tcW w:w="2545" w:type="dxa"/>
            <w:noWrap w:val="0"/>
            <w:vAlign w:val="top"/>
          </w:tcPr>
          <w:p w14:paraId="54E6671A">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14:paraId="1B679D3A">
            <w:pPr>
              <w:adjustRightInd w:val="0"/>
              <w:snapToGrid w:val="0"/>
              <w:spacing w:line="360" w:lineRule="auto"/>
              <w:ind w:right="24"/>
              <w:rPr>
                <w:rFonts w:hint="eastAsia" w:ascii="宋体" w:hAnsi="宋体" w:eastAsia="宋体" w:cs="宋体"/>
                <w:bCs/>
                <w:color w:val="auto"/>
                <w:sz w:val="24"/>
                <w:highlight w:val="none"/>
              </w:rPr>
            </w:pPr>
          </w:p>
        </w:tc>
        <w:tc>
          <w:tcPr>
            <w:tcW w:w="1685" w:type="dxa"/>
            <w:noWrap w:val="0"/>
            <w:vAlign w:val="top"/>
          </w:tcPr>
          <w:p w14:paraId="1F326979">
            <w:pPr>
              <w:adjustRightInd w:val="0"/>
              <w:snapToGrid w:val="0"/>
              <w:spacing w:line="360" w:lineRule="auto"/>
              <w:ind w:right="24"/>
              <w:rPr>
                <w:rFonts w:hint="eastAsia" w:ascii="宋体" w:hAnsi="宋体" w:eastAsia="宋体" w:cs="宋体"/>
                <w:bCs/>
                <w:color w:val="auto"/>
                <w:sz w:val="24"/>
                <w:highlight w:val="none"/>
              </w:rPr>
            </w:pPr>
          </w:p>
        </w:tc>
        <w:tc>
          <w:tcPr>
            <w:tcW w:w="1304" w:type="dxa"/>
            <w:noWrap w:val="0"/>
            <w:vAlign w:val="top"/>
          </w:tcPr>
          <w:p w14:paraId="02626044">
            <w:pPr>
              <w:adjustRightInd w:val="0"/>
              <w:snapToGrid w:val="0"/>
              <w:spacing w:line="360" w:lineRule="auto"/>
              <w:ind w:right="24"/>
              <w:rPr>
                <w:rFonts w:hint="eastAsia" w:ascii="宋体" w:hAnsi="宋体" w:eastAsia="宋体" w:cs="宋体"/>
                <w:bCs/>
                <w:color w:val="auto"/>
                <w:sz w:val="24"/>
                <w:highlight w:val="none"/>
              </w:rPr>
            </w:pPr>
          </w:p>
        </w:tc>
      </w:tr>
    </w:tbl>
    <w:p w14:paraId="43DB1779">
      <w:pPr>
        <w:keepNext w:val="0"/>
        <w:keepLines w:val="0"/>
        <w:pageBreakBefore w:val="0"/>
        <w:widowControl w:val="0"/>
        <w:kinsoku/>
        <w:wordWrap/>
        <w:overflowPunct/>
        <w:topLinePunct w:val="0"/>
        <w:autoSpaceDE/>
        <w:autoSpaceDN/>
        <w:bidi w:val="0"/>
        <w:adjustRightInd w:val="0"/>
        <w:snapToGrid/>
        <w:spacing w:line="480" w:lineRule="exact"/>
        <w:ind w:firstLine="385" w:firstLineChars="175"/>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0A10CDFD">
      <w:pPr>
        <w:keepNext w:val="0"/>
        <w:keepLines w:val="0"/>
        <w:pageBreakBefore w:val="0"/>
        <w:widowControl w:val="0"/>
        <w:kinsoku/>
        <w:wordWrap/>
        <w:overflowPunct/>
        <w:topLinePunct w:val="0"/>
        <w:autoSpaceDE/>
        <w:autoSpaceDN/>
        <w:bidi w:val="0"/>
        <w:adjustRightInd w:val="0"/>
        <w:snapToGrid/>
        <w:spacing w:line="480" w:lineRule="exact"/>
        <w:ind w:firstLine="385" w:firstLineChars="175"/>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（签章或签字）</w:t>
      </w:r>
    </w:p>
    <w:p w14:paraId="572DA4EB">
      <w:pPr>
        <w:keepNext w:val="0"/>
        <w:keepLines w:val="0"/>
        <w:pageBreakBefore w:val="0"/>
        <w:widowControl w:val="0"/>
        <w:kinsoku/>
        <w:wordWrap/>
        <w:overflowPunct/>
        <w:topLinePunct w:val="0"/>
        <w:autoSpaceDE/>
        <w:autoSpaceDN/>
        <w:bidi w:val="0"/>
        <w:adjustRightInd w:val="0"/>
        <w:snapToGrid/>
        <w:spacing w:line="480" w:lineRule="exact"/>
        <w:ind w:firstLine="385" w:firstLineChars="175"/>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bookmarkStart w:id="218" w:name="_Toc217446088"/>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bookmarkEnd w:id="218"/>
    <w:p w14:paraId="0D8E358F">
      <w:pPr>
        <w:pStyle w:val="35"/>
        <w:spacing w:line="400" w:lineRule="exact"/>
        <w:jc w:val="center"/>
        <w:rPr>
          <w:rFonts w:hint="eastAsia" w:ascii="宋体" w:hAnsi="宋体" w:eastAsia="宋体" w:cs="宋体"/>
          <w:b/>
          <w:color w:val="auto"/>
          <w:sz w:val="36"/>
          <w:szCs w:val="36"/>
          <w:highlight w:val="none"/>
        </w:rPr>
      </w:pPr>
    </w:p>
    <w:p w14:paraId="2B23F5D2">
      <w:pPr>
        <w:pStyle w:val="35"/>
        <w:spacing w:line="400" w:lineRule="exact"/>
        <w:jc w:val="center"/>
        <w:rPr>
          <w:rFonts w:hint="eastAsia" w:ascii="宋体" w:hAnsi="宋体" w:eastAsia="宋体" w:cs="宋体"/>
          <w:b/>
          <w:color w:val="auto"/>
          <w:sz w:val="36"/>
          <w:szCs w:val="36"/>
          <w:highlight w:val="none"/>
        </w:rPr>
      </w:pPr>
    </w:p>
    <w:p w14:paraId="095879B6">
      <w:pPr>
        <w:pStyle w:val="35"/>
        <w:spacing w:line="400" w:lineRule="exact"/>
        <w:jc w:val="center"/>
        <w:rPr>
          <w:rFonts w:hint="eastAsia" w:ascii="宋体" w:hAnsi="宋体" w:eastAsia="宋体" w:cs="宋体"/>
          <w:b/>
          <w:color w:val="auto"/>
          <w:sz w:val="36"/>
          <w:szCs w:val="36"/>
          <w:highlight w:val="none"/>
        </w:rPr>
      </w:pPr>
    </w:p>
    <w:p w14:paraId="35D2ECBF">
      <w:pPr>
        <w:pStyle w:val="35"/>
        <w:spacing w:line="400" w:lineRule="exact"/>
        <w:jc w:val="center"/>
        <w:rPr>
          <w:rFonts w:hint="eastAsia" w:ascii="宋体" w:hAnsi="宋体" w:eastAsia="宋体" w:cs="宋体"/>
          <w:b/>
          <w:color w:val="auto"/>
          <w:sz w:val="36"/>
          <w:szCs w:val="36"/>
          <w:highlight w:val="none"/>
        </w:rPr>
      </w:pPr>
    </w:p>
    <w:p w14:paraId="0F83BBFC">
      <w:pPr>
        <w:pStyle w:val="35"/>
        <w:keepNext w:val="0"/>
        <w:keepLines w:val="0"/>
        <w:pageBreakBefore w:val="0"/>
        <w:widowControl w:val="0"/>
        <w:numPr>
          <w:ilvl w:val="0"/>
          <w:numId w:val="2"/>
        </w:numPr>
        <w:kinsoku/>
        <w:wordWrap/>
        <w:overflowPunct/>
        <w:topLinePunct w:val="0"/>
        <w:autoSpaceDE/>
        <w:autoSpaceDN/>
        <w:bidi w:val="0"/>
        <w:adjustRightInd/>
        <w:snapToGrid/>
        <w:spacing w:line="480" w:lineRule="exact"/>
        <w:ind w:left="210" w:leftChars="0" w:firstLineChars="0"/>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投标人认为有必要补充说明的事项</w:t>
      </w:r>
    </w:p>
    <w:p w14:paraId="5924DF2C">
      <w:pPr>
        <w:pStyle w:val="3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10" w:leftChars="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说明：格式自定。</w:t>
      </w:r>
    </w:p>
    <w:p w14:paraId="0978C41C">
      <w:pPr>
        <w:rPr>
          <w:rFonts w:hint="eastAsia" w:ascii="宋体" w:hAnsi="宋体" w:eastAsia="宋体" w:cs="宋体"/>
          <w:color w:val="auto"/>
          <w:highlight w:val="none"/>
        </w:rPr>
      </w:pPr>
    </w:p>
    <w:p w14:paraId="0FDBB9E4">
      <w:pPr>
        <w:rPr>
          <w:rFonts w:hint="eastAsia" w:ascii="宋体" w:hAnsi="宋体" w:eastAsia="宋体" w:cs="宋体"/>
          <w:color w:val="auto"/>
          <w:highlight w:val="none"/>
        </w:rPr>
      </w:pPr>
    </w:p>
    <w:p w14:paraId="6E3C8237">
      <w:pPr>
        <w:rPr>
          <w:rFonts w:hint="eastAsia" w:ascii="宋体" w:hAnsi="宋体" w:eastAsia="宋体" w:cs="宋体"/>
          <w:color w:val="auto"/>
          <w:highlight w:val="none"/>
        </w:rPr>
      </w:pPr>
    </w:p>
    <w:p w14:paraId="7A101516">
      <w:pPr>
        <w:rPr>
          <w:rFonts w:hint="eastAsia" w:ascii="宋体" w:hAnsi="宋体" w:eastAsia="宋体" w:cs="宋体"/>
          <w:color w:val="auto"/>
          <w:highlight w:val="none"/>
        </w:rPr>
      </w:pPr>
    </w:p>
    <w:p w14:paraId="20EAEC05">
      <w:pPr>
        <w:rPr>
          <w:rFonts w:hint="eastAsia" w:ascii="宋体" w:hAnsi="宋体" w:eastAsia="宋体" w:cs="宋体"/>
          <w:color w:val="auto"/>
          <w:highlight w:val="none"/>
        </w:rPr>
      </w:pPr>
    </w:p>
    <w:p w14:paraId="21E6153D">
      <w:pPr>
        <w:rPr>
          <w:rFonts w:hint="eastAsia" w:ascii="宋体" w:hAnsi="宋体" w:eastAsia="宋体" w:cs="宋体"/>
          <w:color w:val="auto"/>
          <w:highlight w:val="none"/>
        </w:rPr>
      </w:pPr>
    </w:p>
    <w:p w14:paraId="1B8750BB">
      <w:pPr>
        <w:rPr>
          <w:rFonts w:hint="eastAsia" w:ascii="宋体" w:hAnsi="宋体" w:eastAsia="宋体" w:cs="宋体"/>
          <w:color w:val="auto"/>
          <w:highlight w:val="none"/>
        </w:rPr>
      </w:pPr>
    </w:p>
    <w:p w14:paraId="6B84A540">
      <w:pPr>
        <w:rPr>
          <w:rFonts w:hint="eastAsia" w:ascii="宋体" w:hAnsi="宋体" w:eastAsia="宋体" w:cs="宋体"/>
          <w:color w:val="auto"/>
          <w:highlight w:val="none"/>
        </w:rPr>
      </w:pPr>
    </w:p>
    <w:p w14:paraId="78715AD7">
      <w:pPr>
        <w:rPr>
          <w:rFonts w:hint="eastAsia" w:ascii="宋体" w:hAnsi="宋体" w:eastAsia="宋体" w:cs="宋体"/>
          <w:color w:val="auto"/>
          <w:highlight w:val="none"/>
        </w:rPr>
      </w:pPr>
    </w:p>
    <w:p w14:paraId="3F60237B">
      <w:pPr>
        <w:rPr>
          <w:rFonts w:hint="eastAsia" w:ascii="宋体" w:hAnsi="宋体" w:eastAsia="宋体" w:cs="宋体"/>
          <w:color w:val="auto"/>
          <w:highlight w:val="none"/>
        </w:rPr>
      </w:pPr>
    </w:p>
    <w:p w14:paraId="7143A1F1">
      <w:pPr>
        <w:rPr>
          <w:rFonts w:hint="eastAsia" w:ascii="宋体" w:hAnsi="宋体" w:eastAsia="宋体" w:cs="宋体"/>
          <w:color w:val="auto"/>
          <w:highlight w:val="none"/>
        </w:rPr>
      </w:pPr>
    </w:p>
    <w:p w14:paraId="2C3D6007">
      <w:pPr>
        <w:rPr>
          <w:rFonts w:hint="eastAsia" w:ascii="宋体" w:hAnsi="宋体" w:eastAsia="宋体" w:cs="宋体"/>
          <w:color w:val="auto"/>
          <w:highlight w:val="none"/>
        </w:rPr>
      </w:pPr>
    </w:p>
    <w:p w14:paraId="0B001850">
      <w:pPr>
        <w:rPr>
          <w:rFonts w:hint="eastAsia" w:ascii="宋体" w:hAnsi="宋体" w:eastAsia="宋体" w:cs="宋体"/>
          <w:color w:val="auto"/>
          <w:highlight w:val="none"/>
        </w:rPr>
      </w:pPr>
    </w:p>
    <w:p w14:paraId="1B7C09D8">
      <w:pPr>
        <w:rPr>
          <w:rFonts w:hint="eastAsia" w:ascii="宋体" w:hAnsi="宋体" w:eastAsia="宋体" w:cs="宋体"/>
          <w:color w:val="auto"/>
          <w:highlight w:val="none"/>
        </w:rPr>
      </w:pPr>
    </w:p>
    <w:p w14:paraId="36FD711C">
      <w:pPr>
        <w:rPr>
          <w:rFonts w:hint="eastAsia" w:ascii="宋体" w:hAnsi="宋体" w:eastAsia="宋体" w:cs="宋体"/>
          <w:color w:val="auto"/>
          <w:highlight w:val="none"/>
        </w:rPr>
      </w:pPr>
    </w:p>
    <w:p w14:paraId="4E739303">
      <w:pPr>
        <w:rPr>
          <w:rFonts w:hint="eastAsia" w:ascii="宋体" w:hAnsi="宋体" w:eastAsia="宋体" w:cs="宋体"/>
          <w:color w:val="auto"/>
          <w:highlight w:val="none"/>
        </w:rPr>
      </w:pPr>
    </w:p>
    <w:p w14:paraId="6EA271DD">
      <w:pPr>
        <w:rPr>
          <w:rFonts w:hint="eastAsia" w:ascii="宋体" w:hAnsi="宋体" w:eastAsia="宋体" w:cs="宋体"/>
          <w:color w:val="auto"/>
          <w:highlight w:val="none"/>
        </w:rPr>
      </w:pPr>
    </w:p>
    <w:p w14:paraId="002A32D8">
      <w:pPr>
        <w:rPr>
          <w:rFonts w:hint="eastAsia" w:ascii="宋体" w:hAnsi="宋体" w:eastAsia="宋体" w:cs="宋体"/>
          <w:color w:val="auto"/>
          <w:highlight w:val="none"/>
        </w:rPr>
      </w:pPr>
    </w:p>
    <w:p w14:paraId="47D0C18D">
      <w:pPr>
        <w:rPr>
          <w:rFonts w:hint="eastAsia" w:ascii="宋体" w:hAnsi="宋体" w:eastAsia="宋体" w:cs="宋体"/>
          <w:color w:val="auto"/>
          <w:highlight w:val="none"/>
        </w:rPr>
      </w:pPr>
    </w:p>
    <w:p w14:paraId="5FAB4C97">
      <w:pPr>
        <w:rPr>
          <w:rFonts w:hint="eastAsia" w:ascii="宋体" w:hAnsi="宋体" w:eastAsia="宋体" w:cs="宋体"/>
          <w:color w:val="auto"/>
          <w:highlight w:val="none"/>
        </w:rPr>
      </w:pPr>
    </w:p>
    <w:p w14:paraId="0621A483">
      <w:pPr>
        <w:rPr>
          <w:rFonts w:hint="eastAsia" w:ascii="宋体" w:hAnsi="宋体" w:eastAsia="宋体" w:cs="宋体"/>
          <w:color w:val="auto"/>
          <w:highlight w:val="none"/>
        </w:rPr>
      </w:pPr>
    </w:p>
    <w:sectPr>
      <w:pgSz w:w="11911" w:h="16838"/>
      <w:pgMar w:top="1417" w:right="1134" w:bottom="1417" w:left="1134" w:header="873" w:footer="1485"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1" w:fontKey="{222B239A-8D46-4BA0-B61A-D2A4E3A9D0B6}"/>
  </w:font>
  <w:font w:name="Wingdings 2">
    <w:panose1 w:val="05020102010507070707"/>
    <w:charset w:val="02"/>
    <w:family w:val="decorative"/>
    <w:pitch w:val="default"/>
    <w:sig w:usb0="00000000" w:usb1="00000000" w:usb2="00000000" w:usb3="00000000" w:csb0="80000000" w:csb1="00000000"/>
    <w:embedRegular r:id="rId2" w:fontKey="{3878A384-ADFA-48AE-93A0-EC74018BCA15}"/>
  </w:font>
  <w:font w:name="WPSEMBED1">
    <w:panose1 w:val="050201020105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80F0">
    <w:pPr>
      <w:pStyle w:val="15"/>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F7D3">
    <w:pPr>
      <w:pStyle w:val="15"/>
      <w:framePr w:wrap="around" w:vAnchor="text" w:hAnchor="margin" w:xAlign="center" w:y="1"/>
      <w:rPr>
        <w:rStyle w:val="26"/>
      </w:rPr>
    </w:pPr>
    <w:r>
      <w:fldChar w:fldCharType="begin"/>
    </w:r>
    <w:r>
      <w:rPr>
        <w:rStyle w:val="26"/>
      </w:rPr>
      <w:instrText xml:space="preserve">PAGE  </w:instrText>
    </w:r>
    <w:r>
      <w:fldChar w:fldCharType="end"/>
    </w:r>
  </w:p>
  <w:p w14:paraId="4E54908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35AF">
    <w:pPr>
      <w:pStyle w:val="9"/>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7B7F">
    <w:pPr>
      <w:pStyle w:val="9"/>
      <w:spacing w:line="14" w:lineRule="auto"/>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3CE89">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3CE89">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D0BA">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7A7D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17A7D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DF85">
    <w:pPr>
      <w:pStyle w:val="16"/>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9152">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FC8D">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39F8">
    <w:pPr>
      <w:pStyle w:val="16"/>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0A002"/>
    <w:multiLevelType w:val="singleLevel"/>
    <w:tmpl w:val="97C0A002"/>
    <w:lvl w:ilvl="0" w:tentative="0">
      <w:start w:val="11"/>
      <w:numFmt w:val="chineseCounting"/>
      <w:suff w:val="nothing"/>
      <w:lvlText w:val="%1、"/>
      <w:lvlJc w:val="left"/>
      <w:pPr>
        <w:ind w:left="210"/>
      </w:pPr>
      <w:rPr>
        <w:rFonts w:hint="eastAsia"/>
      </w:rPr>
    </w:lvl>
  </w:abstractNum>
  <w:abstractNum w:abstractNumId="1">
    <w:nsid w:val="5FEAF598"/>
    <w:multiLevelType w:val="singleLevel"/>
    <w:tmpl w:val="5FEAF59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2IxMjcwYzg4YmQ4YWI5Njc1N2I0OWY2N2NlOGQifQ=="/>
  </w:docVars>
  <w:rsids>
    <w:rsidRoot w:val="0BD46CE0"/>
    <w:rsid w:val="00013654"/>
    <w:rsid w:val="00086E86"/>
    <w:rsid w:val="001C2DB3"/>
    <w:rsid w:val="00234DFE"/>
    <w:rsid w:val="00906786"/>
    <w:rsid w:val="00A0756A"/>
    <w:rsid w:val="00A81D22"/>
    <w:rsid w:val="00D31E4F"/>
    <w:rsid w:val="010F737D"/>
    <w:rsid w:val="012D66CB"/>
    <w:rsid w:val="014F219D"/>
    <w:rsid w:val="016B3DE1"/>
    <w:rsid w:val="0172376C"/>
    <w:rsid w:val="0176597C"/>
    <w:rsid w:val="017E6F26"/>
    <w:rsid w:val="01A41E1E"/>
    <w:rsid w:val="01D60B10"/>
    <w:rsid w:val="01E90844"/>
    <w:rsid w:val="02020D6E"/>
    <w:rsid w:val="0204567E"/>
    <w:rsid w:val="022655F4"/>
    <w:rsid w:val="025F0B06"/>
    <w:rsid w:val="02674585"/>
    <w:rsid w:val="02832A46"/>
    <w:rsid w:val="028B4F54"/>
    <w:rsid w:val="02A05E21"/>
    <w:rsid w:val="02A35AD5"/>
    <w:rsid w:val="02CC42EB"/>
    <w:rsid w:val="02F2197A"/>
    <w:rsid w:val="0313544C"/>
    <w:rsid w:val="032B09E8"/>
    <w:rsid w:val="034B4BE6"/>
    <w:rsid w:val="038274A1"/>
    <w:rsid w:val="03B7227C"/>
    <w:rsid w:val="04025BED"/>
    <w:rsid w:val="04206073"/>
    <w:rsid w:val="04247911"/>
    <w:rsid w:val="043B4C5B"/>
    <w:rsid w:val="045070C7"/>
    <w:rsid w:val="04567CF4"/>
    <w:rsid w:val="048D2BD8"/>
    <w:rsid w:val="05111DBD"/>
    <w:rsid w:val="051675BB"/>
    <w:rsid w:val="052027CE"/>
    <w:rsid w:val="053324C4"/>
    <w:rsid w:val="05557F9E"/>
    <w:rsid w:val="05687253"/>
    <w:rsid w:val="057C22D7"/>
    <w:rsid w:val="057C7E0F"/>
    <w:rsid w:val="05B20F4D"/>
    <w:rsid w:val="05D26E3A"/>
    <w:rsid w:val="06020126"/>
    <w:rsid w:val="060C1E02"/>
    <w:rsid w:val="062537E8"/>
    <w:rsid w:val="06D03D80"/>
    <w:rsid w:val="06E25862"/>
    <w:rsid w:val="06E72E78"/>
    <w:rsid w:val="06F26EE0"/>
    <w:rsid w:val="06FC4AE5"/>
    <w:rsid w:val="071C5217"/>
    <w:rsid w:val="07724E37"/>
    <w:rsid w:val="079E6452"/>
    <w:rsid w:val="081E4FBF"/>
    <w:rsid w:val="08626C5A"/>
    <w:rsid w:val="08793F74"/>
    <w:rsid w:val="08970AD5"/>
    <w:rsid w:val="089A76B6"/>
    <w:rsid w:val="089B4494"/>
    <w:rsid w:val="08BB4929"/>
    <w:rsid w:val="090715AF"/>
    <w:rsid w:val="09212671"/>
    <w:rsid w:val="09646A02"/>
    <w:rsid w:val="097430E9"/>
    <w:rsid w:val="09BF3537"/>
    <w:rsid w:val="09E71B0D"/>
    <w:rsid w:val="0A082BB8"/>
    <w:rsid w:val="0A0E5ECB"/>
    <w:rsid w:val="0A1C3158"/>
    <w:rsid w:val="0A70536D"/>
    <w:rsid w:val="0AAA6E1A"/>
    <w:rsid w:val="0ABC5446"/>
    <w:rsid w:val="0ADB2CF4"/>
    <w:rsid w:val="0AEE6ECB"/>
    <w:rsid w:val="0AF52179"/>
    <w:rsid w:val="0B04224A"/>
    <w:rsid w:val="0B0F1420"/>
    <w:rsid w:val="0B21104E"/>
    <w:rsid w:val="0B416FFB"/>
    <w:rsid w:val="0B470389"/>
    <w:rsid w:val="0BBE689D"/>
    <w:rsid w:val="0BD46CE0"/>
    <w:rsid w:val="0BE62534"/>
    <w:rsid w:val="0C055274"/>
    <w:rsid w:val="0C1A39E2"/>
    <w:rsid w:val="0C8C21A0"/>
    <w:rsid w:val="0CA43CE5"/>
    <w:rsid w:val="0CC75D6A"/>
    <w:rsid w:val="0CFF53BF"/>
    <w:rsid w:val="0D5D5544"/>
    <w:rsid w:val="0D7C3D12"/>
    <w:rsid w:val="0D7F5F30"/>
    <w:rsid w:val="0DDF67B7"/>
    <w:rsid w:val="0E782A66"/>
    <w:rsid w:val="0E913FA4"/>
    <w:rsid w:val="0E952516"/>
    <w:rsid w:val="0E9A2E45"/>
    <w:rsid w:val="0EA47DAC"/>
    <w:rsid w:val="0F51519D"/>
    <w:rsid w:val="0F7B6853"/>
    <w:rsid w:val="0F851480"/>
    <w:rsid w:val="0F92199F"/>
    <w:rsid w:val="100D1BA1"/>
    <w:rsid w:val="105E035B"/>
    <w:rsid w:val="107F5E5B"/>
    <w:rsid w:val="10923E54"/>
    <w:rsid w:val="10C44237"/>
    <w:rsid w:val="10CD1D98"/>
    <w:rsid w:val="10D12BCF"/>
    <w:rsid w:val="112D2D43"/>
    <w:rsid w:val="114A310B"/>
    <w:rsid w:val="114D0915"/>
    <w:rsid w:val="115D22DF"/>
    <w:rsid w:val="11B00A36"/>
    <w:rsid w:val="11F528ED"/>
    <w:rsid w:val="122A544F"/>
    <w:rsid w:val="12486EC1"/>
    <w:rsid w:val="126D730B"/>
    <w:rsid w:val="127557DC"/>
    <w:rsid w:val="12771554"/>
    <w:rsid w:val="127E28E2"/>
    <w:rsid w:val="12BD67FA"/>
    <w:rsid w:val="1347361C"/>
    <w:rsid w:val="13713219"/>
    <w:rsid w:val="13A866A1"/>
    <w:rsid w:val="13F015BE"/>
    <w:rsid w:val="13F7291D"/>
    <w:rsid w:val="14373691"/>
    <w:rsid w:val="14563D81"/>
    <w:rsid w:val="14904B4F"/>
    <w:rsid w:val="14C15977"/>
    <w:rsid w:val="14D13334"/>
    <w:rsid w:val="15035321"/>
    <w:rsid w:val="15051099"/>
    <w:rsid w:val="151C63E2"/>
    <w:rsid w:val="1523710F"/>
    <w:rsid w:val="15334379"/>
    <w:rsid w:val="15AB60E4"/>
    <w:rsid w:val="15DB5C31"/>
    <w:rsid w:val="15E769F0"/>
    <w:rsid w:val="15E81C52"/>
    <w:rsid w:val="15ED48A2"/>
    <w:rsid w:val="163A54B3"/>
    <w:rsid w:val="16585B40"/>
    <w:rsid w:val="165F6ECF"/>
    <w:rsid w:val="166149F5"/>
    <w:rsid w:val="168D5B19"/>
    <w:rsid w:val="16AD4C0B"/>
    <w:rsid w:val="16C1371A"/>
    <w:rsid w:val="171C6CD2"/>
    <w:rsid w:val="17832501"/>
    <w:rsid w:val="179E2135"/>
    <w:rsid w:val="17BB6387"/>
    <w:rsid w:val="17BF5E77"/>
    <w:rsid w:val="17EE22B8"/>
    <w:rsid w:val="181F7A9C"/>
    <w:rsid w:val="18303B05"/>
    <w:rsid w:val="18581E27"/>
    <w:rsid w:val="19006747"/>
    <w:rsid w:val="190B226F"/>
    <w:rsid w:val="194B698F"/>
    <w:rsid w:val="197B401F"/>
    <w:rsid w:val="19CF6119"/>
    <w:rsid w:val="19E531E6"/>
    <w:rsid w:val="1A8E5BAA"/>
    <w:rsid w:val="1AA31E1F"/>
    <w:rsid w:val="1AD27C6F"/>
    <w:rsid w:val="1AF95B35"/>
    <w:rsid w:val="1B281F85"/>
    <w:rsid w:val="1BE96A15"/>
    <w:rsid w:val="1C285864"/>
    <w:rsid w:val="1C3276CE"/>
    <w:rsid w:val="1C5618EE"/>
    <w:rsid w:val="1C5B1EE6"/>
    <w:rsid w:val="1D50131F"/>
    <w:rsid w:val="1DB93368"/>
    <w:rsid w:val="1DCF16F9"/>
    <w:rsid w:val="1E544E3F"/>
    <w:rsid w:val="1E5A4E1F"/>
    <w:rsid w:val="1E65704C"/>
    <w:rsid w:val="1EEB7551"/>
    <w:rsid w:val="1EF87EC0"/>
    <w:rsid w:val="1EFF124F"/>
    <w:rsid w:val="1F34025B"/>
    <w:rsid w:val="1F3C231A"/>
    <w:rsid w:val="1F9D6372"/>
    <w:rsid w:val="1FBF531F"/>
    <w:rsid w:val="1FE305D3"/>
    <w:rsid w:val="20234AC9"/>
    <w:rsid w:val="20B63B8F"/>
    <w:rsid w:val="210E5779"/>
    <w:rsid w:val="21334C4D"/>
    <w:rsid w:val="21841692"/>
    <w:rsid w:val="21A34ECE"/>
    <w:rsid w:val="21B207FA"/>
    <w:rsid w:val="21B922AD"/>
    <w:rsid w:val="21FC1A76"/>
    <w:rsid w:val="22123EBE"/>
    <w:rsid w:val="223676C5"/>
    <w:rsid w:val="22851BCF"/>
    <w:rsid w:val="22B12860"/>
    <w:rsid w:val="22BD612D"/>
    <w:rsid w:val="22BF098E"/>
    <w:rsid w:val="22C049DD"/>
    <w:rsid w:val="23130E25"/>
    <w:rsid w:val="233E5D5A"/>
    <w:rsid w:val="235220FF"/>
    <w:rsid w:val="23606856"/>
    <w:rsid w:val="23887BB0"/>
    <w:rsid w:val="242B4894"/>
    <w:rsid w:val="24400513"/>
    <w:rsid w:val="247E6772"/>
    <w:rsid w:val="24E06E24"/>
    <w:rsid w:val="24E10731"/>
    <w:rsid w:val="25916979"/>
    <w:rsid w:val="25A641D2"/>
    <w:rsid w:val="260158AC"/>
    <w:rsid w:val="261E645E"/>
    <w:rsid w:val="26746990"/>
    <w:rsid w:val="26904F49"/>
    <w:rsid w:val="26FF6A0B"/>
    <w:rsid w:val="275D4D64"/>
    <w:rsid w:val="27846077"/>
    <w:rsid w:val="27A24E6D"/>
    <w:rsid w:val="27AF3540"/>
    <w:rsid w:val="27E965F8"/>
    <w:rsid w:val="28461C9C"/>
    <w:rsid w:val="2862727C"/>
    <w:rsid w:val="28975A44"/>
    <w:rsid w:val="290851A4"/>
    <w:rsid w:val="29114058"/>
    <w:rsid w:val="291E61AE"/>
    <w:rsid w:val="2927239E"/>
    <w:rsid w:val="2964687E"/>
    <w:rsid w:val="29B379AB"/>
    <w:rsid w:val="29FA0F90"/>
    <w:rsid w:val="2A043BBD"/>
    <w:rsid w:val="2A64640A"/>
    <w:rsid w:val="2A677CA8"/>
    <w:rsid w:val="2AA3113F"/>
    <w:rsid w:val="2AC66DC5"/>
    <w:rsid w:val="2AD87DA3"/>
    <w:rsid w:val="2AF23A91"/>
    <w:rsid w:val="2AF27EBA"/>
    <w:rsid w:val="2AF36273"/>
    <w:rsid w:val="2AF92FF6"/>
    <w:rsid w:val="2B02634F"/>
    <w:rsid w:val="2B230A70"/>
    <w:rsid w:val="2B345563"/>
    <w:rsid w:val="2B642EB5"/>
    <w:rsid w:val="2B65243A"/>
    <w:rsid w:val="2B941E9C"/>
    <w:rsid w:val="2B966A97"/>
    <w:rsid w:val="2BAA609E"/>
    <w:rsid w:val="2BCF6C22"/>
    <w:rsid w:val="2C49635E"/>
    <w:rsid w:val="2C5A3F68"/>
    <w:rsid w:val="2CC82C80"/>
    <w:rsid w:val="2CCF5514"/>
    <w:rsid w:val="2D2F4203"/>
    <w:rsid w:val="2D307DF6"/>
    <w:rsid w:val="2D4D587B"/>
    <w:rsid w:val="2D510EC7"/>
    <w:rsid w:val="2D663933"/>
    <w:rsid w:val="2DB15E0A"/>
    <w:rsid w:val="2DC7118A"/>
    <w:rsid w:val="2E235347"/>
    <w:rsid w:val="2E5D2296"/>
    <w:rsid w:val="2E6C3ADF"/>
    <w:rsid w:val="2E9C71BB"/>
    <w:rsid w:val="2EA339A5"/>
    <w:rsid w:val="2EBF6EA3"/>
    <w:rsid w:val="2EC21951"/>
    <w:rsid w:val="2EC658E5"/>
    <w:rsid w:val="2ED6311B"/>
    <w:rsid w:val="2ED8567D"/>
    <w:rsid w:val="2EFB597A"/>
    <w:rsid w:val="2F2909A6"/>
    <w:rsid w:val="2F634EE2"/>
    <w:rsid w:val="2F8F217B"/>
    <w:rsid w:val="300A7BA6"/>
    <w:rsid w:val="30134B5A"/>
    <w:rsid w:val="30191A45"/>
    <w:rsid w:val="302A1EA4"/>
    <w:rsid w:val="303E7AE9"/>
    <w:rsid w:val="305A03B0"/>
    <w:rsid w:val="307A0CF3"/>
    <w:rsid w:val="30AA08EF"/>
    <w:rsid w:val="30C3032E"/>
    <w:rsid w:val="310E5509"/>
    <w:rsid w:val="312C669A"/>
    <w:rsid w:val="312D57A8"/>
    <w:rsid w:val="31311FAB"/>
    <w:rsid w:val="314A45AB"/>
    <w:rsid w:val="31662A49"/>
    <w:rsid w:val="317A29E0"/>
    <w:rsid w:val="31DD71CE"/>
    <w:rsid w:val="31DF4239"/>
    <w:rsid w:val="31FD4531"/>
    <w:rsid w:val="3207249C"/>
    <w:rsid w:val="32180206"/>
    <w:rsid w:val="321B3DE3"/>
    <w:rsid w:val="326A2A2B"/>
    <w:rsid w:val="327139DF"/>
    <w:rsid w:val="329900FB"/>
    <w:rsid w:val="32B9306B"/>
    <w:rsid w:val="32BA5D75"/>
    <w:rsid w:val="32C4038E"/>
    <w:rsid w:val="32C734F6"/>
    <w:rsid w:val="33064502"/>
    <w:rsid w:val="330D4536"/>
    <w:rsid w:val="33152997"/>
    <w:rsid w:val="337575FD"/>
    <w:rsid w:val="33811DDB"/>
    <w:rsid w:val="338C39A2"/>
    <w:rsid w:val="33AF6948"/>
    <w:rsid w:val="33BB70DD"/>
    <w:rsid w:val="33BF6367"/>
    <w:rsid w:val="33DC6096"/>
    <w:rsid w:val="340D366E"/>
    <w:rsid w:val="34272982"/>
    <w:rsid w:val="343C6B12"/>
    <w:rsid w:val="3446549C"/>
    <w:rsid w:val="345A1178"/>
    <w:rsid w:val="347C757D"/>
    <w:rsid w:val="348736CE"/>
    <w:rsid w:val="3491604D"/>
    <w:rsid w:val="349956AF"/>
    <w:rsid w:val="34C93A39"/>
    <w:rsid w:val="350727B3"/>
    <w:rsid w:val="3524459F"/>
    <w:rsid w:val="3560099A"/>
    <w:rsid w:val="35C71EC4"/>
    <w:rsid w:val="363475D8"/>
    <w:rsid w:val="3637104B"/>
    <w:rsid w:val="36F17277"/>
    <w:rsid w:val="370D494D"/>
    <w:rsid w:val="37621F23"/>
    <w:rsid w:val="378571E0"/>
    <w:rsid w:val="37936580"/>
    <w:rsid w:val="37B7226F"/>
    <w:rsid w:val="37CE6234"/>
    <w:rsid w:val="3809239F"/>
    <w:rsid w:val="387821A4"/>
    <w:rsid w:val="38801A63"/>
    <w:rsid w:val="388E7474"/>
    <w:rsid w:val="38AD71CE"/>
    <w:rsid w:val="38CC3AF8"/>
    <w:rsid w:val="38D104BD"/>
    <w:rsid w:val="38D97589"/>
    <w:rsid w:val="390019F4"/>
    <w:rsid w:val="39310FA1"/>
    <w:rsid w:val="39657AA9"/>
    <w:rsid w:val="3A3F1B1E"/>
    <w:rsid w:val="3A43428E"/>
    <w:rsid w:val="3A59760D"/>
    <w:rsid w:val="3A6A528C"/>
    <w:rsid w:val="3A960861"/>
    <w:rsid w:val="3AEF7F72"/>
    <w:rsid w:val="3B1319C2"/>
    <w:rsid w:val="3BF4646A"/>
    <w:rsid w:val="3C7C5835"/>
    <w:rsid w:val="3C830B55"/>
    <w:rsid w:val="3CEC4769"/>
    <w:rsid w:val="3CF11D7F"/>
    <w:rsid w:val="3CFD5A3B"/>
    <w:rsid w:val="3D4C16AB"/>
    <w:rsid w:val="3D69400B"/>
    <w:rsid w:val="3D7F57A8"/>
    <w:rsid w:val="3D985EF5"/>
    <w:rsid w:val="3E006048"/>
    <w:rsid w:val="3E4405D4"/>
    <w:rsid w:val="3ED45C85"/>
    <w:rsid w:val="3EF26282"/>
    <w:rsid w:val="3EFB7BFF"/>
    <w:rsid w:val="3EFF09E9"/>
    <w:rsid w:val="3F0044FB"/>
    <w:rsid w:val="3F177A97"/>
    <w:rsid w:val="3F591E5E"/>
    <w:rsid w:val="3FC95AB0"/>
    <w:rsid w:val="3FDA4D4C"/>
    <w:rsid w:val="407C5E04"/>
    <w:rsid w:val="408E3D89"/>
    <w:rsid w:val="408F1FDB"/>
    <w:rsid w:val="40A9471F"/>
    <w:rsid w:val="40FE34AB"/>
    <w:rsid w:val="412B104C"/>
    <w:rsid w:val="418F600A"/>
    <w:rsid w:val="41AB4D48"/>
    <w:rsid w:val="41DD61BA"/>
    <w:rsid w:val="41E86D20"/>
    <w:rsid w:val="41F47C4C"/>
    <w:rsid w:val="422616C6"/>
    <w:rsid w:val="42812E8D"/>
    <w:rsid w:val="428C7FB1"/>
    <w:rsid w:val="42953641"/>
    <w:rsid w:val="42F06FB7"/>
    <w:rsid w:val="43170B42"/>
    <w:rsid w:val="438700E8"/>
    <w:rsid w:val="43A51B15"/>
    <w:rsid w:val="43AE09CA"/>
    <w:rsid w:val="43D81418"/>
    <w:rsid w:val="443839C3"/>
    <w:rsid w:val="44901E7E"/>
    <w:rsid w:val="4497145E"/>
    <w:rsid w:val="44C57AEB"/>
    <w:rsid w:val="44F468B0"/>
    <w:rsid w:val="4545710C"/>
    <w:rsid w:val="45596065"/>
    <w:rsid w:val="455E3D2A"/>
    <w:rsid w:val="459B358C"/>
    <w:rsid w:val="45D747E8"/>
    <w:rsid w:val="45F02A41"/>
    <w:rsid w:val="46753A21"/>
    <w:rsid w:val="46911EDD"/>
    <w:rsid w:val="46AB11F1"/>
    <w:rsid w:val="46AD3081"/>
    <w:rsid w:val="46DE1C38"/>
    <w:rsid w:val="47084895"/>
    <w:rsid w:val="470E352E"/>
    <w:rsid w:val="47290367"/>
    <w:rsid w:val="475E4DD7"/>
    <w:rsid w:val="477261B2"/>
    <w:rsid w:val="47A619B8"/>
    <w:rsid w:val="47D71C0C"/>
    <w:rsid w:val="47E66352"/>
    <w:rsid w:val="47FB57AB"/>
    <w:rsid w:val="481E1BB0"/>
    <w:rsid w:val="48DD6C86"/>
    <w:rsid w:val="48EC1E48"/>
    <w:rsid w:val="48F6071D"/>
    <w:rsid w:val="49350B6D"/>
    <w:rsid w:val="493D6DA4"/>
    <w:rsid w:val="494B7380"/>
    <w:rsid w:val="498B355B"/>
    <w:rsid w:val="4A01737A"/>
    <w:rsid w:val="4A577705"/>
    <w:rsid w:val="4A82495E"/>
    <w:rsid w:val="4A930919"/>
    <w:rsid w:val="4AD827D0"/>
    <w:rsid w:val="4AD93E52"/>
    <w:rsid w:val="4B2B2811"/>
    <w:rsid w:val="4BB04B39"/>
    <w:rsid w:val="4BCA036B"/>
    <w:rsid w:val="4BE3142D"/>
    <w:rsid w:val="4BE40D01"/>
    <w:rsid w:val="4C3B5A15"/>
    <w:rsid w:val="4C665CE7"/>
    <w:rsid w:val="4C685F90"/>
    <w:rsid w:val="4C687066"/>
    <w:rsid w:val="4CA918DF"/>
    <w:rsid w:val="4CC96874"/>
    <w:rsid w:val="4CDD4969"/>
    <w:rsid w:val="4CED1C9E"/>
    <w:rsid w:val="4D532D26"/>
    <w:rsid w:val="4D8B3B2A"/>
    <w:rsid w:val="4DB07878"/>
    <w:rsid w:val="4DCF5DB9"/>
    <w:rsid w:val="4DEF230B"/>
    <w:rsid w:val="4DF9657C"/>
    <w:rsid w:val="4E01203E"/>
    <w:rsid w:val="4E355844"/>
    <w:rsid w:val="4E740A62"/>
    <w:rsid w:val="4E9F6CA2"/>
    <w:rsid w:val="4ED62E92"/>
    <w:rsid w:val="4F3E0E12"/>
    <w:rsid w:val="4F5148FF"/>
    <w:rsid w:val="4F6463E1"/>
    <w:rsid w:val="4F681C13"/>
    <w:rsid w:val="4F8D1DDB"/>
    <w:rsid w:val="4F976877"/>
    <w:rsid w:val="4FB01626"/>
    <w:rsid w:val="4FB87457"/>
    <w:rsid w:val="4FDB2A55"/>
    <w:rsid w:val="4FE94B38"/>
    <w:rsid w:val="50011E81"/>
    <w:rsid w:val="500E352C"/>
    <w:rsid w:val="50B24955"/>
    <w:rsid w:val="50B96C00"/>
    <w:rsid w:val="50DB42B0"/>
    <w:rsid w:val="50E46E1A"/>
    <w:rsid w:val="513E21AB"/>
    <w:rsid w:val="51BF0246"/>
    <w:rsid w:val="51C969CF"/>
    <w:rsid w:val="51D4039D"/>
    <w:rsid w:val="520914C1"/>
    <w:rsid w:val="52232583"/>
    <w:rsid w:val="52825B8E"/>
    <w:rsid w:val="5290573F"/>
    <w:rsid w:val="52B458D1"/>
    <w:rsid w:val="5382152B"/>
    <w:rsid w:val="54102FDB"/>
    <w:rsid w:val="54AF6350"/>
    <w:rsid w:val="550146D2"/>
    <w:rsid w:val="553700F3"/>
    <w:rsid w:val="5560589C"/>
    <w:rsid w:val="55B41BBF"/>
    <w:rsid w:val="56051FA0"/>
    <w:rsid w:val="566E223B"/>
    <w:rsid w:val="56B3426C"/>
    <w:rsid w:val="57120E18"/>
    <w:rsid w:val="57316D0F"/>
    <w:rsid w:val="57343239"/>
    <w:rsid w:val="573E7E5F"/>
    <w:rsid w:val="57415259"/>
    <w:rsid w:val="575760F4"/>
    <w:rsid w:val="575823DC"/>
    <w:rsid w:val="575C3ECC"/>
    <w:rsid w:val="57803CDA"/>
    <w:rsid w:val="57852DEC"/>
    <w:rsid w:val="57F71BF2"/>
    <w:rsid w:val="57FB5D50"/>
    <w:rsid w:val="58156E12"/>
    <w:rsid w:val="58417C07"/>
    <w:rsid w:val="585B059D"/>
    <w:rsid w:val="58782EFD"/>
    <w:rsid w:val="58C779E0"/>
    <w:rsid w:val="59264194"/>
    <w:rsid w:val="595079D6"/>
    <w:rsid w:val="59590F80"/>
    <w:rsid w:val="59CF2FF0"/>
    <w:rsid w:val="59D95C1D"/>
    <w:rsid w:val="59E051FD"/>
    <w:rsid w:val="5A4C2893"/>
    <w:rsid w:val="5A577137"/>
    <w:rsid w:val="5A625609"/>
    <w:rsid w:val="5A671D48"/>
    <w:rsid w:val="5AD51772"/>
    <w:rsid w:val="5B340CC6"/>
    <w:rsid w:val="5B4F3C14"/>
    <w:rsid w:val="5C260C74"/>
    <w:rsid w:val="5C3E52F0"/>
    <w:rsid w:val="5C746021"/>
    <w:rsid w:val="5C8E0F41"/>
    <w:rsid w:val="5C9A53A1"/>
    <w:rsid w:val="5CC44962"/>
    <w:rsid w:val="5CC826A5"/>
    <w:rsid w:val="5CD163CF"/>
    <w:rsid w:val="5CE72F5C"/>
    <w:rsid w:val="5D470374"/>
    <w:rsid w:val="5DFE3A5D"/>
    <w:rsid w:val="5DFF2BC0"/>
    <w:rsid w:val="5E046458"/>
    <w:rsid w:val="5E400893"/>
    <w:rsid w:val="5E8408C7"/>
    <w:rsid w:val="5ECE307B"/>
    <w:rsid w:val="5F683CCB"/>
    <w:rsid w:val="5F7A1C50"/>
    <w:rsid w:val="5FA62A45"/>
    <w:rsid w:val="5FDC0F0C"/>
    <w:rsid w:val="5FFA560E"/>
    <w:rsid w:val="6008036D"/>
    <w:rsid w:val="601230BB"/>
    <w:rsid w:val="601B6F8F"/>
    <w:rsid w:val="605129B1"/>
    <w:rsid w:val="606C77EB"/>
    <w:rsid w:val="606D163F"/>
    <w:rsid w:val="60A52CFD"/>
    <w:rsid w:val="60C70EC5"/>
    <w:rsid w:val="60D657EB"/>
    <w:rsid w:val="60D84E80"/>
    <w:rsid w:val="6116641A"/>
    <w:rsid w:val="613300E3"/>
    <w:rsid w:val="614913F6"/>
    <w:rsid w:val="615E3269"/>
    <w:rsid w:val="61A51218"/>
    <w:rsid w:val="627961EF"/>
    <w:rsid w:val="627A1670"/>
    <w:rsid w:val="62AE5E99"/>
    <w:rsid w:val="62F51069"/>
    <w:rsid w:val="637F5A87"/>
    <w:rsid w:val="63953D64"/>
    <w:rsid w:val="63BF5E84"/>
    <w:rsid w:val="63E46773"/>
    <w:rsid w:val="63E47698"/>
    <w:rsid w:val="63E74B71"/>
    <w:rsid w:val="64081FD3"/>
    <w:rsid w:val="642C3481"/>
    <w:rsid w:val="64B27B6D"/>
    <w:rsid w:val="64B64195"/>
    <w:rsid w:val="64C85DBB"/>
    <w:rsid w:val="64E831B8"/>
    <w:rsid w:val="64E9765C"/>
    <w:rsid w:val="650D5B4B"/>
    <w:rsid w:val="650D66ED"/>
    <w:rsid w:val="652D1A3D"/>
    <w:rsid w:val="65385EEE"/>
    <w:rsid w:val="654C1999"/>
    <w:rsid w:val="65605444"/>
    <w:rsid w:val="65646CE3"/>
    <w:rsid w:val="65982E30"/>
    <w:rsid w:val="65E71E81"/>
    <w:rsid w:val="65E9368C"/>
    <w:rsid w:val="661A55F3"/>
    <w:rsid w:val="663521C0"/>
    <w:rsid w:val="66552ACF"/>
    <w:rsid w:val="665A5085"/>
    <w:rsid w:val="66770A72"/>
    <w:rsid w:val="66AB7354"/>
    <w:rsid w:val="671008BB"/>
    <w:rsid w:val="674416BF"/>
    <w:rsid w:val="679715F1"/>
    <w:rsid w:val="67F833D2"/>
    <w:rsid w:val="680848B9"/>
    <w:rsid w:val="68344C02"/>
    <w:rsid w:val="683A3D2B"/>
    <w:rsid w:val="686F5878"/>
    <w:rsid w:val="6880464C"/>
    <w:rsid w:val="68921DB9"/>
    <w:rsid w:val="68BA7955"/>
    <w:rsid w:val="68CB0E27"/>
    <w:rsid w:val="68D8170E"/>
    <w:rsid w:val="68E87C9F"/>
    <w:rsid w:val="68EB61B0"/>
    <w:rsid w:val="696E0130"/>
    <w:rsid w:val="697414BE"/>
    <w:rsid w:val="6990454A"/>
    <w:rsid w:val="69A00A1D"/>
    <w:rsid w:val="69E476CD"/>
    <w:rsid w:val="6A2829D5"/>
    <w:rsid w:val="6A677D92"/>
    <w:rsid w:val="6A6908F7"/>
    <w:rsid w:val="6A72672B"/>
    <w:rsid w:val="6AC344AB"/>
    <w:rsid w:val="6B1E3BA6"/>
    <w:rsid w:val="6B476E8A"/>
    <w:rsid w:val="6B823960"/>
    <w:rsid w:val="6B9D4CFC"/>
    <w:rsid w:val="6BA22313"/>
    <w:rsid w:val="6BD004F2"/>
    <w:rsid w:val="6BF344BD"/>
    <w:rsid w:val="6C6770B8"/>
    <w:rsid w:val="6C6B6BA9"/>
    <w:rsid w:val="6C944351"/>
    <w:rsid w:val="6C9D2ADA"/>
    <w:rsid w:val="6CCF5389"/>
    <w:rsid w:val="6D351F33"/>
    <w:rsid w:val="6D3715E9"/>
    <w:rsid w:val="6D602485"/>
    <w:rsid w:val="6D82064E"/>
    <w:rsid w:val="6E2F3C06"/>
    <w:rsid w:val="6E3B07FD"/>
    <w:rsid w:val="6EA231BE"/>
    <w:rsid w:val="6ED41E2B"/>
    <w:rsid w:val="6F0937A0"/>
    <w:rsid w:val="6F1654F2"/>
    <w:rsid w:val="6F5243B3"/>
    <w:rsid w:val="6F654235"/>
    <w:rsid w:val="6F6A75EB"/>
    <w:rsid w:val="6FFB6495"/>
    <w:rsid w:val="6FFE1AE2"/>
    <w:rsid w:val="70011985"/>
    <w:rsid w:val="70083ED5"/>
    <w:rsid w:val="70266637"/>
    <w:rsid w:val="704C638F"/>
    <w:rsid w:val="70763D6E"/>
    <w:rsid w:val="707D7D60"/>
    <w:rsid w:val="70871E22"/>
    <w:rsid w:val="70E00857"/>
    <w:rsid w:val="70F629BB"/>
    <w:rsid w:val="7113780F"/>
    <w:rsid w:val="716D5171"/>
    <w:rsid w:val="717E422F"/>
    <w:rsid w:val="71CF3E29"/>
    <w:rsid w:val="721003C5"/>
    <w:rsid w:val="72111FA0"/>
    <w:rsid w:val="727D5888"/>
    <w:rsid w:val="72987FCC"/>
    <w:rsid w:val="72B03567"/>
    <w:rsid w:val="72B917BC"/>
    <w:rsid w:val="73191889"/>
    <w:rsid w:val="733F6699"/>
    <w:rsid w:val="736A17B3"/>
    <w:rsid w:val="73B171A4"/>
    <w:rsid w:val="73FD6130"/>
    <w:rsid w:val="74081892"/>
    <w:rsid w:val="740A2536"/>
    <w:rsid w:val="742F5654"/>
    <w:rsid w:val="745052D9"/>
    <w:rsid w:val="74574BFC"/>
    <w:rsid w:val="747C102B"/>
    <w:rsid w:val="74CC659F"/>
    <w:rsid w:val="74F6722B"/>
    <w:rsid w:val="750D6F2C"/>
    <w:rsid w:val="75380C87"/>
    <w:rsid w:val="755F74C6"/>
    <w:rsid w:val="75812F99"/>
    <w:rsid w:val="758415D8"/>
    <w:rsid w:val="75F23E97"/>
    <w:rsid w:val="76273BFB"/>
    <w:rsid w:val="762D4ECF"/>
    <w:rsid w:val="76515061"/>
    <w:rsid w:val="765668DA"/>
    <w:rsid w:val="766F54E7"/>
    <w:rsid w:val="76740D50"/>
    <w:rsid w:val="76985AB4"/>
    <w:rsid w:val="769C41AB"/>
    <w:rsid w:val="76AC04E9"/>
    <w:rsid w:val="76E11454"/>
    <w:rsid w:val="77007B65"/>
    <w:rsid w:val="770420D4"/>
    <w:rsid w:val="771805CB"/>
    <w:rsid w:val="772D4B85"/>
    <w:rsid w:val="778B2BFA"/>
    <w:rsid w:val="77D01FB6"/>
    <w:rsid w:val="77DB7F2A"/>
    <w:rsid w:val="78202F3D"/>
    <w:rsid w:val="78624E83"/>
    <w:rsid w:val="787A26EE"/>
    <w:rsid w:val="78A4467D"/>
    <w:rsid w:val="78E8577B"/>
    <w:rsid w:val="78FD502C"/>
    <w:rsid w:val="7920024A"/>
    <w:rsid w:val="79246A5D"/>
    <w:rsid w:val="792D2B46"/>
    <w:rsid w:val="7961380D"/>
    <w:rsid w:val="79B9081F"/>
    <w:rsid w:val="79BE0C60"/>
    <w:rsid w:val="79FA5A10"/>
    <w:rsid w:val="7A304F8E"/>
    <w:rsid w:val="7ACB4CB6"/>
    <w:rsid w:val="7B566C76"/>
    <w:rsid w:val="7B8E5D6D"/>
    <w:rsid w:val="7BB11B26"/>
    <w:rsid w:val="7BDC717B"/>
    <w:rsid w:val="7BDE6A7E"/>
    <w:rsid w:val="7BDF40C8"/>
    <w:rsid w:val="7BF045C5"/>
    <w:rsid w:val="7C1733C2"/>
    <w:rsid w:val="7C3149B5"/>
    <w:rsid w:val="7C707314"/>
    <w:rsid w:val="7C9428A4"/>
    <w:rsid w:val="7CC16371"/>
    <w:rsid w:val="7CC80851"/>
    <w:rsid w:val="7CF30854"/>
    <w:rsid w:val="7D000B6F"/>
    <w:rsid w:val="7D27455C"/>
    <w:rsid w:val="7D2A660C"/>
    <w:rsid w:val="7D371C1F"/>
    <w:rsid w:val="7D6910CD"/>
    <w:rsid w:val="7D752E25"/>
    <w:rsid w:val="7DA72781"/>
    <w:rsid w:val="7DBA3683"/>
    <w:rsid w:val="7DCD2897"/>
    <w:rsid w:val="7DE6125B"/>
    <w:rsid w:val="7DE8278A"/>
    <w:rsid w:val="7E421725"/>
    <w:rsid w:val="7E835FD4"/>
    <w:rsid w:val="7EA83C8C"/>
    <w:rsid w:val="7F1B7FBA"/>
    <w:rsid w:val="7F48126D"/>
    <w:rsid w:val="7F696E9A"/>
    <w:rsid w:val="7FA26D74"/>
    <w:rsid w:val="7FF2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32"/>
      <w:szCs w:val="20"/>
    </w:rPr>
  </w:style>
  <w:style w:type="paragraph" w:styleId="3">
    <w:name w:val="heading 2"/>
    <w:basedOn w:val="1"/>
    <w:next w:val="4"/>
    <w:autoRedefine/>
    <w:qFormat/>
    <w:uiPriority w:val="0"/>
    <w:pPr>
      <w:keepNext/>
      <w:keepLines/>
      <w:spacing w:before="260" w:after="260" w:line="500" w:lineRule="exact"/>
      <w:outlineLvl w:val="1"/>
    </w:pPr>
    <w:rPr>
      <w:rFonts w:ascii="Arial" w:hAnsi="Arial" w:eastAsia="黑体"/>
      <w:sz w:val="28"/>
      <w:szCs w:val="20"/>
    </w:rPr>
  </w:style>
  <w:style w:type="paragraph" w:styleId="5">
    <w:name w:val="heading 3"/>
    <w:basedOn w:val="1"/>
    <w:next w:val="1"/>
    <w:autoRedefine/>
    <w:qFormat/>
    <w:uiPriority w:val="0"/>
    <w:pPr>
      <w:keepNext/>
      <w:keepLines/>
      <w:spacing w:before="260" w:after="260" w:line="412" w:lineRule="auto"/>
      <w:outlineLvl w:val="2"/>
    </w:pPr>
    <w:rPr>
      <w:b/>
      <w:sz w:val="32"/>
      <w:szCs w:val="20"/>
    </w:rPr>
  </w:style>
  <w:style w:type="paragraph" w:styleId="6">
    <w:name w:val="heading 4"/>
    <w:basedOn w:val="1"/>
    <w:next w:val="1"/>
    <w:autoRedefine/>
    <w:qFormat/>
    <w:uiPriority w:val="0"/>
    <w:pPr>
      <w:keepNext/>
      <w:keepLines/>
      <w:spacing w:before="280" w:after="290" w:line="376" w:lineRule="auto"/>
      <w:outlineLvl w:val="3"/>
    </w:pPr>
    <w:rPr>
      <w:rFonts w:ascii="Calibri Light" w:hAnsi="Calibri Light"/>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7">
    <w:name w:val="table of authorities"/>
    <w:basedOn w:val="1"/>
    <w:next w:val="1"/>
    <w:autoRedefine/>
    <w:qFormat/>
    <w:uiPriority w:val="0"/>
    <w:pPr>
      <w:ind w:left="420" w:leftChars="200"/>
    </w:pPr>
  </w:style>
  <w:style w:type="paragraph" w:styleId="8">
    <w:name w:val="annotation text"/>
    <w:basedOn w:val="1"/>
    <w:autoRedefine/>
    <w:qFormat/>
    <w:uiPriority w:val="0"/>
    <w:pPr>
      <w:jc w:val="left"/>
    </w:pPr>
  </w:style>
  <w:style w:type="paragraph" w:styleId="9">
    <w:name w:val="Body Text"/>
    <w:basedOn w:val="1"/>
    <w:autoRedefine/>
    <w:semiHidden/>
    <w:qFormat/>
    <w:uiPriority w:val="0"/>
    <w:pPr>
      <w:spacing w:before="100" w:beforeAutospacing="1" w:after="100" w:afterAutospacing="1" w:line="600" w:lineRule="auto"/>
    </w:pPr>
    <w:rPr>
      <w:kern w:val="0"/>
      <w:sz w:val="20"/>
    </w:rPr>
  </w:style>
  <w:style w:type="paragraph" w:styleId="10">
    <w:name w:val="Body Text Indent"/>
    <w:basedOn w:val="1"/>
    <w:autoRedefine/>
    <w:qFormat/>
    <w:uiPriority w:val="0"/>
    <w:pPr>
      <w:ind w:firstLine="630"/>
    </w:pPr>
    <w:rPr>
      <w:sz w:val="32"/>
      <w:szCs w:val="20"/>
    </w:rPr>
  </w:style>
  <w:style w:type="paragraph" w:styleId="11">
    <w:name w:val="Block Text"/>
    <w:unhideWhenUsed/>
    <w:qFormat/>
    <w:uiPriority w:val="99"/>
    <w:pPr>
      <w:widowControl w:val="0"/>
      <w:spacing w:after="120"/>
      <w:ind w:left="1440" w:leftChars="700" w:right="1440" w:rightChars="700"/>
      <w:jc w:val="both"/>
    </w:pPr>
    <w:rPr>
      <w:rFonts w:ascii="Times New Roman" w:hAnsi="Times New Roman" w:eastAsia="宋体" w:cs="Times New Roman"/>
      <w:kern w:val="2"/>
      <w:sz w:val="21"/>
      <w:szCs w:val="24"/>
      <w:lang w:val="en-US" w:eastAsia="zh-CN" w:bidi="ar-SA"/>
    </w:rPr>
  </w:style>
  <w:style w:type="paragraph" w:styleId="12">
    <w:name w:val="Plain Text"/>
    <w:basedOn w:val="1"/>
    <w:next w:val="1"/>
    <w:autoRedefine/>
    <w:qFormat/>
    <w:uiPriority w:val="0"/>
    <w:rPr>
      <w:rFonts w:ascii="宋体" w:hAnsi="Courier New" w:cs="Courier New"/>
      <w:szCs w:val="21"/>
    </w:rPr>
  </w:style>
  <w:style w:type="paragraph" w:styleId="13">
    <w:name w:val="Date"/>
    <w:basedOn w:val="1"/>
    <w:next w:val="1"/>
    <w:autoRedefine/>
    <w:qFormat/>
    <w:uiPriority w:val="0"/>
    <w:rPr>
      <w:color w:val="000000"/>
      <w:kern w:val="0"/>
      <w:sz w:val="30"/>
    </w:rPr>
  </w:style>
  <w:style w:type="paragraph" w:styleId="14">
    <w:name w:val="Body Text Indent 2"/>
    <w:basedOn w:val="1"/>
    <w:autoRedefine/>
    <w:qFormat/>
    <w:uiPriority w:val="0"/>
    <w:pPr>
      <w:ind w:firstLine="630"/>
    </w:pPr>
    <w:rPr>
      <w:sz w:val="32"/>
      <w:szCs w:val="20"/>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0"/>
  </w:style>
  <w:style w:type="paragraph" w:styleId="18">
    <w:name w:val="Body Text Indent 3"/>
    <w:basedOn w:val="1"/>
    <w:autoRedefine/>
    <w:qFormat/>
    <w:uiPriority w:val="0"/>
    <w:pPr>
      <w:adjustRightInd w:val="0"/>
      <w:snapToGrid w:val="0"/>
      <w:spacing w:line="360" w:lineRule="auto"/>
      <w:ind w:firstLine="600" w:firstLineChars="200"/>
    </w:pPr>
    <w:rPr>
      <w:rFonts w:ascii="黑体" w:eastAsia="黑体"/>
      <w:sz w:val="30"/>
      <w:szCs w:val="28"/>
    </w:rPr>
  </w:style>
  <w:style w:type="paragraph" w:styleId="19">
    <w:name w:val="toc 2"/>
    <w:basedOn w:val="1"/>
    <w:next w:val="1"/>
    <w:qFormat/>
    <w:uiPriority w:val="0"/>
    <w:pPr>
      <w:ind w:left="420" w:leftChars="200"/>
    </w:pPr>
  </w:style>
  <w:style w:type="paragraph" w:styleId="20">
    <w:name w:val="Body Text 2"/>
    <w:basedOn w:val="1"/>
    <w:autoRedefine/>
    <w:qFormat/>
    <w:uiPriority w:val="0"/>
    <w:pPr>
      <w:autoSpaceDE w:val="0"/>
      <w:autoSpaceDN w:val="0"/>
      <w:adjustRightInd w:val="0"/>
      <w:jc w:val="center"/>
    </w:pPr>
    <w:rPr>
      <w:rFonts w:ascii="幼圆" w:eastAsia="幼圆"/>
      <w:b/>
      <w:bCs/>
      <w:color w:val="000000"/>
      <w:kern w:val="0"/>
      <w:sz w:val="72"/>
      <w:szCs w:val="44"/>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Emphasis"/>
    <w:basedOn w:val="24"/>
    <w:qFormat/>
    <w:uiPriority w:val="0"/>
    <w:rPr>
      <w:i/>
    </w:rPr>
  </w:style>
  <w:style w:type="character" w:styleId="28">
    <w:name w:val="Hyperlink"/>
    <w:autoRedefine/>
    <w:qFormat/>
    <w:uiPriority w:val="0"/>
    <w:rPr>
      <w:color w:val="136EC2"/>
      <w:u w:val="single"/>
    </w:rPr>
  </w:style>
  <w:style w:type="paragraph" w:customStyle="1" w:styleId="29">
    <w:name w:val="正文（缩进）"/>
    <w:basedOn w:val="1"/>
    <w:autoRedefine/>
    <w:qFormat/>
    <w:uiPriority w:val="0"/>
    <w:pPr>
      <w:spacing w:beforeLines="50" w:afterLines="50"/>
      <w:ind w:firstLine="480"/>
    </w:pPr>
    <w:rPr>
      <w:sz w:val="24"/>
    </w:rPr>
  </w:style>
  <w:style w:type="paragraph" w:customStyle="1" w:styleId="30">
    <w:name w:val="正文缩进1"/>
    <w:basedOn w:val="1"/>
    <w:autoRedefine/>
    <w:qFormat/>
    <w:uiPriority w:val="0"/>
    <w:pPr>
      <w:ind w:firstLine="420" w:firstLineChars="200"/>
    </w:pPr>
  </w:style>
  <w:style w:type="paragraph" w:customStyle="1" w:styleId="3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p0"/>
    <w:basedOn w:val="1"/>
    <w:autoRedefine/>
    <w:qFormat/>
    <w:uiPriority w:val="0"/>
    <w:pPr>
      <w:widowControl/>
    </w:pPr>
    <w:rPr>
      <w:kern w:val="0"/>
      <w:szCs w:val="21"/>
    </w:rPr>
  </w:style>
  <w:style w:type="paragraph" w:customStyle="1" w:styleId="34">
    <w:name w:val="样式 首行缩进:  2 字符"/>
    <w:basedOn w:val="1"/>
    <w:autoRedefine/>
    <w:qFormat/>
    <w:uiPriority w:val="0"/>
    <w:pPr>
      <w:spacing w:line="400" w:lineRule="exact"/>
      <w:ind w:firstLine="200" w:firstLineChars="200"/>
    </w:pPr>
    <w:rPr>
      <w:rFonts w:cs="宋体"/>
      <w:sz w:val="24"/>
    </w:rPr>
  </w:style>
  <w:style w:type="paragraph" w:customStyle="1" w:styleId="35">
    <w:name w:val="Char1"/>
    <w:basedOn w:val="1"/>
    <w:autoRedefine/>
    <w:qFormat/>
    <w:uiPriority w:val="0"/>
    <w:rPr>
      <w:szCs w:val="21"/>
    </w:rPr>
  </w:style>
  <w:style w:type="paragraph" w:styleId="36">
    <w:name w:val="List Paragraph"/>
    <w:basedOn w:val="1"/>
    <w:autoRedefine/>
    <w:qFormat/>
    <w:uiPriority w:val="34"/>
    <w:pPr>
      <w:ind w:firstLine="420" w:firstLineChars="200"/>
    </w:pPr>
  </w:style>
  <w:style w:type="paragraph" w:customStyle="1" w:styleId="37">
    <w:name w:val="Other|1"/>
    <w:basedOn w:val="1"/>
    <w:autoRedefine/>
    <w:qFormat/>
    <w:uiPriority w:val="0"/>
    <w:rPr>
      <w:rFonts w:ascii="宋体" w:hAnsi="宋体" w:eastAsia="宋体" w:cs="宋体"/>
      <w:sz w:val="17"/>
      <w:szCs w:val="17"/>
      <w:lang w:val="zh-CN" w:eastAsia="zh-CN" w:bidi="zh-CN"/>
    </w:rPr>
  </w:style>
  <w:style w:type="paragraph" w:customStyle="1" w:styleId="38">
    <w:name w:val="Body text|1"/>
    <w:basedOn w:val="1"/>
    <w:autoRedefine/>
    <w:qFormat/>
    <w:uiPriority w:val="0"/>
    <w:rPr>
      <w:rFonts w:ascii="宋体" w:hAnsi="宋体" w:eastAsia="宋体" w:cs="宋体"/>
      <w:sz w:val="19"/>
      <w:szCs w:val="19"/>
      <w:lang w:val="zh-CN" w:eastAsia="zh-CN" w:bidi="zh-CN"/>
    </w:rPr>
  </w:style>
  <w:style w:type="character" w:customStyle="1" w:styleId="39">
    <w:name w:val="font71"/>
    <w:basedOn w:val="24"/>
    <w:autoRedefine/>
    <w:qFormat/>
    <w:uiPriority w:val="0"/>
    <w:rPr>
      <w:rFonts w:hint="eastAsia" w:ascii="宋体" w:hAnsi="宋体" w:eastAsia="宋体" w:cs="宋体"/>
      <w:color w:val="000000"/>
      <w:sz w:val="21"/>
      <w:szCs w:val="21"/>
      <w:u w:val="none"/>
    </w:rPr>
  </w:style>
  <w:style w:type="character" w:customStyle="1" w:styleId="40">
    <w:name w:val="font61"/>
    <w:basedOn w:val="24"/>
    <w:autoRedefine/>
    <w:qFormat/>
    <w:uiPriority w:val="0"/>
    <w:rPr>
      <w:rFonts w:hint="default" w:ascii="Arial" w:hAnsi="Arial" w:cs="Arial"/>
      <w:color w:val="000000"/>
      <w:sz w:val="22"/>
      <w:szCs w:val="22"/>
      <w:u w:val="none"/>
    </w:rPr>
  </w:style>
  <w:style w:type="character" w:customStyle="1" w:styleId="41">
    <w:name w:val="font11"/>
    <w:basedOn w:val="24"/>
    <w:autoRedefine/>
    <w:qFormat/>
    <w:uiPriority w:val="0"/>
    <w:rPr>
      <w:rFonts w:hint="eastAsia" w:ascii="宋体" w:hAnsi="宋体" w:eastAsia="宋体" w:cs="宋体"/>
      <w:color w:val="000000"/>
      <w:sz w:val="22"/>
      <w:szCs w:val="22"/>
      <w:u w:val="none"/>
    </w:rPr>
  </w:style>
  <w:style w:type="paragraph" w:customStyle="1" w:styleId="42">
    <w:name w:val="Default"/>
    <w:autoRedefine/>
    <w:qFormat/>
    <w:uiPriority w:val="0"/>
    <w:pPr>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43">
    <w:name w:val="UP正文"/>
    <w:basedOn w:val="1"/>
    <w:autoRedefine/>
    <w:qFormat/>
    <w:uiPriority w:val="0"/>
    <w:pPr>
      <w:spacing w:line="360" w:lineRule="auto"/>
      <w:ind w:left="420" w:leftChars="200" w:firstLine="420" w:firstLineChars="200"/>
    </w:pPr>
    <w:rPr>
      <w:rFonts w:ascii="Tahoma" w:hAnsi="Calibri"/>
      <w:szCs w:val="20"/>
    </w:rPr>
  </w:style>
  <w:style w:type="character" w:customStyle="1" w:styleId="44">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45">
    <w:name w:val="PlainText"/>
    <w:basedOn w:val="1"/>
    <w:autoRedefine/>
    <w:qFormat/>
    <w:uiPriority w:val="0"/>
    <w:pPr>
      <w:jc w:val="both"/>
      <w:textAlignment w:val="baseline"/>
    </w:pPr>
    <w:rPr>
      <w:rFonts w:ascii="宋体" w:hAnsi="Courier New"/>
      <w:kern w:val="2"/>
      <w:sz w:val="21"/>
      <w:szCs w:val="21"/>
      <w:lang w:val="en-US" w:eastAsia="zh-CN" w:bidi="ar-SA"/>
    </w:rPr>
  </w:style>
  <w:style w:type="character" w:customStyle="1" w:styleId="46">
    <w:name w:val="font51"/>
    <w:basedOn w:val="24"/>
    <w:autoRedefine/>
    <w:qFormat/>
    <w:uiPriority w:val="0"/>
    <w:rPr>
      <w:rFonts w:hint="eastAsia" w:ascii="宋体" w:hAnsi="宋体" w:eastAsia="宋体" w:cs="宋体"/>
      <w:color w:val="000000"/>
      <w:sz w:val="20"/>
      <w:szCs w:val="20"/>
      <w:u w:val="none"/>
    </w:rPr>
  </w:style>
  <w:style w:type="character" w:customStyle="1" w:styleId="47">
    <w:name w:val="font41"/>
    <w:basedOn w:val="24"/>
    <w:autoRedefine/>
    <w:qFormat/>
    <w:uiPriority w:val="0"/>
    <w:rPr>
      <w:rFonts w:hint="eastAsia" w:ascii="宋体" w:hAnsi="宋体" w:eastAsia="宋体" w:cs="宋体"/>
      <w:color w:val="000000"/>
      <w:sz w:val="20"/>
      <w:szCs w:val="20"/>
      <w:u w:val="none"/>
    </w:rPr>
  </w:style>
  <w:style w:type="character" w:customStyle="1" w:styleId="48">
    <w:name w:val="font31"/>
    <w:basedOn w:val="24"/>
    <w:autoRedefine/>
    <w:qFormat/>
    <w:uiPriority w:val="0"/>
    <w:rPr>
      <w:rFonts w:hint="eastAsia" w:ascii="宋体" w:hAnsi="宋体" w:eastAsia="宋体" w:cs="宋体"/>
      <w:color w:val="000000"/>
      <w:sz w:val="22"/>
      <w:szCs w:val="22"/>
      <w:u w:val="none"/>
    </w:rPr>
  </w:style>
  <w:style w:type="character" w:customStyle="1" w:styleId="49">
    <w:name w:val="font01"/>
    <w:basedOn w:val="24"/>
    <w:autoRedefine/>
    <w:qFormat/>
    <w:uiPriority w:val="0"/>
    <w:rPr>
      <w:rFonts w:hint="eastAsia" w:ascii="宋体" w:hAnsi="宋体" w:eastAsia="宋体" w:cs="宋体"/>
      <w:color w:val="000000"/>
      <w:sz w:val="21"/>
      <w:szCs w:val="21"/>
      <w:u w:val="none"/>
    </w:rPr>
  </w:style>
  <w:style w:type="paragraph" w:customStyle="1" w:styleId="50">
    <w:name w:val="Table Text"/>
    <w:basedOn w:val="1"/>
    <w:autoRedefine/>
    <w:semiHidden/>
    <w:qFormat/>
    <w:uiPriority w:val="0"/>
    <w:rPr>
      <w:rFonts w:ascii="宋体" w:hAnsi="宋体" w:eastAsia="宋体" w:cs="宋体"/>
      <w:sz w:val="24"/>
      <w:szCs w:val="24"/>
      <w:lang w:val="en-US" w:eastAsia="en-US" w:bidi="ar-SA"/>
    </w:rPr>
  </w:style>
  <w:style w:type="paragraph" w:customStyle="1" w:styleId="51">
    <w:name w:val="彩色列表1"/>
    <w:basedOn w:val="1"/>
    <w:autoRedefine/>
    <w:qFormat/>
    <w:uiPriority w:val="0"/>
    <w:pPr>
      <w:ind w:firstLine="420" w:firstLineChars="200"/>
    </w:pPr>
    <w:rPr>
      <w:rFonts w:ascii="Times New Roman" w:hAnsi="Times New Roman" w:eastAsia="宋体" w:cs="Times New Roman"/>
    </w:rPr>
  </w:style>
  <w:style w:type="character" w:customStyle="1" w:styleId="52">
    <w:name w:val="font21"/>
    <w:basedOn w:val="24"/>
    <w:autoRedefine/>
    <w:qFormat/>
    <w:uiPriority w:val="0"/>
    <w:rPr>
      <w:rFonts w:hint="eastAsia" w:ascii="仿宋" w:hAnsi="仿宋" w:eastAsia="仿宋" w:cs="仿宋"/>
      <w:color w:val="000000"/>
      <w:sz w:val="22"/>
      <w:szCs w:val="22"/>
      <w:u w:val="none"/>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bookmark-item uuid-1536114237662 code-00006"/>
    <w:autoRedefine/>
    <w:qFormat/>
    <w:uiPriority w:val="0"/>
  </w:style>
  <w:style w:type="paragraph" w:customStyle="1" w:styleId="56">
    <w:name w:val="_Style 2"/>
    <w:basedOn w:val="1"/>
    <w:qFormat/>
    <w:uiPriority w:val="0"/>
    <w:pPr>
      <w:ind w:firstLine="200" w:firstLineChars="200"/>
    </w:pPr>
    <w:rPr>
      <w:rFonts w:ascii="Calibri" w:hAnsi="Calibri"/>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26372</Words>
  <Characters>28432</Characters>
  <Lines>0</Lines>
  <Paragraphs>0</Paragraphs>
  <TotalTime>1</TotalTime>
  <ScaleCrop>false</ScaleCrop>
  <LinksUpToDate>false</LinksUpToDate>
  <CharactersWithSpaces>28698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2020-12-22T10:25:00Z</dcterms:created>
  <dc:creator>吴涛</dc:creator>
  <cp:lastModifiedBy>admin</cp:lastModifiedBy>
  <cp:lastPrinted>2026-06-11T03:45:00Z</cp:lastPrinted>
  <dcterms:modified xsi:type="dcterms:W3CDTF">2026-06-17T11:20:57Z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EE4440D110C941E9BCB309F39464C4CD_13</vt:lpwstr>
  </property>
  <property fmtid="{D5CDD505-2E9C-101B-9397-08002B2CF9AE}" pid="4" name="KSOTemplateDocerSaveRecord">
    <vt:lpwstr>eyJoZGlkIjoiOWMwOGY3YTMxMmFiZDI4MGUxZmI4Njk2NjdlOWQ1MTIiLCJ1c2VySWQiOiIzOTcyMzQwMjEifQ==</vt:lpwstr>
  </property>
</Properties>
</file>